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2F4B33"/>
          <w:sz w:val="72"/>
          <w:szCs w:val="72"/>
        </w:rPr>
        <w:t xml:space="preserve">SAWA</w:t>
      </w:r>
    </w:p>
    <w:p>
      <w:pPr>
        <w:spacing w:after="400" w:before="160"/>
        <w:jc w:val="center"/>
      </w:pPr>
      <w:r>
        <w:rPr>
          <w:color w:val="8A5A34"/>
          <w:sz w:val="30"/>
          <w:szCs w:val="30"/>
        </w:rPr>
        <w:t xml:space="preserve">From Heuristic Demo to Real Agtech Platform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Printable Roadmap — v0.1</w:t>
      </w:r>
    </w:p>
    <w:p>
      <w:pPr>
        <w:spacing w:after="500"/>
        <w:jc w:val="center"/>
      </w:pPr>
      <w:r>
        <w:rPr>
          <w:color w:val="5B5647"/>
          <w:sz w:val="22"/>
          <w:szCs w:val="22"/>
        </w:rPr>
        <w:t xml:space="preserve">15 August 2026</w:t>
      </w:r>
    </w:p>
    <w:p>
      <w:pPr>
        <w:jc w:val="center"/>
      </w:pPr>
      <w:r>
        <w:rPr>
          <w:i/>
          <w:iCs/>
          <w:color w:val="8A8267"/>
          <w:sz w:val="20"/>
          <w:szCs w:val="20"/>
        </w:rPr>
        <w:t xml:space="preserve">Companion documents: memory.md · SAWA-REC-INDEX.md · ADR-SAWA-001.md · LEARNING-PATHWAY-PHASE2.md · GIT-GUIDE.md</w:t>
      </w:r>
    </w:p>
    <w:p>
      <w:r>
        <w:br w:type="page"/>
      </w:r>
    </w:p>
    <w:p>
      <w:pPr>
        <w:pStyle w:val="Heading1"/>
        <w:spacing w:after="160" w:before="400"/>
      </w:pPr>
      <w:r>
        <w:t xml:space="preserve">How to use this document</w:t>
      </w:r>
    </w:p>
    <w:p>
      <w:pPr>
        <w:spacing w:after="140"/>
      </w:pPr>
      <w:r>
        <w:t xml:space="preserve">Work through the phases in order. Each phase has a stated goal, a short list of checkable tasks, and a note on what it depends on. Do not start a phase before the previous phase's core tasks are checked off — the sequencing is the point, not a formality. Phase 2 (real ML) in particular cannot produce a trustworthy result without Phase 1 (real data) done first.</w:t>
      </w:r>
    </w:p>
    <w:p>
      <w:pPr>
        <w:spacing w:after="140"/>
      </w:pPr>
      <w:r>
        <w:t xml:space="preserve">This is meant to be printed and checked off by hand. Digital state (what's actually been decided and done) lives in memory.md — update that file, not this one, when something changes; reprint this roadmap if the phase content itself changes.</w:t>
      </w:r>
    </w:p>
    <w:p>
      <w:pPr>
        <w:pBdr>
          <w:bottom w:val="single" w:color="C9C1AC" w:sz="6" w:space="1"/>
        </w:pBdr>
        <w:spacing w:after="240"/>
      </w:pPr>
    </w:p>
    <w:p>
      <w:pPr>
        <w:shd w:fill="2F4B33" w:val="clear"/>
        <w:spacing w:after="0" w:before="400"/>
        <w:ind w:left="0"/>
      </w:pPr>
      <w:r>
        <w:rPr>
          <w:b/>
          <w:bCs/>
          <w:color w:val="FFFFFF"/>
          <w:sz w:val="22"/>
          <w:szCs w:val="22"/>
        </w:rPr>
        <w:t xml:space="preserve">PHASE 0</w:t>
      </w:r>
    </w:p>
    <w:p>
      <w:pPr>
        <w:spacing w:after="80" w:before="100"/>
      </w:pPr>
      <w:r>
        <w:rPr>
          <w:b/>
          <w:bCs/>
          <w:color w:val="2F4B33"/>
          <w:sz w:val="30"/>
          <w:szCs w:val="30"/>
        </w:rPr>
        <w:t xml:space="preserve">Consolidate</w:t>
      </w:r>
    </w:p>
    <w:p>
      <w:pPr>
        <w:spacing w:after="180"/>
      </w:pPr>
      <w:r>
        <w:rPr>
          <w:b/>
          <w:bCs/>
        </w:rPr>
        <w:t xml:space="preserve">Goal: </w:t>
      </w:r>
      <w:r>
        <w:t xml:space="preserve">One clean, canonical repo before any new feature work.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Pick the canonical repo — recommended: the original full-stack app (it has the real backend; the Next.js site is a client-side port with none)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Fix .gitignore — exact contents in GIT-GUIDE.md §1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Untrack .venv / node_modules / build from git history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Decide + execute the recommendCrops bug fix (ADR-SAWA-001 §ADR-002) — in both the original backend and the Next.js port, documented as a fix, not silently patched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Push the cleaned repo to GitHub</w:t>
      </w:r>
    </w:p>
    <w:p>
      <w:pPr>
        <w:spacing w:after="200"/>
        <w:ind w:left="260"/>
      </w:pPr>
      <w:r>
        <w:rPr>
          <w:i/>
          <w:iCs/>
          <w:color w:val="5B5647"/>
          <w:sz w:val="20"/>
          <w:szCs w:val="20"/>
        </w:rPr>
        <w:t xml:space="preserve">This phase is boring on purpose. It's also the one thing every later phase depends on.</w:t>
      </w:r>
    </w:p>
    <w:p>
      <w:pPr>
        <w:shd w:fill="2F4B33" w:val="clear"/>
        <w:spacing w:after="0" w:before="400"/>
        <w:ind w:left="0"/>
      </w:pPr>
      <w:r>
        <w:rPr>
          <w:b/>
          <w:bCs/>
          <w:color w:val="FFFFFF"/>
          <w:sz w:val="22"/>
          <w:szCs w:val="22"/>
        </w:rPr>
        <w:t xml:space="preserve">PHASE 1</w:t>
      </w:r>
    </w:p>
    <w:p>
      <w:pPr>
        <w:spacing w:after="80" w:before="100"/>
      </w:pPr>
      <w:r>
        <w:rPr>
          <w:b/>
          <w:bCs/>
          <w:color w:val="2F4B33"/>
          <w:sz w:val="30"/>
          <w:szCs w:val="30"/>
        </w:rPr>
        <w:t xml:space="preserve">Data Collection Design</w:t>
      </w:r>
    </w:p>
    <w:p>
      <w:pPr>
        <w:spacing w:after="180"/>
      </w:pPr>
      <w:r>
        <w:rPr>
          <w:b/>
          <w:bCs/>
        </w:rPr>
        <w:t xml:space="preserve">Goal: </w:t>
      </w:r>
      <w:r>
        <w:t xml:space="preserve">Design how real photo ↔ lab-verified NPK/pH pairs get collected — this is the actual bottleneck for real accuracy.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Write down a fixed capture protocol: distance, lighting, angle — before collecting sample #1, not after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Identify a real NPK testing source — India's Soil Health Card scheme (government-subsidized soil testing) is a realistic starting point; a local agricultural extension office or university soil-testing lab are alternatives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Design the data schema: image, lab pH/N/P/K, location, date, notes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Decide storage — a local folder + spreadsheet is enough to start; don't build infrastructure before you have data to put in it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Target: 50–100 real labeled samples before Phase 2 begins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Write DATA-SAWA-001 once the protocol is actually running, not before</w:t>
      </w:r>
    </w:p>
    <w:p>
      <w:pPr>
        <w:spacing w:after="200"/>
        <w:ind w:left="260"/>
      </w:pPr>
      <w:r>
        <w:rPr>
          <w:i/>
          <w:iCs/>
          <w:color w:val="5B5647"/>
          <w:sz w:val="20"/>
          <w:szCs w:val="20"/>
        </w:rPr>
        <w:t xml:space="preserve">A tree-based model trained on 50 real samples already beats a heuristic trained on zero. Don't wait for a “big enough” dataset to start — start, and let the model tell you if you need more.</w:t>
      </w:r>
    </w:p>
    <w:p>
      <w:pPr>
        <w:shd w:fill="2F4B33" w:val="clear"/>
        <w:spacing w:after="0" w:before="400"/>
        <w:ind w:left="0"/>
      </w:pPr>
      <w:r>
        <w:rPr>
          <w:b/>
          <w:bCs/>
          <w:color w:val="FFFFFF"/>
          <w:sz w:val="22"/>
          <w:szCs w:val="22"/>
        </w:rPr>
        <w:t xml:space="preserve">PHASE 2</w:t>
      </w:r>
    </w:p>
    <w:p>
      <w:pPr>
        <w:spacing w:after="80" w:before="100"/>
      </w:pPr>
      <w:r>
        <w:rPr>
          <w:b/>
          <w:bCs/>
          <w:color w:val="2F4B33"/>
          <w:sz w:val="30"/>
          <w:szCs w:val="30"/>
        </w:rPr>
        <w:t xml:space="preserve">Real ML v1</w:t>
      </w:r>
    </w:p>
    <w:p>
      <w:pPr>
        <w:spacing w:after="180"/>
      </w:pPr>
      <w:r>
        <w:rPr>
          <w:b/>
          <w:bCs/>
        </w:rPr>
        <w:t xml:space="preserve">Goal: </w:t>
      </w:r>
      <w:r>
        <w:t xml:space="preserve">Replace the hand-picked heuristic nutrient formula with a model trained on real lab labels.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Learn scikit-learn basics alongside building (LEARNING-PATHWAY-PHASE2.md)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Train RandomForest / GradientBoosting on color + texture features against real lab labels (ADR-SAWA-001 §ADR-003)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Cross-validate; compare head-to-head against the old heuristic on the same held-out samples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Write AI-SAWA-001 (model design) and VAL-SAWA-001 (how you know it's actually better) side by side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Only replace the shipped heuristic once the new model beats it with numbers, not vibes</w:t>
      </w:r>
    </w:p>
    <w:p>
      <w:pPr>
        <w:spacing w:after="200"/>
        <w:ind w:left="260"/>
      </w:pPr>
      <w:r>
        <w:rPr>
          <w:i/>
          <w:iCs/>
          <w:color w:val="5B5647"/>
          <w:sz w:val="20"/>
          <w:szCs w:val="20"/>
        </w:rPr>
        <w:t xml:space="preserve">Deep learning is not the Phase 2 default — see ADR-SAWA-001 §ADR-003 for why tabular ML comes first.</w:t>
      </w:r>
    </w:p>
    <w:p>
      <w:pPr>
        <w:shd w:fill="2F4B33" w:val="clear"/>
        <w:spacing w:after="0" w:before="400"/>
        <w:ind w:left="0"/>
      </w:pPr>
      <w:r>
        <w:rPr>
          <w:b/>
          <w:bCs/>
          <w:color w:val="FFFFFF"/>
          <w:sz w:val="22"/>
          <w:szCs w:val="22"/>
        </w:rPr>
        <w:t xml:space="preserve">PHASE 3</w:t>
      </w:r>
    </w:p>
    <w:p>
      <w:pPr>
        <w:spacing w:after="80" w:before="100"/>
      </w:pPr>
      <w:r>
        <w:rPr>
          <w:b/>
          <w:bCs/>
          <w:color w:val="2F4B33"/>
          <w:sz w:val="30"/>
          <w:szCs w:val="30"/>
        </w:rPr>
        <w:t xml:space="preserve">Plant Growth &amp; Health Analysis</w:t>
      </w:r>
    </w:p>
    <w:p>
      <w:pPr>
        <w:spacing w:after="180"/>
      </w:pPr>
      <w:r>
        <w:rPr>
          <w:b/>
          <w:bCs/>
        </w:rPr>
        <w:t xml:space="preserve">Goal: </w:t>
      </w:r>
      <w:r>
        <w:t xml:space="preserve">Extend beyond soil to the plant itself: leaf color, canopy cover, basic visible health flags.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Literature pass: what visible-light signals actually correlate with plant health/nutrient deficiency (start LIT-SAWA-001)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Define the first 3–5 health flags to detect — narrow scope beats a vague “plant health score”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Reuse the Phase 1 data-collection discipline: define the labeling protocol before collecting images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Simple baseline first (color/texture heuristics or tabular ML) before reaching for CNNs</w:t>
      </w:r>
    </w:p>
    <w:p>
      <w:pPr>
        <w:shd w:fill="2F4B33" w:val="clear"/>
        <w:spacing w:after="0" w:before="400"/>
        <w:ind w:left="0"/>
      </w:pPr>
      <w:r>
        <w:rPr>
          <w:b/>
          <w:bCs/>
          <w:color w:val="FFFFFF"/>
          <w:sz w:val="22"/>
          <w:szCs w:val="22"/>
        </w:rPr>
        <w:t xml:space="preserve">PHASE 4</w:t>
      </w:r>
    </w:p>
    <w:p>
      <w:pPr>
        <w:spacing w:after="80" w:before="100"/>
      </w:pPr>
      <w:r>
        <w:rPr>
          <w:b/>
          <w:bCs/>
          <w:color w:val="2F4B33"/>
          <w:sz w:val="30"/>
          <w:szCs w:val="30"/>
        </w:rPr>
        <w:t xml:space="preserve">Growth-Stage Classification (Multi-Angle)</w:t>
      </w:r>
    </w:p>
    <w:p>
      <w:pPr>
        <w:spacing w:after="180"/>
      </w:pPr>
      <w:r>
        <w:rPr>
          <w:b/>
          <w:bCs/>
        </w:rPr>
        <w:t xml:space="preserve">Goal: </w:t>
      </w:r>
      <w:r>
        <w:t xml:space="preserve">The “plant age” idea, reframed accurately — see ADR-SAWA-001 §ADR-004.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Design the multi-angle capture protocol (how many angles, what spacing)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Collect or source a labeled growth-stage dataset — check existing public phenotyping datasets before assuming you must collect everything yourself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Baseline: transfer learning from a pretrained CNN (ResNet/EfficientNet), fine-tuned on your data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Stretch goal: days-since-planting regression for the case where the user logged a planting date — a strictly easier problem than unconditioned age estimation</w:t>
      </w:r>
    </w:p>
    <w:p>
      <w:pPr>
        <w:spacing w:after="200"/>
        <w:ind w:left="260"/>
      </w:pPr>
      <w:r>
        <w:rPr>
          <w:i/>
          <w:iCs/>
          <w:color w:val="5B5647"/>
          <w:sz w:val="20"/>
          <w:szCs w:val="20"/>
        </w:rPr>
        <w:t xml:space="preserve">Ship growth-stage classification (discrete labels) before attempting continuous age/day estimation. Discrete is more tractable and still genuinely useful.</w:t>
      </w:r>
    </w:p>
    <w:p>
      <w:pPr>
        <w:shd w:fill="2F4B33" w:val="clear"/>
        <w:spacing w:after="0" w:before="400"/>
        <w:ind w:left="0"/>
      </w:pPr>
      <w:r>
        <w:rPr>
          <w:b/>
          <w:bCs/>
          <w:color w:val="FFFFFF"/>
          <w:sz w:val="22"/>
          <w:szCs w:val="22"/>
        </w:rPr>
        <w:t xml:space="preserve">PHASE 5</w:t>
      </w:r>
    </w:p>
    <w:p>
      <w:pPr>
        <w:spacing w:after="80" w:before="100"/>
      </w:pPr>
      <w:r>
        <w:rPr>
          <w:b/>
          <w:bCs/>
          <w:color w:val="2F4B33"/>
          <w:sz w:val="30"/>
          <w:szCs w:val="30"/>
        </w:rPr>
        <w:t xml:space="preserve">Platform Shape</w:t>
      </w:r>
    </w:p>
    <w:p>
      <w:pPr>
        <w:spacing w:after="180"/>
      </w:pPr>
      <w:r>
        <w:rPr>
          <w:b/>
          <w:bCs/>
        </w:rPr>
        <w:t xml:space="preserve">Goal: </w:t>
      </w:r>
      <w:r>
        <w:t xml:space="preserve">User accounts, persistence, and the freemium structure — only makes sense once there's accumulated value per user to gate.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User accounts + auth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Per-user analysis history and trends over time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Define free vs. paid tier boundaries (draft in SAWA-REC-INDEX.md §Freemium notes)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Basic usage analytics — enough to know if anyone's actually using it</w:t>
      </w:r>
    </w:p>
    <w:p>
      <w:pPr>
        <w:shd w:fill="2F4B33" w:val="clear"/>
        <w:spacing w:after="0" w:before="400"/>
        <w:ind w:left="0"/>
      </w:pPr>
      <w:r>
        <w:rPr>
          <w:b/>
          <w:bCs/>
          <w:color w:val="FFFFFF"/>
          <w:sz w:val="22"/>
          <w:szCs w:val="22"/>
        </w:rPr>
        <w:t xml:space="preserve">PHASE 6</w:t>
      </w:r>
    </w:p>
    <w:p>
      <w:pPr>
        <w:spacing w:after="80" w:before="100"/>
      </w:pPr>
      <w:r>
        <w:rPr>
          <w:b/>
          <w:bCs/>
          <w:color w:val="2F4B33"/>
          <w:sz w:val="30"/>
          <w:szCs w:val="30"/>
        </w:rPr>
        <w:t xml:space="preserve">Naming, Company, Publication</w:t>
      </w:r>
    </w:p>
    <w:p>
      <w:pPr>
        <w:spacing w:after="180"/>
      </w:pPr>
      <w:r>
        <w:rPr>
          <w:b/>
          <w:bCs/>
        </w:rPr>
        <w:t xml:space="preserve">Goal: </w:t>
      </w:r>
      <w:r>
        <w:t xml:space="preserve">The lowest-urgency phase — don't let it block earlier technical work.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Trademark + domain availability check on naming candidates (SAWA-REC-INDEX.md §Naming)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Decide: company/startup vs. portfolio project — a working, validated Phase 2 result is what actually informs this decision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 w:val="false"/>
          <w:bCs w:val="false"/>
        </w:rPr>
        <w:t xml:space="preserve">Publication strategy if relevant: thesis chapter, portfolio writeup, or both</w:t>
      </w:r>
    </w:p>
    <w:p>
      <w:r>
        <w:br w:type="page"/>
      </w:r>
    </w:p>
    <w:p>
      <w:pPr>
        <w:pStyle w:val="Heading1"/>
        <w:spacing w:after="160" w:before="400"/>
      </w:pPr>
      <w:r>
        <w:t xml:space="preserve">Naming Candidates</w:t>
      </w:r>
    </w:p>
    <w:p>
      <w:pPr>
        <w:spacing w:after="140"/>
      </w:pPr>
      <w:r>
        <w:t xml:space="preserve">Not decided. Reasoning in SAWA-REC-INDEX.md §Naming. Do a trademark/domain check before committing — five minutes, not a blocker.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2F4B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shd w:fill="2F4B33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SAWA (keep it)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Existing recognition from the report/thesis; doesn't obviously read as “soil” to a stranger</w:t>
            </w:r>
          </w:p>
        </w:tc>
      </w:tr>
      <w:tr>
        <w:tc>
          <w:tcPr>
            <w:tcW w:type="dxa" w:w="3200"/>
            <w:shd w:fill="F4EFE3" w:val="clear"/>
          </w:tcPr>
          <w:p>
            <w:r>
              <w:rPr>
                <w:sz w:val="20"/>
                <w:szCs w:val="20"/>
              </w:rPr>
              <w:t xml:space="preserve">Bhoomi / BhoomiAI</w:t>
            </w:r>
          </w:p>
        </w:tc>
        <w:tc>
          <w:tcPr>
            <w:tcW w:type="dxa" w:w="6000"/>
            <w:shd w:fill="F4EFE3" w:val="clear"/>
          </w:tcPr>
          <w:p>
            <w:r>
              <w:rPr>
                <w:sz w:val="20"/>
                <w:szCs w:val="20"/>
              </w:rPr>
              <w:t xml:space="preserve">“Earth/land” — immediately legible to the target market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Mrida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Sanskrit-adjacent for soil; distinctive, may need a tagline</w:t>
            </w:r>
          </w:p>
        </w:tc>
      </w:tr>
      <w:tr>
        <w:tc>
          <w:tcPr>
            <w:tcW w:type="dxa" w:w="3200"/>
            <w:shd w:fill="F4EFE3" w:val="clear"/>
          </w:tcPr>
          <w:p>
            <w:r>
              <w:rPr>
                <w:sz w:val="20"/>
                <w:szCs w:val="20"/>
              </w:rPr>
              <w:t xml:space="preserve">Rootscope</w:t>
            </w:r>
          </w:p>
        </w:tc>
        <w:tc>
          <w:tcPr>
            <w:tcW w:type="dxa" w:w="6000"/>
            <w:shd w:fill="F4EFE3" w:val="clear"/>
          </w:tcPr>
          <w:p>
            <w:r>
              <w:rPr>
                <w:sz w:val="20"/>
                <w:szCs w:val="20"/>
              </w:rPr>
              <w:t xml:space="preserve">Literal, English, works for an international/portfolio audience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Krishi[X]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“Agriculture” prefix; common in Indian agtech naming, signals category fast</w:t>
            </w:r>
          </w:p>
        </w:tc>
      </w:tr>
    </w:tbl>
    <w:p>
      <w:pPr>
        <w:spacing w:before="400"/>
      </w:pPr>
    </w:p>
    <w:p>
      <w:pPr>
        <w:pStyle w:val="Heading1"/>
        <w:spacing w:after="160" w:before="400"/>
      </w:pPr>
      <w:r>
        <w:t xml:space="preserve">This Week — Condensed Checklist</w:t>
      </w:r>
    </w:p>
    <w:p>
      <w:pPr>
        <w:spacing w:after="140"/>
      </w:pPr>
      <w:r>
        <w:t xml:space="preserve">If nothing else happens this week, do these five things: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Fix .gitignore, untrack .venv/node_modules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Confirm go-ahead and patch the recommendCrops + sizeCanvas bugs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Push a clean repo to GitHub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Write down the Phase 1 capture protocol (even a rough draft)</w:t>
      </w:r>
    </w:p>
    <w:p>
      <w:pPr>
        <w:spacing w:after="90"/>
        <w:ind w:left="2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Look up the Soil Health Card scheme (or equivalent) for real NPK testing access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267"/>
        <w:sz w:val="16"/>
        <w:szCs w:val="16"/>
      </w:rPr>
      <w:t xml:space="preserve">Page </w:t>
    </w:r>
    <w:r>
      <w:rPr>
        <w:color w:val="8A826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267"/>
        <w:sz w:val="16"/>
        <w:szCs w:val="16"/>
      </w:rPr>
      <w:t xml:space="preserve">SAWA Roadmap · v0.1 · 15 Aug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21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rFonts w:ascii="Calibri" w:cs="Calibri" w:eastAsia="Calibri" w:hAnsi="Calibri"/>
      <w:b/>
      <w:bCs/>
      <w:color w:val="2F4B33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20"/>
    </w:pPr>
    <w:rPr>
      <w:rFonts w:ascii="Calibri" w:cs="Calibri" w:eastAsia="Calibri" w:hAnsi="Calibri"/>
      <w:b/>
      <w:bCs/>
      <w:color w:val="8A5A3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2026-08-15T20:10:15.937Z</dcterms:created>
  <dcterms:modified xsi:type="dcterms:W3CDTF">2026-08-15T20:10:15.951Z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