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t>C?lculos de ICMS Relacionados ao Estoque</w:t>
      </w:r>
    </w:p>
    <w:p>
      <w:pPr>
        <w:spacing w:after="240"/>
        <w:jc w:val="center"/>
      </w:pPr>
      <w:r>
        <w:rPr>
          <w:i/>
        </w:rPr>
        <w:t>Fiscal Parquet Analyzer - vis?o funcional do pipeline atual</w:t>
      </w:r>
    </w:p>
    <w:p>
      <w:pPr>
        <w:spacing w:after="120"/>
      </w:pPr>
      <w:r>
        <w:rPr>
          <w:b/>
        </w:rPr>
        <w:t xml:space="preserve">Este documento explica, </w:t>
      </w:r>
      <w:r>
        <w:t>em linguagem de neg?cio e com refer?ncia ao comportamento atual do c?digo, como o projeto calcula os eventos de estoque e os reflexos de ICMS nas camadas mensal e anual.</w:t>
      </w:r>
    </w:p>
    <w:p>
      <w:pPr>
        <w:spacing w:after="120"/>
      </w:pPr>
      <w:r>
        <w:t>Escopo: etapas `mov_estoque`, `calculos_mensais` e `calculos_anuais`, com foco em entradas desacobertadas, sa?das desacobertadas, estoque final desacobertado, ST e MVA.</w:t>
      </w:r>
    </w:p>
    <w:p>
      <w:pPr>
        <w:pStyle w:val="Heading1"/>
        <w:spacing w:before="200" w:after="120"/>
      </w:pPr>
      <w:r>
        <w:t>1. Vis?o geral do fluxo</w:t>
      </w:r>
    </w:p>
    <w:p>
      <w:pPr>
        <w:spacing w:after="120"/>
      </w:pPr>
      <w:r>
        <w:t>O pipeline oficial que suporta os c?lculos de ICMS do estoque segue a ordem abaixo:</w:t>
      </w:r>
    </w:p>
    <w:p>
      <w:pPr>
        <w:pStyle w:val="ListBullet"/>
        <w:spacing w:after="0"/>
      </w:pPr>
      <w:r>
        <w:t>tb_documentos -&gt; item_unidades -&gt; itens -&gt; descricao_produtos -&gt; produtos_final</w:t>
      </w:r>
    </w:p>
    <w:p>
      <w:pPr>
        <w:pStyle w:val="ListBullet"/>
        <w:spacing w:after="0"/>
      </w:pPr>
      <w:r>
        <w:t>produtos_final -&gt; fontes_produtos -&gt; fatores_conversao</w:t>
      </w:r>
    </w:p>
    <w:p>
      <w:pPr>
        <w:pStyle w:val="ListBullet"/>
        <w:spacing w:after="0"/>
      </w:pPr>
      <w:r>
        <w:t>fatores_conversao -&gt; c170_xml e c176_xml</w:t>
      </w:r>
    </w:p>
    <w:p>
      <w:pPr>
        <w:pStyle w:val="ListBullet"/>
        <w:spacing w:after="0"/>
      </w:pPr>
      <w:r>
        <w:t>c170_xml + c176_xml -&gt; movimentacao_estoque</w:t>
      </w:r>
    </w:p>
    <w:p>
      <w:pPr>
        <w:pStyle w:val="ListBullet"/>
        <w:spacing w:after="0"/>
      </w:pPr>
      <w:r>
        <w:t>movimentacao_estoque -&gt; calculos_mensais e calculos_anuais</w:t>
      </w:r>
    </w:p>
    <w:p>
      <w:pPr>
        <w:spacing w:after="120"/>
      </w:pPr>
      <w:r>
        <w:t>A etapa `movimentacao_estoque` ? a camada de enriquecimento e rastreabilidade. Ela une as fontes transacionais com cadastros saneados, fatores de convers?o e atributos fiscais necess?rios para os c?lculos posteriores.</w:t>
      </w:r>
    </w:p>
    <w:p>
      <w:pPr>
        <w:pStyle w:val="Heading1"/>
        <w:spacing w:before="200" w:after="120"/>
      </w:pPr>
      <w:r>
        <w:t>2. Invariantes que sustentam os c?lculos</w:t>
      </w:r>
    </w:p>
    <w:p>
      <w:pPr>
        <w:pStyle w:val="ListBullet"/>
        <w:spacing w:after="0"/>
      </w:pPr>
      <w:r>
        <w:t>`id_linha_origem` preserva a linha fiscal original para auditoria de ponta a ponta.</w:t>
      </w:r>
    </w:p>
    <w:p>
      <w:pPr>
        <w:pStyle w:val="ListBullet"/>
        <w:spacing w:after="0"/>
      </w:pPr>
      <w:r>
        <w:t>`codigo_fonte` identifica o produto antes do agrupamento por saneamento.</w:t>
      </w:r>
    </w:p>
    <w:p>
      <w:pPr>
        <w:pStyle w:val="ListBullet"/>
        <w:spacing w:after="0"/>
      </w:pPr>
      <w:r>
        <w:t>`id_agrupado` ? a chave mestra usada para consolidar produtos equivalentes.</w:t>
      </w:r>
    </w:p>
    <w:p>
      <w:pPr>
        <w:pStyle w:val="ListBullet"/>
        <w:spacing w:after="0"/>
      </w:pPr>
      <w:r>
        <w:t>`co_sefin_agr`, `it_pc_interna`, `it_in_st`, `it_pc_mva` e `it_in_mva_ajustado` s?o atributos cr?ticos para a camada fiscal.</w:t>
      </w:r>
    </w:p>
    <w:p>
      <w:pPr>
        <w:pStyle w:val="ListBullet"/>
        <w:spacing w:after="0"/>
      </w:pPr>
      <w:r>
        <w:t>O c?lculo do saldo ? sequencial por `id_agrupado + ano`; por isso n?o pode ser simplificado sem preservar ordem e estado acumulado.</w:t>
      </w:r>
    </w:p>
    <w:p>
      <w:pPr>
        <w:pStyle w:val="Heading1"/>
        <w:spacing w:before="200" w:after="120"/>
      </w:pPr>
      <w:r>
        <w:t>3. Como a `mov_estoque` prepara a base fiscal</w:t>
      </w:r>
    </w:p>
    <w:p>
      <w:pPr>
        <w:pStyle w:val="Heading2"/>
        <w:spacing w:before="200" w:after="120"/>
      </w:pPr>
      <w:r>
        <w:t>3.1. Origem e ordena??o das linhas</w:t>
      </w:r>
    </w:p>
    <w:p>
      <w:pPr>
        <w:spacing w:after="120"/>
      </w:pPr>
      <w:r>
        <w:t>A `mov_estoque_&lt;cnpj&gt;.parquet` organiza o fluxo por produto e ano, usando a ordem l?gica: estoque inicial, entradas, sa?das e estoque final. Invent?rios do Bloco H s?o tratados como estoque final; quando faltam eventos de abertura ou fechamento anual, o sistema gera linhas sint?ticas para manter o encadeamento do c?lculo.</w:t>
      </w:r>
    </w:p>
    <w:p>
      <w:pPr>
        <w:pStyle w:val="Heading2"/>
        <w:spacing w:before="200" w:after="120"/>
      </w:pPr>
      <w:r>
        <w:t>3.2. Quantidade convertida (`q_conv`)</w:t>
      </w:r>
    </w:p>
    <w:p>
      <w:pPr>
        <w:spacing w:after="120"/>
      </w:pPr>
      <w:r>
        <w:t>A quantidade operacional da linha ? convertida para a unidade de refer?ncia do produto. A regra base ?:</w:t>
      </w:r>
    </w:p>
    <w:p>
      <w:pPr>
        <w:jc w:val="center"/>
      </w:pPr>
      <w:r>
        <w:rPr>
          <w:b/>
        </w:rPr>
        <w:t>q_conv = abs(Qtd) * abs(fator)</w:t>
      </w:r>
    </w:p>
    <w:p>
      <w:pPr>
        <w:spacing w:after="120"/>
      </w:pPr>
      <w:r>
        <w:t>A linha ? neutralizada para os c?lculos de estoque quando ocorrer qualquer uma das situa??es abaixo:</w:t>
      </w:r>
    </w:p>
    <w:p>
      <w:pPr>
        <w:pStyle w:val="ListBullet"/>
        <w:spacing w:after="0"/>
      </w:pPr>
      <w:r>
        <w:t>`excluir_estoque = true`</w:t>
      </w:r>
    </w:p>
    <w:p>
      <w:pPr>
        <w:pStyle w:val="ListBullet"/>
        <w:spacing w:after="0"/>
      </w:pPr>
      <w:r>
        <w:t>`mov_rep = true`</w:t>
      </w:r>
    </w:p>
    <w:p>
      <w:pPr>
        <w:pStyle w:val="ListBullet"/>
        <w:spacing w:after="0"/>
      </w:pPr>
      <w:r>
        <w:t>`infprot_cstat` diferente de `100` e `150`</w:t>
      </w:r>
    </w:p>
    <w:p>
      <w:pPr>
        <w:pStyle w:val="ListBullet"/>
        <w:spacing w:after="0"/>
      </w:pPr>
      <w:r>
        <w:t>estoque inicial fora de 01/01</w:t>
      </w:r>
    </w:p>
    <w:p>
      <w:pPr>
        <w:pStyle w:val="ListBullet"/>
        <w:spacing w:after="0"/>
      </w:pPr>
      <w:r>
        <w:t>estoque final fora de 31/12</w:t>
      </w:r>
    </w:p>
    <w:p>
      <w:pPr>
        <w:pStyle w:val="ListBullet"/>
        <w:spacing w:after="0"/>
      </w:pPr>
      <w:r>
        <w:t>quantidade base igual a zero</w:t>
      </w:r>
    </w:p>
    <w:p>
      <w:pPr>
        <w:spacing w:after="120"/>
      </w:pPr>
      <w:r>
        <w:t>Quando a linha ? sa?da, o sistema trabalha internamente com quantidade assinada negativa; quando ? entrada ou estoque inicial, a quantidade assinada ? positiva.</w:t>
      </w:r>
    </w:p>
    <w:p>
      <w:pPr>
        <w:pStyle w:val="Heading2"/>
        <w:spacing w:before="200" w:after="120"/>
      </w:pPr>
      <w:r>
        <w:t>3.3. Saldo, custo m?dio e entradas desacobertadas</w:t>
      </w:r>
    </w:p>
    <w:p>
      <w:pPr>
        <w:spacing w:after="120"/>
      </w:pPr>
      <w:r>
        <w:t>A rotina sequencial percorre as linhas em ordem cronol?gica e mant?m tr?s acumuladores por `id_agrupado + ano`: saldo f?sico, saldo financeiro e custo m?dio. O comportamento pr?tico ? o seguinte:</w:t>
      </w:r>
    </w:p>
    <w:p>
      <w:pPr>
        <w:pStyle w:val="ListBullet"/>
        <w:spacing w:after="0"/>
      </w:pPr>
      <w:r>
        <w:t>entradas e estoques iniciais v?lidos aumentam o saldo f?sico</w:t>
      </w:r>
    </w:p>
    <w:p>
      <w:pPr>
        <w:pStyle w:val="ListBullet"/>
        <w:spacing w:after="0"/>
      </w:pPr>
      <w:r>
        <w:t>entradas normais somam `preco_item` ao saldo financeiro</w:t>
      </w:r>
    </w:p>
    <w:p>
      <w:pPr>
        <w:pStyle w:val="ListBullet"/>
        <w:spacing w:after="0"/>
      </w:pPr>
      <w:r>
        <w:t>sa?das baixam o saldo pelo custo m?dio vigente, e n?o pelo valor pr?prio da linha</w:t>
      </w:r>
    </w:p>
    <w:p>
      <w:pPr>
        <w:pStyle w:val="ListBullet"/>
        <w:spacing w:after="0"/>
      </w:pPr>
      <w:r>
        <w:t>o custo m?dio anual ? recalculado como `saldo_financeiro / saldo_estoque_anual` sempre que houver saldo positivo</w:t>
      </w:r>
    </w:p>
    <w:p>
      <w:pPr>
        <w:spacing w:after="120"/>
      </w:pPr>
      <w:r>
        <w:t>Se uma sa?da consumir mais quantidade do que o saldo dispon?vel, a diferen?a vira `entr_desac_anual`. Nesse ponto o saldo f?sico volta para zero, preservando a trilha de insufici?ncia de entradas.</w:t>
      </w:r>
    </w:p>
    <w:p>
      <w:pPr>
        <w:spacing w:after="120"/>
      </w:pPr>
      <w:r>
        <w:t>No estoque final de 31/12, o sistema compara o saldo calculado com a quantidade declarada em invent?rio. Se o invent?rio declarado for maior que o saldo, a diferen?a tamb?m ? registrada em `entr_desac_anual`. Essa auditoria n?o altera o saldo; ela apenas evidencia cobertura insuficiente para suportar o estoque final informado.</w:t>
      </w:r>
    </w:p>
    <w:p>
      <w:pPr>
        <w:pStyle w:val="Heading2"/>
        <w:spacing w:before="200" w:after="120"/>
      </w:pPr>
      <w:r>
        <w:t>3.4. Tratamento de devolu??es</w:t>
      </w:r>
    </w:p>
    <w:p>
      <w:pPr>
        <w:spacing w:after="120"/>
      </w:pPr>
      <w:r>
        <w:t>Devolu??es identificadas por `finnfe = 4` e pelos marcadores `dev_simples`, `dev_venda`, `dev_compra` ou `dev_ent_simples` entram no fluxo f?sico, mas n?o devem distorcer a forma??o do custo m?dio.</w:t>
      </w:r>
    </w:p>
    <w:p>
      <w:pPr>
        <w:pStyle w:val="ListBullet"/>
        <w:spacing w:after="0"/>
      </w:pPr>
      <w:r>
        <w:t>devolu??o de venda em entrada recomp?e quantidade usando o custo m?dio vigente antes da linha</w:t>
      </w:r>
    </w:p>
    <w:p>
      <w:pPr>
        <w:pStyle w:val="ListBullet"/>
        <w:spacing w:after="0"/>
      </w:pPr>
      <w:r>
        <w:t>devolu??o de compra em sa?da baixa o estoque pelo custo m?dio vigente</w:t>
      </w:r>
    </w:p>
    <w:p>
      <w:pPr>
        <w:pStyle w:val="ListBullet"/>
        <w:spacing w:after="0"/>
      </w:pPr>
      <w:r>
        <w:t>em ambos os casos, a devolu??o n?o forma uma nova m?dia pelo `preco_item` da devolu??o</w:t>
      </w:r>
    </w:p>
    <w:p>
      <w:pPr>
        <w:pStyle w:val="Heading1"/>
        <w:spacing w:before="200" w:after="120"/>
      </w:pPr>
      <w:r>
        <w:t>4. Como a camada mensal calcula ICMS</w:t>
      </w:r>
    </w:p>
    <w:p>
      <w:pPr>
        <w:spacing w:after="120"/>
      </w:pPr>
      <w:r>
        <w:t>A `aba_mensal_&lt;cnpj&gt;.parquet` n?o reprocessa o estoque do zero. Ela resume a `mov_estoque` por `id_agrupado + ano + mes`, usando a data efetiva `Dt_e_s` e, na aus?ncia dela, `Dt_doc`.</w:t>
      </w:r>
    </w:p>
    <w:p>
      <w:pPr>
        <w:pStyle w:val="Heading2"/>
        <w:spacing w:before="200" w:after="120"/>
      </w:pPr>
      <w:r>
        <w:t>4.1. Indicadores mensais consolidados</w:t>
      </w:r>
    </w:p>
    <w:p>
      <w:pPr>
        <w:pStyle w:val="ListBullet"/>
        <w:spacing w:after="0"/>
      </w:pPr>
      <w:r>
        <w:t>`valor_entradas` e `qtd_entradas`: somas das entradas do m?s</w:t>
      </w:r>
    </w:p>
    <w:p>
      <w:pPr>
        <w:pStyle w:val="ListBullet"/>
        <w:spacing w:after="0"/>
      </w:pPr>
      <w:r>
        <w:t>`valor_saidas` e `qtd_saidas`: somas das sa?das do m?s</w:t>
      </w:r>
    </w:p>
    <w:p>
      <w:pPr>
        <w:pStyle w:val="ListBullet"/>
        <w:spacing w:after="0"/>
      </w:pPr>
      <w:r>
        <w:t>`pme_mes`: pre?o m?dio das entradas v?lidas do m?s</w:t>
      </w:r>
    </w:p>
    <w:p>
      <w:pPr>
        <w:pStyle w:val="ListBullet"/>
        <w:spacing w:after="0"/>
      </w:pPr>
      <w:r>
        <w:t>`pms_mes`: pre?o m?dio das sa?das v?lidas do m?s</w:t>
      </w:r>
    </w:p>
    <w:p>
      <w:pPr>
        <w:pStyle w:val="ListBullet"/>
        <w:spacing w:after="0"/>
      </w:pPr>
      <w:r>
        <w:t>`saldo_mes`: ?ltimo `saldo_estoque_anual` do m?s</w:t>
      </w:r>
    </w:p>
    <w:p>
      <w:pPr>
        <w:pStyle w:val="ListBullet"/>
        <w:spacing w:after="0"/>
      </w:pPr>
      <w:r>
        <w:t>`custo_medio_mes`: ?ltimo `custo_medio_anual` do m?s</w:t>
      </w:r>
    </w:p>
    <w:p>
      <w:pPr>
        <w:pStyle w:val="ListBullet"/>
        <w:spacing w:after="0"/>
      </w:pPr>
      <w:r>
        <w:t>`valor_estoque = saldo_mes * custo_medio_mes`</w:t>
      </w:r>
    </w:p>
    <w:p>
      <w:pPr>
        <w:spacing w:after="120"/>
      </w:pPr>
      <w:r>
        <w:t>As m?dias do m?s ignoram devolu??es, linhas com `excluir_estoque = true` e linhas neutralizadas com `q_conv &lt;= 0`.</w:t>
      </w:r>
    </w:p>
    <w:p>
      <w:pPr>
        <w:pStyle w:val="Heading2"/>
        <w:spacing w:before="200" w:after="120"/>
      </w:pPr>
      <w:r>
        <w:t>4.2. ST mensal e MVA</w:t>
      </w:r>
    </w:p>
    <w:p>
      <w:pPr>
        <w:spacing w:after="120"/>
      </w:pPr>
      <w:r>
        <w:t>A decis?o fiscal do m?s n?o depende apenas do atributo `it_in_st` gravado na movimenta??o. O sistema cruza `co_sefin_agr` com `sitafe_produto_sefin_aux.parquet` e verifica se o m?s analisado possui sobreposi??o com algum per?odo de vig?ncia fiscal.</w:t>
      </w:r>
    </w:p>
    <w:p>
      <w:pPr>
        <w:pStyle w:val="ListBullet"/>
        <w:spacing w:after="0"/>
      </w:pPr>
      <w:r>
        <w:t>`ST`: hist?rico dos per?odos vigentes no m?s</w:t>
      </w:r>
    </w:p>
    <w:p>
      <w:pPr>
        <w:pStyle w:val="ListBullet"/>
        <w:spacing w:after="0"/>
      </w:pPr>
      <w:r>
        <w:t>`MVA`: valor bruto de `it_pc_mva` quando houver ST no m?s</w:t>
      </w:r>
    </w:p>
    <w:p>
      <w:pPr>
        <w:pStyle w:val="ListBullet"/>
        <w:spacing w:after="0"/>
      </w:pPr>
      <w:r>
        <w:t>`MVA_ajustado`: preenchido apenas quando `it_in_mva_ajustado = S`</w:t>
      </w:r>
    </w:p>
    <w:p>
      <w:pPr>
        <w:pStyle w:val="ListBullet"/>
        <w:spacing w:after="0"/>
      </w:pPr>
      <w:r>
        <w:t>`__tem_st_mes__`: flag interna usada para decidir se h? tributa??o mensal de entradas desacobertadas</w:t>
      </w:r>
    </w:p>
    <w:p>
      <w:pPr>
        <w:pStyle w:val="Heading2"/>
        <w:spacing w:before="200" w:after="120"/>
      </w:pPr>
      <w:r>
        <w:t>4.3. F?rmula do `ICMS_entr_desacob`</w:t>
      </w:r>
    </w:p>
    <w:p>
      <w:pPr>
        <w:spacing w:after="120"/>
      </w:pPr>
      <w:r>
        <w:t>A coluna `entradas_desacob` do m?s ? a soma de `entr_desac_anual` gerado linha a linha na `mov_estoque`. O ICMS mensal s? ? calculado quando houver ST vigente no m?s e `entradas_desacob &gt; 0`.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Condi??o</w:t>
            </w:r>
          </w:p>
        </w:tc>
        <w:tc>
          <w:tcPr>
            <w:tcW w:type="dxa" w:w="4703"/>
          </w:tcPr>
          <w:p>
            <w:r>
              <w:t>F?rmula aplicada</w:t>
            </w:r>
          </w:p>
        </w:tc>
      </w:tr>
      <w:tr>
        <w:tc>
          <w:tcPr>
            <w:tcW w:type="dxa" w:w="4703"/>
          </w:tcPr>
          <w:p>
            <w:r>
              <w:t>`pms_mes &gt; 0`</w:t>
            </w:r>
          </w:p>
        </w:tc>
        <w:tc>
          <w:tcPr>
            <w:tcW w:type="dxa" w:w="4703"/>
          </w:tcPr>
          <w:p>
            <w:r>
              <w:t>`ICMS_entr_desacob = pms_mes * entradas_desacob * (aliq_mes / 100)`</w:t>
            </w:r>
          </w:p>
        </w:tc>
      </w:tr>
      <w:tr>
        <w:tc>
          <w:tcPr>
            <w:tcW w:type="dxa" w:w="4703"/>
          </w:tcPr>
          <w:p>
            <w:r>
              <w:t>`pms_mes = 0`</w:t>
            </w:r>
          </w:p>
        </w:tc>
        <w:tc>
          <w:tcPr>
            <w:tcW w:type="dxa" w:w="4703"/>
          </w:tcPr>
          <w:p>
            <w:r>
              <w:t>`ICMS_entr_desacob = pme_mes * entradas_desacob * (aliq_mes / 100) * MVA_utilizado`</w:t>
            </w:r>
          </w:p>
        </w:tc>
      </w:tr>
    </w:tbl>
    <w:p>
      <w:pPr>
        <w:spacing w:after="120"/>
      </w:pPr>
      <w:r>
        <w:t>Quando h? ajuste de MVA, o valor usado no c?lculo segue a express?o: `[((1 + MVA_orig) * (1 - ALQ_inter)) / (1 - ALQ_interna)] - 1`. Quando n?o h? ajuste, o sistema usa `it_pc_mva / 100`.</w:t>
      </w:r>
    </w:p>
    <w:p>
      <w:pPr>
        <w:pStyle w:val="Heading1"/>
        <w:spacing w:before="200" w:after="120"/>
      </w:pPr>
      <w:r>
        <w:t>5. Como a camada anual calcula ICMS</w:t>
      </w:r>
    </w:p>
    <w:p>
      <w:pPr>
        <w:spacing w:after="120"/>
      </w:pPr>
      <w:r>
        <w:t>A `aba_anual_&lt;cnpj&gt;.parquet` resume a `mov_estoque` por `id_agrupado + ano` e transforma os eventos f?sicos em bases fiscais anuais.</w:t>
      </w:r>
    </w:p>
    <w:p>
      <w:pPr>
        <w:pStyle w:val="Heading2"/>
        <w:spacing w:before="200" w:after="120"/>
      </w:pPr>
      <w:r>
        <w:t>5.1. Quantidades anuais consolidadas</w:t>
      </w:r>
    </w:p>
    <w:p>
      <w:pPr>
        <w:pStyle w:val="ListBullet"/>
        <w:spacing w:after="0"/>
      </w:pPr>
      <w:r>
        <w:t>`estoque_inicial`: soma das linhas `0 - ESTOQUE INICIAL`</w:t>
      </w:r>
    </w:p>
    <w:p>
      <w:pPr>
        <w:pStyle w:val="ListBullet"/>
        <w:spacing w:after="0"/>
      </w:pPr>
      <w:r>
        <w:t>`entradas`: soma das linhas `1 - ENTRADA`</w:t>
      </w:r>
    </w:p>
    <w:p>
      <w:pPr>
        <w:pStyle w:val="ListBullet"/>
        <w:spacing w:after="0"/>
      </w:pPr>
      <w:r>
        <w:t>`saidas`: soma das linhas `2 - SAIDAS`</w:t>
      </w:r>
    </w:p>
    <w:p>
      <w:pPr>
        <w:pStyle w:val="ListBullet"/>
        <w:spacing w:after="0"/>
      </w:pPr>
      <w:r>
        <w:t>`estoque_final`: soma da quantidade declarada em `3 - ESTOQUE FINAL`</w:t>
      </w:r>
    </w:p>
    <w:p>
      <w:pPr>
        <w:pStyle w:val="ListBullet"/>
        <w:spacing w:after="0"/>
      </w:pPr>
      <w:r>
        <w:t>`entradas_desacob`: soma anual de `entr_desac_anual`</w:t>
      </w:r>
    </w:p>
    <w:p>
      <w:pPr>
        <w:pStyle w:val="ListBullet"/>
        <w:spacing w:after="0"/>
      </w:pPr>
      <w:r>
        <w:t>`saldo_final`: ?ltimo `saldo_estoque_anual` do ano</w:t>
      </w:r>
    </w:p>
    <w:p>
      <w:pPr>
        <w:spacing w:after="120"/>
      </w:pPr>
      <w:r>
        <w:t>No c?digo atual, a coluna `saidas_calculadas` ? apurada por:</w:t>
      </w:r>
    </w:p>
    <w:p>
      <w:pPr>
        <w:jc w:val="center"/>
      </w:pPr>
      <w:r>
        <w:rPr>
          <w:b/>
        </w:rPr>
        <w:t>saidas_calculadas = estoque_inicial + entradas + entradas_desacob - estoque_final</w:t>
      </w:r>
    </w:p>
    <w:p>
      <w:pPr>
        <w:spacing w:after="120"/>
      </w:pPr>
      <w:r>
        <w:t>A partir desse mesmo fechamento, o c?digo grava hoje as colunas `saidas_desacob` e `estoque_final_desacob` com a mesma regra: `max(0, saldo_final - estoque_final)`. Essa ? a fotografia fiel da implementa??o vigente.</w:t>
      </w:r>
    </w:p>
    <w:p>
      <w:pPr>
        <w:pStyle w:val="Heading2"/>
        <w:spacing w:before="200" w:after="120"/>
      </w:pPr>
      <w:r>
        <w:t>5.2. Pre?os m?dios anuais</w:t>
      </w:r>
    </w:p>
    <w:p>
      <w:pPr>
        <w:spacing w:after="120"/>
      </w:pPr>
      <w:r>
        <w:t>Os indicadores `pme` e `pms` usam apenas movimentos v?lidos, com exclus?o de devolu??es simples, linhas de estoque exclu?do e linhas neutralizadas com `q_conv &lt;= 0`. O valor unit?rio parte de `preco_item` e usa `Vl_item` como fallback quando necess?rio.</w:t>
      </w:r>
    </w:p>
    <w:p>
      <w:pPr>
        <w:pStyle w:val="Heading2"/>
        <w:spacing w:before="200" w:after="120"/>
      </w:pPr>
      <w:r>
        <w:t>5.3. ST anual e al?quota interna</w:t>
      </w:r>
    </w:p>
    <w:p>
      <w:pPr>
        <w:spacing w:after="120"/>
      </w:pPr>
      <w:r>
        <w:t>O c?lculo anual cruza `co_sefin_agr` com a refer?ncia SEFIN para descobrir se houve qualquer per?odo do ano com `it_in_st = S`. Esse cruzamento produz:</w:t>
      </w:r>
    </w:p>
    <w:p>
      <w:pPr>
        <w:pStyle w:val="ListBullet"/>
        <w:spacing w:after="0"/>
      </w:pPr>
      <w:r>
        <w:t>`ST`: texto com os per?odos fiscais vigentes no ano</w:t>
      </w:r>
    </w:p>
    <w:p>
      <w:pPr>
        <w:pStyle w:val="ListBullet"/>
        <w:spacing w:after="0"/>
      </w:pPr>
      <w:r>
        <w:t>`__tem_st_ano__`: flag booleana de presen?a de ST no ano</w:t>
      </w:r>
    </w:p>
    <w:p>
      <w:pPr>
        <w:pStyle w:val="ListBullet"/>
        <w:spacing w:after="0"/>
      </w:pPr>
      <w:r>
        <w:t>`__aliq_ref__`: al?quota interna preferencial da refer?ncia fiscal</w:t>
      </w:r>
    </w:p>
    <w:p>
      <w:pPr>
        <w:spacing w:after="120"/>
      </w:pPr>
      <w:r>
        <w:t>A `aliq_interna` final segue a ordem de fallback abaixo: refer?ncia SEFIN, ?ltima al?quota observada na movimenta??o do ano e, por ?ltimo, `0.0`.</w:t>
      </w:r>
    </w:p>
    <w:p>
      <w:pPr>
        <w:pStyle w:val="Heading2"/>
        <w:spacing w:before="200" w:after="120"/>
      </w:pPr>
      <w:r>
        <w:t>5.4. F?rmulas anuais de ICMS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Indicador</w:t>
            </w:r>
          </w:p>
        </w:tc>
        <w:tc>
          <w:tcPr>
            <w:tcW w:type="dxa" w:w="3135"/>
          </w:tcPr>
          <w:p>
            <w:r>
              <w:t>Base</w:t>
            </w:r>
          </w:p>
        </w:tc>
        <w:tc>
          <w:tcPr>
            <w:tcW w:type="dxa" w:w="3135"/>
          </w:tcPr>
          <w:p>
            <w:r>
              <w:t>Regra de ICMS</w:t>
            </w:r>
          </w:p>
        </w:tc>
      </w:tr>
      <w:tr>
        <w:tc>
          <w:tcPr>
            <w:tcW w:type="dxa" w:w="3135"/>
          </w:tcPr>
          <w:p>
            <w:r>
              <w:t>`ICMS_saidas_desac`</w:t>
            </w:r>
          </w:p>
        </w:tc>
        <w:tc>
          <w:tcPr>
            <w:tcW w:type="dxa" w:w="3135"/>
          </w:tcPr>
          <w:p>
            <w:r>
              <w:t>se `pms &gt; 0`: `saidas_desacob * pms`; sen?o: `saidas_desacob * pme * 1.30`</w:t>
            </w:r>
          </w:p>
        </w:tc>
        <w:tc>
          <w:tcPr>
            <w:tcW w:type="dxa" w:w="3135"/>
          </w:tcPr>
          <w:p>
            <w:r>
              <w:t>aplica `aliq_interna / 100`; se `__tem_st_ano__ = true`, zera o resultado</w:t>
            </w:r>
          </w:p>
        </w:tc>
      </w:tr>
      <w:tr>
        <w:tc>
          <w:tcPr>
            <w:tcW w:type="dxa" w:w="3135"/>
          </w:tcPr>
          <w:p>
            <w:r>
              <w:t>`ICMS_estoque_desac`</w:t>
            </w:r>
          </w:p>
        </w:tc>
        <w:tc>
          <w:tcPr>
            <w:tcW w:type="dxa" w:w="3135"/>
          </w:tcPr>
          <w:p>
            <w:r>
              <w:t>se `pms &gt; 0`: `estoque_final_desacob * pms`; sen?o: `estoque_final_desacob * pme * 1.30`</w:t>
            </w:r>
          </w:p>
        </w:tc>
        <w:tc>
          <w:tcPr>
            <w:tcW w:type="dxa" w:w="3135"/>
          </w:tcPr>
          <w:p>
            <w:r>
              <w:t>aplica `aliq_interna / 100`; n?o ? bloqueado por ST</w:t>
            </w:r>
          </w:p>
        </w:tc>
      </w:tr>
    </w:tbl>
    <w:p>
      <w:pPr>
        <w:spacing w:after="120"/>
      </w:pPr>
      <w:r>
        <w:t>O fator `1.30` ? o fallback atualmente implementado quando n?o existe `pms` utiliz?vel para valorar a base anual.</w:t>
      </w:r>
    </w:p>
    <w:p>
      <w:pPr>
        <w:pStyle w:val="Heading1"/>
        <w:spacing w:before="200" w:after="120"/>
      </w:pPr>
      <w:r>
        <w:t>6. Leitura operacional do resultado</w:t>
      </w:r>
    </w:p>
    <w:p>
      <w:pPr>
        <w:pStyle w:val="ListNumber"/>
        <w:spacing w:after="0"/>
      </w:pPr>
      <w:r>
        <w:t>A movimenta??o individual identifica excesso de sa?da ou excesso de estoque final frente ao saldo f?sico.</w:t>
      </w:r>
    </w:p>
    <w:p>
      <w:pPr>
        <w:pStyle w:val="ListNumber"/>
        <w:spacing w:after="0"/>
      </w:pPr>
      <w:r>
        <w:t>Essas diferen?as alimentam `entr_desac_anual` na `mov_estoque`.</w:t>
      </w:r>
    </w:p>
    <w:p>
      <w:pPr>
        <w:pStyle w:val="ListNumber"/>
        <w:spacing w:after="0"/>
      </w:pPr>
      <w:r>
        <w:t>A camada mensal traduz parte desse problema em `ICMS_entr_desacob`, desde que haja ST vigente no m?s.</w:t>
      </w:r>
    </w:p>
    <w:p>
      <w:pPr>
        <w:pStyle w:val="ListNumber"/>
        <w:spacing w:after="0"/>
      </w:pPr>
      <w:r>
        <w:t>A camada anual consolida `saidas_desacob` e `estoque_final_desacob`, calcula as bases fiscais e aplica a al?quota interna.</w:t>
      </w:r>
    </w:p>
    <w:p>
      <w:pPr>
        <w:pStyle w:val="ListNumber"/>
        <w:spacing w:after="0"/>
      </w:pPr>
      <w:r>
        <w:t>A rastreabilidade permanece preservada porque os agregados podem ser reconectados ?s linhas-origem por `id_agrupado` e ?s chaves transacionais da Golden Thread.</w:t>
      </w:r>
    </w:p>
    <w:p>
      <w:pPr>
        <w:pStyle w:val="Heading1"/>
        <w:spacing w:before="200" w:after="120"/>
      </w:pPr>
      <w:r>
        <w:t>7. Artefatos gerados pelo pipeline</w:t>
      </w:r>
    </w:p>
    <w:p>
      <w:pPr>
        <w:pStyle w:val="ListBullet"/>
        <w:spacing w:after="0"/>
      </w:pPr>
      <w:r>
        <w:t>`dados/CNPJ/&lt;cnpj&gt;/analises/produtos/mov_estoque_&lt;cnpj&gt;.parquet`</w:t>
      </w:r>
    </w:p>
    <w:p>
      <w:pPr>
        <w:pStyle w:val="ListBullet"/>
        <w:spacing w:after="0"/>
      </w:pPr>
      <w:r>
        <w:t>`dados/CNPJ/&lt;cnpj&gt;/analises/produtos/aba_mensal_&lt;cnpj&gt;.parquet`</w:t>
      </w:r>
    </w:p>
    <w:p>
      <w:pPr>
        <w:pStyle w:val="ListBullet"/>
        <w:spacing w:after="0"/>
      </w:pPr>
      <w:r>
        <w:t>`dados/CNPJ/&lt;cnpj&gt;/analises/produtos/aba_anual_&lt;cnpj&gt;.parquet`</w:t>
      </w:r>
    </w:p>
    <w:p>
      <w:pPr>
        <w:spacing w:after="120"/>
      </w:pPr>
      <w:r>
        <w:t>Esses arquivos s?o as sa?das oficiais que sustentam consultas na interface e an?lises posteriores.</w:t>
      </w:r>
    </w:p>
    <w:p>
      <w:pPr>
        <w:pStyle w:val="Heading1"/>
        <w:spacing w:before="200" w:after="120"/>
      </w:pPr>
      <w:r>
        <w:t>8. Observa??es finais</w:t>
      </w:r>
    </w:p>
    <w:p>
      <w:pPr>
        <w:spacing w:after="120"/>
      </w:pPr>
      <w:r>
        <w:t>Este documento descreve o comportamento efetivamente implementado no c?digo atual, inclusive fallbacks e regras de bloqueio por ST. Se a pol?tica fiscal mudar, o texto deve ser revisado em conjunto com `movimentacao_estoque`, `calculos_mensais` e `calculos_anuais` para evitar diverg?ncia entre documenta??o e execu??o.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Fiscal Parquet Analyzer - p?gina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