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D5AB" w14:textId="77777777" w:rsidR="009A2475" w:rsidRDefault="009A2475">
      <w:pPr>
        <w:spacing w:after="160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9A2475" w14:paraId="3715E1F6" w14:textId="77777777">
        <w:trPr>
          <w:jc w:val="center"/>
        </w:trPr>
        <w:tc>
          <w:tcPr>
            <w:tcW w:w="952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CB559" w14:textId="77777777" w:rsidR="009A247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RELATÓRIO FISCAL CONCLUSIVO</w:t>
            </w:r>
          </w:p>
        </w:tc>
      </w:tr>
    </w:tbl>
    <w:p w14:paraId="5D8A70E8" w14:textId="77777777" w:rsidR="009A2475" w:rsidRDefault="009A247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087"/>
      </w:tblGrid>
      <w:tr w:rsidR="009A2475" w14:paraId="073C1FB8" w14:textId="77777777">
        <w:trPr>
          <w:jc w:val="center"/>
        </w:trPr>
        <w:tc>
          <w:tcPr>
            <w:tcW w:w="2438" w:type="dxa"/>
            <w:tcBorders>
              <w:top w:val="single" w:sz="4" w:space="0" w:color="FFFFFF"/>
              <w:left w:val="single" w:sz="14" w:space="0" w:color="1F4E79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A6C9E" w14:textId="77777777" w:rsidR="009A2475" w:rsidRDefault="00000000">
            <w:pPr>
              <w:spacing w:after="0"/>
            </w:pPr>
            <w:proofErr w:type="spellStart"/>
            <w:r>
              <w:rPr>
                <w:b/>
                <w:color w:val="1F4E79"/>
              </w:rPr>
              <w:t>Contribuinte</w:t>
            </w:r>
            <w:proofErr w:type="spellEnd"/>
            <w:r>
              <w:rPr>
                <w:b/>
                <w:color w:val="1F4E79"/>
              </w:rPr>
              <w:t>:</w:t>
            </w:r>
          </w:p>
        </w:tc>
        <w:tc>
          <w:tcPr>
            <w:tcW w:w="7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5B84C" w14:textId="74BF6DA0" w:rsidR="009A2475" w:rsidRDefault="00355CF9">
            <w:pPr>
              <w:spacing w:after="0"/>
            </w:pPr>
            <w:r>
              <w:rPr>
                <w:b/>
                <w:sz w:val="21"/>
              </w:rPr>
              <w:t>{{RAZAO_SOCIAL}}</w:t>
            </w:r>
          </w:p>
        </w:tc>
      </w:tr>
      <w:tr w:rsidR="009A2475" w14:paraId="40BB6AA0" w14:textId="77777777">
        <w:trPr>
          <w:jc w:val="center"/>
        </w:trPr>
        <w:tc>
          <w:tcPr>
            <w:tcW w:w="2438" w:type="dxa"/>
            <w:tcBorders>
              <w:top w:val="single" w:sz="4" w:space="0" w:color="FFFFFF"/>
              <w:left w:val="single" w:sz="14" w:space="0" w:color="1F4E79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97CBC" w14:textId="77777777" w:rsidR="009A2475" w:rsidRDefault="00000000">
            <w:pPr>
              <w:spacing w:after="0"/>
            </w:pPr>
            <w:r>
              <w:rPr>
                <w:b/>
                <w:color w:val="1F4E79"/>
              </w:rPr>
              <w:t>CNPJ:</w:t>
            </w:r>
          </w:p>
        </w:tc>
        <w:tc>
          <w:tcPr>
            <w:tcW w:w="7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2F631" w14:textId="0F8390F9" w:rsidR="009A2475" w:rsidRDefault="00355CF9">
            <w:pPr>
              <w:spacing w:after="0"/>
            </w:pPr>
            <w:r>
              <w:t>{{CNPJ}}</w:t>
            </w:r>
          </w:p>
        </w:tc>
      </w:tr>
      <w:tr w:rsidR="009A2475" w14:paraId="58F865B6" w14:textId="77777777">
        <w:trPr>
          <w:jc w:val="center"/>
        </w:trPr>
        <w:tc>
          <w:tcPr>
            <w:tcW w:w="2438" w:type="dxa"/>
            <w:tcBorders>
              <w:top w:val="single" w:sz="4" w:space="0" w:color="FFFFFF"/>
              <w:left w:val="single" w:sz="14" w:space="0" w:color="1F4E79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65822" w14:textId="77777777" w:rsidR="009A2475" w:rsidRDefault="00000000">
            <w:pPr>
              <w:spacing w:after="0"/>
            </w:pPr>
            <w:r>
              <w:rPr>
                <w:b/>
                <w:color w:val="1F4E79"/>
              </w:rPr>
              <w:t>Inscrição Estadual:</w:t>
            </w:r>
          </w:p>
        </w:tc>
        <w:tc>
          <w:tcPr>
            <w:tcW w:w="7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012A7" w14:textId="108B7C45" w:rsidR="009A2475" w:rsidRDefault="00355CF9">
            <w:pPr>
              <w:spacing w:after="0"/>
            </w:pPr>
            <w:r>
              <w:t>{{IE}}</w:t>
            </w:r>
          </w:p>
        </w:tc>
      </w:tr>
      <w:tr w:rsidR="009A2475" w14:paraId="344ED32A" w14:textId="77777777">
        <w:trPr>
          <w:jc w:val="center"/>
        </w:trPr>
        <w:tc>
          <w:tcPr>
            <w:tcW w:w="2438" w:type="dxa"/>
            <w:tcBorders>
              <w:top w:val="single" w:sz="4" w:space="0" w:color="FFFFFF"/>
              <w:left w:val="single" w:sz="14" w:space="0" w:color="1F4E79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2D72D" w14:textId="77777777" w:rsidR="009A2475" w:rsidRDefault="00000000">
            <w:pPr>
              <w:spacing w:after="0"/>
            </w:pPr>
            <w:r>
              <w:rPr>
                <w:b/>
                <w:color w:val="1F4E79"/>
              </w:rPr>
              <w:t>DSF:</w:t>
            </w:r>
          </w:p>
        </w:tc>
        <w:tc>
          <w:tcPr>
            <w:tcW w:w="7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5ADF2" w14:textId="05B5AEBA" w:rsidR="009A2475" w:rsidRDefault="00355CF9">
            <w:pPr>
              <w:spacing w:after="0"/>
            </w:pPr>
            <w:r>
              <w:t>{{DSF}}</w:t>
            </w:r>
          </w:p>
        </w:tc>
      </w:tr>
      <w:tr w:rsidR="00355CF9" w14:paraId="5F3B22C1" w14:textId="77777777">
        <w:trPr>
          <w:jc w:val="center"/>
        </w:trPr>
        <w:tc>
          <w:tcPr>
            <w:tcW w:w="2438" w:type="dxa"/>
            <w:tcBorders>
              <w:top w:val="single" w:sz="4" w:space="0" w:color="FFFFFF"/>
              <w:left w:val="single" w:sz="14" w:space="0" w:color="1F4E79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84B39" w14:textId="6108D655" w:rsidR="00355CF9" w:rsidRDefault="00355CF9">
            <w:pPr>
              <w:spacing w:after="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LECOM:</w:t>
            </w:r>
          </w:p>
        </w:tc>
        <w:tc>
          <w:tcPr>
            <w:tcW w:w="7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AB694" w14:textId="07B55F38" w:rsidR="00355CF9" w:rsidRDefault="00355CF9">
            <w:pPr>
              <w:spacing w:after="0"/>
            </w:pPr>
            <w:r>
              <w:t>{{LECOM}}</w:t>
            </w:r>
          </w:p>
        </w:tc>
      </w:tr>
      <w:tr w:rsidR="009A2475" w14:paraId="5AF9050E" w14:textId="77777777">
        <w:trPr>
          <w:jc w:val="center"/>
        </w:trPr>
        <w:tc>
          <w:tcPr>
            <w:tcW w:w="2438" w:type="dxa"/>
            <w:tcBorders>
              <w:top w:val="single" w:sz="4" w:space="0" w:color="FFFFFF"/>
              <w:left w:val="single" w:sz="14" w:space="0" w:color="1F4E79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7B937" w14:textId="77777777" w:rsidR="009A2475" w:rsidRDefault="00000000">
            <w:pPr>
              <w:spacing w:after="0"/>
            </w:pPr>
            <w:proofErr w:type="spellStart"/>
            <w:r>
              <w:rPr>
                <w:b/>
                <w:color w:val="1F4E79"/>
              </w:rPr>
              <w:t>Notificação</w:t>
            </w:r>
            <w:proofErr w:type="spellEnd"/>
            <w:r>
              <w:rPr>
                <w:b/>
                <w:color w:val="1F4E79"/>
              </w:rPr>
              <w:t xml:space="preserve"> DET n.:</w:t>
            </w:r>
          </w:p>
        </w:tc>
        <w:tc>
          <w:tcPr>
            <w:tcW w:w="7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94D57" w14:textId="360C3DC7" w:rsidR="009A2475" w:rsidRDefault="00355CF9">
            <w:pPr>
              <w:spacing w:after="0"/>
            </w:pPr>
            <w:r>
              <w:t>{{NOT_DET}}</w:t>
            </w:r>
          </w:p>
        </w:tc>
      </w:tr>
    </w:tbl>
    <w:p w14:paraId="1E43CD12" w14:textId="77777777" w:rsidR="009A2475" w:rsidRDefault="009A2475">
      <w:pPr>
        <w:spacing w:after="80"/>
      </w:pPr>
    </w:p>
    <w:p w14:paraId="2A1EDCFE" w14:textId="77777777" w:rsidR="009A2475" w:rsidRDefault="00000000">
      <w:pPr>
        <w:keepNext/>
        <w:pBdr>
          <w:top w:val="nil"/>
          <w:left w:val="single" w:sz="14" w:space="0" w:color="1F4E79"/>
          <w:bottom w:val="nil"/>
          <w:right w:val="nil"/>
        </w:pBdr>
        <w:shd w:val="clear" w:color="auto" w:fill="DDEBF7"/>
        <w:spacing w:before="200" w:after="160" w:line="240" w:lineRule="auto"/>
      </w:pPr>
      <w:r>
        <w:rPr>
          <w:b/>
          <w:color w:val="1F4E79"/>
          <w:sz w:val="25"/>
        </w:rPr>
        <w:t>1. Identificação da Ação Fiscal</w:t>
      </w:r>
    </w:p>
    <w:p w14:paraId="7D10D19D" w14:textId="77777777" w:rsidR="009A2475" w:rsidRDefault="00000000">
      <w:pPr>
        <w:spacing w:after="120" w:line="283" w:lineRule="auto"/>
        <w:jc w:val="both"/>
      </w:pPr>
      <w:r>
        <w:t>Trata-se de ação fiscal preliminar decorrente de Designação de Serviço Fiscal (DSF), no âmbito do trabalho de Acervo do sistema Fisconforme, cujo objetivo consistiu na análise e cobrança de regularização de pendências fiscais classificadas como prioritárias no painel "</w:t>
      </w:r>
      <w:r>
        <w:rPr>
          <w:b/>
        </w:rPr>
        <w:t>Fisconforme Não Atendido</w:t>
      </w:r>
      <w:r>
        <w:t>".</w:t>
      </w:r>
    </w:p>
    <w:p w14:paraId="09466FF8" w14:textId="77777777" w:rsidR="009A2475" w:rsidRDefault="00000000">
      <w:pPr>
        <w:spacing w:after="120" w:line="283" w:lineRule="auto"/>
        <w:jc w:val="both"/>
      </w:pPr>
      <w:r>
        <w:t>As pendências decorrem de inconsistências detectadas por malhas fiscais automatizadas relativas ao cumprimento de obrigações tributárias acessórias.</w:t>
      </w:r>
    </w:p>
    <w:p w14:paraId="6E42415A" w14:textId="77777777" w:rsidR="009A2475" w:rsidRDefault="00000000">
      <w:pPr>
        <w:keepNext/>
        <w:pBdr>
          <w:top w:val="nil"/>
          <w:left w:val="single" w:sz="14" w:space="0" w:color="1F4E79"/>
          <w:bottom w:val="nil"/>
          <w:right w:val="nil"/>
        </w:pBdr>
        <w:shd w:val="clear" w:color="auto" w:fill="DDEBF7"/>
        <w:spacing w:before="200" w:after="160" w:line="240" w:lineRule="auto"/>
      </w:pPr>
      <w:r>
        <w:rPr>
          <w:b/>
          <w:color w:val="1F4E79"/>
          <w:sz w:val="25"/>
        </w:rPr>
        <w:t>2. Procedimentos Realizados</w:t>
      </w:r>
    </w:p>
    <w:p w14:paraId="7ED205BD" w14:textId="77777777" w:rsidR="009A2475" w:rsidRDefault="00000000">
      <w:pPr>
        <w:spacing w:after="80" w:line="283" w:lineRule="auto"/>
        <w:jc w:val="both"/>
      </w:pPr>
      <w:r>
        <w:t>Foram adotadas as seguintes providências:</w:t>
      </w:r>
    </w:p>
    <w:p w14:paraId="5A33212A" w14:textId="77777777" w:rsidR="009A2475" w:rsidRDefault="00000000">
      <w:pPr>
        <w:spacing w:after="60"/>
        <w:ind w:left="198" w:hanging="142"/>
      </w:pPr>
      <w:r>
        <w:rPr>
          <w:b/>
          <w:color w:val="2F75B5"/>
        </w:rPr>
        <w:t xml:space="preserve">• </w:t>
      </w:r>
      <w:r>
        <w:t>Consulta ao Sismonitora para identificação das pendências e status;</w:t>
      </w:r>
    </w:p>
    <w:p w14:paraId="768C2BAF" w14:textId="77777777" w:rsidR="009A2475" w:rsidRDefault="00000000">
      <w:pPr>
        <w:spacing w:after="60"/>
        <w:ind w:left="198" w:hanging="142"/>
      </w:pPr>
      <w:r>
        <w:rPr>
          <w:b/>
          <w:color w:val="2F75B5"/>
        </w:rPr>
        <w:t xml:space="preserve">• </w:t>
      </w:r>
      <w:r>
        <w:t>Verificação cadastral e fiscal do contribuinte no sistema Visão 360;</w:t>
      </w:r>
    </w:p>
    <w:p w14:paraId="7A74DA32" w14:textId="77777777" w:rsidR="009A2475" w:rsidRDefault="00000000">
      <w:pPr>
        <w:spacing w:after="60"/>
        <w:ind w:left="198" w:hanging="142"/>
      </w:pPr>
      <w:r>
        <w:rPr>
          <w:b/>
          <w:color w:val="2F75B5"/>
        </w:rPr>
        <w:t xml:space="preserve">• </w:t>
      </w:r>
      <w:r>
        <w:t>Conferência do status das inconsistências no sistema Fisconforme;</w:t>
      </w:r>
    </w:p>
    <w:p w14:paraId="6FE3B9A8" w14:textId="77777777" w:rsidR="009A2475" w:rsidRDefault="00000000">
      <w:pPr>
        <w:spacing w:after="60"/>
        <w:ind w:left="198" w:hanging="142"/>
      </w:pPr>
      <w:r>
        <w:rPr>
          <w:b/>
          <w:color w:val="2F75B5"/>
        </w:rPr>
        <w:t xml:space="preserve">• </w:t>
      </w:r>
      <w:r>
        <w:t>Verificação da existência de monitoramentos fiscais relacionados;</w:t>
      </w:r>
    </w:p>
    <w:p w14:paraId="0E5647DD" w14:textId="77777777" w:rsidR="009A2475" w:rsidRDefault="00000000">
      <w:pPr>
        <w:spacing w:after="60"/>
        <w:ind w:left="198" w:hanging="142"/>
      </w:pPr>
      <w:r>
        <w:rPr>
          <w:b/>
          <w:color w:val="2F75B5"/>
        </w:rPr>
        <w:t xml:space="preserve">• </w:t>
      </w:r>
      <w:r>
        <w:t>Emissão de notificação formal via DET, fixando prazo para regularização.</w:t>
      </w:r>
    </w:p>
    <w:p w14:paraId="1F0F9712" w14:textId="77777777" w:rsidR="009A2475" w:rsidRDefault="00000000">
      <w:pPr>
        <w:keepNext/>
        <w:pBdr>
          <w:top w:val="nil"/>
          <w:left w:val="single" w:sz="14" w:space="0" w:color="1F4E79"/>
          <w:bottom w:val="nil"/>
          <w:right w:val="nil"/>
        </w:pBdr>
        <w:shd w:val="clear" w:color="auto" w:fill="DDEBF7"/>
        <w:spacing w:before="200" w:after="160" w:line="240" w:lineRule="auto"/>
      </w:pPr>
      <w:r>
        <w:rPr>
          <w:b/>
          <w:color w:val="1F4E79"/>
          <w:sz w:val="25"/>
        </w:rPr>
        <w:t>3. Manifestação do Contribuinte</w:t>
      </w:r>
    </w:p>
    <w:p w14:paraId="34234057" w14:textId="77777777" w:rsidR="009A2475" w:rsidRDefault="00000000">
      <w:pPr>
        <w:spacing w:after="80" w:line="283" w:lineRule="auto"/>
        <w:jc w:val="both"/>
      </w:pPr>
      <w:r>
        <w:t>Após a notificação, verificou-se que o contribuinte: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9A2475" w14:paraId="2EDDD28E" w14:textId="77777777">
        <w:trPr>
          <w:jc w:val="center"/>
        </w:trPr>
        <w:tc>
          <w:tcPr>
            <w:tcW w:w="95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10" w:type="dxa"/>
              <w:left w:w="170" w:type="dxa"/>
              <w:bottom w:w="90" w:type="dxa"/>
              <w:right w:w="110" w:type="dxa"/>
            </w:tcMar>
          </w:tcPr>
          <w:p w14:paraId="4768294A" w14:textId="77777777" w:rsidR="009A2475" w:rsidRDefault="00000000">
            <w:pPr>
              <w:spacing w:after="60" w:line="240" w:lineRule="auto"/>
            </w:pPr>
            <w:r>
              <w:rPr>
                <w:b/>
                <w:color w:val="444444"/>
                <w:sz w:val="24"/>
              </w:rPr>
              <w:t xml:space="preserve">□  </w:t>
            </w:r>
            <w:r>
              <w:t>Regularizou integralmente as pendências</w:t>
            </w:r>
          </w:p>
          <w:p w14:paraId="0204D401" w14:textId="77777777" w:rsidR="009A2475" w:rsidRDefault="00000000">
            <w:pPr>
              <w:spacing w:after="60" w:line="240" w:lineRule="auto"/>
            </w:pPr>
            <w:r>
              <w:rPr>
                <w:b/>
                <w:color w:val="444444"/>
                <w:sz w:val="24"/>
              </w:rPr>
              <w:t xml:space="preserve">□  </w:t>
            </w:r>
            <w:r>
              <w:t>Apresentou contestação</w:t>
            </w:r>
          </w:p>
          <w:p w14:paraId="0E45CEDB" w14:textId="77777777" w:rsidR="009A2475" w:rsidRDefault="00000000">
            <w:pPr>
              <w:spacing w:after="60" w:line="240" w:lineRule="auto"/>
            </w:pPr>
            <w:r>
              <w:rPr>
                <w:b/>
                <w:color w:val="444444"/>
                <w:sz w:val="24"/>
              </w:rPr>
              <w:t xml:space="preserve">□  </w:t>
            </w:r>
            <w:r>
              <w:t>Solicitou prorrogação de prazo</w:t>
            </w:r>
          </w:p>
          <w:p w14:paraId="271D6CA6" w14:textId="77777777" w:rsidR="009A2475" w:rsidRDefault="00000000">
            <w:pPr>
              <w:spacing w:after="60" w:line="240" w:lineRule="auto"/>
            </w:pPr>
            <w:r>
              <w:rPr>
                <w:b/>
                <w:color w:val="444444"/>
                <w:sz w:val="24"/>
              </w:rPr>
              <w:t xml:space="preserve">□  </w:t>
            </w:r>
            <w:r>
              <w:t>Não apresentou manifestação</w:t>
            </w:r>
          </w:p>
        </w:tc>
      </w:tr>
    </w:tbl>
    <w:p w14:paraId="0EE3588C" w14:textId="77777777" w:rsidR="009A2475" w:rsidRDefault="009A2475">
      <w:pPr>
        <w:spacing w:after="40"/>
      </w:pPr>
    </w:p>
    <w:p w14:paraId="42C8A6DC" w14:textId="0E8A39D1" w:rsidR="009A2475" w:rsidRDefault="00BF640D">
      <w:pPr>
        <w:spacing w:after="120" w:line="283" w:lineRule="auto"/>
        <w:jc w:val="both"/>
      </w:pPr>
      <w:r>
        <w:t>{{</w:t>
      </w:r>
      <w:proofErr w:type="spellStart"/>
      <w:r>
        <w:t>narrativa_acoes</w:t>
      </w:r>
      <w:proofErr w:type="spellEnd"/>
      <w:r>
        <w:t>}}</w:t>
      </w:r>
    </w:p>
    <w:p w14:paraId="26B62203" w14:textId="77777777" w:rsidR="009A2475" w:rsidRDefault="00000000">
      <w:pPr>
        <w:keepNext/>
        <w:pageBreakBefore/>
        <w:pBdr>
          <w:top w:val="nil"/>
          <w:left w:val="single" w:sz="14" w:space="0" w:color="1F4E79"/>
          <w:bottom w:val="nil"/>
          <w:right w:val="nil"/>
        </w:pBdr>
        <w:shd w:val="clear" w:color="auto" w:fill="DDEBF7"/>
        <w:spacing w:before="200" w:after="160" w:line="240" w:lineRule="auto"/>
      </w:pPr>
      <w:r>
        <w:rPr>
          <w:b/>
          <w:color w:val="1F4E79"/>
          <w:sz w:val="25"/>
        </w:rPr>
        <w:lastRenderedPageBreak/>
        <w:t>4. Análise Fiscal</w:t>
      </w:r>
    </w:p>
    <w:p w14:paraId="344389A2" w14:textId="77777777" w:rsidR="009A2475" w:rsidRDefault="00000000">
      <w:pPr>
        <w:spacing w:after="120" w:line="283" w:lineRule="auto"/>
        <w:jc w:val="both"/>
      </w:pPr>
      <w:r>
        <w:t>A análise observou os princípios de uniformidade procedimental e vedação a contestação parcial das pendências. Foram examinadas as justificativas apresentadas e confrontadas com os dados fiscais disponíveis, tendo sido adotadas as seguintes decisões: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9A2475" w14:paraId="1536987F" w14:textId="77777777">
        <w:trPr>
          <w:jc w:val="center"/>
        </w:trPr>
        <w:tc>
          <w:tcPr>
            <w:tcW w:w="9524" w:type="dxa"/>
            <w:tcBorders>
              <w:top w:val="single" w:sz="6" w:space="0" w:color="F1D58A"/>
              <w:left w:val="single" w:sz="18" w:space="0" w:color="F5A623"/>
              <w:bottom w:val="single" w:sz="6" w:space="0" w:color="F1D58A"/>
              <w:right w:val="single" w:sz="6" w:space="0" w:color="F1D58A"/>
            </w:tcBorders>
            <w:shd w:val="clear" w:color="auto" w:fill="FFF7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3DCB4" w14:textId="55C6FAF0" w:rsidR="009A2475" w:rsidRDefault="00BF640D">
            <w:pPr>
              <w:spacing w:after="0" w:line="240" w:lineRule="auto"/>
            </w:pPr>
            <w:r>
              <w:rPr>
                <w:b/>
                <w:color w:val="333333"/>
                <w:sz w:val="23"/>
              </w:rPr>
              <w:t>{{</w:t>
            </w:r>
            <w:proofErr w:type="spellStart"/>
            <w:r>
              <w:rPr>
                <w:b/>
                <w:color w:val="333333"/>
                <w:sz w:val="23"/>
              </w:rPr>
              <w:t>recomendacao</w:t>
            </w:r>
            <w:proofErr w:type="spellEnd"/>
            <w:r>
              <w:rPr>
                <w:b/>
                <w:color w:val="333333"/>
                <w:sz w:val="23"/>
              </w:rPr>
              <w:t>}}</w:t>
            </w:r>
          </w:p>
        </w:tc>
      </w:tr>
    </w:tbl>
    <w:p w14:paraId="6A84EEF7" w14:textId="77777777" w:rsidR="009A2475" w:rsidRDefault="00000000">
      <w:pPr>
        <w:keepNext/>
        <w:pBdr>
          <w:top w:val="nil"/>
          <w:left w:val="single" w:sz="14" w:space="0" w:color="1F4E79"/>
          <w:bottom w:val="nil"/>
          <w:right w:val="nil"/>
        </w:pBdr>
        <w:shd w:val="clear" w:color="auto" w:fill="DDEBF7"/>
        <w:spacing w:before="200" w:after="160" w:line="240" w:lineRule="auto"/>
      </w:pPr>
      <w:r>
        <w:rPr>
          <w:b/>
          <w:color w:val="1F4E79"/>
          <w:sz w:val="25"/>
        </w:rPr>
        <w:t>5. Situação Final das Pendências</w:t>
      </w:r>
    </w:p>
    <w:p w14:paraId="08D067BB" w14:textId="77777777" w:rsidR="009A2475" w:rsidRDefault="00000000">
      <w:pPr>
        <w:spacing w:after="120" w:line="283" w:lineRule="auto"/>
        <w:jc w:val="both"/>
      </w:pPr>
      <w:r>
        <w:t>Após a conclusão da ação fiscal, as pendências apresentaram os seguintes desfechos: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9A2475" w14:paraId="23043919" w14:textId="77777777">
        <w:trPr>
          <w:jc w:val="center"/>
        </w:trPr>
        <w:tc>
          <w:tcPr>
            <w:tcW w:w="9524" w:type="dxa"/>
            <w:tcBorders>
              <w:top w:val="single" w:sz="6" w:space="0" w:color="F0B3B3"/>
              <w:left w:val="single" w:sz="18" w:space="0" w:color="E74C3C"/>
              <w:bottom w:val="single" w:sz="6" w:space="0" w:color="F0B3B3"/>
              <w:right w:val="single" w:sz="6" w:space="0" w:color="F0B3B3"/>
            </w:tcBorders>
            <w:shd w:val="clear" w:color="auto" w:fill="FF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2816EC" w14:textId="0E70E2DF" w:rsidR="009A2475" w:rsidRDefault="00BF640D">
            <w:pPr>
              <w:spacing w:after="0" w:line="240" w:lineRule="auto"/>
            </w:pPr>
            <w:r>
              <w:rPr>
                <w:color w:val="333333"/>
                <w:sz w:val="23"/>
              </w:rPr>
              <w:t>{{</w:t>
            </w:r>
            <w:proofErr w:type="spellStart"/>
            <w:r>
              <w:rPr>
                <w:color w:val="333333"/>
                <w:sz w:val="23"/>
              </w:rPr>
              <w:t>desfecho</w:t>
            </w:r>
            <w:proofErr w:type="spellEnd"/>
            <w:r>
              <w:rPr>
                <w:color w:val="333333"/>
                <w:sz w:val="23"/>
              </w:rPr>
              <w:t>}}</w:t>
            </w:r>
          </w:p>
        </w:tc>
      </w:tr>
    </w:tbl>
    <w:p w14:paraId="740F33FE" w14:textId="77777777" w:rsidR="009A2475" w:rsidRDefault="00000000">
      <w:pPr>
        <w:keepNext/>
        <w:pBdr>
          <w:top w:val="nil"/>
          <w:left w:val="single" w:sz="14" w:space="0" w:color="1F4E79"/>
          <w:bottom w:val="nil"/>
          <w:right w:val="nil"/>
        </w:pBdr>
        <w:shd w:val="clear" w:color="auto" w:fill="DDEBF7"/>
        <w:spacing w:before="200" w:after="160" w:line="240" w:lineRule="auto"/>
      </w:pPr>
      <w:r>
        <w:rPr>
          <w:b/>
          <w:color w:val="1F4E79"/>
          <w:sz w:val="25"/>
        </w:rPr>
        <w:t>6. Conclusão</w:t>
      </w:r>
    </w:p>
    <w:p w14:paraId="064A9528" w14:textId="77777777" w:rsidR="009A2475" w:rsidRDefault="00000000">
      <w:pPr>
        <w:spacing w:after="320" w:line="283" w:lineRule="auto"/>
        <w:jc w:val="both"/>
      </w:pPr>
      <w:r>
        <w:t>Diante do exposto, considera-se concluída a presente ação fiscal preliminar, permanecendo as pendências não regularizadas sujeitas à adoção das medidas fiscais cabíveis, nos termos da legislação vigente.</w:t>
      </w:r>
    </w:p>
    <w:p w14:paraId="7648D900" w14:textId="701B8C97" w:rsidR="009A2475" w:rsidRDefault="00000000">
      <w:pPr>
        <w:spacing w:line="240" w:lineRule="auto"/>
        <w:jc w:val="right"/>
      </w:pPr>
      <w:r>
        <w:rPr>
          <w:i/>
          <w:color w:val="333333"/>
          <w:sz w:val="23"/>
        </w:rPr>
        <w:t xml:space="preserve">Porto </w:t>
      </w:r>
      <w:proofErr w:type="gramStart"/>
      <w:r>
        <w:rPr>
          <w:i/>
          <w:color w:val="333333"/>
          <w:sz w:val="23"/>
        </w:rPr>
        <w:t xml:space="preserve">Velho, </w:t>
      </w:r>
      <w:r w:rsidR="00BF640D">
        <w:rPr>
          <w:i/>
          <w:color w:val="333333"/>
          <w:sz w:val="23"/>
        </w:rPr>
        <w:t>{{</w:t>
      </w:r>
      <w:proofErr w:type="gramEnd"/>
      <w:r w:rsidR="00BF640D">
        <w:rPr>
          <w:i/>
          <w:color w:val="333333"/>
          <w:sz w:val="23"/>
        </w:rPr>
        <w:t>data}}</w:t>
      </w:r>
    </w:p>
    <w:p w14:paraId="63B9BB0D" w14:textId="77777777" w:rsidR="009A2475" w:rsidRDefault="00000000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6DA64EC6" wp14:editId="2028FE8A">
            <wp:extent cx="3708000" cy="917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91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CAD8" w14:textId="1BACDF34" w:rsidR="009A2475" w:rsidRDefault="00BF640D">
      <w:pPr>
        <w:spacing w:after="60" w:line="240" w:lineRule="auto"/>
        <w:jc w:val="center"/>
      </w:pPr>
      <w:r>
        <w:rPr>
          <w:b/>
          <w:color w:val="1F4E79"/>
          <w:sz w:val="24"/>
        </w:rPr>
        <w:t>{{AUDITOR}}</w:t>
      </w:r>
    </w:p>
    <w:p w14:paraId="14F7BA9B" w14:textId="6B5E3526" w:rsidR="009A2475" w:rsidRDefault="00BF640D">
      <w:pPr>
        <w:spacing w:after="40" w:line="240" w:lineRule="auto"/>
        <w:jc w:val="center"/>
      </w:pPr>
      <w:r>
        <w:rPr>
          <w:color w:val="444444"/>
        </w:rPr>
        <w:t>{{CARGO}}</w:t>
      </w:r>
      <w:r w:rsidR="00000000">
        <w:rPr>
          <w:color w:val="444444"/>
        </w:rPr>
        <w:t xml:space="preserve"> Fiscal de </w:t>
      </w:r>
      <w:proofErr w:type="spellStart"/>
      <w:r w:rsidR="00000000">
        <w:rPr>
          <w:color w:val="444444"/>
        </w:rPr>
        <w:t>Tributos</w:t>
      </w:r>
      <w:proofErr w:type="spellEnd"/>
      <w:r w:rsidR="00000000">
        <w:rPr>
          <w:color w:val="444444"/>
        </w:rPr>
        <w:t xml:space="preserve"> Estaduais</w:t>
      </w:r>
    </w:p>
    <w:p w14:paraId="7EBE82A1" w14:textId="622EA6D5" w:rsidR="009A2475" w:rsidRDefault="00000000">
      <w:pPr>
        <w:spacing w:after="0" w:line="240" w:lineRule="auto"/>
        <w:jc w:val="center"/>
        <w:rPr>
          <w:color w:val="444444"/>
        </w:rPr>
      </w:pPr>
      <w:proofErr w:type="spellStart"/>
      <w:proofErr w:type="gramStart"/>
      <w:r>
        <w:rPr>
          <w:color w:val="444444"/>
        </w:rPr>
        <w:t>Matrícula</w:t>
      </w:r>
      <w:proofErr w:type="spellEnd"/>
      <w:r>
        <w:rPr>
          <w:color w:val="444444"/>
        </w:rPr>
        <w:t xml:space="preserve">: </w:t>
      </w:r>
      <w:r w:rsidR="00BF640D">
        <w:rPr>
          <w:color w:val="444444"/>
        </w:rPr>
        <w:t>{{</w:t>
      </w:r>
      <w:proofErr w:type="gramEnd"/>
      <w:r w:rsidR="00BF640D">
        <w:rPr>
          <w:color w:val="444444"/>
        </w:rPr>
        <w:t>MATRICULA}}</w:t>
      </w:r>
    </w:p>
    <w:p w14:paraId="014F16D0" w14:textId="5712560F" w:rsidR="00BF640D" w:rsidRDefault="00BF640D">
      <w:pPr>
        <w:spacing w:after="0" w:line="240" w:lineRule="auto"/>
        <w:jc w:val="center"/>
      </w:pPr>
      <w:r>
        <w:rPr>
          <w:color w:val="444444"/>
        </w:rPr>
        <w:t>Contato: {{contato}}</w:t>
      </w:r>
    </w:p>
    <w:sectPr w:rsidR="00BF640D" w:rsidSect="00034616">
      <w:headerReference w:type="default" r:id="rId9"/>
      <w:footerReference w:type="default" r:id="rId10"/>
      <w:pgSz w:w="11906" w:h="16838"/>
      <w:pgMar w:top="964" w:right="1134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94029" w14:textId="77777777" w:rsidR="005C1A7F" w:rsidRDefault="005C1A7F">
      <w:pPr>
        <w:spacing w:after="0" w:line="240" w:lineRule="auto"/>
      </w:pPr>
      <w:r>
        <w:separator/>
      </w:r>
    </w:p>
  </w:endnote>
  <w:endnote w:type="continuationSeparator" w:id="0">
    <w:p w14:paraId="6D3077C2" w14:textId="77777777" w:rsidR="005C1A7F" w:rsidRDefault="005C1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5E4DA" w14:textId="77777777" w:rsidR="009A2475" w:rsidRDefault="00000000">
    <w:pPr>
      <w:pStyle w:val="Rodap"/>
      <w:tabs>
        <w:tab w:val="right" w:pos="9525"/>
      </w:tabs>
    </w:pPr>
    <w:r>
      <w:rPr>
        <w:color w:val="8A8A8A"/>
        <w:sz w:val="17"/>
      </w:rPr>
      <w:t xml:space="preserve">SEFIN/CRE/GEFIS - </w:t>
    </w:r>
    <w:proofErr w:type="spellStart"/>
    <w:r>
      <w:rPr>
        <w:color w:val="8A8A8A"/>
        <w:sz w:val="17"/>
      </w:rPr>
      <w:t>Gerência</w:t>
    </w:r>
    <w:proofErr w:type="spellEnd"/>
    <w:r>
      <w:rPr>
        <w:color w:val="8A8A8A"/>
        <w:sz w:val="17"/>
      </w:rPr>
      <w:t xml:space="preserve"> de </w:t>
    </w:r>
    <w:proofErr w:type="spellStart"/>
    <w:r>
      <w:rPr>
        <w:color w:val="8A8A8A"/>
        <w:sz w:val="17"/>
      </w:rPr>
      <w:t>Fiscalização</w:t>
    </w:r>
    <w:proofErr w:type="spellEnd"/>
    <w:r>
      <w:rPr>
        <w:color w:val="8A8A8A"/>
        <w:sz w:val="17"/>
      </w:rPr>
      <w:t xml:space="preserve"> | Av. Farquar, n. 2986 - Palácio Rio Madeira - Porto Velho/RO</w:t>
    </w:r>
    <w:r>
      <w:tab/>
    </w:r>
    <w:r>
      <w:rPr>
        <w:color w:val="7A7A7A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color w:val="7A7A7A"/>
        <w:sz w:val="18"/>
      </w:rPr>
      <w:t>1</w:t>
    </w:r>
    <w:r>
      <w:rPr>
        <w:color w:val="7A7A7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5F951" w14:textId="77777777" w:rsidR="005C1A7F" w:rsidRDefault="005C1A7F">
      <w:pPr>
        <w:spacing w:after="0" w:line="240" w:lineRule="auto"/>
      </w:pPr>
      <w:r>
        <w:separator/>
      </w:r>
    </w:p>
  </w:footnote>
  <w:footnote w:type="continuationSeparator" w:id="0">
    <w:p w14:paraId="1C533983" w14:textId="77777777" w:rsidR="005C1A7F" w:rsidRDefault="005C1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820E6" w14:textId="77777777" w:rsidR="009A2475" w:rsidRDefault="00000000">
    <w:pPr>
      <w:pStyle w:val="Cabealho"/>
      <w:jc w:val="center"/>
    </w:pPr>
    <w:r>
      <w:rPr>
        <w:noProof/>
      </w:rPr>
      <w:drawing>
        <wp:inline distT="0" distB="0" distL="0" distR="0" wp14:anchorId="4B644E31" wp14:editId="62188D08">
          <wp:extent cx="5184000" cy="861593"/>
          <wp:effectExtent l="0" t="0" r="0" b="0"/>
          <wp:docPr id="4277876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84000" cy="8615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6948078">
    <w:abstractNumId w:val="8"/>
  </w:num>
  <w:num w:numId="2" w16cid:durableId="2116752338">
    <w:abstractNumId w:val="6"/>
  </w:num>
  <w:num w:numId="3" w16cid:durableId="1871455167">
    <w:abstractNumId w:val="5"/>
  </w:num>
  <w:num w:numId="4" w16cid:durableId="1918519014">
    <w:abstractNumId w:val="4"/>
  </w:num>
  <w:num w:numId="5" w16cid:durableId="1017543276">
    <w:abstractNumId w:val="7"/>
  </w:num>
  <w:num w:numId="6" w16cid:durableId="1250696322">
    <w:abstractNumId w:val="3"/>
  </w:num>
  <w:num w:numId="7" w16cid:durableId="733548623">
    <w:abstractNumId w:val="2"/>
  </w:num>
  <w:num w:numId="8" w16cid:durableId="305208750">
    <w:abstractNumId w:val="1"/>
  </w:num>
  <w:num w:numId="9" w16cid:durableId="556668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9D3"/>
    <w:rsid w:val="0029639D"/>
    <w:rsid w:val="00326F90"/>
    <w:rsid w:val="00355CF9"/>
    <w:rsid w:val="005C1A7F"/>
    <w:rsid w:val="007262B6"/>
    <w:rsid w:val="009A2475"/>
    <w:rsid w:val="00AA1D8D"/>
    <w:rsid w:val="00B47730"/>
    <w:rsid w:val="00BF64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4E8C4"/>
  <w14:defaultImageDpi w14:val="300"/>
  <w15:docId w15:val="{B2F7E04F-41DA-49EC-B93B-6774C6D29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Enio Carstens Telles</cp:lastModifiedBy>
  <cp:revision>2</cp:revision>
  <dcterms:created xsi:type="dcterms:W3CDTF">2026-04-07T15:40:00Z</dcterms:created>
  <dcterms:modified xsi:type="dcterms:W3CDTF">2026-04-07T15:40:00Z</dcterms:modified>
  <cp:category/>
</cp:coreProperties>
</file>