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BFF78" w14:textId="30BB54C4" w:rsidR="00413220" w:rsidRDefault="00413220" w:rsidP="00DF7242">
      <w:pPr>
        <w:pStyle w:val="Ttulo1"/>
      </w:pPr>
      <w:r>
        <w:rPr>
          <w:rFonts w:eastAsia="Times New Roman"/>
        </w:rPr>
        <w:t>REGRAS GERAIS</w:t>
      </w:r>
      <w:r w:rsidR="00DF7242">
        <w:rPr>
          <w:rFonts w:eastAsia="Times New Roman"/>
        </w:rPr>
        <w:t xml:space="preserve"> P</w:t>
      </w:r>
      <w:r>
        <w:rPr>
          <w:rFonts w:eastAsia="Times New Roman"/>
        </w:rPr>
        <w:t xml:space="preserve">ARA INTERPRETAÇÃO DO SISTEMA HARMONIZADO </w:t>
      </w:r>
    </w:p>
    <w:p w14:paraId="27449342" w14:textId="77777777" w:rsidR="00413220" w:rsidRDefault="00413220" w:rsidP="00413220">
      <w:pPr>
        <w:spacing w:after="366"/>
        <w:ind w:left="173"/>
      </w:pPr>
      <w:r>
        <w:t xml:space="preserve">A classificação das mercadorias na Nomenclatura rege-se pelas seguintes Regras: </w:t>
      </w:r>
    </w:p>
    <w:p w14:paraId="0CD21DB3" w14:textId="77777777" w:rsidR="00413220" w:rsidRDefault="00413220" w:rsidP="00DF7242">
      <w:pPr>
        <w:pStyle w:val="Ttulo2"/>
      </w:pPr>
      <w:r>
        <w:rPr>
          <w:rFonts w:eastAsia="Times New Roman"/>
        </w:rPr>
        <w:t xml:space="preserve">REGRA 1 </w:t>
      </w:r>
    </w:p>
    <w:p w14:paraId="73CA23E1" w14:textId="77777777" w:rsidR="00413220" w:rsidRDefault="00413220" w:rsidP="00413220">
      <w:pPr>
        <w:spacing w:line="248" w:lineRule="auto"/>
        <w:ind w:left="178" w:hanging="10"/>
      </w:pPr>
      <w:r>
        <w:rPr>
          <w:b/>
        </w:rPr>
        <w:t>Os títulos das Seções, Capítulos e Subcapítulos têm apenas valor indicativo. Para os efeitos legais, a classificação é determinada pelos textos das posições e das Notas de Seção e de Capítulo e, desde que não sejam contrárias aos textos das referidas posições e Notas, pelas Regras seguintes:</w:t>
      </w:r>
      <w:r>
        <w:t xml:space="preserve"> </w:t>
      </w:r>
    </w:p>
    <w:p w14:paraId="2CCF765C" w14:textId="77777777" w:rsidR="00413220" w:rsidRDefault="00413220" w:rsidP="00DF7242">
      <w:pPr>
        <w:pStyle w:val="Ttulo3"/>
      </w:pPr>
      <w:r>
        <w:rPr>
          <w:rFonts w:eastAsia="Times New Roman"/>
        </w:rPr>
        <w:t xml:space="preserve">NOTA EXPLICATIVA </w:t>
      </w:r>
    </w:p>
    <w:p w14:paraId="1077F99E" w14:textId="77777777" w:rsidR="00810D5A" w:rsidRDefault="0032204F" w:rsidP="00810D5A">
      <w:pPr>
        <w:pStyle w:val="Ttulo4"/>
      </w:pPr>
      <w:r w:rsidRPr="0032204F">
        <w:rPr>
          <w:rStyle w:val="Ttulo4Char"/>
        </w:rPr>
        <w:t>I)</w:t>
      </w:r>
      <w:r>
        <w:t xml:space="preserve"> </w:t>
      </w:r>
    </w:p>
    <w:p w14:paraId="2DFC7892" w14:textId="25E655D8" w:rsidR="00413220" w:rsidRDefault="00413220" w:rsidP="0032204F">
      <w:r>
        <w:t xml:space="preserve">A Nomenclatura apresenta, sob uma forma sistemática, as mercadorias que são objeto de comércio internacional. Estas mercadorias estão agrupadas em Seções, Capítulos e Subcapítulos que receberam títulos tão concisos quanto possível, indicando a categoria ou o tipo de produtos que se encontram ali classificados. Em muitos casos, porém, foi materialmente impossível, em virtude da diversidade e da quantidade de mercadorias, englobá-las ou enumerá-las completamente nos títulos daqueles agrupamentos. </w:t>
      </w:r>
    </w:p>
    <w:p w14:paraId="04CF1B2E" w14:textId="77777777" w:rsidR="00810D5A" w:rsidRDefault="0032204F" w:rsidP="00810D5A">
      <w:pPr>
        <w:pStyle w:val="Ttulo4"/>
      </w:pPr>
      <w:r w:rsidRPr="00B55947">
        <w:rPr>
          <w:rStyle w:val="Ttulo4Char"/>
        </w:rPr>
        <w:t>II)</w:t>
      </w:r>
      <w:r>
        <w:t xml:space="preserve"> </w:t>
      </w:r>
    </w:p>
    <w:p w14:paraId="49AA4803" w14:textId="1A1077C2" w:rsidR="00413220" w:rsidRDefault="00413220" w:rsidP="0032204F">
      <w:pPr>
        <w:ind w:left="0" w:firstLine="0"/>
      </w:pPr>
      <w:r>
        <w:t xml:space="preserve">A Regra 1 começa, portanto, por determinar que os títulos “têm apenas valor indicativo”. Deste fato não resulta nenhuma consequência jurídica quanto à classificação. </w:t>
      </w:r>
    </w:p>
    <w:p w14:paraId="06933D82" w14:textId="5592011E" w:rsidR="00810D5A" w:rsidRDefault="00CB57F6" w:rsidP="00810D5A">
      <w:pPr>
        <w:pStyle w:val="Ttulo4"/>
      </w:pPr>
      <w:r w:rsidRPr="00B55947">
        <w:rPr>
          <w:rStyle w:val="Ttulo4Char"/>
        </w:rPr>
        <w:t>I</w:t>
      </w:r>
      <w:r w:rsidR="000673E2">
        <w:rPr>
          <w:rStyle w:val="Ttulo4Char"/>
        </w:rPr>
        <w:t>II</w:t>
      </w:r>
      <w:r w:rsidRPr="00B55947">
        <w:rPr>
          <w:rStyle w:val="Ttulo4Char"/>
        </w:rPr>
        <w:t>)</w:t>
      </w:r>
      <w:r>
        <w:t xml:space="preserve"> </w:t>
      </w:r>
    </w:p>
    <w:p w14:paraId="2499862A" w14:textId="1F5B247B" w:rsidR="00413220" w:rsidRDefault="00413220" w:rsidP="00CB57F6">
      <w:r>
        <w:t xml:space="preserve">A segunda parte da Regra prevê que a classificação seja determinada: </w:t>
      </w:r>
    </w:p>
    <w:p w14:paraId="7CA403C7" w14:textId="77777777" w:rsidR="000673E2" w:rsidRDefault="00CB57F6" w:rsidP="000673E2">
      <w:pPr>
        <w:pStyle w:val="Ttulo5"/>
      </w:pPr>
      <w:r>
        <w:t xml:space="preserve">a) </w:t>
      </w:r>
    </w:p>
    <w:p w14:paraId="30BCC264" w14:textId="00E56D70" w:rsidR="00413220" w:rsidRDefault="00413220" w:rsidP="000673E2">
      <w:pPr>
        <w:ind w:left="485" w:firstLine="223"/>
      </w:pPr>
      <w:r>
        <w:t xml:space="preserve">De acordo com os textos das posições e das Notas de Seção ou de Capítulo, e </w:t>
      </w:r>
    </w:p>
    <w:p w14:paraId="02CF41C2" w14:textId="77777777" w:rsidR="000673E2" w:rsidRDefault="00CB57F6" w:rsidP="000673E2">
      <w:pPr>
        <w:pStyle w:val="Ttulo5"/>
      </w:pPr>
      <w:r>
        <w:t xml:space="preserve">b) </w:t>
      </w:r>
    </w:p>
    <w:p w14:paraId="547A3498" w14:textId="3B31DBEF" w:rsidR="00413220" w:rsidRDefault="00413220" w:rsidP="000673E2">
      <w:pPr>
        <w:ind w:left="485" w:firstLine="223"/>
      </w:pPr>
      <w:r>
        <w:t xml:space="preserve">Quando for o caso, </w:t>
      </w:r>
      <w:r>
        <w:rPr>
          <w:b/>
        </w:rPr>
        <w:t>desde que não sejam contrárias aos textos das referidas posições e Notas</w:t>
      </w:r>
      <w:r>
        <w:t xml:space="preserve">, de acordo com as disposições das Regras 2, 3, 4 e 5. </w:t>
      </w:r>
    </w:p>
    <w:p w14:paraId="2F1DB5FF" w14:textId="77777777" w:rsidR="000673E2" w:rsidRDefault="000673E2" w:rsidP="000673E2">
      <w:pPr>
        <w:pStyle w:val="Ttulo4"/>
      </w:pPr>
      <w:r>
        <w:t>IV)</w:t>
      </w:r>
    </w:p>
    <w:p w14:paraId="62A37E18" w14:textId="77777777" w:rsidR="002F1608" w:rsidRDefault="00413220" w:rsidP="000673E2">
      <w:r>
        <w:t xml:space="preserve">A disposição III) a) é suficientemente clara e numerosas mercadorias podem classificar-se na Nomenclatura sem que seja necessário recorrer às outras Regras Gerais Interpretativas (por exemplo, os cavalos vivos (posição 01.01), as preparações e artigos farmacêuticos especificados pela Nota 4 do Capítulo 30 (posição 30.06)).  </w:t>
      </w:r>
    </w:p>
    <w:p w14:paraId="0C62757C" w14:textId="77777777" w:rsidR="002F1608" w:rsidRDefault="00413220" w:rsidP="002F1608">
      <w:pPr>
        <w:pStyle w:val="Ttulo4"/>
      </w:pPr>
      <w:r>
        <w:t xml:space="preserve">V) </w:t>
      </w:r>
    </w:p>
    <w:p w14:paraId="6F4082E2" w14:textId="35294C57" w:rsidR="00413220" w:rsidRDefault="00413220" w:rsidP="000673E2">
      <w:r>
        <w:t xml:space="preserve">Na disposição III) b): </w:t>
      </w:r>
    </w:p>
    <w:p w14:paraId="0B02D03B" w14:textId="77777777" w:rsidR="006F00D9" w:rsidRDefault="006F00D9" w:rsidP="00B303E8">
      <w:pPr>
        <w:pStyle w:val="Ttulo5"/>
      </w:pPr>
      <w:r>
        <w:t>a)</w:t>
      </w:r>
    </w:p>
    <w:p w14:paraId="18EA05E0" w14:textId="0E7DCBDF" w:rsidR="00413220" w:rsidRDefault="00413220" w:rsidP="006F00D9">
      <w:pPr>
        <w:ind w:left="485" w:firstLine="0"/>
      </w:pPr>
      <w:r>
        <w:t xml:space="preserve">A frase “desde que não sejam contrárias aos textos das referidas posições e Notas”, destina-se a precisar, sem deixar dúvidas, que os dizeres das posições e das Notas de Seção ou de Capítulo prevalecem, para a determinação da classificação, sobre qualquer outra consideração. Por exemplo, no Capítulo 31, as Notas estabelecem que certas posições </w:t>
      </w:r>
      <w:r>
        <w:rPr>
          <w:b/>
        </w:rPr>
        <w:t xml:space="preserve">apenas </w:t>
      </w:r>
      <w:r>
        <w:t xml:space="preserve">englobam determinadas mercadorias. Consequentemente, o alcance dessas posições não pode ser ampliado para englobar mercadorias que, de outra forma, aí se incluiriam por aplicação da Regra 2 b). </w:t>
      </w:r>
    </w:p>
    <w:p w14:paraId="3A4609FE" w14:textId="77777777" w:rsidR="006F00D9" w:rsidRDefault="006F00D9" w:rsidP="00B303E8">
      <w:pPr>
        <w:pStyle w:val="Ttulo5"/>
      </w:pPr>
      <w:r>
        <w:lastRenderedPageBreak/>
        <w:t>b)</w:t>
      </w:r>
    </w:p>
    <w:p w14:paraId="64F019E5" w14:textId="3C022B5B" w:rsidR="00413220" w:rsidRDefault="00413220" w:rsidP="006F00D9">
      <w:pPr>
        <w:ind w:left="485" w:firstLine="0"/>
      </w:pPr>
      <w:r>
        <w:t xml:space="preserve">A referência à Regra 2 na expressão “de acordo com as disposições das Regras 2, 3, 4 e 5” significa que: </w:t>
      </w:r>
    </w:p>
    <w:p w14:paraId="594A9900" w14:textId="77777777" w:rsidR="00B303E8" w:rsidRDefault="00B303E8" w:rsidP="00B303E8">
      <w:pPr>
        <w:pStyle w:val="Ttulo6"/>
      </w:pPr>
      <w:r>
        <w:t>1)</w:t>
      </w:r>
    </w:p>
    <w:p w14:paraId="6A1E56E2" w14:textId="0DF70A16" w:rsidR="00413220" w:rsidRDefault="00413220" w:rsidP="00B303E8">
      <w:pPr>
        <w:ind w:left="826" w:firstLine="0"/>
      </w:pPr>
      <w:r>
        <w:t xml:space="preserve">As mercadorias apresentadas incompletas ou inacabadas (uma bicicleta sem selim e sem pneumáticos, por exemplo), e </w:t>
      </w:r>
    </w:p>
    <w:p w14:paraId="2911F895" w14:textId="77777777" w:rsidR="00B303E8" w:rsidRDefault="00B303E8" w:rsidP="00B303E8">
      <w:pPr>
        <w:pStyle w:val="Ttulo6"/>
      </w:pPr>
      <w:r>
        <w:t>2)</w:t>
      </w:r>
    </w:p>
    <w:p w14:paraId="28F7FD23" w14:textId="31D08F30" w:rsidR="00413220" w:rsidRDefault="00413220" w:rsidP="00B303E8">
      <w:pPr>
        <w:ind w:left="826" w:firstLine="0"/>
      </w:pPr>
      <w:r>
        <w:t xml:space="preserve">As mercadorias apresentadas desmontadas ou por montar (uma bicicleta desmontada ou por montar, com todos os componentes apresentados em conjunto, por exemplo), cujos componentes podem ser classificados, individualmente, na sua respectiva posição (por exemplo, pneumáticos, câmaras de ar) ou como partes dessas mercadorias, </w:t>
      </w:r>
    </w:p>
    <w:p w14:paraId="4CB6E3CF" w14:textId="77777777" w:rsidR="00413220" w:rsidRDefault="00413220" w:rsidP="00413220">
      <w:pPr>
        <w:spacing w:line="248" w:lineRule="auto"/>
        <w:ind w:left="857" w:hanging="10"/>
      </w:pPr>
      <w:r>
        <w:t xml:space="preserve">classificam-se como completas ou acabadas, </w:t>
      </w:r>
      <w:r>
        <w:rPr>
          <w:b/>
        </w:rPr>
        <w:t>desde que as disposições da Regra 2 a) sejam cumpridas e que não sejam contrárias aos termos dessas posições ou Notas</w:t>
      </w:r>
      <w:r>
        <w:t xml:space="preserve">. </w:t>
      </w:r>
    </w:p>
    <w:p w14:paraId="1F4E499A" w14:textId="77777777" w:rsidR="00413220" w:rsidRDefault="00413220" w:rsidP="0019418E">
      <w:pPr>
        <w:pStyle w:val="Ttulo2"/>
      </w:pPr>
      <w:r>
        <w:rPr>
          <w:rFonts w:eastAsia="Times New Roman"/>
        </w:rPr>
        <w:t xml:space="preserve">REGRA 2 </w:t>
      </w:r>
    </w:p>
    <w:p w14:paraId="660968E9" w14:textId="77777777" w:rsidR="00B7221D" w:rsidRDefault="00B7221D" w:rsidP="00B7221D">
      <w:pPr>
        <w:pStyle w:val="Ttulo3"/>
      </w:pPr>
      <w:r>
        <w:t>a)</w:t>
      </w:r>
    </w:p>
    <w:p w14:paraId="196A64C7" w14:textId="399D63C6" w:rsidR="00413220" w:rsidRDefault="00413220" w:rsidP="00B7221D">
      <w:pPr>
        <w:spacing w:line="248" w:lineRule="auto"/>
        <w:ind w:left="509" w:firstLine="0"/>
      </w:pPr>
      <w:r>
        <w:rPr>
          <w:b/>
        </w:rPr>
        <w:t xml:space="preserve">Qualquer referência a um artigo em determinada posição abrange esse artigo mesmo incompleto ou inacabado, desde que apresente, no estado em que se encontra, as características essenciais do artigo completo ou acabado. Abrange igualmente o artigo completo ou acabado, ou como tal considerado nos termos das disposições precedentes, mesmo que se apresente desmontado ou por montar. </w:t>
      </w:r>
    </w:p>
    <w:p w14:paraId="55E77DBF" w14:textId="77777777" w:rsidR="00B7221D" w:rsidRDefault="00B7221D" w:rsidP="00B7221D">
      <w:pPr>
        <w:pStyle w:val="Ttulo3"/>
      </w:pPr>
      <w:r>
        <w:t>b)</w:t>
      </w:r>
    </w:p>
    <w:p w14:paraId="21A8D2E1" w14:textId="66368DB6" w:rsidR="00413220" w:rsidRDefault="00413220" w:rsidP="00B7221D">
      <w:pPr>
        <w:spacing w:line="248" w:lineRule="auto"/>
        <w:ind w:left="509" w:firstLine="0"/>
      </w:pPr>
      <w:r>
        <w:rPr>
          <w:b/>
        </w:rPr>
        <w:t xml:space="preserve">Qualquer referência a uma matéria em determinada posição diz respeito a essa matéria, quer em estado puro, quer misturada ou associada a outras matérias. Da mesma forma, qualquer referência a obras de uma matéria determinada abrange as obras constituídas inteira ou parcialmente por essa matéria. A classificação destes produtos misturados ou artigos compostos efetua-se conforme os princípios enunciados na Regra 3. </w:t>
      </w:r>
    </w:p>
    <w:p w14:paraId="64AEB822" w14:textId="77777777" w:rsidR="00413220" w:rsidRDefault="00413220" w:rsidP="00604239">
      <w:pPr>
        <w:pStyle w:val="Ttulo3"/>
      </w:pPr>
      <w:r>
        <w:rPr>
          <w:rFonts w:eastAsia="Times New Roman"/>
        </w:rPr>
        <w:t xml:space="preserve">NOTA EXPLICATIVA </w:t>
      </w:r>
    </w:p>
    <w:p w14:paraId="728D91CA" w14:textId="5E2D528D" w:rsidR="00413220" w:rsidRDefault="00413220" w:rsidP="00A37447">
      <w:pPr>
        <w:pStyle w:val="Ttulo4"/>
      </w:pPr>
      <w:r>
        <w:rPr>
          <w:rFonts w:eastAsia="Times New Roman"/>
        </w:rPr>
        <w:t xml:space="preserve">REGRA 2 a) (Artigos incompletos ou inacabados) </w:t>
      </w:r>
    </w:p>
    <w:p w14:paraId="5FCF8B88" w14:textId="3828BE71" w:rsidR="001879EB" w:rsidRDefault="001879EB" w:rsidP="00A37447">
      <w:pPr>
        <w:pStyle w:val="Ttulo5"/>
      </w:pPr>
      <w:r>
        <w:t>I)</w:t>
      </w:r>
    </w:p>
    <w:p w14:paraId="3C1EF595" w14:textId="7829347D" w:rsidR="00413220" w:rsidRDefault="00413220" w:rsidP="001879EB">
      <w:pPr>
        <w:ind w:left="520" w:firstLine="0"/>
      </w:pPr>
      <w:r>
        <w:t xml:space="preserve">A primeira parte da Regra 2 a) amplia o alcance das posições que mencionam um artigo determinado, de maneira a englobar não apenas o artigo completo, mas também o artigo incompleto ou inacabado, </w:t>
      </w:r>
      <w:r>
        <w:rPr>
          <w:b/>
        </w:rPr>
        <w:t>desde que</w:t>
      </w:r>
      <w:r>
        <w:t xml:space="preserve"> apresente, no estado em que se encontra, as características essenciais do artigo completo ou acabado. </w:t>
      </w:r>
    </w:p>
    <w:p w14:paraId="3007482A" w14:textId="77777777" w:rsidR="001879EB" w:rsidRDefault="001879EB" w:rsidP="00A37447">
      <w:pPr>
        <w:pStyle w:val="Ttulo5"/>
      </w:pPr>
      <w:r>
        <w:t>II)</w:t>
      </w:r>
    </w:p>
    <w:p w14:paraId="0AC03112" w14:textId="1F12D1CC" w:rsidR="00413220" w:rsidRDefault="00413220" w:rsidP="001879EB">
      <w:pPr>
        <w:ind w:left="520" w:firstLine="0"/>
      </w:pPr>
      <w:r>
        <w:t xml:space="preserve">As disposições desta Regra aplicam-se aos </w:t>
      </w:r>
      <w:r>
        <w:rPr>
          <w:b/>
        </w:rPr>
        <w:t>esboços</w:t>
      </w:r>
      <w:r>
        <w:t xml:space="preserve"> de artigos, exceto no caso em que estes estão expressamente especificados em determinada posição. Consideram-se “</w:t>
      </w:r>
      <w:r>
        <w:rPr>
          <w:b/>
        </w:rPr>
        <w:t>esboços</w:t>
      </w:r>
      <w:r>
        <w:t xml:space="preserve">” os artigos não utilizáveis no estado em que se apresentam e que tenham aproximadamente a forma ou o perfil da peça ou do objeto acabado, não podendo ser utilizados, salvo em casos excepcionais, para outros fins que não sejam os de fabricação desta peça ou deste objeto (por exemplo, os esboços de garrafas de plástico, que são produtos intermediários de forma tubular, fechados numa das extremidades e com a outra aberta e munida de uma rosca sobre a qual irá adaptar-se uma tampa roscada, devendo a parte abaixo da rosca ser transformada, posteriormente, para se obter a dimensão e forma desejadas). </w:t>
      </w:r>
    </w:p>
    <w:p w14:paraId="0A272E26" w14:textId="77777777" w:rsidR="00413220" w:rsidRDefault="00413220" w:rsidP="00413220">
      <w:pPr>
        <w:ind w:left="514"/>
      </w:pPr>
      <w:r>
        <w:lastRenderedPageBreak/>
        <w:t xml:space="preserve">Os produtos semimanufaturados que ainda não apresentam a forma essencial dos artigos acabados (como é, geralmente, o caso das barras, discos, tubos, etc.) não são considerados esboços. </w:t>
      </w:r>
    </w:p>
    <w:p w14:paraId="1D88F3FC" w14:textId="77777777" w:rsidR="00537985" w:rsidRDefault="00537985" w:rsidP="00A37447">
      <w:pPr>
        <w:pStyle w:val="Ttulo5"/>
      </w:pPr>
      <w:r>
        <w:t>III)</w:t>
      </w:r>
    </w:p>
    <w:p w14:paraId="1C221A89" w14:textId="40D74543" w:rsidR="00413220" w:rsidRDefault="00413220" w:rsidP="00537985">
      <w:pPr>
        <w:ind w:left="520" w:firstLine="0"/>
      </w:pPr>
      <w:r>
        <w:t xml:space="preserve">Tendo em vista o alcance das posições das Seções I a VI, a presente parte da Regra não se aplica, normalmente, aos produtos dessas Seções. </w:t>
      </w:r>
    </w:p>
    <w:p w14:paraId="16148A2A" w14:textId="77777777" w:rsidR="00537985" w:rsidRDefault="00537985" w:rsidP="00A37447">
      <w:pPr>
        <w:pStyle w:val="Ttulo5"/>
      </w:pPr>
      <w:r>
        <w:t>IV)</w:t>
      </w:r>
    </w:p>
    <w:p w14:paraId="6360AC1F" w14:textId="7A7C8558" w:rsidR="00413220" w:rsidRDefault="00413220" w:rsidP="00537985">
      <w:pPr>
        <w:spacing w:after="189"/>
        <w:ind w:left="520" w:firstLine="0"/>
      </w:pPr>
      <w:r>
        <w:t xml:space="preserve">Vários casos de aplicação desta Regra são indicados nas Considerações Gerais de Seções ou de Capítulos (por exemplo, Seção XVI, Capítulos 61, 62, 86, 87 e 90). </w:t>
      </w:r>
    </w:p>
    <w:p w14:paraId="4384E1FB" w14:textId="74431661" w:rsidR="00413220" w:rsidRDefault="00413220" w:rsidP="00604239">
      <w:pPr>
        <w:pStyle w:val="Ttulo4"/>
      </w:pPr>
      <w:r>
        <w:rPr>
          <w:rFonts w:eastAsia="Times New Roman"/>
        </w:rPr>
        <w:t xml:space="preserve">REGRA 2 a) (Artigos apresentados desmontados ou por montar) </w:t>
      </w:r>
    </w:p>
    <w:p w14:paraId="3EB05605" w14:textId="2E4287EB" w:rsidR="008D3A4E" w:rsidRDefault="00224961" w:rsidP="008D3A4E">
      <w:pPr>
        <w:pStyle w:val="Ttulo5"/>
      </w:pPr>
      <w:r>
        <w:t>V)</w:t>
      </w:r>
    </w:p>
    <w:p w14:paraId="5BDE22CA" w14:textId="7979549F" w:rsidR="00413220" w:rsidRDefault="00413220" w:rsidP="008D3A4E">
      <w:pPr>
        <w:ind w:left="520" w:firstLine="0"/>
      </w:pPr>
      <w:r>
        <w:t xml:space="preserve">A segunda parte da Regra 2 a) classifica na mesma posição do artigo montado o artigo completo ou acabado que se apresente desmontado ou por montar. As mercadorias apresentam-se neste estado principalmente por necessidade ou por conveniência de embalagem, manipulação ou de transporte. </w:t>
      </w:r>
    </w:p>
    <w:p w14:paraId="4AB008A2" w14:textId="422F8C62" w:rsidR="008D3A4E" w:rsidRDefault="00224961" w:rsidP="008D3A4E">
      <w:pPr>
        <w:pStyle w:val="Ttulo5"/>
      </w:pPr>
      <w:r>
        <w:t>V</w:t>
      </w:r>
      <w:r w:rsidR="008D3A4E">
        <w:t>I)</w:t>
      </w:r>
    </w:p>
    <w:p w14:paraId="73E97998" w14:textId="1347F5DE" w:rsidR="00413220" w:rsidRDefault="00413220" w:rsidP="008D3A4E">
      <w:pPr>
        <w:ind w:left="520" w:firstLine="0"/>
      </w:pPr>
      <w:r>
        <w:t xml:space="preserve">Esta Regra de classificação aplica-se, também, ao artigo incompleto ou inacabado apresentado desmontado ou por montar, desde que seja considerado como completo ou acabado em virtude das disposições da primeira parte desta Regra. </w:t>
      </w:r>
    </w:p>
    <w:p w14:paraId="64D3BC6B" w14:textId="0EB58248" w:rsidR="008D3A4E" w:rsidRDefault="00224961" w:rsidP="008D3A4E">
      <w:pPr>
        <w:pStyle w:val="Ttulo5"/>
      </w:pPr>
      <w:r>
        <w:t>V</w:t>
      </w:r>
      <w:r w:rsidR="008D3A4E">
        <w:t>II)</w:t>
      </w:r>
    </w:p>
    <w:p w14:paraId="5EEAB0BB" w14:textId="3BA93143" w:rsidR="00413220" w:rsidRDefault="00413220" w:rsidP="008D3A4E">
      <w:pPr>
        <w:ind w:left="520" w:firstLine="0"/>
      </w:pPr>
      <w:r>
        <w:t xml:space="preserve">Deve considerar-se como artigo apresentado no estado desmontado ou por montar, para a aplicação da presente Regra, o artigo cujos diferentes elementos destinam-se a ser montados, quer por meios de parafusos, cavilhas, porcas, etc., quer por rebitagem ou soldadura, por exemplo, </w:t>
      </w:r>
      <w:r>
        <w:rPr>
          <w:b/>
        </w:rPr>
        <w:t>desde que</w:t>
      </w:r>
      <w:r>
        <w:t xml:space="preserve"> se trate de simples operações de montagem. </w:t>
      </w:r>
    </w:p>
    <w:p w14:paraId="6C8AE127" w14:textId="77777777" w:rsidR="00413220" w:rsidRDefault="00413220" w:rsidP="00413220">
      <w:pPr>
        <w:ind w:left="514"/>
      </w:pPr>
      <w:r>
        <w:t xml:space="preserve">Para este efeito, não se deve ter em conta a complexidade do método da montagem. Todavia, os diferentes elementos não podem receber qualquer trabalho adicional para complementar a sua condição de produto acabado. </w:t>
      </w:r>
    </w:p>
    <w:p w14:paraId="26EC929A" w14:textId="77777777" w:rsidR="00413220" w:rsidRDefault="00413220" w:rsidP="00413220">
      <w:pPr>
        <w:ind w:left="514"/>
      </w:pPr>
      <w:r>
        <w:t xml:space="preserve">Os elementos por montar de um artigo, em número superior ao necessário para montagem de um artigo completo, seguem o seu próprio regime. </w:t>
      </w:r>
    </w:p>
    <w:p w14:paraId="32A9B84D" w14:textId="3493528F" w:rsidR="008D3A4E" w:rsidRDefault="00224961" w:rsidP="008D3A4E">
      <w:pPr>
        <w:pStyle w:val="Ttulo5"/>
      </w:pPr>
      <w:r>
        <w:t>VIII</w:t>
      </w:r>
      <w:r w:rsidR="008D3A4E">
        <w:t>)</w:t>
      </w:r>
    </w:p>
    <w:p w14:paraId="5CC0D41E" w14:textId="0C6FA8C1" w:rsidR="00413220" w:rsidRDefault="00413220" w:rsidP="008D3A4E">
      <w:pPr>
        <w:ind w:left="520" w:firstLine="0"/>
      </w:pPr>
      <w:r>
        <w:t xml:space="preserve">Casos de aplicação desta Regra são indicados nas Considerações Gerais de Seções ou de Capítulos (por exemplo, Seção XVI, Capítulos 44, 86, 87 e 89). </w:t>
      </w:r>
    </w:p>
    <w:p w14:paraId="6BBF7D42" w14:textId="2D528BB6" w:rsidR="008D3A4E" w:rsidRDefault="00224961" w:rsidP="008D3A4E">
      <w:pPr>
        <w:pStyle w:val="Ttulo5"/>
      </w:pPr>
      <w:r>
        <w:t>IX</w:t>
      </w:r>
      <w:r w:rsidR="008D3A4E">
        <w:t>)</w:t>
      </w:r>
    </w:p>
    <w:p w14:paraId="6C966940" w14:textId="735A56C3" w:rsidR="00413220" w:rsidRDefault="00413220" w:rsidP="008D3A4E">
      <w:pPr>
        <w:spacing w:after="186"/>
        <w:ind w:left="520" w:firstLine="0"/>
      </w:pPr>
      <w:r>
        <w:t xml:space="preserve">Tendo em vista o alcance das posições das Seções I a VI, esta parte da Regra não se aplica, normalmente, aos produtos destas Seções. </w:t>
      </w:r>
    </w:p>
    <w:p w14:paraId="6C4CFA15" w14:textId="7169D432" w:rsidR="00413220" w:rsidRDefault="00413220" w:rsidP="00604239">
      <w:pPr>
        <w:pStyle w:val="Ttulo4"/>
      </w:pPr>
      <w:r>
        <w:rPr>
          <w:rFonts w:eastAsia="Times New Roman"/>
        </w:rPr>
        <w:t xml:space="preserve">REGRA 2 b) (Produtos misturados e artigos compostos) </w:t>
      </w:r>
    </w:p>
    <w:p w14:paraId="5A121148" w14:textId="14445370" w:rsidR="00C936AB" w:rsidRDefault="003D0F9E" w:rsidP="00C936AB">
      <w:pPr>
        <w:spacing w:after="47"/>
        <w:ind w:left="520" w:firstLine="0"/>
      </w:pPr>
      <w:r>
        <w:t>X</w:t>
      </w:r>
      <w:r w:rsidR="00C936AB">
        <w:t>)</w:t>
      </w:r>
    </w:p>
    <w:p w14:paraId="6022E506" w14:textId="37A89969" w:rsidR="00413220" w:rsidRDefault="00413220" w:rsidP="00C936AB">
      <w:pPr>
        <w:spacing w:after="47"/>
        <w:ind w:left="520" w:firstLine="0"/>
      </w:pPr>
      <w:r>
        <w:t xml:space="preserve">A Regra 2 b) diz respeito às matérias misturadas ou associadas a outras matérias, e às obras constituídas por duas ou mais matérias. As posições às quais ela se refere são as que mencionam uma matéria determinada, por exemplo, a posição 05.07, marfim, e as que se referem às obras de uma matéria determinada, por exemplo, a posição 45.03, artigos de cortiça. Deve notar-se que esta Regra só se aplica quando não contrariar os dizeres das posições e das Notas de Seção ou de Capítulo (posição 15.03 - ... óleo de banha de porco ... </w:t>
      </w:r>
      <w:r>
        <w:rPr>
          <w:b/>
        </w:rPr>
        <w:t>sem mistura</w:t>
      </w:r>
      <w:r>
        <w:t xml:space="preserve">, por exemplo). </w:t>
      </w:r>
    </w:p>
    <w:p w14:paraId="35B8F883" w14:textId="77777777" w:rsidR="00413220" w:rsidRDefault="00413220" w:rsidP="00413220">
      <w:pPr>
        <w:ind w:left="514"/>
      </w:pPr>
      <w:r>
        <w:t xml:space="preserve">Os produtos misturados que constituam preparações mencionadas como tais, numa Nota de Seção ou de Capítulo ou nos dizeres de uma posição, devem classificar-se por aplicação da Regra 1. </w:t>
      </w:r>
    </w:p>
    <w:p w14:paraId="4D75A3B0" w14:textId="20678E0A" w:rsidR="00C936AB" w:rsidRDefault="003D0F9E" w:rsidP="00C936AB">
      <w:pPr>
        <w:spacing w:after="108" w:line="245" w:lineRule="auto"/>
        <w:ind w:left="520" w:firstLine="0"/>
      </w:pPr>
      <w:r>
        <w:lastRenderedPageBreak/>
        <w:t>X</w:t>
      </w:r>
      <w:r w:rsidR="00C936AB">
        <w:t>I)</w:t>
      </w:r>
    </w:p>
    <w:p w14:paraId="1422918F" w14:textId="147451DF" w:rsidR="00413220" w:rsidRDefault="00413220" w:rsidP="00C936AB">
      <w:pPr>
        <w:spacing w:after="108" w:line="245" w:lineRule="auto"/>
        <w:ind w:left="520" w:firstLine="0"/>
      </w:pPr>
      <w:r>
        <w:t xml:space="preserve">O efeito desta Regra é ampliar o alcance das posições que mencionam uma matéria determinada, de modo a incluir nessas posições a matéria misturada ou associada a outras matérias. Também tem o efeito de ampliar o alcance das posições que mencionam as obras de determinada matéria, de modo a incluir naquelas posições as obras parcialmente constituídas por esta matéria. </w:t>
      </w:r>
    </w:p>
    <w:p w14:paraId="1CC2A96B" w14:textId="64E406D4" w:rsidR="00C936AB" w:rsidRDefault="003D0F9E" w:rsidP="00C936AB">
      <w:pPr>
        <w:ind w:left="520" w:firstLine="0"/>
      </w:pPr>
      <w:r>
        <w:t>X</w:t>
      </w:r>
      <w:r w:rsidR="00C936AB">
        <w:t>II)</w:t>
      </w:r>
    </w:p>
    <w:p w14:paraId="0D36D7DF" w14:textId="4A9A4E82" w:rsidR="00413220" w:rsidRDefault="00413220" w:rsidP="00C936AB">
      <w:pPr>
        <w:ind w:left="520" w:firstLine="0"/>
      </w:pPr>
      <w:r>
        <w:t xml:space="preserve">Contudo, esta Regra não amplia o alcance das posições a que se refere, a ponto de poder nelas incluir mercadorias que não satisfaçam, como exige a Regra 1, os dizeres dessas posições, como ocorre quando se adicionam outras matérias ou substâncias que retiram do artigo a característica de uma mercadoria incluída nessas posições. </w:t>
      </w:r>
    </w:p>
    <w:p w14:paraId="1A305A18" w14:textId="77777777" w:rsidR="003D0F9E" w:rsidRDefault="003D0F9E" w:rsidP="003D0F9E">
      <w:pPr>
        <w:spacing w:after="369"/>
        <w:ind w:left="520" w:firstLine="0"/>
      </w:pPr>
      <w:r>
        <w:t>XIII</w:t>
      </w:r>
      <w:r w:rsidR="00C936AB">
        <w:t>)</w:t>
      </w:r>
    </w:p>
    <w:p w14:paraId="0C042CFA" w14:textId="058353BE" w:rsidR="00413220" w:rsidRDefault="00413220" w:rsidP="003D0F9E">
      <w:pPr>
        <w:spacing w:after="369"/>
        <w:ind w:left="520" w:firstLine="0"/>
      </w:pPr>
      <w:r>
        <w:t xml:space="preserve">Consequentemente, as matérias misturadas ou associadas a outras matérias, e as obras constituídas por duas ou mais matérias, que sejam suscetíveis de se incluírem em duas ou mais posições, devem classificar-se conforme as disposições da Regra 3. </w:t>
      </w:r>
    </w:p>
    <w:p w14:paraId="173E37AF" w14:textId="77777777" w:rsidR="00413220" w:rsidRDefault="00413220" w:rsidP="00F156ED">
      <w:pPr>
        <w:pStyle w:val="Ttulo2"/>
      </w:pPr>
      <w:r>
        <w:rPr>
          <w:rFonts w:eastAsia="Times New Roman"/>
        </w:rPr>
        <w:t xml:space="preserve">REGRA 3 </w:t>
      </w:r>
    </w:p>
    <w:p w14:paraId="48EAE547" w14:textId="77777777" w:rsidR="00413220" w:rsidRDefault="00413220" w:rsidP="00413220">
      <w:pPr>
        <w:spacing w:line="248" w:lineRule="auto"/>
        <w:ind w:left="178" w:hanging="10"/>
      </w:pPr>
      <w:r>
        <w:rPr>
          <w:b/>
        </w:rPr>
        <w:t>Quando pareça que a mercadoria pode classificar-se em duas ou mais posições por aplicação da Regra 2 b) ou por qualquer outra razão, a classificação deve efetuar-se da forma seguinte:</w:t>
      </w:r>
      <w:r>
        <w:t xml:space="preserve"> </w:t>
      </w:r>
    </w:p>
    <w:p w14:paraId="6AAB02AB" w14:textId="77777777" w:rsidR="003D0F9E" w:rsidRDefault="003D0F9E" w:rsidP="00F93751">
      <w:pPr>
        <w:pStyle w:val="Ttulo3"/>
      </w:pPr>
      <w:r>
        <w:t>a)</w:t>
      </w:r>
    </w:p>
    <w:p w14:paraId="766AB12D" w14:textId="0F166EF2" w:rsidR="00413220" w:rsidRDefault="00413220" w:rsidP="003D0F9E">
      <w:pPr>
        <w:spacing w:line="248" w:lineRule="auto"/>
        <w:ind w:left="509" w:firstLine="0"/>
      </w:pPr>
      <w:r>
        <w:rPr>
          <w:b/>
        </w:rPr>
        <w:t xml:space="preserve">A posição mais específica prevalece sobre as mais genéricas. Todavia, quando duas ou mais posições se refiram, cada uma delas, a apenas uma parte das matérias constitutivas de um produto misturado ou de um artigo composto, ou a apenas um dos componentes de sortidos acondicionados para venda a retalho, tais posições devem considerar-se, em relação a esses produtos ou artigos, como igualmente específicas, ainda que uma delas apresente uma descrição mais precisa ou completa da mercadoria. </w:t>
      </w:r>
    </w:p>
    <w:p w14:paraId="14524623" w14:textId="77777777" w:rsidR="003D0F9E" w:rsidRDefault="003D0F9E" w:rsidP="00F93751">
      <w:pPr>
        <w:pStyle w:val="Ttulo3"/>
      </w:pPr>
      <w:r>
        <w:t>b)</w:t>
      </w:r>
    </w:p>
    <w:p w14:paraId="761C0A20" w14:textId="770EF823" w:rsidR="00413220" w:rsidRDefault="00413220" w:rsidP="003D0F9E">
      <w:pPr>
        <w:spacing w:line="248" w:lineRule="auto"/>
        <w:ind w:left="509" w:firstLine="0"/>
      </w:pPr>
      <w:r>
        <w:rPr>
          <w:b/>
        </w:rPr>
        <w:t xml:space="preserve">Os produtos misturados, as obras compostas de matérias diferentes ou constituídas pela reunião de artigos diferentes e as mercadorias apresentadas em sortidos acondicionados para venda a retalho, cuja classificação não se possa efetuar pela aplicação da Regra 3 a), classificam-se pela matéria ou artigo que lhes confira a característica essencial, quando for possível realizar esta determinação. </w:t>
      </w:r>
    </w:p>
    <w:p w14:paraId="507F041D" w14:textId="77777777" w:rsidR="00F93751" w:rsidRDefault="00F93751" w:rsidP="00F93751">
      <w:pPr>
        <w:pStyle w:val="Ttulo3"/>
      </w:pPr>
      <w:r>
        <w:t>c)</w:t>
      </w:r>
    </w:p>
    <w:p w14:paraId="2CBD545A" w14:textId="21B5A4C6" w:rsidR="00413220" w:rsidRDefault="00413220" w:rsidP="00F93751">
      <w:pPr>
        <w:spacing w:line="248" w:lineRule="auto"/>
        <w:ind w:left="509" w:firstLine="0"/>
      </w:pPr>
      <w:r>
        <w:rPr>
          <w:b/>
        </w:rPr>
        <w:t xml:space="preserve">Nos casos em que as Regras 3 a) e 3 b) não permitam efetuar a classificação, a mercadoria classifica-se na posição situada em último lugar na ordem numérica, dentre as suscetíveis de validamente se tomarem em consideração. </w:t>
      </w:r>
    </w:p>
    <w:p w14:paraId="7659DBBB" w14:textId="77777777" w:rsidR="00413220" w:rsidRDefault="00413220" w:rsidP="00803D37">
      <w:pPr>
        <w:pStyle w:val="Ttulo3"/>
      </w:pPr>
      <w:r>
        <w:rPr>
          <w:rFonts w:eastAsia="Times New Roman"/>
        </w:rPr>
        <w:t xml:space="preserve">NOTA EXPLICATIVA </w:t>
      </w:r>
    </w:p>
    <w:p w14:paraId="3A85337A" w14:textId="77777777" w:rsidR="00F93751" w:rsidRPr="00D70529" w:rsidRDefault="00F93751" w:rsidP="00B3642F">
      <w:pPr>
        <w:pStyle w:val="Ttulo4"/>
      </w:pPr>
      <w:r w:rsidRPr="00D70529">
        <w:t>I)</w:t>
      </w:r>
    </w:p>
    <w:p w14:paraId="704F895F" w14:textId="61635372" w:rsidR="00413220" w:rsidRDefault="00413220" w:rsidP="00F93751">
      <w:pPr>
        <w:ind w:left="520" w:firstLine="0"/>
      </w:pPr>
      <w:r>
        <w:t xml:space="preserve">Esta Regra prevê três métodos de classificação das mercadorias que, </w:t>
      </w:r>
      <w:r>
        <w:rPr>
          <w:i/>
        </w:rPr>
        <w:t>a priori</w:t>
      </w:r>
      <w:r>
        <w:t xml:space="preserve">, seriam suscetíveis de se incluírem em várias posições diferentes, quer por aplicação da Regra 2 b), quer em qualquer outro caso. Estes métodos utilizam-se na ordem em que são incluídos na Regra. Assim, a Regra 3 b) só se aplica quando a Regra 3 a) não solucionar o problema da </w:t>
      </w:r>
      <w:r>
        <w:lastRenderedPageBreak/>
        <w:t xml:space="preserve">classificação; quando as Regras 3 a) e 3 b) forem inoperantes, aplica-se a Regra 3 c). A ordem na qual se torna necessário considerar sucessivamente os elementos da classificação é, então, a seguinte: a) posição mais específica, b) característica essencial, c) posição colocada em último lugar na ordem numérica. </w:t>
      </w:r>
    </w:p>
    <w:p w14:paraId="33E138B2" w14:textId="77777777" w:rsidR="00F93751" w:rsidRDefault="00F93751" w:rsidP="00B3642F">
      <w:pPr>
        <w:pStyle w:val="Ttulo4"/>
      </w:pPr>
      <w:r>
        <w:t>II)</w:t>
      </w:r>
    </w:p>
    <w:p w14:paraId="3655E5D7" w14:textId="0C97BAAD" w:rsidR="00413220" w:rsidRDefault="00413220" w:rsidP="00F93751">
      <w:pPr>
        <w:spacing w:after="247"/>
        <w:ind w:left="520" w:firstLine="0"/>
      </w:pPr>
      <w:r>
        <w:t xml:space="preserve">A Regra só se aplica </w:t>
      </w:r>
      <w:r>
        <w:rPr>
          <w:b/>
        </w:rPr>
        <w:t>se não for contrária aos dizeres das posições e das Notas de Seção ou de Capítulo</w:t>
      </w:r>
      <w:r>
        <w:t xml:space="preserve">. Por exemplo, a Nota 5 B) do Capítulo 97, determina que os artigos suscetíveis de se incluírem simultaneamente nas posições 97.01 a 97.05 e na posição 97.06, devem ser classificados na mais apropriada dentre as posições 97.01 a 97.05. A classificação destes artigos decorre da Nota 5 B) do Capítulo 97 e não da presente Regra. </w:t>
      </w:r>
    </w:p>
    <w:p w14:paraId="185F4B57" w14:textId="77777777" w:rsidR="00413220" w:rsidRPr="00B3642F" w:rsidRDefault="00413220" w:rsidP="00B3642F">
      <w:pPr>
        <w:pStyle w:val="Ttulo4"/>
      </w:pPr>
      <w:r>
        <w:rPr>
          <w:rFonts w:eastAsia="Times New Roman"/>
        </w:rPr>
        <w:t xml:space="preserve">REGRA 3 a) </w:t>
      </w:r>
    </w:p>
    <w:p w14:paraId="58888A4C" w14:textId="77777777" w:rsidR="00B3642F" w:rsidRDefault="00B3642F" w:rsidP="00DA1D64">
      <w:pPr>
        <w:pStyle w:val="Ttulo5"/>
      </w:pPr>
      <w:r>
        <w:t>III)</w:t>
      </w:r>
    </w:p>
    <w:p w14:paraId="1ADA011B" w14:textId="16586788" w:rsidR="00413220" w:rsidRDefault="00413220" w:rsidP="00B3642F">
      <w:pPr>
        <w:ind w:left="520" w:firstLine="0"/>
      </w:pPr>
      <w:r>
        <w:t xml:space="preserve">O primeiro método de classificação é expresso pela Regra 3 a), em virtude da qual a posição mais específica deve prevalecer sobre as posições de alcance mais geral. </w:t>
      </w:r>
    </w:p>
    <w:p w14:paraId="2EC6A561" w14:textId="77777777" w:rsidR="00B3642F" w:rsidRDefault="00B3642F" w:rsidP="00DA1D64">
      <w:pPr>
        <w:pStyle w:val="Ttulo5"/>
      </w:pPr>
      <w:r>
        <w:t>IV)</w:t>
      </w:r>
    </w:p>
    <w:p w14:paraId="38691AA3" w14:textId="09CD9480" w:rsidR="00413220" w:rsidRDefault="00413220" w:rsidP="00B3642F">
      <w:pPr>
        <w:ind w:left="520" w:firstLine="0"/>
      </w:pPr>
      <w:r>
        <w:t xml:space="preserve">Não é possível estabelecer princípios rigorosos que permitam determinar se uma posição é mais específica que uma outra em relação às mercadorias apresentadas; pode, contudo, dizer-se de modo geral: </w:t>
      </w:r>
    </w:p>
    <w:p w14:paraId="7DA92109" w14:textId="77777777" w:rsidR="00B3642F" w:rsidRDefault="00413220" w:rsidP="00DA1D64">
      <w:pPr>
        <w:pStyle w:val="Ttulo6"/>
      </w:pPr>
      <w:r>
        <w:t xml:space="preserve">a) </w:t>
      </w:r>
    </w:p>
    <w:p w14:paraId="332FB10A" w14:textId="15C33A88" w:rsidR="00413220" w:rsidRDefault="00413220" w:rsidP="00413220">
      <w:pPr>
        <w:spacing w:after="0"/>
        <w:ind w:left="847" w:hanging="338"/>
      </w:pPr>
      <w:r>
        <w:t>Que uma posição que designa nominalmente um artigo em particular é mais específica que uma posição que compreenda uma família de artigos: por exemplo, os aparelhos ou máquinas de barbear e as máquinas de tosquiar, com motor elétrico incorporado, classificam-se na posição 85.10 e não na 84.67 (ferramentas com motor elétrico incorporado, de uso manual)</w:t>
      </w:r>
      <w:r>
        <w:rPr>
          <w:sz w:val="24"/>
        </w:rPr>
        <w:t xml:space="preserve"> </w:t>
      </w:r>
      <w:r>
        <w:t xml:space="preserve">ou na posição </w:t>
      </w:r>
    </w:p>
    <w:p w14:paraId="47A78D98" w14:textId="77777777" w:rsidR="00413220" w:rsidRDefault="00413220" w:rsidP="00413220">
      <w:pPr>
        <w:spacing w:after="106" w:line="249" w:lineRule="auto"/>
        <w:ind w:left="259" w:right="234" w:hanging="10"/>
        <w:jc w:val="center"/>
      </w:pPr>
      <w:r>
        <w:t xml:space="preserve">85.09 (aparelhos eletromecânicos com motor elétrico incorporado, de uso doméstico). </w:t>
      </w:r>
    </w:p>
    <w:p w14:paraId="3482AAD9" w14:textId="77777777" w:rsidR="00B3642F" w:rsidRDefault="00413220" w:rsidP="00DA1D64">
      <w:pPr>
        <w:pStyle w:val="Ttulo6"/>
      </w:pPr>
      <w:r>
        <w:t xml:space="preserve">b) </w:t>
      </w:r>
    </w:p>
    <w:p w14:paraId="01EFEC92" w14:textId="5C6547DC" w:rsidR="00413220" w:rsidRDefault="00413220" w:rsidP="00413220">
      <w:pPr>
        <w:ind w:left="847" w:hanging="338"/>
      </w:pPr>
      <w:r>
        <w:t xml:space="preserve">Que deve considerar-se como mais específica a posição que identifique mais claramente, e com uma descrição mais precisa e completa, a mercadoria considerada. </w:t>
      </w:r>
    </w:p>
    <w:p w14:paraId="6C53432D" w14:textId="77777777" w:rsidR="00413220" w:rsidRDefault="00413220" w:rsidP="00413220">
      <w:pPr>
        <w:ind w:left="852"/>
      </w:pPr>
      <w:r>
        <w:t xml:space="preserve">Podem citar-se como exemplos deste último tipo de mercadorias: </w:t>
      </w:r>
    </w:p>
    <w:p w14:paraId="43FE005A" w14:textId="77777777" w:rsidR="00DA1D64" w:rsidRDefault="00DA1D64" w:rsidP="00DA1D64">
      <w:pPr>
        <w:pStyle w:val="Ttulo7"/>
      </w:pPr>
      <w:r>
        <w:t>1)</w:t>
      </w:r>
    </w:p>
    <w:p w14:paraId="514500A6" w14:textId="64524A6C" w:rsidR="00413220" w:rsidRDefault="00413220" w:rsidP="00DA1D64">
      <w:pPr>
        <w:ind w:left="1188" w:firstLine="0"/>
      </w:pPr>
      <w:r>
        <w:t xml:space="preserve">Os tapetes tufados de matérias têxteis reconhecíveis como próprios para automóveis devem ser classificados não como acessórios de automóveis da posição 87.08, mas na posição 57.03, onde se incluem mais especificamente. </w:t>
      </w:r>
    </w:p>
    <w:p w14:paraId="7AC885E3" w14:textId="77777777" w:rsidR="00DA1D64" w:rsidRDefault="00DA1D64" w:rsidP="00DA1D64">
      <w:pPr>
        <w:pStyle w:val="Ttulo7"/>
      </w:pPr>
      <w:r>
        <w:t>2)</w:t>
      </w:r>
    </w:p>
    <w:p w14:paraId="5F36AF0E" w14:textId="162A95FB" w:rsidR="00413220" w:rsidRDefault="00413220" w:rsidP="00DA1D64">
      <w:pPr>
        <w:ind w:left="1188" w:firstLine="0"/>
      </w:pPr>
      <w:r>
        <w:t xml:space="preserve">Os vidros de segurança não emoldurados que consistam em vidros temperados ou formados por folhas </w:t>
      </w:r>
      <w:proofErr w:type="spellStart"/>
      <w:r>
        <w:t>contracoladas</w:t>
      </w:r>
      <w:proofErr w:type="spellEnd"/>
      <w:r>
        <w:t xml:space="preserve">, reconhecíveis para serem utilizados em veículos aéreos, mas que não tenham sido trabalhados para além da forma apropriada, devem ser classificados não na posição 88.07, como partes dos aparelhos das posições 88.01, 88.02 ou 88.06, mas na posição 70.07, onde se incluem mais especificamente. </w:t>
      </w:r>
    </w:p>
    <w:p w14:paraId="3F63F979" w14:textId="77777777" w:rsidR="00DD230C" w:rsidRDefault="00DD230C" w:rsidP="00DD230C">
      <w:pPr>
        <w:pStyle w:val="Ttulo5"/>
      </w:pPr>
      <w:r>
        <w:t>V)</w:t>
      </w:r>
    </w:p>
    <w:p w14:paraId="4FE68241" w14:textId="79D6C582" w:rsidR="00413220" w:rsidRDefault="00413220" w:rsidP="00DD230C">
      <w:pPr>
        <w:spacing w:after="247"/>
        <w:ind w:left="520" w:firstLine="0"/>
      </w:pPr>
      <w:r>
        <w:t xml:space="preserve">Contudo, quando duas ou mais posições se refiram cada qual a uma parte somente das matérias que constituam um produto misturado ou um artigo composto, ou a uma parte somente dos artigos no caso de mercadorias apresentadas em sortidos acondicionados para venda a retalho, essas posições devem ser consideradas, em relação a esse produto ou a esse artigo, como igualmente específicas, mesmo que uma delas dê uma descrição mais precisa ou mais completa. Neste caso, a classificação dos artigos será determinada por aplicação da Regra 3 b) ou 3 c). </w:t>
      </w:r>
    </w:p>
    <w:p w14:paraId="591FCD1B" w14:textId="77777777" w:rsidR="00413220" w:rsidRDefault="00413220" w:rsidP="00DD230C">
      <w:pPr>
        <w:pStyle w:val="Ttulo4"/>
      </w:pPr>
      <w:r>
        <w:rPr>
          <w:rFonts w:eastAsia="Times New Roman"/>
        </w:rPr>
        <w:lastRenderedPageBreak/>
        <w:t xml:space="preserve">REGRA 3 b) </w:t>
      </w:r>
    </w:p>
    <w:p w14:paraId="151258F1" w14:textId="67DA49F2" w:rsidR="00DD230C" w:rsidRDefault="00293203" w:rsidP="00690418">
      <w:pPr>
        <w:pStyle w:val="Ttulo5"/>
      </w:pPr>
      <w:r>
        <w:t>V</w:t>
      </w:r>
      <w:r w:rsidR="00DD230C">
        <w:t>I)</w:t>
      </w:r>
    </w:p>
    <w:p w14:paraId="340C6850" w14:textId="002B380F" w:rsidR="00413220" w:rsidRDefault="00413220" w:rsidP="00DD230C">
      <w:pPr>
        <w:ind w:left="520" w:firstLine="0"/>
      </w:pPr>
      <w:r>
        <w:t xml:space="preserve">Este segundo método de classificação visa unicamente: </w:t>
      </w:r>
    </w:p>
    <w:p w14:paraId="467DE094" w14:textId="77777777" w:rsidR="00DD230C" w:rsidRDefault="00DD230C" w:rsidP="00690418">
      <w:pPr>
        <w:pStyle w:val="Ttulo6"/>
      </w:pPr>
      <w:r>
        <w:t>1)</w:t>
      </w:r>
    </w:p>
    <w:p w14:paraId="5B0AA74B" w14:textId="4409C957" w:rsidR="00413220" w:rsidRDefault="00413220" w:rsidP="00DD230C">
      <w:pPr>
        <w:ind w:left="847" w:firstLine="0"/>
      </w:pPr>
      <w:r>
        <w:t xml:space="preserve">Os produtos misturados; </w:t>
      </w:r>
    </w:p>
    <w:p w14:paraId="14EC9C07" w14:textId="77777777" w:rsidR="00DD230C" w:rsidRDefault="00DD230C" w:rsidP="00690418">
      <w:pPr>
        <w:pStyle w:val="Ttulo6"/>
      </w:pPr>
      <w:r>
        <w:t>2)</w:t>
      </w:r>
    </w:p>
    <w:p w14:paraId="42C0C71B" w14:textId="27E4F08A" w:rsidR="00413220" w:rsidRDefault="00413220" w:rsidP="00DD230C">
      <w:pPr>
        <w:ind w:left="847" w:firstLine="0"/>
      </w:pPr>
      <w:r>
        <w:t xml:space="preserve">As obras compostas por matérias diferentes; </w:t>
      </w:r>
    </w:p>
    <w:p w14:paraId="1EE1E36D" w14:textId="77777777" w:rsidR="00DD230C" w:rsidRDefault="00DD230C" w:rsidP="00690418">
      <w:pPr>
        <w:pStyle w:val="Ttulo6"/>
      </w:pPr>
      <w:r>
        <w:t>3)</w:t>
      </w:r>
    </w:p>
    <w:p w14:paraId="78A32EFF" w14:textId="2E917FD5" w:rsidR="00413220" w:rsidRDefault="00413220" w:rsidP="00DD230C">
      <w:pPr>
        <w:ind w:left="847" w:firstLine="0"/>
      </w:pPr>
      <w:r>
        <w:t xml:space="preserve">As obras constituídas pela reunião de artigos diferentes; </w:t>
      </w:r>
    </w:p>
    <w:p w14:paraId="75FB94CC" w14:textId="77777777" w:rsidR="00DD230C" w:rsidRDefault="00DD230C" w:rsidP="00690418">
      <w:pPr>
        <w:pStyle w:val="Ttulo6"/>
      </w:pPr>
      <w:r>
        <w:t>4)</w:t>
      </w:r>
    </w:p>
    <w:p w14:paraId="274EE4D3" w14:textId="211677B8" w:rsidR="00413220" w:rsidRDefault="00413220" w:rsidP="00DD230C">
      <w:pPr>
        <w:ind w:left="847" w:firstLine="0"/>
      </w:pPr>
      <w:r>
        <w:t xml:space="preserve">As mercadorias apresentadas em sortidos acondicionados para venda a retalho. </w:t>
      </w:r>
    </w:p>
    <w:p w14:paraId="18AD339E" w14:textId="77777777" w:rsidR="00413220" w:rsidRDefault="00413220" w:rsidP="00413220">
      <w:pPr>
        <w:ind w:left="514"/>
      </w:pPr>
      <w:r>
        <w:t xml:space="preserve">Esta Regra só se aplica se a Regra 3 a) for inoperante. </w:t>
      </w:r>
    </w:p>
    <w:p w14:paraId="7D7C6788" w14:textId="77777777" w:rsidR="00690418" w:rsidRDefault="00690418" w:rsidP="00293203">
      <w:pPr>
        <w:pStyle w:val="Ttulo5"/>
      </w:pPr>
      <w:r>
        <w:t>VII)</w:t>
      </w:r>
    </w:p>
    <w:p w14:paraId="47A1FA62" w14:textId="220372C3" w:rsidR="00413220" w:rsidRDefault="00413220" w:rsidP="00690418">
      <w:pPr>
        <w:ind w:left="520" w:firstLine="0"/>
      </w:pPr>
      <w:r>
        <w:t xml:space="preserve">Nas diversas hipóteses, a classificação das mercadorias deve ser feita pela matéria ou artigo que lhes </w:t>
      </w:r>
      <w:r>
        <w:rPr>
          <w:b/>
        </w:rPr>
        <w:t>confira a característica essencial</w:t>
      </w:r>
      <w:r>
        <w:t xml:space="preserve">, quando for possível realizar esta determinação. </w:t>
      </w:r>
    </w:p>
    <w:p w14:paraId="444DBB6C" w14:textId="77777777" w:rsidR="00690418" w:rsidRDefault="00690418" w:rsidP="00293203">
      <w:pPr>
        <w:pStyle w:val="Ttulo5"/>
      </w:pPr>
      <w:r>
        <w:t>VIII)</w:t>
      </w:r>
    </w:p>
    <w:p w14:paraId="2C0F4E1B" w14:textId="2861A042" w:rsidR="00413220" w:rsidRDefault="00413220" w:rsidP="00690418">
      <w:pPr>
        <w:ind w:left="520" w:firstLine="0"/>
      </w:pPr>
      <w:r>
        <w:t xml:space="preserve">O fator que determina a característica essencial varia conforme o tipo de mercadorias. Pode, por exemplo, ser determinado pela natureza da matéria constitutiva ou dos componentes, pelo volume, quantidade, peso ou valor, pela importância de uma das matérias constitutivas tendo em vista a utilização das mercadorias. </w:t>
      </w:r>
    </w:p>
    <w:p w14:paraId="3DA09B2A" w14:textId="6C2E841F" w:rsidR="00690418" w:rsidRDefault="00690418" w:rsidP="00293203">
      <w:pPr>
        <w:pStyle w:val="Ttulo5"/>
      </w:pPr>
      <w:r>
        <w:t>IX)</w:t>
      </w:r>
    </w:p>
    <w:p w14:paraId="623426BE" w14:textId="2A98A938" w:rsidR="00413220" w:rsidRDefault="00413220" w:rsidP="00690418">
      <w:pPr>
        <w:ind w:left="520" w:firstLine="0"/>
      </w:pPr>
      <w:r>
        <w:t xml:space="preserve">Devem considerar-se, para aplicação da presente Regra, como obras constituídas pela reunião de artigos diferentes, não apenas aquelas cujos elementos componentes estão fixados uns aos outros formando um todo praticamente indissociável, mas também aquelas cujos elementos são separáveis, </w:t>
      </w:r>
      <w:r>
        <w:rPr>
          <w:b/>
        </w:rPr>
        <w:t>desde que</w:t>
      </w:r>
      <w:r>
        <w:t xml:space="preserve"> estes elementos estejam adaptados uns aos outros e sejam complementares uns dos outros e que a sua reunião constitua um todo que não possa ser normalmente vendido em elementos separados. </w:t>
      </w:r>
    </w:p>
    <w:p w14:paraId="05BF2510" w14:textId="77777777" w:rsidR="00413220" w:rsidRDefault="00413220" w:rsidP="00413220">
      <w:pPr>
        <w:ind w:left="514"/>
      </w:pPr>
      <w:r>
        <w:t xml:space="preserve">Podem citar-se como exemplos deste último tipo de obras: </w:t>
      </w:r>
    </w:p>
    <w:p w14:paraId="0E3C12EA" w14:textId="77777777" w:rsidR="00293203" w:rsidRDefault="00293203" w:rsidP="00293203">
      <w:pPr>
        <w:pStyle w:val="Ttulo6"/>
      </w:pPr>
      <w:r>
        <w:t>1)</w:t>
      </w:r>
    </w:p>
    <w:p w14:paraId="10FD88B8" w14:textId="1F4752B1" w:rsidR="00413220" w:rsidRDefault="00413220" w:rsidP="00293203">
      <w:pPr>
        <w:ind w:left="847" w:firstLine="0"/>
      </w:pPr>
      <w:r>
        <w:t xml:space="preserve">Os cinzeiros constituídos por um suporte no qual se insere um recipiente amovível que se destina a receber as cinzas. </w:t>
      </w:r>
    </w:p>
    <w:p w14:paraId="0C3EFF71" w14:textId="77777777" w:rsidR="00293203" w:rsidRDefault="00293203" w:rsidP="00293203">
      <w:pPr>
        <w:pStyle w:val="Ttulo6"/>
      </w:pPr>
      <w:r>
        <w:t>2)</w:t>
      </w:r>
    </w:p>
    <w:p w14:paraId="6972AD45" w14:textId="59722D41" w:rsidR="00413220" w:rsidRDefault="00413220" w:rsidP="00293203">
      <w:pPr>
        <w:ind w:left="847" w:firstLine="0"/>
      </w:pPr>
      <w:r>
        <w:t xml:space="preserve">As prateleiras do tipo doméstico para especiarias, constituídas por um suporte (geralmente de madeira) especialmente projetado para esse fim e por um número apropriado de frascos para especiarias de forma e dimensões adequadas. </w:t>
      </w:r>
    </w:p>
    <w:p w14:paraId="6F6E1345" w14:textId="77777777" w:rsidR="00413220" w:rsidRDefault="00413220" w:rsidP="00413220">
      <w:pPr>
        <w:ind w:left="514"/>
      </w:pPr>
      <w:r>
        <w:t xml:space="preserve">Os diferentes elementos que compõem esses conjuntos são, em geral, apresentados numa mesma embalagem. </w:t>
      </w:r>
    </w:p>
    <w:p w14:paraId="496A52D7" w14:textId="77777777" w:rsidR="009B1967" w:rsidRDefault="009B1967" w:rsidP="000F6A60">
      <w:pPr>
        <w:pStyle w:val="Ttulo4"/>
      </w:pPr>
      <w:r>
        <w:t>X)</w:t>
      </w:r>
    </w:p>
    <w:p w14:paraId="6CE62AC9" w14:textId="6592BD05" w:rsidR="00413220" w:rsidRDefault="00413220" w:rsidP="009B1967">
      <w:pPr>
        <w:ind w:left="520" w:firstLine="0"/>
      </w:pPr>
      <w:r>
        <w:t xml:space="preserve">De acordo com a presente Regra, as mercadorias que preencham, simultaneamente, as condições a seguir indicadas devem ser consideradas como “apresentadas em sortidos acondicionados para venda a retalho”: </w:t>
      </w:r>
    </w:p>
    <w:p w14:paraId="519C098E" w14:textId="77777777" w:rsidR="009B1967" w:rsidRDefault="009B1967" w:rsidP="000F6A60">
      <w:pPr>
        <w:pStyle w:val="Ttulo5"/>
      </w:pPr>
      <w:r>
        <w:t>a)</w:t>
      </w:r>
    </w:p>
    <w:p w14:paraId="55045070" w14:textId="622F74AD" w:rsidR="00413220" w:rsidRDefault="00413220" w:rsidP="009B1967">
      <w:pPr>
        <w:ind w:left="847" w:firstLine="0"/>
      </w:pPr>
      <w:r>
        <w:t xml:space="preserve">Serem compostas, pelo menos, de dois artigos diferentes que, à primeira vista, seriam suscetíveis de serem incluídos em posições diferentes. Não seriam, portanto, considerados sortido, na acepção desta Regra, seis garfos, por exemplo, para </w:t>
      </w:r>
      <w:r>
        <w:rPr>
          <w:i/>
        </w:rPr>
        <w:t>fondue</w:t>
      </w:r>
      <w:r>
        <w:t xml:space="preserve">; </w:t>
      </w:r>
    </w:p>
    <w:p w14:paraId="54E65469" w14:textId="77777777" w:rsidR="009B1967" w:rsidRDefault="009B1967" w:rsidP="000F6A60">
      <w:pPr>
        <w:pStyle w:val="Ttulo5"/>
      </w:pPr>
      <w:r>
        <w:lastRenderedPageBreak/>
        <w:t>b)</w:t>
      </w:r>
    </w:p>
    <w:p w14:paraId="218EB66D" w14:textId="3B736494" w:rsidR="00413220" w:rsidRDefault="00413220" w:rsidP="009B1967">
      <w:pPr>
        <w:ind w:left="847" w:firstLine="0"/>
      </w:pPr>
      <w:r>
        <w:t xml:space="preserve">Serem compostas de produtos ou artigos apresentados em conjunto para a satisfação de uma necessidade específica ou o exercício de uma atividade determinada; </w:t>
      </w:r>
    </w:p>
    <w:p w14:paraId="0EA94FA4" w14:textId="77777777" w:rsidR="009B1967" w:rsidRDefault="009B1967" w:rsidP="000F6A60">
      <w:pPr>
        <w:pStyle w:val="Ttulo5"/>
      </w:pPr>
      <w:r>
        <w:t>c)</w:t>
      </w:r>
    </w:p>
    <w:p w14:paraId="7AF92FFD" w14:textId="72179B2F" w:rsidR="00413220" w:rsidRDefault="00413220" w:rsidP="009B1967">
      <w:pPr>
        <w:ind w:left="847" w:firstLine="0"/>
      </w:pPr>
      <w:r>
        <w:t xml:space="preserve">Serem acondicionadas de maneira a poderem ser vendidas diretamente aos utilizadores finais sem </w:t>
      </w:r>
      <w:proofErr w:type="spellStart"/>
      <w:r>
        <w:t>reacondicionamento</w:t>
      </w:r>
      <w:proofErr w:type="spellEnd"/>
      <w:r>
        <w:t xml:space="preserve"> (por exemplo, em latas, caixas, panóplias). </w:t>
      </w:r>
    </w:p>
    <w:p w14:paraId="44B2E62F" w14:textId="77777777" w:rsidR="00413220" w:rsidRDefault="00413220" w:rsidP="00413220">
      <w:pPr>
        <w:ind w:left="514"/>
      </w:pPr>
      <w:r>
        <w:t xml:space="preserve">A expressão “venda a retalho” não inclui as vendas de mercadorias que se destinam a ser revendidas após a sua posterior fabricação, preparação ou </w:t>
      </w:r>
      <w:proofErr w:type="spellStart"/>
      <w:r>
        <w:t>reacondicionamento</w:t>
      </w:r>
      <w:proofErr w:type="spellEnd"/>
      <w:r>
        <w:t xml:space="preserve">, ou após incorporação ulterior com ou noutras mercadorias. </w:t>
      </w:r>
    </w:p>
    <w:p w14:paraId="1E357ADC" w14:textId="77777777" w:rsidR="00413220" w:rsidRDefault="00413220" w:rsidP="00413220">
      <w:pPr>
        <w:ind w:left="514"/>
      </w:pPr>
      <w:r>
        <w:t xml:space="preserve">Em consequência, a expressão “mercadorias apresentadas em sortidos acondicionados para venda a retalho” compreende apenas os sortidos que se destinam a ser vendidos ao utilizador final quando as mercadorias individuais se destinam a ser utilizadas em conjunto. Por exemplo, diferentes produtos alimentícios destinados a serem utilizados conjuntamente na preparação de um prato ou uma refeição, prontos a serem consumidos, embalados em conjunto e destinados ao consumo pelo comprador, constituem um “sortido acondicionado para venda a retalho”. </w:t>
      </w:r>
    </w:p>
    <w:p w14:paraId="04B6FEFA" w14:textId="77777777" w:rsidR="00413220" w:rsidRDefault="00413220" w:rsidP="00413220">
      <w:pPr>
        <w:ind w:left="514"/>
      </w:pPr>
      <w:r>
        <w:t xml:space="preserve">Podem citar-se como exemplos de sortidos cuja classificação pode ser determinada pela aplicação da Regra Geral Interpretativa 3 b): </w:t>
      </w:r>
    </w:p>
    <w:p w14:paraId="389F25A2" w14:textId="77777777" w:rsidR="000F6A60" w:rsidRDefault="00413220" w:rsidP="00EF6607">
      <w:pPr>
        <w:pStyle w:val="Ttulo6"/>
      </w:pPr>
      <w:r>
        <w:t xml:space="preserve">1) </w:t>
      </w:r>
    </w:p>
    <w:p w14:paraId="0516EE1A" w14:textId="77777777" w:rsidR="000F6A60" w:rsidRDefault="00413220" w:rsidP="00EF6607">
      <w:pPr>
        <w:pStyle w:val="Ttulo7"/>
      </w:pPr>
      <w:r>
        <w:t xml:space="preserve">a) </w:t>
      </w:r>
    </w:p>
    <w:p w14:paraId="7B606102" w14:textId="4C7379DD" w:rsidR="00413220" w:rsidRDefault="00413220" w:rsidP="00413220">
      <w:pPr>
        <w:ind w:left="1188" w:hanging="679"/>
      </w:pPr>
      <w:r>
        <w:t xml:space="preserve">Os sortidos constituídos por um sanduíche composto de carne bovina, mesmo com queijo, num pequeno pão (posição 16.02), apresentado numa embalagem com uma porção de batatas fritas (posição 20.04): </w:t>
      </w:r>
    </w:p>
    <w:p w14:paraId="3B767FAA" w14:textId="77777777" w:rsidR="00413220" w:rsidRDefault="00413220" w:rsidP="00413220">
      <w:pPr>
        <w:ind w:left="1193"/>
      </w:pPr>
      <w:r>
        <w:t xml:space="preserve">Classificação na posição 16.02. </w:t>
      </w:r>
    </w:p>
    <w:p w14:paraId="6658BB93" w14:textId="77777777" w:rsidR="000F6A60" w:rsidRDefault="00413220" w:rsidP="00EF6607">
      <w:pPr>
        <w:pStyle w:val="Ttulo7"/>
      </w:pPr>
      <w:r>
        <w:t xml:space="preserve">b) </w:t>
      </w:r>
    </w:p>
    <w:p w14:paraId="4C0C7300" w14:textId="5BB9149D" w:rsidR="00413220" w:rsidRDefault="00413220" w:rsidP="00413220">
      <w:pPr>
        <w:ind w:left="1188" w:hanging="341"/>
      </w:pPr>
      <w:r>
        <w:t xml:space="preserve">Os sortidos cujos componentes se destinam a ser utilizados em conjunto para a preparação de um prato de espaguete, constituídos por um pacote de espaguete não cozido (posição 19.02), por um saquinho de queijo ralado (posição 04.06) e por uma pequena lata de molho de tomate (posição 21.03), apresentados numa caixa de cartão: </w:t>
      </w:r>
    </w:p>
    <w:p w14:paraId="14A4A377" w14:textId="77777777" w:rsidR="00413220" w:rsidRDefault="00413220" w:rsidP="00413220">
      <w:pPr>
        <w:ind w:left="1193"/>
      </w:pPr>
      <w:r>
        <w:t xml:space="preserve">Classificação na posição 19.02. </w:t>
      </w:r>
    </w:p>
    <w:p w14:paraId="0B1FC541" w14:textId="77777777" w:rsidR="00413220" w:rsidRDefault="00413220" w:rsidP="00413220">
      <w:pPr>
        <w:ind w:left="852"/>
      </w:pPr>
      <w:r>
        <w:t xml:space="preserve">Contudo, não se devem considerar como sortidos certos produtos alimentícios apresentados em conjunto que compreendam, por exemplo: </w:t>
      </w:r>
    </w:p>
    <w:p w14:paraId="5CDF0ADB" w14:textId="77777777" w:rsidR="00413220" w:rsidRDefault="00413220" w:rsidP="00413220">
      <w:pPr>
        <w:numPr>
          <w:ilvl w:val="3"/>
          <w:numId w:val="6"/>
        </w:numPr>
        <w:spacing w:after="142"/>
        <w:ind w:hanging="341"/>
      </w:pPr>
      <w:r>
        <w:t xml:space="preserve">camarões (posição 16.05), pasta (patê) de fígado (posição 16.02), queijo (posição 04.06), </w:t>
      </w:r>
      <w:r>
        <w:rPr>
          <w:i/>
        </w:rPr>
        <w:t>bacon</w:t>
      </w:r>
      <w:r>
        <w:t xml:space="preserve"> em fatias (posição 16.02) e salsichas de coquetel (posição 16.01), cada um desses produtos apresentados numa lata metálica; </w:t>
      </w:r>
    </w:p>
    <w:p w14:paraId="73B04EE5" w14:textId="77777777" w:rsidR="00413220" w:rsidRDefault="00413220" w:rsidP="00413220">
      <w:pPr>
        <w:numPr>
          <w:ilvl w:val="3"/>
          <w:numId w:val="6"/>
        </w:numPr>
        <w:ind w:hanging="341"/>
      </w:pPr>
      <w:r>
        <w:t xml:space="preserve">uma garrafa de bebida espirituosa da posição 22.08 e uma garrafa de vinho da posição 22.04. </w:t>
      </w:r>
    </w:p>
    <w:p w14:paraId="4DCF9124" w14:textId="77777777" w:rsidR="00413220" w:rsidRDefault="00413220" w:rsidP="00413220">
      <w:pPr>
        <w:ind w:left="852"/>
      </w:pPr>
      <w:r>
        <w:t xml:space="preserve">No caso destes dois exemplos e de produtos semelhantes, cada artigo deve ser classificado separadamente, na posição que lhe for mais apropriada. Isto aplica-se também, por exemplo, ao café solúvel num frasco de vidro (posição 21.01), uma xícara (chávena) de cerâmica (posição 69.12) e um pires de cerâmica (posição 69.12), acondicionados em conjunto para venda a retalho numa caixa de cartão. </w:t>
      </w:r>
    </w:p>
    <w:p w14:paraId="2305D726" w14:textId="77777777" w:rsidR="00EF6607" w:rsidRDefault="00413220" w:rsidP="00EF6607">
      <w:pPr>
        <w:pStyle w:val="Ttulo6"/>
      </w:pPr>
      <w:r>
        <w:t xml:space="preserve">2) </w:t>
      </w:r>
    </w:p>
    <w:p w14:paraId="2EFFE5ED" w14:textId="2860C22C" w:rsidR="00413220" w:rsidRDefault="00413220" w:rsidP="00EF6607">
      <w:pPr>
        <w:spacing w:after="0" w:line="259" w:lineRule="auto"/>
        <w:ind w:left="345" w:right="-3" w:hanging="10"/>
      </w:pPr>
      <w:r>
        <w:t xml:space="preserve">Os conjuntos de cabeleireiro constituídos por uma máquina de cortar cabelo elétrica (posição </w:t>
      </w:r>
    </w:p>
    <w:p w14:paraId="2A247264" w14:textId="77777777" w:rsidR="00413220" w:rsidRDefault="00413220" w:rsidP="00413220">
      <w:pPr>
        <w:ind w:left="852"/>
      </w:pPr>
      <w:r>
        <w:lastRenderedPageBreak/>
        <w:t xml:space="preserve">85.10), um pente (posição 96.15), um par de tesouras (posição 82.13), uma escova (posição 96.03), uma toalha de matéria têxtil (posição 63.02), apresentados em estojo de couro (posição 42.02): </w:t>
      </w:r>
    </w:p>
    <w:p w14:paraId="53453022" w14:textId="77777777" w:rsidR="00413220" w:rsidRDefault="00413220" w:rsidP="00413220">
      <w:pPr>
        <w:ind w:left="852"/>
      </w:pPr>
      <w:r>
        <w:t xml:space="preserve">Classificação na posição 85.10. </w:t>
      </w:r>
    </w:p>
    <w:p w14:paraId="6EF5E319" w14:textId="77777777" w:rsidR="00EF6607" w:rsidRDefault="00413220" w:rsidP="00EF6607">
      <w:pPr>
        <w:pStyle w:val="Ttulo6"/>
      </w:pPr>
      <w:r>
        <w:t xml:space="preserve">3) </w:t>
      </w:r>
    </w:p>
    <w:p w14:paraId="20545EF9" w14:textId="1B56E0AC" w:rsidR="00413220" w:rsidRDefault="00413220" w:rsidP="00413220">
      <w:pPr>
        <w:ind w:left="847" w:hanging="338"/>
      </w:pPr>
      <w:r>
        <w:t>Os estojos de desenho, constituídos por uma régua (posição 90.17), um disco de cálculo (posição 90.17), um compasso (posição 90.17), um lápis (posição 96.09) e um apontador de lápis (</w:t>
      </w:r>
      <w:proofErr w:type="spellStart"/>
      <w:r>
        <w:t>aparalápis</w:t>
      </w:r>
      <w:proofErr w:type="spellEnd"/>
      <w:r>
        <w:t xml:space="preserve">) (posição 82.14), apresentados num estojo de folha de plástico (posição 42.02): </w:t>
      </w:r>
    </w:p>
    <w:p w14:paraId="5FCC2908" w14:textId="77777777" w:rsidR="00413220" w:rsidRDefault="00413220" w:rsidP="00413220">
      <w:pPr>
        <w:ind w:left="852"/>
      </w:pPr>
      <w:r>
        <w:t xml:space="preserve">Classificação na posição 90.17. </w:t>
      </w:r>
    </w:p>
    <w:p w14:paraId="364F090D" w14:textId="77777777" w:rsidR="00413220" w:rsidRDefault="00413220" w:rsidP="00413220">
      <w:pPr>
        <w:ind w:left="852"/>
      </w:pPr>
      <w:r>
        <w:t xml:space="preserve">Em todos os sortidos acima referidos, a classificação efetua-se de acordo com o objeto ou com os objetos que, em conjunto, confiram ao sortido a sua característica essencial. </w:t>
      </w:r>
    </w:p>
    <w:p w14:paraId="039F3A92" w14:textId="77777777" w:rsidR="008A1642" w:rsidRDefault="008A1642" w:rsidP="008A1642">
      <w:pPr>
        <w:pStyle w:val="Ttulo4"/>
      </w:pPr>
      <w:r>
        <w:t>XI)</w:t>
      </w:r>
    </w:p>
    <w:p w14:paraId="111AF5D7" w14:textId="1767C938" w:rsidR="00413220" w:rsidRDefault="00413220" w:rsidP="008A1642">
      <w:pPr>
        <w:spacing w:after="249"/>
        <w:ind w:left="520" w:firstLine="0"/>
      </w:pPr>
      <w:r>
        <w:t xml:space="preserve">A presente Regra não se aplica às mercadorias constituídas por diferentes componentes acondicionados separadamente e apresentados em conjunto (mesmo em embalagem comum), em proporções fixas, para a fabricação industrial de bebidas, por exemplo. </w:t>
      </w:r>
    </w:p>
    <w:p w14:paraId="525602D6" w14:textId="77777777" w:rsidR="00413220" w:rsidRDefault="00413220" w:rsidP="005F5A29">
      <w:pPr>
        <w:pStyle w:val="Ttulo4"/>
      </w:pPr>
      <w:r>
        <w:rPr>
          <w:rFonts w:eastAsia="Times New Roman"/>
        </w:rPr>
        <w:t xml:space="preserve">REGRA 3 c) </w:t>
      </w:r>
    </w:p>
    <w:p w14:paraId="541E8B93" w14:textId="77777777" w:rsidR="005F5A29" w:rsidRDefault="005F5A29" w:rsidP="005F5A29">
      <w:pPr>
        <w:pStyle w:val="Ttulo5"/>
      </w:pPr>
      <w:r>
        <w:t>XII)</w:t>
      </w:r>
    </w:p>
    <w:p w14:paraId="48B79B64" w14:textId="0775FAAE" w:rsidR="00413220" w:rsidRDefault="00413220" w:rsidP="005F5A29">
      <w:pPr>
        <w:spacing w:after="249"/>
        <w:ind w:left="520" w:firstLine="0"/>
      </w:pPr>
      <w:r>
        <w:t xml:space="preserve">Quando as Regras 3 a) ou 3 b) forem inoperantes, as mercadorias devem ser classificadas na posição situada em último lugar na ordem numérica, dentre as suscetíveis de validamente se tomarem em consideração para a sua classificação. </w:t>
      </w:r>
    </w:p>
    <w:p w14:paraId="46D12864" w14:textId="77777777" w:rsidR="00413220" w:rsidRDefault="00413220" w:rsidP="00BE2465">
      <w:pPr>
        <w:pStyle w:val="Ttulo2"/>
      </w:pPr>
      <w:r>
        <w:rPr>
          <w:rFonts w:eastAsia="Times New Roman"/>
        </w:rPr>
        <w:t xml:space="preserve">REGRA 4 </w:t>
      </w:r>
    </w:p>
    <w:p w14:paraId="61074EBB" w14:textId="77777777" w:rsidR="00413220" w:rsidRDefault="00413220" w:rsidP="00413220">
      <w:pPr>
        <w:spacing w:line="248" w:lineRule="auto"/>
        <w:ind w:left="178" w:hanging="10"/>
      </w:pPr>
      <w:r>
        <w:rPr>
          <w:b/>
        </w:rPr>
        <w:t>As mercadorias que não possam ser classificadas por aplicação das Regras acima enunciadas classificam-se na posição correspondente aos artigos mais semelhantes.</w:t>
      </w:r>
      <w:r>
        <w:t xml:space="preserve"> </w:t>
      </w:r>
    </w:p>
    <w:p w14:paraId="706443EE" w14:textId="77777777" w:rsidR="00413220" w:rsidRDefault="00413220" w:rsidP="00BE2465">
      <w:pPr>
        <w:pStyle w:val="Ttulo3"/>
      </w:pPr>
      <w:r>
        <w:rPr>
          <w:rFonts w:eastAsia="Times New Roman"/>
        </w:rPr>
        <w:t xml:space="preserve">NOTA EXPLICATIVA </w:t>
      </w:r>
    </w:p>
    <w:p w14:paraId="7B7E07A7" w14:textId="77777777" w:rsidR="00540C2F" w:rsidRDefault="00540C2F" w:rsidP="00540C2F">
      <w:pPr>
        <w:pStyle w:val="Ttulo4"/>
      </w:pPr>
      <w:r>
        <w:t>I)</w:t>
      </w:r>
    </w:p>
    <w:p w14:paraId="518F0628" w14:textId="4C15CD9E" w:rsidR="00413220" w:rsidRDefault="00413220" w:rsidP="00540C2F">
      <w:pPr>
        <w:ind w:left="361" w:firstLine="0"/>
      </w:pPr>
      <w:r>
        <w:t xml:space="preserve">Esta Regra refere-se às mercadorias que não possam ser classificadas por aplicação das Regras 1 a 3. Esta Regra estabelece que essas mercadorias se classificam na posição correspondente aos artigos mais semelhantes. </w:t>
      </w:r>
    </w:p>
    <w:p w14:paraId="5BEA3126" w14:textId="77777777" w:rsidR="00540C2F" w:rsidRDefault="00540C2F" w:rsidP="00540C2F">
      <w:pPr>
        <w:pStyle w:val="Ttulo4"/>
      </w:pPr>
      <w:r>
        <w:t>II)</w:t>
      </w:r>
    </w:p>
    <w:p w14:paraId="76EC20BE" w14:textId="67C717D5" w:rsidR="00413220" w:rsidRDefault="00413220" w:rsidP="00540C2F">
      <w:pPr>
        <w:ind w:left="361" w:firstLine="0"/>
      </w:pPr>
      <w:r>
        <w:t xml:space="preserve">A classificação de conformidade com a Regra 4 exige a comparação das mercadorias apresentadas com mercadorias semelhantes, de maneira a determinar quais as mercadorias mais semelhantes às mercadorias apresentadas. Estas últimas devem classificar-se na posição correspondente aos artigos mais semelhantes. </w:t>
      </w:r>
    </w:p>
    <w:p w14:paraId="6547509F" w14:textId="77777777" w:rsidR="00540C2F" w:rsidRDefault="00540C2F" w:rsidP="00540C2F">
      <w:pPr>
        <w:pStyle w:val="Ttulo4"/>
      </w:pPr>
      <w:r>
        <w:t>III)</w:t>
      </w:r>
    </w:p>
    <w:p w14:paraId="5BB10EA9" w14:textId="6D1BF9B4" w:rsidR="00413220" w:rsidRDefault="00413220" w:rsidP="00540C2F">
      <w:pPr>
        <w:ind w:left="361" w:firstLine="0"/>
      </w:pPr>
      <w:r>
        <w:t xml:space="preserve">A analogia pode, naturalmente, basear-se em vários elementos, tais como a denominação, as características, a utilização. </w:t>
      </w:r>
    </w:p>
    <w:p w14:paraId="328C4A21" w14:textId="77777777" w:rsidR="00413220" w:rsidRDefault="00413220" w:rsidP="00BE2465">
      <w:pPr>
        <w:pStyle w:val="Ttulo2"/>
      </w:pPr>
      <w:r>
        <w:rPr>
          <w:rFonts w:eastAsia="Times New Roman"/>
        </w:rPr>
        <w:t xml:space="preserve">REGRA 5 </w:t>
      </w:r>
    </w:p>
    <w:p w14:paraId="4B049A92" w14:textId="77777777" w:rsidR="00413220" w:rsidRDefault="00413220" w:rsidP="00413220">
      <w:pPr>
        <w:spacing w:line="248" w:lineRule="auto"/>
        <w:ind w:left="178" w:hanging="10"/>
      </w:pPr>
      <w:r>
        <w:rPr>
          <w:b/>
        </w:rPr>
        <w:t>Além das disposições precedentes, as mercadorias abaixo mencionadas estão sujeitas às Regras seguintes</w:t>
      </w:r>
      <w:r>
        <w:t xml:space="preserve">: </w:t>
      </w:r>
    </w:p>
    <w:p w14:paraId="7ACB5EAC" w14:textId="77777777" w:rsidR="00757F22" w:rsidRDefault="00757F22" w:rsidP="00461687">
      <w:pPr>
        <w:pStyle w:val="Ttulo3"/>
      </w:pPr>
      <w:r>
        <w:t>a)</w:t>
      </w:r>
    </w:p>
    <w:p w14:paraId="0AAAB0EE" w14:textId="5E15863B" w:rsidR="00413220" w:rsidRDefault="00413220" w:rsidP="00757F22">
      <w:pPr>
        <w:spacing w:line="248" w:lineRule="auto"/>
        <w:ind w:left="509" w:firstLine="0"/>
      </w:pPr>
      <w:r>
        <w:rPr>
          <w:b/>
        </w:rPr>
        <w:t xml:space="preserve">Os estojos para câmeras fotográficas, instrumentos musicais, armas, instrumentos de desenho, joias e artigos semelhantes, especialmente fabricados para conterem um </w:t>
      </w:r>
      <w:r>
        <w:rPr>
          <w:b/>
        </w:rPr>
        <w:lastRenderedPageBreak/>
        <w:t xml:space="preserve">artigo determinado ou um sortido, e suscetíveis de um uso prolongado, quando apresentados com os artigos a que se destinam, classificam-se com estes últimos, desde que sejam do tipo normalmente vendido com tais artigos. Esta Regra, todavia, não diz respeito aos artigos que confiram ao conjunto a sua característica essencial. </w:t>
      </w:r>
    </w:p>
    <w:p w14:paraId="51361A9D" w14:textId="77777777" w:rsidR="00757F22" w:rsidRDefault="00757F22" w:rsidP="00461687">
      <w:pPr>
        <w:pStyle w:val="Ttulo3"/>
      </w:pPr>
      <w:r>
        <w:t>b)</w:t>
      </w:r>
    </w:p>
    <w:p w14:paraId="51523E6D" w14:textId="2324AE0E" w:rsidR="00413220" w:rsidRDefault="00413220" w:rsidP="00757F22">
      <w:pPr>
        <w:spacing w:line="248" w:lineRule="auto"/>
        <w:ind w:left="509" w:firstLine="0"/>
      </w:pPr>
      <w:r>
        <w:rPr>
          <w:b/>
        </w:rPr>
        <w:t xml:space="preserve">Sem prejuízo do disposto na Regra 5 a), as embalagens que contenham mercadorias classificam-se com estas últimas quando sejam do tipo normalmente utilizado para o seu acondicionamento. Todavia, esta disposição não é obrigatória quando as embalagens sejam claramente suscetíveis de utilização repetida. </w:t>
      </w:r>
    </w:p>
    <w:p w14:paraId="5B31BCA1" w14:textId="77777777" w:rsidR="00413220" w:rsidRDefault="00413220" w:rsidP="00764D5D">
      <w:pPr>
        <w:pStyle w:val="Ttulo3"/>
      </w:pPr>
      <w:r>
        <w:rPr>
          <w:rFonts w:eastAsia="Times New Roman"/>
        </w:rPr>
        <w:t xml:space="preserve">NOTA EXPLICATIVA </w:t>
      </w:r>
    </w:p>
    <w:p w14:paraId="0BC76752" w14:textId="45D1763A" w:rsidR="00413220" w:rsidRDefault="00413220" w:rsidP="00764D5D">
      <w:pPr>
        <w:pStyle w:val="Ttulo4"/>
      </w:pPr>
      <w:r>
        <w:rPr>
          <w:rFonts w:eastAsia="Times New Roman"/>
        </w:rPr>
        <w:t xml:space="preserve">REGRA 5 a)  (Estojos e artigos semelhantes) </w:t>
      </w:r>
    </w:p>
    <w:p w14:paraId="56E5B239" w14:textId="77777777" w:rsidR="00AE50DA" w:rsidRDefault="00AE50DA" w:rsidP="00AE50DA">
      <w:pPr>
        <w:pStyle w:val="Ttulo5"/>
      </w:pPr>
      <w:r>
        <w:t>I)</w:t>
      </w:r>
    </w:p>
    <w:p w14:paraId="7BD35A40" w14:textId="4B495243" w:rsidR="00413220" w:rsidRDefault="00413220" w:rsidP="00AE50DA">
      <w:pPr>
        <w:ind w:left="373" w:firstLine="0"/>
      </w:pPr>
      <w:r>
        <w:t xml:space="preserve">A presente Regra deve ser interpretada como de aplicação exclusiva aos recipientes (receptáculos) que, simultaneamente: </w:t>
      </w:r>
    </w:p>
    <w:p w14:paraId="0D99722F" w14:textId="77777777" w:rsidR="00AE50DA" w:rsidRDefault="00AE50DA" w:rsidP="00AE50DA">
      <w:pPr>
        <w:pStyle w:val="Ttulo6"/>
      </w:pPr>
      <w:r>
        <w:t>1)</w:t>
      </w:r>
    </w:p>
    <w:p w14:paraId="763A428E" w14:textId="62C07D72" w:rsidR="00413220" w:rsidRDefault="00413220" w:rsidP="00AE50DA">
      <w:pPr>
        <w:ind w:left="847" w:firstLine="0"/>
      </w:pPr>
      <w:r>
        <w:t xml:space="preserve">Sejam especialmente fabricados para receber um determinado artigo ou sortido, isto é, sejam preparados de tal forma que o artigo contido se acomoda exatamente no seu lugar, podendo alguns recipientes (receptáculos), além disso, ter a forma do artigo que devam conter; </w:t>
      </w:r>
    </w:p>
    <w:p w14:paraId="230A9870" w14:textId="77777777" w:rsidR="00AE50DA" w:rsidRDefault="00AE50DA" w:rsidP="00AE50DA">
      <w:pPr>
        <w:pStyle w:val="Ttulo6"/>
      </w:pPr>
      <w:r>
        <w:t>2)</w:t>
      </w:r>
    </w:p>
    <w:p w14:paraId="341844C9" w14:textId="25D62307" w:rsidR="00413220" w:rsidRDefault="00413220" w:rsidP="00AE50DA">
      <w:pPr>
        <w:ind w:left="847" w:firstLine="0"/>
      </w:pPr>
      <w:r>
        <w:t xml:space="preserve">Sejam suscetíveis de um uso prolongado, isto é, sejam concebidos, especificamente, no que se refere à resistência ou ao acabamento, para ter uma duração de utilização comparável à do conteúdo. Estes recipientes (receptáculos) servem, frequentemente, para proteger o artigo a que se referem fora dos momentos de utilização (por exemplo, transporte, armazenamento, etc.). Estas características permitem diferenciá-los das simples embalagens; </w:t>
      </w:r>
    </w:p>
    <w:p w14:paraId="5919B35A" w14:textId="77777777" w:rsidR="00AE50DA" w:rsidRDefault="00AE50DA" w:rsidP="00AE50DA">
      <w:pPr>
        <w:pStyle w:val="Ttulo6"/>
      </w:pPr>
      <w:r>
        <w:t>3)</w:t>
      </w:r>
    </w:p>
    <w:p w14:paraId="57383727" w14:textId="77777777" w:rsidR="00D95CE5" w:rsidRDefault="00413220" w:rsidP="00AE50DA">
      <w:pPr>
        <w:ind w:left="847" w:firstLine="0"/>
      </w:pPr>
      <w:r>
        <w:t xml:space="preserve">Sejam apresentados com os artigos aos quais se referem, quer estes estejam ou não acondicionados separadamente, para facilitar o transporte. Os recipientes (receptáculos) apresentados isoladamente seguem o seu próprio regime; </w:t>
      </w:r>
    </w:p>
    <w:p w14:paraId="253775E5" w14:textId="77777777" w:rsidR="00492804" w:rsidRDefault="00413220" w:rsidP="00492804">
      <w:pPr>
        <w:pStyle w:val="Ttulo6"/>
      </w:pPr>
      <w:r>
        <w:t xml:space="preserve">4) </w:t>
      </w:r>
    </w:p>
    <w:p w14:paraId="6C626FE9" w14:textId="77777777" w:rsidR="00492804" w:rsidRDefault="00413220" w:rsidP="00AE50DA">
      <w:pPr>
        <w:ind w:left="847" w:firstLine="0"/>
      </w:pPr>
      <w:r>
        <w:t xml:space="preserve">Sejam do tipo normalmente vendido com os mencionados artigos; </w:t>
      </w:r>
    </w:p>
    <w:p w14:paraId="2A8E2D9F" w14:textId="77777777" w:rsidR="00492804" w:rsidRDefault="00413220" w:rsidP="00492804">
      <w:pPr>
        <w:pStyle w:val="Ttulo6"/>
      </w:pPr>
      <w:r>
        <w:t xml:space="preserve">5) </w:t>
      </w:r>
    </w:p>
    <w:p w14:paraId="2213AEF5" w14:textId="176C232D" w:rsidR="00413220" w:rsidRDefault="00413220" w:rsidP="00AE50DA">
      <w:pPr>
        <w:ind w:left="847" w:firstLine="0"/>
      </w:pPr>
      <w:r>
        <w:t xml:space="preserve">Não confiram ao conjunto a sua característica essencial. </w:t>
      </w:r>
    </w:p>
    <w:p w14:paraId="0950A61E" w14:textId="77777777" w:rsidR="00AE50DA" w:rsidRDefault="00AE50DA" w:rsidP="00AE50DA">
      <w:pPr>
        <w:pStyle w:val="Ttulo5"/>
      </w:pPr>
      <w:r>
        <w:t>II)</w:t>
      </w:r>
    </w:p>
    <w:p w14:paraId="682BC1F8" w14:textId="426DCCA5" w:rsidR="00413220" w:rsidRDefault="00413220" w:rsidP="00AE50DA">
      <w:pPr>
        <w:ind w:left="373" w:firstLine="0"/>
      </w:pPr>
      <w:r>
        <w:t xml:space="preserve">Como exemplos de recipientes (receptáculos) apresentados com os artigos aos quais se destinam e cuja classificação é determinada por aplicação da presente Regra, citam-se: </w:t>
      </w:r>
    </w:p>
    <w:p w14:paraId="77E0C260" w14:textId="77777777" w:rsidR="00AE50DA" w:rsidRDefault="00AE50DA" w:rsidP="00AE50DA">
      <w:pPr>
        <w:pStyle w:val="Ttulo6"/>
      </w:pPr>
      <w:r>
        <w:t>1)</w:t>
      </w:r>
    </w:p>
    <w:p w14:paraId="71BD468B" w14:textId="2678805A" w:rsidR="00413220" w:rsidRDefault="00413220" w:rsidP="00AE50DA">
      <w:pPr>
        <w:ind w:left="847" w:firstLine="0"/>
      </w:pPr>
      <w:r>
        <w:t xml:space="preserve">Os estojos para joias (guarda-joias) (posição 71.13); </w:t>
      </w:r>
    </w:p>
    <w:p w14:paraId="5A18AF2D" w14:textId="77777777" w:rsidR="00AE50DA" w:rsidRDefault="00AE50DA" w:rsidP="00AE50DA">
      <w:pPr>
        <w:pStyle w:val="Ttulo6"/>
      </w:pPr>
      <w:r>
        <w:t>2)</w:t>
      </w:r>
    </w:p>
    <w:p w14:paraId="05484194" w14:textId="1CEA0D9B" w:rsidR="00413220" w:rsidRDefault="00413220" w:rsidP="00AE50DA">
      <w:pPr>
        <w:ind w:left="847" w:firstLine="0"/>
      </w:pPr>
      <w:r>
        <w:t xml:space="preserve">Os estojos para aparelhos ou máquinas de barbear elétricos (posição 85.10); </w:t>
      </w:r>
    </w:p>
    <w:p w14:paraId="330FA40A" w14:textId="77777777" w:rsidR="00AE50DA" w:rsidRDefault="00AE50DA" w:rsidP="00AE50DA">
      <w:pPr>
        <w:pStyle w:val="Ttulo6"/>
      </w:pPr>
      <w:r>
        <w:t>3)</w:t>
      </w:r>
    </w:p>
    <w:p w14:paraId="5FF6AC8D" w14:textId="77777777" w:rsidR="00492804" w:rsidRDefault="00413220" w:rsidP="00AE50DA">
      <w:pPr>
        <w:spacing w:after="0" w:line="349" w:lineRule="auto"/>
        <w:ind w:left="847" w:firstLine="0"/>
      </w:pPr>
      <w:r>
        <w:t xml:space="preserve">Os estojos para binóculos, estojos para miras telescópicas (posição 90.05); </w:t>
      </w:r>
    </w:p>
    <w:p w14:paraId="4F3225DE" w14:textId="77777777" w:rsidR="00492804" w:rsidRDefault="00413220" w:rsidP="00492804">
      <w:pPr>
        <w:pStyle w:val="Ttulo6"/>
      </w:pPr>
      <w:r>
        <w:t xml:space="preserve">4) </w:t>
      </w:r>
    </w:p>
    <w:p w14:paraId="219A24DF" w14:textId="77777777" w:rsidR="00492804" w:rsidRDefault="00413220" w:rsidP="00AE50DA">
      <w:pPr>
        <w:spacing w:after="0" w:line="349" w:lineRule="auto"/>
        <w:ind w:left="847" w:firstLine="0"/>
      </w:pPr>
      <w:r>
        <w:t xml:space="preserve">As caixas e estojos para instrumentos musicais (posição 92.02, por exemplo); </w:t>
      </w:r>
    </w:p>
    <w:p w14:paraId="5DB8198A" w14:textId="77777777" w:rsidR="00492804" w:rsidRDefault="00413220" w:rsidP="00492804">
      <w:pPr>
        <w:pStyle w:val="Ttulo6"/>
      </w:pPr>
      <w:r>
        <w:lastRenderedPageBreak/>
        <w:t xml:space="preserve">5) </w:t>
      </w:r>
    </w:p>
    <w:p w14:paraId="400880A4" w14:textId="31853111" w:rsidR="00413220" w:rsidRDefault="00413220" w:rsidP="00AE50DA">
      <w:pPr>
        <w:spacing w:after="0" w:line="349" w:lineRule="auto"/>
        <w:ind w:left="847" w:firstLine="0"/>
      </w:pPr>
      <w:r>
        <w:t xml:space="preserve">Os estojos para espingardas (posição 93.03, por exemplo). </w:t>
      </w:r>
    </w:p>
    <w:p w14:paraId="3F0062D5" w14:textId="77777777" w:rsidR="00540C2F" w:rsidRDefault="00540C2F" w:rsidP="00540C2F">
      <w:pPr>
        <w:pStyle w:val="Ttulo5"/>
      </w:pPr>
      <w:r>
        <w:t>III)</w:t>
      </w:r>
    </w:p>
    <w:p w14:paraId="213BDE0F" w14:textId="1A8D6FA2" w:rsidR="00413220" w:rsidRDefault="00413220" w:rsidP="00540C2F">
      <w:pPr>
        <w:spacing w:after="247"/>
        <w:ind w:left="373" w:firstLine="0"/>
      </w:pPr>
      <w:r>
        <w:t xml:space="preserve">Pelo contrário, como exemplos de recipientes (receptáculos) que não entram no campo de aplicação desta Regra, citam-se as caixas de chá, de prata, que contenham chá ou as tigelas decorativas de cerâmica, que contenham doces. </w:t>
      </w:r>
    </w:p>
    <w:p w14:paraId="179C294D" w14:textId="3EA23E85" w:rsidR="00413220" w:rsidRPr="00540C2F" w:rsidRDefault="00413220" w:rsidP="00540C2F">
      <w:pPr>
        <w:pStyle w:val="Ttulo4"/>
      </w:pPr>
      <w:r w:rsidRPr="00540C2F">
        <w:t xml:space="preserve">REGRA 5 b)  (Embalagens) </w:t>
      </w:r>
    </w:p>
    <w:p w14:paraId="6AC50266" w14:textId="511DAFF7" w:rsidR="00540C2F" w:rsidRDefault="00540C2F" w:rsidP="00540C2F">
      <w:pPr>
        <w:pStyle w:val="Ttulo5"/>
      </w:pPr>
      <w:r>
        <w:t>IV)</w:t>
      </w:r>
    </w:p>
    <w:p w14:paraId="5CE93D1F" w14:textId="20FB7BB1" w:rsidR="00413220" w:rsidRDefault="00413220" w:rsidP="00540C2F">
      <w:pPr>
        <w:pStyle w:val="PargrafodaLista"/>
        <w:ind w:left="362" w:firstLine="0"/>
      </w:pPr>
      <w:r>
        <w:t xml:space="preserve">A presente Regra estabelece a classificação das embalagens do tipo normalmente utilizado para as mercadorias que contêm. Contudo, esta disposição não é obrigatória quando tais embalagens são claramente suscetíveis de utilização repetida, por exemplo, certos tambores metálicos ou recipientes de ferro ou de aço para gases comprimidos ou liquefeitos. </w:t>
      </w:r>
    </w:p>
    <w:p w14:paraId="58D56A25" w14:textId="77777777" w:rsidR="00540C2F" w:rsidRDefault="00540C2F" w:rsidP="00540C2F">
      <w:pPr>
        <w:pStyle w:val="Ttulo5"/>
      </w:pPr>
      <w:r>
        <w:t>V)</w:t>
      </w:r>
    </w:p>
    <w:p w14:paraId="7ADAB968" w14:textId="4A4F21ED" w:rsidR="00413220" w:rsidRDefault="00413220" w:rsidP="00540C2F">
      <w:pPr>
        <w:spacing w:after="249"/>
        <w:ind w:left="373" w:firstLine="0"/>
      </w:pPr>
      <w:r>
        <w:t xml:space="preserve">Dado que a presente Regra está subordinada à aplicação das disposições da Regra 5 a), a classificação dos estojos e recipientes (receptáculos) semelhantes, do tipo mencionado na Regra 5 a), rege-se pelas disposições desta última Regra. </w:t>
      </w:r>
    </w:p>
    <w:p w14:paraId="3407C13E" w14:textId="77777777" w:rsidR="00413220" w:rsidRDefault="00413220" w:rsidP="00B230E2">
      <w:pPr>
        <w:pStyle w:val="Ttulo2"/>
      </w:pPr>
      <w:r>
        <w:rPr>
          <w:rFonts w:eastAsia="Times New Roman"/>
        </w:rPr>
        <w:t xml:space="preserve">REGRA 6 </w:t>
      </w:r>
    </w:p>
    <w:p w14:paraId="288D481C" w14:textId="77777777" w:rsidR="00413220" w:rsidRDefault="00413220" w:rsidP="00413220">
      <w:pPr>
        <w:spacing w:line="248" w:lineRule="auto"/>
        <w:ind w:left="178" w:hanging="10"/>
      </w:pPr>
      <w:r>
        <w:rPr>
          <w:b/>
        </w:rPr>
        <w:t xml:space="preserve">A classificação de mercadorias nas subposições de uma mesma posição é determinada, para efeitos legais, pelos textos dessas subposições e das Notas de subposição respectivas, bem como, </w:t>
      </w:r>
      <w:r>
        <w:rPr>
          <w:b/>
          <w:i/>
        </w:rPr>
        <w:t>mutatis mutandis</w:t>
      </w:r>
      <w:r>
        <w:rPr>
          <w:b/>
        </w:rPr>
        <w:t>, pelas Regras precedentes, entendendo-se que apenas são comparáveis subposições do mesmo nível. Na acepção da presente Regra, as Notas de Seção e de Capítulo são também aplicáveis, salvo disposições em contrário.</w:t>
      </w:r>
      <w:r>
        <w:t xml:space="preserve"> </w:t>
      </w:r>
    </w:p>
    <w:p w14:paraId="4F1412D1" w14:textId="77777777" w:rsidR="00413220" w:rsidRDefault="00413220" w:rsidP="00B230E2">
      <w:pPr>
        <w:pStyle w:val="Ttulo3"/>
      </w:pPr>
      <w:r>
        <w:rPr>
          <w:rFonts w:eastAsia="Times New Roman"/>
        </w:rPr>
        <w:t xml:space="preserve">NOTA EXPLICATIVA </w:t>
      </w:r>
    </w:p>
    <w:p w14:paraId="7C734CFC" w14:textId="77777777" w:rsidR="00F432BB" w:rsidRDefault="00F432BB" w:rsidP="001C6AA9">
      <w:pPr>
        <w:pStyle w:val="Ttulo4"/>
      </w:pPr>
      <w:r>
        <w:t>I)</w:t>
      </w:r>
    </w:p>
    <w:p w14:paraId="5022C20D" w14:textId="75453E48" w:rsidR="00413220" w:rsidRDefault="00413220" w:rsidP="00F432BB">
      <w:pPr>
        <w:spacing w:after="142"/>
        <w:ind w:left="361" w:firstLine="0"/>
      </w:pPr>
      <w:r>
        <w:t xml:space="preserve">As Regras 1 a 5 precedentes estabelecem, </w:t>
      </w:r>
      <w:r>
        <w:rPr>
          <w:i/>
        </w:rPr>
        <w:t>mutatis mutandis</w:t>
      </w:r>
      <w:r>
        <w:t xml:space="preserve">, a classificação ao nível das subposições dentro de uma mesma posição. </w:t>
      </w:r>
    </w:p>
    <w:p w14:paraId="02839039" w14:textId="77777777" w:rsidR="00F432BB" w:rsidRDefault="00F432BB" w:rsidP="001C6AA9">
      <w:pPr>
        <w:pStyle w:val="Ttulo4"/>
      </w:pPr>
      <w:r>
        <w:t>II)</w:t>
      </w:r>
    </w:p>
    <w:p w14:paraId="607B5CAA" w14:textId="43E9FC5F" w:rsidR="00413220" w:rsidRDefault="00413220" w:rsidP="00F432BB">
      <w:pPr>
        <w:ind w:left="361" w:firstLine="0"/>
      </w:pPr>
      <w:r>
        <w:t xml:space="preserve">Com vista à aplicação da Regra 6, entende-se: </w:t>
      </w:r>
    </w:p>
    <w:p w14:paraId="479ECF14" w14:textId="77777777" w:rsidR="00F432BB" w:rsidRDefault="00F432BB" w:rsidP="001C6AA9">
      <w:pPr>
        <w:pStyle w:val="Ttulo5"/>
      </w:pPr>
      <w:r>
        <w:t>a)</w:t>
      </w:r>
    </w:p>
    <w:p w14:paraId="779ECDD5" w14:textId="4F9CA626" w:rsidR="00413220" w:rsidRDefault="00413220" w:rsidP="00F432BB">
      <w:pPr>
        <w:ind w:left="847" w:firstLine="0"/>
      </w:pPr>
      <w:r>
        <w:t xml:space="preserve">Por “subposição do mesmo nível”, as subposições de um travessão (nível 1), ou as subposições de dois travessões (nível 2). </w:t>
      </w:r>
    </w:p>
    <w:p w14:paraId="224B49AF" w14:textId="77777777" w:rsidR="00413220" w:rsidRDefault="00413220" w:rsidP="00413220">
      <w:pPr>
        <w:ind w:left="852"/>
      </w:pPr>
      <w:r>
        <w:t xml:space="preserve">Assim, se dentro de uma posição, duas ou mais subposições de um travessão puderem ser tomadas em consideração em conformidade com a Regra 3 a), a especificidade de cada uma dessas subposições de um travessão em relação a um artigo determinado deve ser apreciada exclusivamente em função dos seus próprios dizeres. Se tiver sido escolhida a subposição mais específica e se ela mesma estiver subdividida, então, e só então, se tem em consideração os dizeres das subposições de dois travessões para se determinar qual dessas subposições deve ser, finalmente, selecionada. </w:t>
      </w:r>
    </w:p>
    <w:p w14:paraId="2C4252CD" w14:textId="77777777" w:rsidR="00F432BB" w:rsidRDefault="00F432BB" w:rsidP="001C6AA9">
      <w:pPr>
        <w:pStyle w:val="Ttulo5"/>
      </w:pPr>
      <w:r>
        <w:t>b)</w:t>
      </w:r>
    </w:p>
    <w:p w14:paraId="3D56883B" w14:textId="16574016" w:rsidR="00413220" w:rsidRDefault="00413220" w:rsidP="00F432BB">
      <w:pPr>
        <w:ind w:left="847" w:firstLine="0"/>
      </w:pPr>
      <w:r>
        <w:t xml:space="preserve">Por “disposições em contrário”, as Notas ou os dizeres de subposições que sejam incompatíveis com esta ou aquela Nota de Seção ou de Capítulo. </w:t>
      </w:r>
    </w:p>
    <w:p w14:paraId="3BB5081D" w14:textId="77777777" w:rsidR="00413220" w:rsidRDefault="00413220" w:rsidP="00413220">
      <w:pPr>
        <w:ind w:left="852"/>
      </w:pPr>
      <w:r>
        <w:t xml:space="preserve">Assim, por exemplo, pode citar-se a Nota de subposições 2 do Capítulo 71, que dá ao termo “platina” um alcance diferente do definido pela Nota 4 B) do mesmo Capítulo, e que é a única Nota </w:t>
      </w:r>
      <w:r w:rsidRPr="001A76E1">
        <w:rPr>
          <w:u w:val="single"/>
        </w:rPr>
        <w:t>aplicável</w:t>
      </w:r>
      <w:r>
        <w:t xml:space="preserve"> para a interpretação das subposições 7110.11 e 7110.19. </w:t>
      </w:r>
    </w:p>
    <w:p w14:paraId="44AB478F" w14:textId="77777777" w:rsidR="00F432BB" w:rsidRDefault="00F432BB" w:rsidP="001C6AA9">
      <w:pPr>
        <w:pStyle w:val="Ttulo4"/>
      </w:pPr>
      <w:r>
        <w:lastRenderedPageBreak/>
        <w:t>III)</w:t>
      </w:r>
    </w:p>
    <w:p w14:paraId="2B0521B8" w14:textId="1D9DAAB9" w:rsidR="00413220" w:rsidRDefault="00413220" w:rsidP="00F432BB">
      <w:pPr>
        <w:ind w:left="361" w:firstLine="0"/>
      </w:pPr>
      <w:r>
        <w:t xml:space="preserve">O alcance de uma subposição de dois travessões não deverá exceder o da subposição de um travessão à qual pertence; do mesmo modo, uma subposição de um travessão não terá abrangência superior à da posição à qual pertence. </w:t>
      </w:r>
    </w:p>
    <w:p w14:paraId="469E887E" w14:textId="77777777" w:rsidR="00245FBF" w:rsidRDefault="00245FBF" w:rsidP="00F432BB">
      <w:pPr>
        <w:ind w:left="361" w:firstLine="0"/>
      </w:pPr>
    </w:p>
    <w:p w14:paraId="2335D6EB" w14:textId="77777777" w:rsidR="00245FBF" w:rsidRDefault="00245FBF" w:rsidP="00245FBF">
      <w:pPr>
        <w:pStyle w:val="Ttulo1"/>
      </w:pPr>
      <w:r w:rsidRPr="00245FBF">
        <w:t xml:space="preserve">REGRAS GERAIS COMPLEMENTARES (RGC) </w:t>
      </w:r>
    </w:p>
    <w:p w14:paraId="3B075277" w14:textId="77777777" w:rsidR="00245FBF" w:rsidRDefault="00245FBF" w:rsidP="001A76E1">
      <w:pPr>
        <w:pStyle w:val="Ttulo2"/>
      </w:pPr>
      <w:r w:rsidRPr="00245FBF">
        <w:t xml:space="preserve">1. </w:t>
      </w:r>
    </w:p>
    <w:p w14:paraId="735B637B" w14:textId="77777777" w:rsidR="00245FBF" w:rsidRDefault="00245FBF" w:rsidP="00F432BB">
      <w:pPr>
        <w:ind w:left="361" w:firstLine="0"/>
      </w:pPr>
      <w:r w:rsidRPr="00245FBF">
        <w:t xml:space="preserve">As Regras Gerais para Interpretação do Sistema Harmonizado se aplicarão, mutatis mutandis, para determinar dentro de cada posição ou subposição, o item aplicável e, dentro deste último, o subitem correspondente, entendendo-se que apenas são comparáveis desdobramentos regionais (itens e subitens) do mesmo nível. </w:t>
      </w:r>
    </w:p>
    <w:p w14:paraId="076F4B18" w14:textId="77777777" w:rsidR="00245FBF" w:rsidRDefault="00245FBF" w:rsidP="001A76E1">
      <w:pPr>
        <w:pStyle w:val="Ttulo2"/>
      </w:pPr>
      <w:r w:rsidRPr="00245FBF">
        <w:t xml:space="preserve">2. </w:t>
      </w:r>
    </w:p>
    <w:p w14:paraId="21EBFD16" w14:textId="140463A4" w:rsidR="00245FBF" w:rsidRDefault="00245FBF" w:rsidP="00F432BB">
      <w:pPr>
        <w:ind w:left="361" w:firstLine="0"/>
      </w:pPr>
      <w:r w:rsidRPr="00245FBF">
        <w:t>As embalagens que contenham mercadorias e que sejam claramente suscetíveis de utilização repetida, mencionadas na Regra 5 b), seguirão seu próprio regime de classificação sempre que estejam submetidas aos regimes aduaneiros especiais de admissão temporária ou de exportação temporária. Caso contrário, seguirão o regime de classificação das mercadorias</w:t>
      </w:r>
    </w:p>
    <w:p w14:paraId="0BB28FF0" w14:textId="77777777" w:rsidR="00413220" w:rsidRDefault="00413220"/>
    <w:sectPr w:rsidR="004132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10800"/>
    <w:multiLevelType w:val="hybridMultilevel"/>
    <w:tmpl w:val="41245CAA"/>
    <w:lvl w:ilvl="0" w:tplc="47A02010">
      <w:start w:val="1"/>
      <w:numFmt w:val="upperRoman"/>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820FFC">
      <w:start w:val="1"/>
      <w:numFmt w:val="lowerLetter"/>
      <w:lvlText w:val="%2"/>
      <w:lvlJc w:val="left"/>
      <w:pPr>
        <w:ind w:left="1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82D132">
      <w:start w:val="1"/>
      <w:numFmt w:val="lowerRoman"/>
      <w:lvlText w:val="%3"/>
      <w:lvlJc w:val="left"/>
      <w:pPr>
        <w:ind w:left="1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74F8C8">
      <w:start w:val="1"/>
      <w:numFmt w:val="decimal"/>
      <w:lvlText w:val="%4"/>
      <w:lvlJc w:val="left"/>
      <w:pPr>
        <w:ind w:left="2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581F3C">
      <w:start w:val="1"/>
      <w:numFmt w:val="lowerLetter"/>
      <w:lvlText w:val="%5"/>
      <w:lvlJc w:val="left"/>
      <w:pPr>
        <w:ind w:left="3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4E1198">
      <w:start w:val="1"/>
      <w:numFmt w:val="lowerRoman"/>
      <w:lvlText w:val="%6"/>
      <w:lvlJc w:val="left"/>
      <w:pPr>
        <w:ind w:left="41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D6B762">
      <w:start w:val="1"/>
      <w:numFmt w:val="decimal"/>
      <w:lvlText w:val="%7"/>
      <w:lvlJc w:val="left"/>
      <w:pPr>
        <w:ind w:left="4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6EC136">
      <w:start w:val="1"/>
      <w:numFmt w:val="lowerLetter"/>
      <w:lvlText w:val="%8"/>
      <w:lvlJc w:val="left"/>
      <w:pPr>
        <w:ind w:left="55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5C5148">
      <w:start w:val="1"/>
      <w:numFmt w:val="lowerRoman"/>
      <w:lvlText w:val="%9"/>
      <w:lvlJc w:val="left"/>
      <w:pPr>
        <w:ind w:left="62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5158E7"/>
    <w:multiLevelType w:val="hybridMultilevel"/>
    <w:tmpl w:val="CB564A3A"/>
    <w:lvl w:ilvl="0" w:tplc="FAE4958E">
      <w:start w:val="1"/>
      <w:numFmt w:val="upperRoman"/>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7E5B50">
      <w:start w:val="1"/>
      <w:numFmt w:val="lowerLetter"/>
      <w:lvlText w:val="%2)"/>
      <w:lvlJc w:val="left"/>
      <w:pPr>
        <w:ind w:left="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706E22">
      <w:start w:val="1"/>
      <w:numFmt w:val="lowerRoman"/>
      <w:lvlText w:val="%3"/>
      <w:lvlJc w:val="left"/>
      <w:pPr>
        <w:ind w:left="1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449326">
      <w:start w:val="1"/>
      <w:numFmt w:val="decimal"/>
      <w:lvlText w:val="%4"/>
      <w:lvlJc w:val="left"/>
      <w:pPr>
        <w:ind w:left="2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1A24DC">
      <w:start w:val="1"/>
      <w:numFmt w:val="lowerLetter"/>
      <w:lvlText w:val="%5"/>
      <w:lvlJc w:val="left"/>
      <w:pPr>
        <w:ind w:left="3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C0911C">
      <w:start w:val="1"/>
      <w:numFmt w:val="lowerRoman"/>
      <w:lvlText w:val="%6"/>
      <w:lvlJc w:val="left"/>
      <w:pPr>
        <w:ind w:left="3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52C934">
      <w:start w:val="1"/>
      <w:numFmt w:val="decimal"/>
      <w:lvlText w:val="%7"/>
      <w:lvlJc w:val="left"/>
      <w:pPr>
        <w:ind w:left="44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B0EA95E">
      <w:start w:val="1"/>
      <w:numFmt w:val="lowerLetter"/>
      <w:lvlText w:val="%8"/>
      <w:lvlJc w:val="left"/>
      <w:pPr>
        <w:ind w:left="5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9E2C56">
      <w:start w:val="1"/>
      <w:numFmt w:val="lowerRoman"/>
      <w:lvlText w:val="%9"/>
      <w:lvlJc w:val="left"/>
      <w:pPr>
        <w:ind w:left="5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1657F0"/>
    <w:multiLevelType w:val="hybridMultilevel"/>
    <w:tmpl w:val="C56A21FA"/>
    <w:lvl w:ilvl="0" w:tplc="D86C494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98A0EC">
      <w:start w:val="1"/>
      <w:numFmt w:val="lowerLetter"/>
      <w:lvlText w:val="%2"/>
      <w:lvlJc w:val="left"/>
      <w:pPr>
        <w:ind w:left="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72D6B4">
      <w:start w:val="1"/>
      <w:numFmt w:val="decimal"/>
      <w:lvlRestart w:val="0"/>
      <w:lvlText w:val="%3)"/>
      <w:lvlJc w:val="left"/>
      <w:pPr>
        <w:ind w:left="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2CB120">
      <w:start w:val="1"/>
      <w:numFmt w:val="decimal"/>
      <w:lvlText w:val="%4"/>
      <w:lvlJc w:val="left"/>
      <w:pPr>
        <w:ind w:left="1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DCD670">
      <w:start w:val="1"/>
      <w:numFmt w:val="lowerLetter"/>
      <w:lvlText w:val="%5"/>
      <w:lvlJc w:val="left"/>
      <w:pPr>
        <w:ind w:left="2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EA3F04">
      <w:start w:val="1"/>
      <w:numFmt w:val="lowerRoman"/>
      <w:lvlText w:val="%6"/>
      <w:lvlJc w:val="left"/>
      <w:pPr>
        <w:ind w:left="3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2AAA72">
      <w:start w:val="1"/>
      <w:numFmt w:val="decimal"/>
      <w:lvlText w:val="%7"/>
      <w:lvlJc w:val="left"/>
      <w:pPr>
        <w:ind w:left="3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50E5A2">
      <w:start w:val="1"/>
      <w:numFmt w:val="lowerLetter"/>
      <w:lvlText w:val="%8"/>
      <w:lvlJc w:val="left"/>
      <w:pPr>
        <w:ind w:left="44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64B6FA">
      <w:start w:val="1"/>
      <w:numFmt w:val="lowerRoman"/>
      <w:lvlText w:val="%9"/>
      <w:lvlJc w:val="left"/>
      <w:pPr>
        <w:ind w:left="5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8DC3F8A"/>
    <w:multiLevelType w:val="hybridMultilevel"/>
    <w:tmpl w:val="C762757A"/>
    <w:lvl w:ilvl="0" w:tplc="3C96A6CC">
      <w:start w:val="1"/>
      <w:numFmt w:val="upperRoman"/>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D88BA0E">
      <w:start w:val="1"/>
      <w:numFmt w:val="lowerLetter"/>
      <w:lvlText w:val="%2)"/>
      <w:lvlJc w:val="left"/>
      <w:pPr>
        <w:ind w:left="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963202">
      <w:start w:val="1"/>
      <w:numFmt w:val="decimal"/>
      <w:lvlText w:val="%3)"/>
      <w:lvlJc w:val="left"/>
      <w:pPr>
        <w:ind w:left="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E82E70">
      <w:start w:val="1"/>
      <w:numFmt w:val="decimal"/>
      <w:lvlText w:val="%4"/>
      <w:lvlJc w:val="left"/>
      <w:pPr>
        <w:ind w:left="1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6AFE9E">
      <w:start w:val="1"/>
      <w:numFmt w:val="lowerLetter"/>
      <w:lvlText w:val="%5"/>
      <w:lvlJc w:val="left"/>
      <w:pPr>
        <w:ind w:left="22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060FC8">
      <w:start w:val="1"/>
      <w:numFmt w:val="lowerRoman"/>
      <w:lvlText w:val="%6"/>
      <w:lvlJc w:val="left"/>
      <w:pPr>
        <w:ind w:left="30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9E0794">
      <w:start w:val="1"/>
      <w:numFmt w:val="decimal"/>
      <w:lvlText w:val="%7"/>
      <w:lvlJc w:val="left"/>
      <w:pPr>
        <w:ind w:left="37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94265E">
      <w:start w:val="1"/>
      <w:numFmt w:val="lowerLetter"/>
      <w:lvlText w:val="%8"/>
      <w:lvlJc w:val="left"/>
      <w:pPr>
        <w:ind w:left="44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229B5E">
      <w:start w:val="1"/>
      <w:numFmt w:val="lowerRoman"/>
      <w:lvlText w:val="%9"/>
      <w:lvlJc w:val="left"/>
      <w:pPr>
        <w:ind w:left="51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CA0051"/>
    <w:multiLevelType w:val="hybridMultilevel"/>
    <w:tmpl w:val="AF0AC0E4"/>
    <w:lvl w:ilvl="0" w:tplc="683069B2">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7D080F0">
      <w:start w:val="1"/>
      <w:numFmt w:val="bullet"/>
      <w:lvlText w:val="o"/>
      <w:lvlJc w:val="left"/>
      <w:pPr>
        <w:ind w:left="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B49F94">
      <w:start w:val="1"/>
      <w:numFmt w:val="bullet"/>
      <w:lvlText w:val="▪"/>
      <w:lvlJc w:val="left"/>
      <w:pPr>
        <w:ind w:left="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80849A">
      <w:start w:val="1"/>
      <w:numFmt w:val="bullet"/>
      <w:lvlRestart w:val="0"/>
      <w:lvlText w:val="–"/>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54F8A0">
      <w:start w:val="1"/>
      <w:numFmt w:val="bullet"/>
      <w:lvlText w:val="o"/>
      <w:lvlJc w:val="left"/>
      <w:pPr>
        <w:ind w:left="1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04AFD8">
      <w:start w:val="1"/>
      <w:numFmt w:val="bullet"/>
      <w:lvlText w:val="▪"/>
      <w:lvlJc w:val="left"/>
      <w:pPr>
        <w:ind w:left="2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969670">
      <w:start w:val="1"/>
      <w:numFmt w:val="bullet"/>
      <w:lvlText w:val="•"/>
      <w:lvlJc w:val="left"/>
      <w:pPr>
        <w:ind w:left="3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143DB4">
      <w:start w:val="1"/>
      <w:numFmt w:val="bullet"/>
      <w:lvlText w:val="o"/>
      <w:lvlJc w:val="left"/>
      <w:pPr>
        <w:ind w:left="4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B24CE0">
      <w:start w:val="1"/>
      <w:numFmt w:val="bullet"/>
      <w:lvlText w:val="▪"/>
      <w:lvlJc w:val="left"/>
      <w:pPr>
        <w:ind w:left="4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D71597"/>
    <w:multiLevelType w:val="hybridMultilevel"/>
    <w:tmpl w:val="D1B003FC"/>
    <w:lvl w:ilvl="0" w:tplc="293C3636">
      <w:start w:val="1"/>
      <w:numFmt w:val="lowerLetter"/>
      <w:lvlText w:val="%1)"/>
      <w:lvlJc w:val="left"/>
      <w:pPr>
        <w:ind w:left="5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E98DA56">
      <w:start w:val="1"/>
      <w:numFmt w:val="lowerLetter"/>
      <w:lvlText w:val="%2"/>
      <w:lvlJc w:val="left"/>
      <w:pPr>
        <w:ind w:left="12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50257DA">
      <w:start w:val="1"/>
      <w:numFmt w:val="lowerRoman"/>
      <w:lvlText w:val="%3"/>
      <w:lvlJc w:val="left"/>
      <w:pPr>
        <w:ind w:left="19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51E5904">
      <w:start w:val="1"/>
      <w:numFmt w:val="decimal"/>
      <w:lvlText w:val="%4"/>
      <w:lvlJc w:val="left"/>
      <w:pPr>
        <w:ind w:left="26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2702708">
      <w:start w:val="1"/>
      <w:numFmt w:val="lowerLetter"/>
      <w:lvlText w:val="%5"/>
      <w:lvlJc w:val="left"/>
      <w:pPr>
        <w:ind w:left="34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B8C9768">
      <w:start w:val="1"/>
      <w:numFmt w:val="lowerRoman"/>
      <w:lvlText w:val="%6"/>
      <w:lvlJc w:val="left"/>
      <w:pPr>
        <w:ind w:left="41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9BCC5D4">
      <w:start w:val="1"/>
      <w:numFmt w:val="decimal"/>
      <w:lvlText w:val="%7"/>
      <w:lvlJc w:val="left"/>
      <w:pPr>
        <w:ind w:left="48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EA830EC">
      <w:start w:val="1"/>
      <w:numFmt w:val="lowerLetter"/>
      <w:lvlText w:val="%8"/>
      <w:lvlJc w:val="left"/>
      <w:pPr>
        <w:ind w:left="55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FFC0310">
      <w:start w:val="1"/>
      <w:numFmt w:val="lowerRoman"/>
      <w:lvlText w:val="%9"/>
      <w:lvlJc w:val="left"/>
      <w:pPr>
        <w:ind w:left="62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EEA0F43"/>
    <w:multiLevelType w:val="hybridMultilevel"/>
    <w:tmpl w:val="8316785A"/>
    <w:lvl w:ilvl="0" w:tplc="798A093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3605B4">
      <w:start w:val="1"/>
      <w:numFmt w:val="lowerLetter"/>
      <w:lvlText w:val="%2"/>
      <w:lvlJc w:val="left"/>
      <w:pPr>
        <w:ind w:left="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9AC3B2">
      <w:start w:val="1"/>
      <w:numFmt w:val="lowerLetter"/>
      <w:lvlRestart w:val="0"/>
      <w:lvlText w:val="%3)"/>
      <w:lvlJc w:val="left"/>
      <w:pPr>
        <w:ind w:left="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5E08A8">
      <w:start w:val="1"/>
      <w:numFmt w:val="decimal"/>
      <w:lvlText w:val="%4"/>
      <w:lvlJc w:val="left"/>
      <w:pPr>
        <w:ind w:left="1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BC2A03E">
      <w:start w:val="1"/>
      <w:numFmt w:val="lowerLetter"/>
      <w:lvlText w:val="%5"/>
      <w:lvlJc w:val="left"/>
      <w:pPr>
        <w:ind w:left="2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8A79AA">
      <w:start w:val="1"/>
      <w:numFmt w:val="lowerRoman"/>
      <w:lvlText w:val="%6"/>
      <w:lvlJc w:val="left"/>
      <w:pPr>
        <w:ind w:left="3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6418A0">
      <w:start w:val="1"/>
      <w:numFmt w:val="decimal"/>
      <w:lvlText w:val="%7"/>
      <w:lvlJc w:val="left"/>
      <w:pPr>
        <w:ind w:left="3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B0031A">
      <w:start w:val="1"/>
      <w:numFmt w:val="lowerLetter"/>
      <w:lvlText w:val="%8"/>
      <w:lvlJc w:val="left"/>
      <w:pPr>
        <w:ind w:left="44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8C2E84">
      <w:start w:val="1"/>
      <w:numFmt w:val="lowerRoman"/>
      <w:lvlText w:val="%9"/>
      <w:lvlJc w:val="left"/>
      <w:pPr>
        <w:ind w:left="5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EF141D"/>
    <w:multiLevelType w:val="hybridMultilevel"/>
    <w:tmpl w:val="BC06BC54"/>
    <w:lvl w:ilvl="0" w:tplc="80A82764">
      <w:start w:val="1"/>
      <w:numFmt w:val="lowerLetter"/>
      <w:lvlText w:val="%1)"/>
      <w:lvlJc w:val="left"/>
      <w:pPr>
        <w:ind w:left="5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9F6EB2A">
      <w:start w:val="1"/>
      <w:numFmt w:val="lowerLetter"/>
      <w:lvlText w:val="%2"/>
      <w:lvlJc w:val="left"/>
      <w:pPr>
        <w:ind w:left="12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27E6288A">
      <w:start w:val="1"/>
      <w:numFmt w:val="lowerRoman"/>
      <w:lvlText w:val="%3"/>
      <w:lvlJc w:val="left"/>
      <w:pPr>
        <w:ind w:left="19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9282C46">
      <w:start w:val="1"/>
      <w:numFmt w:val="decimal"/>
      <w:lvlText w:val="%4"/>
      <w:lvlJc w:val="left"/>
      <w:pPr>
        <w:ind w:left="26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31EDB64">
      <w:start w:val="1"/>
      <w:numFmt w:val="lowerLetter"/>
      <w:lvlText w:val="%5"/>
      <w:lvlJc w:val="left"/>
      <w:pPr>
        <w:ind w:left="34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1E842C1A">
      <w:start w:val="1"/>
      <w:numFmt w:val="lowerRoman"/>
      <w:lvlText w:val="%6"/>
      <w:lvlJc w:val="left"/>
      <w:pPr>
        <w:ind w:left="41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B52D87C">
      <w:start w:val="1"/>
      <w:numFmt w:val="decimal"/>
      <w:lvlText w:val="%7"/>
      <w:lvlJc w:val="left"/>
      <w:pPr>
        <w:ind w:left="48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BD08BEE">
      <w:start w:val="1"/>
      <w:numFmt w:val="lowerLetter"/>
      <w:lvlText w:val="%8"/>
      <w:lvlJc w:val="left"/>
      <w:pPr>
        <w:ind w:left="55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91F6ECDA">
      <w:start w:val="1"/>
      <w:numFmt w:val="lowerRoman"/>
      <w:lvlText w:val="%9"/>
      <w:lvlJc w:val="left"/>
      <w:pPr>
        <w:ind w:left="62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1B63E7C"/>
    <w:multiLevelType w:val="hybridMultilevel"/>
    <w:tmpl w:val="9D30C508"/>
    <w:lvl w:ilvl="0" w:tplc="6324E736">
      <w:start w:val="1"/>
      <w:numFmt w:val="lowerLetter"/>
      <w:lvlText w:val="%1)"/>
      <w:lvlJc w:val="left"/>
      <w:pPr>
        <w:ind w:left="50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D906118">
      <w:start w:val="1"/>
      <w:numFmt w:val="lowerLetter"/>
      <w:lvlText w:val="%2"/>
      <w:lvlJc w:val="left"/>
      <w:pPr>
        <w:ind w:left="12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E00C3FE">
      <w:start w:val="1"/>
      <w:numFmt w:val="lowerRoman"/>
      <w:lvlText w:val="%3"/>
      <w:lvlJc w:val="left"/>
      <w:pPr>
        <w:ind w:left="19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60E8034">
      <w:start w:val="1"/>
      <w:numFmt w:val="decimal"/>
      <w:lvlText w:val="%4"/>
      <w:lvlJc w:val="left"/>
      <w:pPr>
        <w:ind w:left="26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85CAFF4">
      <w:start w:val="1"/>
      <w:numFmt w:val="lowerLetter"/>
      <w:lvlText w:val="%5"/>
      <w:lvlJc w:val="left"/>
      <w:pPr>
        <w:ind w:left="34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2DC93FC">
      <w:start w:val="1"/>
      <w:numFmt w:val="lowerRoman"/>
      <w:lvlText w:val="%6"/>
      <w:lvlJc w:val="left"/>
      <w:pPr>
        <w:ind w:left="41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6F64EEE">
      <w:start w:val="1"/>
      <w:numFmt w:val="decimal"/>
      <w:lvlText w:val="%7"/>
      <w:lvlJc w:val="left"/>
      <w:pPr>
        <w:ind w:left="48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546602C">
      <w:start w:val="1"/>
      <w:numFmt w:val="lowerLetter"/>
      <w:lvlText w:val="%8"/>
      <w:lvlJc w:val="left"/>
      <w:pPr>
        <w:ind w:left="55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FE835D8">
      <w:start w:val="1"/>
      <w:numFmt w:val="lowerRoman"/>
      <w:lvlText w:val="%9"/>
      <w:lvlJc w:val="left"/>
      <w:pPr>
        <w:ind w:left="62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4BE1CEA"/>
    <w:multiLevelType w:val="hybridMultilevel"/>
    <w:tmpl w:val="F2B6B8C4"/>
    <w:lvl w:ilvl="0" w:tplc="E020CE2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80629A">
      <w:start w:val="1"/>
      <w:numFmt w:val="lowerLetter"/>
      <w:lvlText w:val="%2"/>
      <w:lvlJc w:val="left"/>
      <w:pPr>
        <w:ind w:left="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C628E6">
      <w:start w:val="1"/>
      <w:numFmt w:val="decimal"/>
      <w:lvlRestart w:val="0"/>
      <w:lvlText w:val="%3)"/>
      <w:lvlJc w:val="left"/>
      <w:pPr>
        <w:ind w:left="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9E3854">
      <w:start w:val="1"/>
      <w:numFmt w:val="decimal"/>
      <w:lvlText w:val="%4"/>
      <w:lvlJc w:val="left"/>
      <w:pPr>
        <w:ind w:left="1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0635CC">
      <w:start w:val="1"/>
      <w:numFmt w:val="lowerLetter"/>
      <w:lvlText w:val="%5"/>
      <w:lvlJc w:val="left"/>
      <w:pPr>
        <w:ind w:left="2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544ECC">
      <w:start w:val="1"/>
      <w:numFmt w:val="lowerRoman"/>
      <w:lvlText w:val="%6"/>
      <w:lvlJc w:val="left"/>
      <w:pPr>
        <w:ind w:left="3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589E7E">
      <w:start w:val="1"/>
      <w:numFmt w:val="decimal"/>
      <w:lvlText w:val="%7"/>
      <w:lvlJc w:val="left"/>
      <w:pPr>
        <w:ind w:left="3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00DC1C">
      <w:start w:val="1"/>
      <w:numFmt w:val="lowerLetter"/>
      <w:lvlText w:val="%8"/>
      <w:lvlJc w:val="left"/>
      <w:pPr>
        <w:ind w:left="44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4A8206">
      <w:start w:val="1"/>
      <w:numFmt w:val="lowerRoman"/>
      <w:lvlText w:val="%9"/>
      <w:lvlJc w:val="left"/>
      <w:pPr>
        <w:ind w:left="5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50247A1"/>
    <w:multiLevelType w:val="hybridMultilevel"/>
    <w:tmpl w:val="79D08314"/>
    <w:lvl w:ilvl="0" w:tplc="0C7EA4BC">
      <w:start w:val="1"/>
      <w:numFmt w:val="upperRoman"/>
      <w:lvlText w:val="%1)"/>
      <w:lvlJc w:val="left"/>
      <w:pPr>
        <w:ind w:left="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E81EC2">
      <w:start w:val="1"/>
      <w:numFmt w:val="lowerLetter"/>
      <w:lvlText w:val="%2"/>
      <w:lvlJc w:val="left"/>
      <w:pPr>
        <w:ind w:left="1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D4E186">
      <w:start w:val="1"/>
      <w:numFmt w:val="lowerRoman"/>
      <w:lvlText w:val="%3"/>
      <w:lvlJc w:val="left"/>
      <w:pPr>
        <w:ind w:left="1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C47B16">
      <w:start w:val="1"/>
      <w:numFmt w:val="decimal"/>
      <w:lvlText w:val="%4"/>
      <w:lvlJc w:val="left"/>
      <w:pPr>
        <w:ind w:left="2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0635AE">
      <w:start w:val="1"/>
      <w:numFmt w:val="lowerLetter"/>
      <w:lvlText w:val="%5"/>
      <w:lvlJc w:val="left"/>
      <w:pPr>
        <w:ind w:left="3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72A782">
      <w:start w:val="1"/>
      <w:numFmt w:val="lowerRoman"/>
      <w:lvlText w:val="%6"/>
      <w:lvlJc w:val="left"/>
      <w:pPr>
        <w:ind w:left="4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805AEE">
      <w:start w:val="1"/>
      <w:numFmt w:val="decimal"/>
      <w:lvlText w:val="%7"/>
      <w:lvlJc w:val="left"/>
      <w:pPr>
        <w:ind w:left="4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740B6E">
      <w:start w:val="1"/>
      <w:numFmt w:val="lowerLetter"/>
      <w:lvlText w:val="%8"/>
      <w:lvlJc w:val="left"/>
      <w:pPr>
        <w:ind w:left="5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B27CA8">
      <w:start w:val="1"/>
      <w:numFmt w:val="lowerRoman"/>
      <w:lvlText w:val="%9"/>
      <w:lvlJc w:val="left"/>
      <w:pPr>
        <w:ind w:left="6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0D4042"/>
    <w:multiLevelType w:val="hybridMultilevel"/>
    <w:tmpl w:val="A5C2819A"/>
    <w:lvl w:ilvl="0" w:tplc="98EC037A">
      <w:start w:val="1"/>
      <w:numFmt w:val="upperRoman"/>
      <w:lvlText w:val="%1)"/>
      <w:lvlJc w:val="left"/>
      <w:pPr>
        <w:ind w:left="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64D032">
      <w:start w:val="1"/>
      <w:numFmt w:val="decimal"/>
      <w:lvlText w:val="%2)"/>
      <w:lvlJc w:val="left"/>
      <w:pPr>
        <w:ind w:left="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4A2F02">
      <w:start w:val="1"/>
      <w:numFmt w:val="lowerRoman"/>
      <w:lvlText w:val="%3"/>
      <w:lvlJc w:val="left"/>
      <w:pPr>
        <w:ind w:left="1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F2B56E">
      <w:start w:val="1"/>
      <w:numFmt w:val="decimal"/>
      <w:lvlText w:val="%4"/>
      <w:lvlJc w:val="left"/>
      <w:pPr>
        <w:ind w:left="2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DA9E54">
      <w:start w:val="1"/>
      <w:numFmt w:val="lowerLetter"/>
      <w:lvlText w:val="%5"/>
      <w:lvlJc w:val="left"/>
      <w:pPr>
        <w:ind w:left="3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B482086">
      <w:start w:val="1"/>
      <w:numFmt w:val="lowerRoman"/>
      <w:lvlText w:val="%6"/>
      <w:lvlJc w:val="left"/>
      <w:pPr>
        <w:ind w:left="3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00F61E">
      <w:start w:val="1"/>
      <w:numFmt w:val="decimal"/>
      <w:lvlText w:val="%7"/>
      <w:lvlJc w:val="left"/>
      <w:pPr>
        <w:ind w:left="44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E605E2">
      <w:start w:val="1"/>
      <w:numFmt w:val="lowerLetter"/>
      <w:lvlText w:val="%8"/>
      <w:lvlJc w:val="left"/>
      <w:pPr>
        <w:ind w:left="5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0CCF2E">
      <w:start w:val="1"/>
      <w:numFmt w:val="lowerRoman"/>
      <w:lvlText w:val="%9"/>
      <w:lvlJc w:val="left"/>
      <w:pPr>
        <w:ind w:left="5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B492DAA"/>
    <w:multiLevelType w:val="hybridMultilevel"/>
    <w:tmpl w:val="33B0755A"/>
    <w:lvl w:ilvl="0" w:tplc="923A4E3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BC9C92">
      <w:start w:val="1"/>
      <w:numFmt w:val="lowerLetter"/>
      <w:lvlText w:val="%2"/>
      <w:lvlJc w:val="left"/>
      <w:pPr>
        <w:ind w:left="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248418">
      <w:start w:val="1"/>
      <w:numFmt w:val="lowerRoman"/>
      <w:lvlText w:val="%3"/>
      <w:lvlJc w:val="left"/>
      <w:pPr>
        <w:ind w:left="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00D07E">
      <w:start w:val="1"/>
      <w:numFmt w:val="decimal"/>
      <w:lvlRestart w:val="0"/>
      <w:lvlText w:val="%4)"/>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52ABB0">
      <w:start w:val="1"/>
      <w:numFmt w:val="lowerLetter"/>
      <w:lvlText w:val="%5"/>
      <w:lvlJc w:val="left"/>
      <w:pPr>
        <w:ind w:left="19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B8F596">
      <w:start w:val="1"/>
      <w:numFmt w:val="lowerRoman"/>
      <w:lvlText w:val="%6"/>
      <w:lvlJc w:val="left"/>
      <w:pPr>
        <w:ind w:left="26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EEC90AC">
      <w:start w:val="1"/>
      <w:numFmt w:val="decimal"/>
      <w:lvlText w:val="%7"/>
      <w:lvlJc w:val="left"/>
      <w:pPr>
        <w:ind w:left="3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42A2C6">
      <w:start w:val="1"/>
      <w:numFmt w:val="lowerLetter"/>
      <w:lvlText w:val="%8"/>
      <w:lvlJc w:val="left"/>
      <w:pPr>
        <w:ind w:left="4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D812CC">
      <w:start w:val="1"/>
      <w:numFmt w:val="lowerRoman"/>
      <w:lvlText w:val="%9"/>
      <w:lvlJc w:val="left"/>
      <w:pPr>
        <w:ind w:left="4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D190D1F"/>
    <w:multiLevelType w:val="hybridMultilevel"/>
    <w:tmpl w:val="116CACA6"/>
    <w:lvl w:ilvl="0" w:tplc="EA6CBC26">
      <w:start w:val="1"/>
      <w:numFmt w:val="upperRoman"/>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AA7076">
      <w:start w:val="1"/>
      <w:numFmt w:val="lowerLetter"/>
      <w:lvlText w:val="%2"/>
      <w:lvlJc w:val="left"/>
      <w:pPr>
        <w:ind w:left="1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6E8E0E">
      <w:start w:val="1"/>
      <w:numFmt w:val="lowerRoman"/>
      <w:lvlText w:val="%3"/>
      <w:lvlJc w:val="left"/>
      <w:pPr>
        <w:ind w:left="20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74A4B0">
      <w:start w:val="1"/>
      <w:numFmt w:val="decimal"/>
      <w:lvlText w:val="%4"/>
      <w:lvlJc w:val="left"/>
      <w:pPr>
        <w:ind w:left="27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96DC58">
      <w:start w:val="1"/>
      <w:numFmt w:val="lowerLetter"/>
      <w:lvlText w:val="%5"/>
      <w:lvlJc w:val="left"/>
      <w:pPr>
        <w:ind w:left="34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900A88">
      <w:start w:val="1"/>
      <w:numFmt w:val="lowerRoman"/>
      <w:lvlText w:val="%6"/>
      <w:lvlJc w:val="left"/>
      <w:pPr>
        <w:ind w:left="41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D4806C">
      <w:start w:val="1"/>
      <w:numFmt w:val="decimal"/>
      <w:lvlText w:val="%7"/>
      <w:lvlJc w:val="left"/>
      <w:pPr>
        <w:ind w:left="49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BC5538">
      <w:start w:val="1"/>
      <w:numFmt w:val="lowerLetter"/>
      <w:lvlText w:val="%8"/>
      <w:lvlJc w:val="left"/>
      <w:pPr>
        <w:ind w:left="56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8C774A">
      <w:start w:val="1"/>
      <w:numFmt w:val="lowerRoman"/>
      <w:lvlText w:val="%9"/>
      <w:lvlJc w:val="left"/>
      <w:pPr>
        <w:ind w:left="6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74621294">
    <w:abstractNumId w:val="3"/>
  </w:num>
  <w:num w:numId="2" w16cid:durableId="758604036">
    <w:abstractNumId w:val="5"/>
  </w:num>
  <w:num w:numId="3" w16cid:durableId="1317682259">
    <w:abstractNumId w:val="10"/>
  </w:num>
  <w:num w:numId="4" w16cid:durableId="272596990">
    <w:abstractNumId w:val="8"/>
  </w:num>
  <w:num w:numId="5" w16cid:durableId="1694302581">
    <w:abstractNumId w:val="0"/>
  </w:num>
  <w:num w:numId="6" w16cid:durableId="1143044991">
    <w:abstractNumId w:val="4"/>
  </w:num>
  <w:num w:numId="7" w16cid:durableId="1209953870">
    <w:abstractNumId w:val="6"/>
  </w:num>
  <w:num w:numId="8" w16cid:durableId="2116628991">
    <w:abstractNumId w:val="12"/>
  </w:num>
  <w:num w:numId="9" w16cid:durableId="452094572">
    <w:abstractNumId w:val="9"/>
  </w:num>
  <w:num w:numId="10" w16cid:durableId="1190876674">
    <w:abstractNumId w:val="2"/>
  </w:num>
  <w:num w:numId="11" w16cid:durableId="528180051">
    <w:abstractNumId w:val="13"/>
  </w:num>
  <w:num w:numId="12" w16cid:durableId="1047876718">
    <w:abstractNumId w:val="7"/>
  </w:num>
  <w:num w:numId="13" w16cid:durableId="13701462">
    <w:abstractNumId w:val="11"/>
  </w:num>
  <w:num w:numId="14" w16cid:durableId="1044410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220"/>
    <w:rsid w:val="000673E2"/>
    <w:rsid w:val="000F6A60"/>
    <w:rsid w:val="001879EB"/>
    <w:rsid w:val="0019418E"/>
    <w:rsid w:val="001A76E1"/>
    <w:rsid w:val="001C6AA9"/>
    <w:rsid w:val="00224961"/>
    <w:rsid w:val="00245FBF"/>
    <w:rsid w:val="00293203"/>
    <w:rsid w:val="002D477D"/>
    <w:rsid w:val="002F1608"/>
    <w:rsid w:val="0032204F"/>
    <w:rsid w:val="00365E9B"/>
    <w:rsid w:val="003D0F9E"/>
    <w:rsid w:val="00413220"/>
    <w:rsid w:val="00461687"/>
    <w:rsid w:val="00492804"/>
    <w:rsid w:val="0053178D"/>
    <w:rsid w:val="00537985"/>
    <w:rsid w:val="00540C2F"/>
    <w:rsid w:val="005F5A29"/>
    <w:rsid w:val="00604239"/>
    <w:rsid w:val="00690418"/>
    <w:rsid w:val="006F00D9"/>
    <w:rsid w:val="00757F22"/>
    <w:rsid w:val="00764D5D"/>
    <w:rsid w:val="00803D37"/>
    <w:rsid w:val="00810D5A"/>
    <w:rsid w:val="00845117"/>
    <w:rsid w:val="008A1642"/>
    <w:rsid w:val="008D3A4E"/>
    <w:rsid w:val="009B1967"/>
    <w:rsid w:val="00A37447"/>
    <w:rsid w:val="00AE50DA"/>
    <w:rsid w:val="00B230E2"/>
    <w:rsid w:val="00B303E8"/>
    <w:rsid w:val="00B3642F"/>
    <w:rsid w:val="00B55947"/>
    <w:rsid w:val="00B63BD3"/>
    <w:rsid w:val="00B7221D"/>
    <w:rsid w:val="00BE2465"/>
    <w:rsid w:val="00C02121"/>
    <w:rsid w:val="00C25B32"/>
    <w:rsid w:val="00C936AB"/>
    <w:rsid w:val="00C978F4"/>
    <w:rsid w:val="00CB57F6"/>
    <w:rsid w:val="00D70529"/>
    <w:rsid w:val="00D95CE5"/>
    <w:rsid w:val="00DA1D64"/>
    <w:rsid w:val="00DD230C"/>
    <w:rsid w:val="00DF7242"/>
    <w:rsid w:val="00E80DA0"/>
    <w:rsid w:val="00EF6607"/>
    <w:rsid w:val="00F156ED"/>
    <w:rsid w:val="00F432BB"/>
    <w:rsid w:val="00F937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87D5"/>
  <w15:chartTrackingRefBased/>
  <w15:docId w15:val="{75863848-7A7F-4D4D-B7C0-1C92B04A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220"/>
    <w:pPr>
      <w:spacing w:after="109" w:line="247" w:lineRule="auto"/>
      <w:ind w:left="5" w:hanging="5"/>
      <w:jc w:val="both"/>
    </w:pPr>
    <w:rPr>
      <w:rFonts w:ascii="Times New Roman" w:eastAsia="Times New Roman" w:hAnsi="Times New Roman" w:cs="Times New Roman"/>
      <w:color w:val="000000"/>
      <w:sz w:val="22"/>
      <w:lang w:eastAsia="pt-BR"/>
    </w:rPr>
  </w:style>
  <w:style w:type="paragraph" w:styleId="Ttulo1">
    <w:name w:val="heading 1"/>
    <w:basedOn w:val="Normal"/>
    <w:next w:val="Normal"/>
    <w:link w:val="Ttulo1Char"/>
    <w:uiPriority w:val="9"/>
    <w:qFormat/>
    <w:rsid w:val="00413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413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4132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4132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4132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4132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4132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132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1322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32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4132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41322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413220"/>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413220"/>
    <w:rPr>
      <w:rFonts w:eastAsiaTheme="majorEastAsia" w:cstheme="majorBidi"/>
      <w:color w:val="0F4761" w:themeColor="accent1" w:themeShade="BF"/>
    </w:rPr>
  </w:style>
  <w:style w:type="character" w:customStyle="1" w:styleId="Ttulo6Char">
    <w:name w:val="Título 6 Char"/>
    <w:basedOn w:val="Fontepargpadro"/>
    <w:link w:val="Ttulo6"/>
    <w:uiPriority w:val="9"/>
    <w:rsid w:val="00413220"/>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41322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1322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13220"/>
    <w:rPr>
      <w:rFonts w:eastAsiaTheme="majorEastAsia" w:cstheme="majorBidi"/>
      <w:color w:val="272727" w:themeColor="text1" w:themeTint="D8"/>
    </w:rPr>
  </w:style>
  <w:style w:type="paragraph" w:styleId="Ttulo">
    <w:name w:val="Title"/>
    <w:basedOn w:val="Normal"/>
    <w:next w:val="Normal"/>
    <w:link w:val="TtuloChar"/>
    <w:uiPriority w:val="10"/>
    <w:qFormat/>
    <w:rsid w:val="00413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132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13220"/>
    <w:pPr>
      <w:numPr>
        <w:ilvl w:val="1"/>
      </w:numPr>
      <w:ind w:left="5" w:hanging="5"/>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1322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13220"/>
    <w:pPr>
      <w:spacing w:before="160"/>
      <w:jc w:val="center"/>
    </w:pPr>
    <w:rPr>
      <w:i/>
      <w:iCs/>
      <w:color w:val="404040" w:themeColor="text1" w:themeTint="BF"/>
    </w:rPr>
  </w:style>
  <w:style w:type="character" w:customStyle="1" w:styleId="CitaoChar">
    <w:name w:val="Citação Char"/>
    <w:basedOn w:val="Fontepargpadro"/>
    <w:link w:val="Citao"/>
    <w:uiPriority w:val="29"/>
    <w:rsid w:val="00413220"/>
    <w:rPr>
      <w:i/>
      <w:iCs/>
      <w:color w:val="404040" w:themeColor="text1" w:themeTint="BF"/>
    </w:rPr>
  </w:style>
  <w:style w:type="paragraph" w:styleId="PargrafodaLista">
    <w:name w:val="List Paragraph"/>
    <w:basedOn w:val="Normal"/>
    <w:uiPriority w:val="34"/>
    <w:qFormat/>
    <w:rsid w:val="00413220"/>
    <w:pPr>
      <w:ind w:left="720"/>
      <w:contextualSpacing/>
    </w:pPr>
  </w:style>
  <w:style w:type="character" w:styleId="nfaseIntensa">
    <w:name w:val="Intense Emphasis"/>
    <w:basedOn w:val="Fontepargpadro"/>
    <w:uiPriority w:val="21"/>
    <w:qFormat/>
    <w:rsid w:val="00413220"/>
    <w:rPr>
      <w:i/>
      <w:iCs/>
      <w:color w:val="0F4761" w:themeColor="accent1" w:themeShade="BF"/>
    </w:rPr>
  </w:style>
  <w:style w:type="paragraph" w:styleId="CitaoIntensa">
    <w:name w:val="Intense Quote"/>
    <w:basedOn w:val="Normal"/>
    <w:next w:val="Normal"/>
    <w:link w:val="CitaoIntensaChar"/>
    <w:uiPriority w:val="30"/>
    <w:qFormat/>
    <w:rsid w:val="00413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13220"/>
    <w:rPr>
      <w:i/>
      <w:iCs/>
      <w:color w:val="0F4761" w:themeColor="accent1" w:themeShade="BF"/>
    </w:rPr>
  </w:style>
  <w:style w:type="character" w:styleId="RefernciaIntensa">
    <w:name w:val="Intense Reference"/>
    <w:basedOn w:val="Fontepargpadro"/>
    <w:uiPriority w:val="32"/>
    <w:qFormat/>
    <w:rsid w:val="00413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4210</Words>
  <Characters>22737</Characters>
  <Application>Microsoft Office Word</Application>
  <DocSecurity>0</DocSecurity>
  <Lines>189</Lines>
  <Paragraphs>53</Paragraphs>
  <ScaleCrop>false</ScaleCrop>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 Carstens Telles</dc:creator>
  <cp:keywords/>
  <dc:description/>
  <cp:lastModifiedBy>Enio Carstens Telles</cp:lastModifiedBy>
  <cp:revision>36</cp:revision>
  <dcterms:created xsi:type="dcterms:W3CDTF">2025-08-11T13:19:00Z</dcterms:created>
  <dcterms:modified xsi:type="dcterms:W3CDTF">2025-08-11T13:53:00Z</dcterms:modified>
</cp:coreProperties>
</file>