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47857"/>
          <w:sz w:val="36"/>
        </w:rPr>
        <w:t>Project Reflection: Testimonial Collection SaaS</w:t>
      </w:r>
    </w:p>
    <w:p>
      <w:pPr>
        <w:jc w:val="left"/>
      </w:pPr>
      <w:r>
        <w:rPr>
          <w:rFonts w:ascii="Calibri" w:hAnsi="Calibri"/>
          <w:i/>
          <w:color w:val="64748B"/>
          <w:sz w:val="20"/>
        </w:rPr>
        <w:t>Course Assignment Submission | Module 13: Agentic Engineering Workflow</w:t>
        <w:br/>
        <w:t>Repository: https://github.com/Enjamam/Testimonials</w:t>
      </w:r>
    </w:p>
    <w:p/>
    <w:p>
      <w:pPr>
        <w:jc w:val="left"/>
      </w:pPr>
      <w:r>
        <w:rPr>
          <w:rFonts w:ascii="Calibri" w:hAnsi="Calibri"/>
          <w:b/>
          <w:color w:val="0F172A"/>
          <w:sz w:val="24"/>
        </w:rPr>
        <w:t>1. What worked well with Claude Code &amp; the Agentic Workflow?</w:t>
      </w:r>
    </w:p>
    <w:p>
      <w:pPr>
        <w:jc w:val="left"/>
      </w:pPr>
      <w:r>
        <w:rPr>
          <w:rFonts w:ascii="Calibri" w:hAnsi="Calibri"/>
          <w:sz w:val="21"/>
        </w:rPr>
        <w:t>Applying the agentic pair-programming workflow with structured specification files (CLAUDE.md, CONTEXT.md) provided exceptional development velocity and architectural consistency. Explicit boundaries prevented scope creep while keeping business logic and tenant authorization strictly on the server. The plan → implement → verify rhythm worked seamlessly: the agent generated database migrations, Cashier Stripe subscriptions, short branded slugs (/s/{slug}), and Inertia React 19 interfaces. Integrating Model Context Protocol (MCP) tooling—notably Chrome DevTools MCP for real-time viewport screenshot audits and DOM inspection—proved invaluable for validating responsive layouts, dark/light theme switching, and celebratory micro-interactions without visual guesswork.</w:t>
      </w:r>
    </w:p>
    <w:p>
      <w:pPr>
        <w:jc w:val="left"/>
      </w:pPr>
      <w:r>
        <w:rPr>
          <w:rFonts w:ascii="Calibri" w:hAnsi="Calibri"/>
          <w:b/>
          <w:color w:val="0F172A"/>
          <w:sz w:val="24"/>
        </w:rPr>
        <w:t>2. Where did it go wrong, and how was it fixed?</w:t>
      </w:r>
    </w:p>
    <w:p>
      <w:pPr>
        <w:jc w:val="left"/>
      </w:pPr>
      <w:r>
        <w:rPr>
          <w:rFonts w:ascii="Calibri" w:hAnsi="Calibri"/>
          <w:sz w:val="21"/>
        </w:rPr>
        <w:t>Two primary challenges arose during development: avatar file uploads and iframe embed theme clashes. Early settings pages suffered from wide-viewport whitespace, and standard PATCH HTTP requests conflicted with PHP multipart form boundaries; we resolved this with modular card layouts, dual-method routing (Route::match(['patch', 'post'])), and atomic disk cleanup tests. Later, the standalone embed widget encountered a dark-mode canvas clash where Chromium rendered transparent iframes as opaque black over host sites; we fixed this by strictly isolating color-scheme properties and removing layout-level theme overrides inside embed routes.</w:t>
      </w:r>
    </w:p>
    <w:p>
      <w:pPr>
        <w:jc w:val="left"/>
      </w:pPr>
      <w:r>
        <w:rPr>
          <w:rFonts w:ascii="Calibri" w:hAnsi="Calibri"/>
          <w:b/>
          <w:color w:val="0F172A"/>
          <w:sz w:val="24"/>
        </w:rPr>
        <w:t>3. What would I plan differently next time?</w:t>
      </w:r>
    </w:p>
    <w:p>
      <w:pPr>
        <w:jc w:val="left"/>
      </w:pPr>
      <w:r>
        <w:rPr>
          <w:rFonts w:ascii="Calibri" w:hAnsi="Calibri"/>
          <w:sz w:val="21"/>
        </w:rPr>
        <w:t>In future agentic projects, I would establish design tokens and reusable UI card primitives during initial project bootstrapping rather than refining them post-implementation. Furthermore, I would integrate automated headless visual regression checks directly into subagent milestone gates from day one, catching UX and spacing gaps before proceeding to final verification.</w:t>
      </w:r>
    </w:p>
    <w:p/>
    <w:p>
      <w:pPr>
        <w:jc w:val="left"/>
      </w:pPr>
      <w:r>
        <w:rPr>
          <w:rFonts w:ascii="Calibri" w:hAnsi="Calibri"/>
          <w:b/>
          <w:color w:val="047857"/>
          <w:sz w:val="24"/>
        </w:rPr>
        <w:t>Submission Deliverables &amp; Repository Verification Index</w:t>
      </w:r>
    </w:p>
    <w:tbl>
      <w:tblPr>
        <w:tblW w:type="auto" w:w="0"/>
        <w:jc w:val="center"/>
        <w:tblLayout w:type="fixed"/>
        <w:tblLook w:firstColumn="1" w:firstRow="1" w:lastColumn="0" w:lastRow="0" w:noHBand="0" w:noVBand="1" w:val="04A0"/>
      </w:tblPr>
      <w:tblGrid>
        <w:gridCol w:w="4968"/>
        <w:gridCol w:w="4968"/>
      </w:tblGrid>
      <w:tr>
        <w:tc>
          <w:tcPr>
            <w:tcW w:type="dxa" w:w="3312"/>
            <w:shd w:fill="047857"/>
            <w:tcMar>
              <w:top w:w="120" w:type="dxa"/>
              <w:bottom w:w="120" w:type="dxa"/>
              <w:left w:w="140" w:type="dxa"/>
              <w:right w:w="140" w:type="dxa"/>
            </w:tcMar>
          </w:tcPr>
          <w:p>
            <w:pPr>
              <w:jc w:val="left"/>
            </w:pPr>
            <w:r>
              <w:rPr>
                <w:rFonts w:ascii="Calibri" w:hAnsi="Calibri"/>
                <w:b/>
                <w:color w:val="FFFFFF"/>
                <w:sz w:val="19"/>
              </w:rPr>
              <w:t>Submission Requirement</w:t>
            </w:r>
          </w:p>
        </w:tc>
        <w:tc>
          <w:tcPr>
            <w:tcW w:type="dxa" w:w="6480"/>
            <w:shd w:fill="047857"/>
            <w:tcMar>
              <w:top w:w="120" w:type="dxa"/>
              <w:bottom w:w="120" w:type="dxa"/>
              <w:left w:w="140" w:type="dxa"/>
              <w:right w:w="140" w:type="dxa"/>
            </w:tcMar>
          </w:tcPr>
          <w:p>
            <w:pPr>
              <w:jc w:val="left"/>
            </w:pPr>
            <w:r>
              <w:rPr>
                <w:rFonts w:ascii="Calibri" w:hAnsi="Calibri"/>
                <w:b/>
                <w:color w:val="FFFFFF"/>
                <w:sz w:val="19"/>
              </w:rPr>
              <w:t>Repository Location &amp; Details</w:t>
            </w:r>
          </w:p>
        </w:tc>
      </w:tr>
      <w:tr>
        <w:tc>
          <w:tcPr>
            <w:tcW w:type="dxa" w:w="3312"/>
            <w:shd w:fill="F8FAFC"/>
            <w:tcMar>
              <w:top w:w="90" w:type="dxa"/>
              <w:bottom w:w="90" w:type="dxa"/>
              <w:left w:w="140" w:type="dxa"/>
              <w:right w:w="140" w:type="dxa"/>
            </w:tcMar>
          </w:tcPr>
          <w:p>
            <w:pPr>
              <w:jc w:val="left"/>
            </w:pPr>
            <w:r>
              <w:rPr>
                <w:rFonts w:ascii="Calibri" w:hAnsi="Calibri"/>
                <w:b/>
                <w:color w:val="0F172A"/>
                <w:sz w:val="18"/>
              </w:rPr>
              <w:t>GitHub Repository Link</w:t>
            </w:r>
          </w:p>
        </w:tc>
        <w:tc>
          <w:tcPr>
            <w:tcW w:type="dxa" w:w="6480"/>
            <w:shd w:fill="F8FAFC"/>
            <w:tcMar>
              <w:top w:w="90" w:type="dxa"/>
              <w:bottom w:w="90" w:type="dxa"/>
              <w:left w:w="140" w:type="dxa"/>
              <w:right w:w="140" w:type="dxa"/>
            </w:tcMar>
          </w:tcPr>
          <w:p>
            <w:pPr>
              <w:jc w:val="left"/>
            </w:pPr>
            <w:r>
              <w:rPr>
                <w:rFonts w:ascii="Calibri" w:hAnsi="Calibri"/>
                <w:color w:val="334155"/>
                <w:sz w:val="18"/>
              </w:rPr>
              <w:t>https://github.com/Enjamam/Testimonials (Public repository)</w:t>
            </w:r>
          </w:p>
        </w:tc>
      </w:tr>
      <w:tr>
        <w:tc>
          <w:tcPr>
            <w:tcW w:type="dxa" w:w="3312"/>
            <w:shd w:fill="FFFFFF"/>
            <w:tcMar>
              <w:top w:w="90" w:type="dxa"/>
              <w:bottom w:w="90" w:type="dxa"/>
              <w:left w:w="140" w:type="dxa"/>
              <w:right w:w="140" w:type="dxa"/>
            </w:tcMar>
          </w:tcPr>
          <w:p>
            <w:pPr>
              <w:jc w:val="left"/>
            </w:pPr>
            <w:r>
              <w:rPr>
                <w:rFonts w:ascii="Calibri" w:hAnsi="Calibri"/>
                <w:b/>
                <w:color w:val="0F172A"/>
                <w:sz w:val="18"/>
              </w:rPr>
              <w:t>How to Run the Project</w:t>
            </w:r>
          </w:p>
        </w:tc>
        <w:tc>
          <w:tcPr>
            <w:tcW w:type="dxa" w:w="6480"/>
            <w:shd w:fill="FFFFFF"/>
            <w:tcMar>
              <w:top w:w="90" w:type="dxa"/>
              <w:bottom w:w="90" w:type="dxa"/>
              <w:left w:w="140" w:type="dxa"/>
              <w:right w:w="140" w:type="dxa"/>
            </w:tcMar>
          </w:tcPr>
          <w:p>
            <w:pPr>
              <w:jc w:val="left"/>
            </w:pPr>
            <w:r>
              <w:rPr>
                <w:rFonts w:ascii="Calibri" w:hAnsi="Calibri"/>
                <w:color w:val="334155"/>
                <w:sz w:val="18"/>
              </w:rPr>
              <w:t>Documented in README.md (Prerequisites, migrations, db:seed, composer run dev)</w:t>
            </w:r>
          </w:p>
        </w:tc>
      </w:tr>
      <w:tr>
        <w:tc>
          <w:tcPr>
            <w:tcW w:type="dxa" w:w="3312"/>
            <w:shd w:fill="F8FAFC"/>
            <w:tcMar>
              <w:top w:w="90" w:type="dxa"/>
              <w:bottom w:w="90" w:type="dxa"/>
              <w:left w:w="140" w:type="dxa"/>
              <w:right w:w="140" w:type="dxa"/>
            </w:tcMar>
          </w:tcPr>
          <w:p>
            <w:pPr>
              <w:jc w:val="left"/>
            </w:pPr>
            <w:r>
              <w:rPr>
                <w:rFonts w:ascii="Calibri" w:hAnsi="Calibri"/>
                <w:b/>
                <w:color w:val="0F172A"/>
                <w:sz w:val="18"/>
              </w:rPr>
              <w:t>Feature Completion Matrix</w:t>
            </w:r>
          </w:p>
        </w:tc>
        <w:tc>
          <w:tcPr>
            <w:tcW w:type="dxa" w:w="6480"/>
            <w:shd w:fill="F8FAFC"/>
            <w:tcMar>
              <w:top w:w="90" w:type="dxa"/>
              <w:bottom w:w="90" w:type="dxa"/>
              <w:left w:w="140" w:type="dxa"/>
              <w:right w:w="140" w:type="dxa"/>
            </w:tcMar>
          </w:tcPr>
          <w:p>
            <w:pPr>
              <w:jc w:val="left"/>
            </w:pPr>
            <w:r>
              <w:rPr>
                <w:rFonts w:ascii="Calibri" w:hAnsi="Calibri"/>
                <w:color w:val="334155"/>
                <w:sz w:val="18"/>
              </w:rPr>
              <w:t>Documented in README.md and docs/IMPLEMENTATION_STATUS.md (All 12 phases verified)</w:t>
            </w:r>
          </w:p>
        </w:tc>
      </w:tr>
      <w:tr>
        <w:tc>
          <w:tcPr>
            <w:tcW w:type="dxa" w:w="3312"/>
            <w:shd w:fill="FFFFFF"/>
            <w:tcMar>
              <w:top w:w="90" w:type="dxa"/>
              <w:bottom w:w="90" w:type="dxa"/>
              <w:left w:w="140" w:type="dxa"/>
              <w:right w:w="140" w:type="dxa"/>
            </w:tcMar>
          </w:tcPr>
          <w:p>
            <w:pPr>
              <w:jc w:val="left"/>
            </w:pPr>
            <w:r>
              <w:rPr>
                <w:rFonts w:ascii="Calibri" w:hAnsi="Calibri"/>
                <w:b/>
                <w:color w:val="0F172A"/>
                <w:sz w:val="18"/>
              </w:rPr>
              <w:t>Agentic AI Tooling</w:t>
            </w:r>
          </w:p>
        </w:tc>
        <w:tc>
          <w:tcPr>
            <w:tcW w:type="dxa" w:w="6480"/>
            <w:shd w:fill="FFFFFF"/>
            <w:tcMar>
              <w:top w:w="90" w:type="dxa"/>
              <w:bottom w:w="90" w:type="dxa"/>
              <w:left w:w="140" w:type="dxa"/>
              <w:right w:w="140" w:type="dxa"/>
            </w:tcMar>
          </w:tcPr>
          <w:p>
            <w:pPr>
              <w:jc w:val="left"/>
            </w:pPr>
            <w:r>
              <w:rPr>
                <w:rFonts w:ascii="Calibri" w:hAnsi="Calibri"/>
                <w:color w:val="334155"/>
                <w:sz w:val="18"/>
              </w:rPr>
              <w:t>Documented in README.md &amp; docs/AGENTIC_WORKFLOW.md (Subagents, Skills, Hooks, MCP tooling)</w:t>
            </w:r>
          </w:p>
        </w:tc>
      </w:tr>
      <w:tr>
        <w:tc>
          <w:tcPr>
            <w:tcW w:type="dxa" w:w="3312"/>
            <w:shd w:fill="F8FAFC"/>
            <w:tcMar>
              <w:top w:w="90" w:type="dxa"/>
              <w:bottom w:w="90" w:type="dxa"/>
              <w:left w:w="140" w:type="dxa"/>
              <w:right w:w="140" w:type="dxa"/>
            </w:tcMar>
          </w:tcPr>
          <w:p>
            <w:pPr>
              <w:jc w:val="left"/>
            </w:pPr>
            <w:r>
              <w:rPr>
                <w:rFonts w:ascii="Calibri" w:hAnsi="Calibri"/>
                <w:b/>
                <w:color w:val="0F172A"/>
                <w:sz w:val="18"/>
              </w:rPr>
              <w:t>Screen Recording (2–5 min)</w:t>
            </w:r>
          </w:p>
        </w:tc>
        <w:tc>
          <w:tcPr>
            <w:tcW w:type="dxa" w:w="6480"/>
            <w:shd w:fill="F8FAFC"/>
            <w:tcMar>
              <w:top w:w="90" w:type="dxa"/>
              <w:bottom w:w="90" w:type="dxa"/>
              <w:left w:w="140" w:type="dxa"/>
              <w:right w:w="140" w:type="dxa"/>
            </w:tcMar>
          </w:tcPr>
          <w:p>
            <w:pPr>
              <w:jc w:val="left"/>
            </w:pPr>
            <w:r>
              <w:rPr>
                <w:rFonts w:ascii="Calibri" w:hAnsi="Calibri"/>
                <w:color w:val="334155"/>
                <w:sz w:val="18"/>
              </w:rPr>
              <w:t>docs/Testimonials Project-Short.webm (Duration: 5 min 03 sec, short app walkthrough)</w:t>
            </w:r>
          </w:p>
        </w:tc>
      </w:tr>
      <w:tr>
        <w:tc>
          <w:tcPr>
            <w:tcW w:type="dxa" w:w="3312"/>
            <w:shd w:fill="FFFFFF"/>
            <w:tcMar>
              <w:top w:w="90" w:type="dxa"/>
              <w:bottom w:w="90" w:type="dxa"/>
              <w:left w:w="140" w:type="dxa"/>
              <w:right w:w="140" w:type="dxa"/>
            </w:tcMar>
          </w:tcPr>
          <w:p>
            <w:pPr>
              <w:jc w:val="left"/>
            </w:pPr>
            <w:r>
              <w:rPr>
                <w:rFonts w:ascii="Calibri" w:hAnsi="Calibri"/>
                <w:b/>
                <w:color w:val="0F172A"/>
                <w:sz w:val="18"/>
              </w:rPr>
              <w:t>Full Video Walkthrough</w:t>
            </w:r>
          </w:p>
        </w:tc>
        <w:tc>
          <w:tcPr>
            <w:tcW w:type="dxa" w:w="6480"/>
            <w:shd w:fill="FFFFFF"/>
            <w:tcMar>
              <w:top w:w="90" w:type="dxa"/>
              <w:bottom w:w="90" w:type="dxa"/>
              <w:left w:w="140" w:type="dxa"/>
              <w:right w:w="140" w:type="dxa"/>
            </w:tcMar>
          </w:tcPr>
          <w:p>
            <w:pPr>
              <w:jc w:val="left"/>
            </w:pPr>
            <w:r>
              <w:rPr>
                <w:rFonts w:ascii="Calibri" w:hAnsi="Calibri"/>
                <w:color w:val="334155"/>
                <w:sz w:val="18"/>
              </w:rPr>
              <w:t>docs/Testimonials Project.mp4 (Duration: 15 min 03 sec, comprehensive feature demo)</w:t>
            </w:r>
          </w:p>
        </w:tc>
      </w:tr>
      <w:tr>
        <w:tc>
          <w:tcPr>
            <w:tcW w:type="dxa" w:w="3312"/>
            <w:shd w:fill="F8FAFC"/>
            <w:tcMar>
              <w:top w:w="90" w:type="dxa"/>
              <w:bottom w:w="90" w:type="dxa"/>
              <w:left w:w="140" w:type="dxa"/>
              <w:right w:w="140" w:type="dxa"/>
            </w:tcMar>
          </w:tcPr>
          <w:p>
            <w:pPr>
              <w:jc w:val="left"/>
            </w:pPr>
            <w:r>
              <w:rPr>
                <w:rFonts w:ascii="Calibri" w:hAnsi="Calibri"/>
                <w:b/>
                <w:color w:val="0F172A"/>
                <w:sz w:val="18"/>
              </w:rPr>
              <w:t>Project Reflection</w:t>
            </w:r>
          </w:p>
        </w:tc>
        <w:tc>
          <w:tcPr>
            <w:tcW w:type="dxa" w:w="6480"/>
            <w:shd w:fill="F8FAFC"/>
            <w:tcMar>
              <w:top w:w="90" w:type="dxa"/>
              <w:bottom w:w="90" w:type="dxa"/>
              <w:left w:w="140" w:type="dxa"/>
              <w:right w:w="140" w:type="dxa"/>
            </w:tcMar>
          </w:tcPr>
          <w:p>
            <w:pPr>
              <w:jc w:val="left"/>
            </w:pPr>
            <w:r>
              <w:rPr>
                <w:rFonts w:ascii="Calibri" w:hAnsi="Calibri"/>
                <w:color w:val="334155"/>
                <w:sz w:val="18"/>
              </w:rPr>
              <w:t>Included in reflection.docx and reflection.pdf (Word Count: 242 words)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