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jpeg" Extension="jpeg"/>
  <Default ContentType="image/png" Extension="png"/>
  <Override ContentType="image/x-emf" PartName="/word/media/image5.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宋体"/>
          <w:b/>
          <w:bCs/>
          <w:sz w:val="36"/>
          <w:szCs w:val="36"/>
        </w:rPr>
      </w:pPr>
      <w:r>
        <w:rPr>
          <w:rFonts w:hint="eastAsia" w:ascii="宋体" w:hAnsi="宋体"/>
          <w:b/>
          <w:bCs/>
          <w:sz w:val="36"/>
          <w:szCs w:val="36"/>
        </w:rPr>
        <w:t>杭州电子科技大学硕士研究生文献综述报告</w:t>
      </w:r>
    </w:p>
    <w:p>
      <w:pPr>
        <w:jc w:val="center"/>
        <w:rPr>
          <w:rFonts w:ascii="宋体"/>
          <w:bCs/>
          <w:sz w:val="36"/>
          <w:szCs w:val="36"/>
        </w:rPr>
      </w:pPr>
    </w:p>
    <w:tbl>
      <w:tblPr>
        <w:tblStyle w:val="7"/>
        <w:tblW w:w="87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540"/>
        <w:gridCol w:w="1218"/>
        <w:gridCol w:w="1134"/>
        <w:gridCol w:w="1740"/>
        <w:gridCol w:w="965"/>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9" w:hRule="atLeast"/>
          <w:jc w:val="center"/>
        </w:trPr>
        <w:tc>
          <w:tcPr>
            <w:tcW w:w="1728" w:type="dxa"/>
            <w:vAlign w:val="top"/>
          </w:tcPr>
          <w:p>
            <w:pPr>
              <w:spacing w:line="500" w:lineRule="exact"/>
              <w:jc w:val="center"/>
              <w:rPr>
                <w:sz w:val="24"/>
              </w:rPr>
            </w:pPr>
            <w:r>
              <w:rPr>
                <w:rFonts w:hint="eastAsia"/>
                <w:sz w:val="24"/>
              </w:rPr>
              <w:t>姓</w:t>
            </w:r>
            <w:r>
              <w:rPr>
                <w:sz w:val="24"/>
              </w:rPr>
              <w:t xml:space="preserve">    </w:t>
            </w:r>
            <w:r>
              <w:rPr>
                <w:rFonts w:hint="eastAsia"/>
                <w:sz w:val="24"/>
              </w:rPr>
              <w:t>名</w:t>
            </w:r>
          </w:p>
        </w:tc>
        <w:tc>
          <w:tcPr>
            <w:tcW w:w="1758" w:type="dxa"/>
            <w:gridSpan w:val="2"/>
            <w:vAlign w:val="top"/>
          </w:tcPr>
          <w:p>
            <w:pPr>
              <w:spacing w:line="500" w:lineRule="exact"/>
              <w:jc w:val="center"/>
              <w:rPr>
                <w:rFonts w:hint="eastAsia" w:eastAsia="宋体"/>
                <w:sz w:val="24"/>
                <w:lang w:eastAsia="zh-CN"/>
              </w:rPr>
            </w:pPr>
            <w:r>
              <w:rPr>
                <w:rFonts w:hint="eastAsia"/>
                <w:sz w:val="24"/>
                <w:lang w:eastAsia="zh-CN"/>
              </w:rPr>
              <w:t>曾凡宗</w:t>
            </w:r>
          </w:p>
        </w:tc>
        <w:tc>
          <w:tcPr>
            <w:tcW w:w="1134" w:type="dxa"/>
            <w:vAlign w:val="top"/>
          </w:tcPr>
          <w:p>
            <w:pPr>
              <w:spacing w:line="500" w:lineRule="exact"/>
              <w:jc w:val="center"/>
              <w:rPr>
                <w:sz w:val="24"/>
              </w:rPr>
            </w:pPr>
            <w:r>
              <w:rPr>
                <w:rFonts w:hint="eastAsia"/>
                <w:sz w:val="24"/>
              </w:rPr>
              <w:t>学</w:t>
            </w:r>
            <w:r>
              <w:rPr>
                <w:sz w:val="24"/>
              </w:rPr>
              <w:t xml:space="preserve">   </w:t>
            </w:r>
            <w:r>
              <w:rPr>
                <w:rFonts w:hint="eastAsia"/>
                <w:sz w:val="24"/>
              </w:rPr>
              <w:t>号</w:t>
            </w:r>
          </w:p>
        </w:tc>
        <w:tc>
          <w:tcPr>
            <w:tcW w:w="1740" w:type="dxa"/>
            <w:vAlign w:val="top"/>
          </w:tcPr>
          <w:p>
            <w:pPr>
              <w:spacing w:line="500" w:lineRule="exact"/>
              <w:jc w:val="center"/>
              <w:rPr>
                <w:rFonts w:hint="eastAsia" w:eastAsia="宋体"/>
                <w:sz w:val="24"/>
                <w:lang w:eastAsia="zh-CN"/>
              </w:rPr>
            </w:pPr>
            <w:r>
              <w:rPr>
                <w:rFonts w:hint="eastAsia"/>
                <w:sz w:val="24"/>
                <w:lang w:val="en-US" w:eastAsia="zh-CN"/>
              </w:rPr>
              <w:t>132040145</w:t>
            </w:r>
          </w:p>
        </w:tc>
        <w:tc>
          <w:tcPr>
            <w:tcW w:w="965" w:type="dxa"/>
            <w:vAlign w:val="top"/>
          </w:tcPr>
          <w:p>
            <w:pPr>
              <w:spacing w:line="500" w:lineRule="exact"/>
              <w:rPr>
                <w:sz w:val="24"/>
              </w:rPr>
            </w:pPr>
            <w:r>
              <w:rPr>
                <w:rFonts w:hint="eastAsia"/>
                <w:sz w:val="24"/>
              </w:rPr>
              <w:t>年级</w:t>
            </w:r>
          </w:p>
        </w:tc>
        <w:tc>
          <w:tcPr>
            <w:tcW w:w="1431" w:type="dxa"/>
            <w:vAlign w:val="top"/>
          </w:tcPr>
          <w:p>
            <w:pPr>
              <w:spacing w:line="500" w:lineRule="exact"/>
              <w:rPr>
                <w:sz w:val="24"/>
              </w:rPr>
            </w:pPr>
            <w:r>
              <w:rPr>
                <w:rFonts w:hint="eastAsia"/>
                <w:sz w:val="24"/>
              </w:rPr>
              <w:t>研二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5" w:hRule="atLeast"/>
          <w:jc w:val="center"/>
        </w:trPr>
        <w:tc>
          <w:tcPr>
            <w:tcW w:w="1728" w:type="dxa"/>
            <w:vAlign w:val="top"/>
          </w:tcPr>
          <w:p>
            <w:pPr>
              <w:spacing w:line="500" w:lineRule="exact"/>
              <w:jc w:val="center"/>
              <w:rPr>
                <w:sz w:val="24"/>
              </w:rPr>
            </w:pPr>
            <w:r>
              <w:rPr>
                <w:rFonts w:hint="eastAsia"/>
                <w:sz w:val="24"/>
              </w:rPr>
              <w:t>学</w:t>
            </w:r>
            <w:r>
              <w:rPr>
                <w:sz w:val="24"/>
              </w:rPr>
              <w:t xml:space="preserve">    </w:t>
            </w:r>
            <w:r>
              <w:rPr>
                <w:rFonts w:hint="eastAsia"/>
                <w:sz w:val="24"/>
              </w:rPr>
              <w:t>院</w:t>
            </w:r>
          </w:p>
        </w:tc>
        <w:tc>
          <w:tcPr>
            <w:tcW w:w="1758" w:type="dxa"/>
            <w:gridSpan w:val="2"/>
            <w:vAlign w:val="top"/>
          </w:tcPr>
          <w:p>
            <w:pPr>
              <w:spacing w:line="500" w:lineRule="exact"/>
              <w:jc w:val="center"/>
              <w:rPr>
                <w:sz w:val="24"/>
              </w:rPr>
            </w:pPr>
            <w:r>
              <w:rPr>
                <w:rFonts w:hint="eastAsia"/>
                <w:sz w:val="24"/>
              </w:rPr>
              <w:t>电子信息学院</w:t>
            </w:r>
          </w:p>
        </w:tc>
        <w:tc>
          <w:tcPr>
            <w:tcW w:w="1134" w:type="dxa"/>
            <w:vAlign w:val="top"/>
          </w:tcPr>
          <w:p>
            <w:pPr>
              <w:spacing w:line="500" w:lineRule="exact"/>
              <w:jc w:val="center"/>
              <w:rPr>
                <w:sz w:val="24"/>
              </w:rPr>
            </w:pPr>
            <w:r>
              <w:rPr>
                <w:rFonts w:hint="eastAsia"/>
                <w:sz w:val="24"/>
              </w:rPr>
              <w:t>专</w:t>
            </w:r>
            <w:r>
              <w:rPr>
                <w:sz w:val="24"/>
              </w:rPr>
              <w:t xml:space="preserve">   </w:t>
            </w:r>
            <w:r>
              <w:rPr>
                <w:rFonts w:hint="eastAsia"/>
                <w:sz w:val="24"/>
              </w:rPr>
              <w:t>业</w:t>
            </w:r>
          </w:p>
        </w:tc>
        <w:tc>
          <w:tcPr>
            <w:tcW w:w="4136" w:type="dxa"/>
            <w:gridSpan w:val="3"/>
            <w:vAlign w:val="top"/>
          </w:tcPr>
          <w:p>
            <w:pPr>
              <w:spacing w:line="500" w:lineRule="exact"/>
              <w:jc w:val="center"/>
              <w:rPr>
                <w:sz w:val="24"/>
              </w:rPr>
            </w:pPr>
            <w:r>
              <w:rPr>
                <w:rFonts w:hint="eastAsia"/>
                <w:sz w:val="24"/>
              </w:rPr>
              <w:t>电</w:t>
            </w:r>
            <w:r>
              <w:rPr>
                <w:rFonts w:hint="eastAsia"/>
                <w:sz w:val="24"/>
                <w:lang w:eastAsia="zh-CN"/>
              </w:rPr>
              <w:t>子与通信工程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5" w:hRule="atLeast"/>
          <w:jc w:val="center"/>
        </w:trPr>
        <w:tc>
          <w:tcPr>
            <w:tcW w:w="1728" w:type="dxa"/>
            <w:vAlign w:val="top"/>
          </w:tcPr>
          <w:p>
            <w:pPr>
              <w:spacing w:line="500" w:lineRule="exact"/>
              <w:ind w:firstLine="240" w:firstLineChars="100"/>
              <w:rPr>
                <w:sz w:val="24"/>
              </w:rPr>
            </w:pPr>
            <w:r>
              <w:rPr>
                <w:rFonts w:hint="eastAsia"/>
                <w:sz w:val="24"/>
              </w:rPr>
              <w:t>研究方向</w:t>
            </w:r>
          </w:p>
        </w:tc>
        <w:tc>
          <w:tcPr>
            <w:tcW w:w="7028" w:type="dxa"/>
            <w:gridSpan w:val="6"/>
            <w:vAlign w:val="top"/>
          </w:tcPr>
          <w:p>
            <w:pPr>
              <w:spacing w:line="500" w:lineRule="exact"/>
              <w:jc w:val="center"/>
              <w:rPr>
                <w:rFonts w:ascii="宋体" w:hAnsi="宋体"/>
                <w:sz w:val="24"/>
              </w:rPr>
            </w:pPr>
            <w:r>
              <w:rPr>
                <w:rFonts w:hint="eastAsia" w:ascii="宋体" w:hAnsi="宋体"/>
                <w:sz w:val="24"/>
              </w:rPr>
              <w:t>电子信息系统集成技术</w:t>
            </w:r>
            <w:r>
              <w:rPr>
                <w:rFonts w:ascii="宋体" w:hAnsi="宋体"/>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45" w:hRule="atLeast"/>
          <w:jc w:val="center"/>
        </w:trPr>
        <w:tc>
          <w:tcPr>
            <w:tcW w:w="2268" w:type="dxa"/>
            <w:gridSpan w:val="2"/>
            <w:vAlign w:val="center"/>
          </w:tcPr>
          <w:p>
            <w:pPr>
              <w:spacing w:line="500" w:lineRule="exact"/>
              <w:jc w:val="center"/>
              <w:rPr>
                <w:bCs/>
                <w:sz w:val="24"/>
              </w:rPr>
            </w:pPr>
            <w:r>
              <w:rPr>
                <w:rFonts w:hint="eastAsia"/>
                <w:bCs/>
                <w:sz w:val="24"/>
              </w:rPr>
              <w:t>文献综述报告名称</w:t>
            </w:r>
          </w:p>
        </w:tc>
        <w:tc>
          <w:tcPr>
            <w:tcW w:w="6488" w:type="dxa"/>
            <w:gridSpan w:val="5"/>
            <w:vAlign w:val="center"/>
          </w:tcPr>
          <w:p>
            <w:pPr>
              <w:spacing w:line="500" w:lineRule="exact"/>
              <w:jc w:val="center"/>
              <w:rPr>
                <w:rFonts w:hint="eastAsia" w:eastAsia="宋体"/>
                <w:b/>
                <w:bCs/>
                <w:sz w:val="24"/>
                <w:lang w:eastAsia="zh-CN"/>
              </w:rPr>
            </w:pPr>
            <w:r>
              <w:rPr>
                <w:rFonts w:hint="eastAsia"/>
                <w:b/>
                <w:bCs/>
                <w:sz w:val="24"/>
                <w:lang w:eastAsia="zh-CN"/>
              </w:rPr>
              <w:t>海底环境原位监测系统技术研究综述</w:t>
            </w:r>
          </w:p>
        </w:tc>
      </w:tr>
    </w:tbl>
    <w:p>
      <w:pPr>
        <w:rPr>
          <w:b/>
          <w:bCs/>
          <w:sz w:val="24"/>
        </w:rPr>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charSpace="0"/>
        </w:sectPr>
      </w:pPr>
    </w:p>
    <w:tbl>
      <w:tblPr>
        <w:tblStyle w:val="7"/>
        <w:tblW w:w="87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9" w:hRule="atLeast"/>
          <w:jc w:val="center"/>
        </w:trPr>
        <w:tc>
          <w:tcPr>
            <w:tcW w:w="8756" w:type="dxa"/>
            <w:vAlign w:val="top"/>
          </w:tcPr>
          <w:p>
            <w:pPr>
              <w:rPr>
                <w:b/>
                <w:bCs/>
                <w:sz w:val="24"/>
              </w:rPr>
            </w:pPr>
            <w:r>
              <w:rPr>
                <w:rFonts w:hint="eastAsia"/>
                <w:b/>
                <w:bCs/>
                <w:sz w:val="24"/>
              </w:rPr>
              <w:t>文献综述报告内容：</w:t>
            </w:r>
            <w:r>
              <w:rPr>
                <w:rFonts w:hint="eastAsia"/>
                <w:bCs/>
                <w:sz w:val="24"/>
              </w:rPr>
              <w:t>（可另加页）</w:t>
            </w:r>
          </w:p>
          <w:p>
            <w:pPr>
              <w:numPr>
                <w:ilvl w:val="0"/>
                <w:numId w:val="1"/>
              </w:numPr>
              <w:rPr>
                <w:rFonts w:hint="eastAsia"/>
                <w:b/>
                <w:bCs/>
                <w:sz w:val="28"/>
                <w:szCs w:val="28"/>
                <w:lang w:eastAsia="zh-CN"/>
              </w:rPr>
            </w:pPr>
            <w:r>
              <w:rPr>
                <w:rFonts w:hint="eastAsia"/>
                <w:b/>
                <w:bCs/>
                <w:sz w:val="28"/>
                <w:szCs w:val="28"/>
                <w:lang w:eastAsia="zh-CN"/>
              </w:rPr>
              <w:t>引言</w:t>
            </w:r>
          </w:p>
          <w:p>
            <w:pPr>
              <w:spacing w:line="500" w:lineRule="exact"/>
              <w:ind w:firstLine="480" w:firstLineChars="200"/>
              <w:jc w:val="both"/>
              <w:rPr>
                <w:rFonts w:hint="eastAsia"/>
                <w:sz w:val="24"/>
                <w:lang w:val="en-US" w:eastAsia="zh-CN"/>
              </w:rPr>
            </w:pPr>
            <w:r>
              <w:rPr>
                <w:rFonts w:hint="eastAsia"/>
                <w:sz w:val="24"/>
                <w:lang w:val="en-US" w:eastAsia="zh-CN"/>
              </w:rPr>
              <w:t>海底观测平台/网络的建立,将为地球系统的观测开辟地面/海面和空间之外的第三个平台,不仅为揭示地球表面过程的机理提供了新途径,也为探索地球深部创造了新的可能。通过海底观测平台,我们可以了解到海底的科学现象,观测海底的物理、化学特性以及生态系统的变化,获得较为长期的海底观测数据,并可实时监测和预报风暴、地震、海底喷发、藻类勃发等各类突发事件。</w:t>
            </w:r>
          </w:p>
          <w:p>
            <w:pPr>
              <w:spacing w:line="500" w:lineRule="exact"/>
              <w:ind w:firstLine="480" w:firstLineChars="200"/>
              <w:jc w:val="both"/>
              <w:rPr>
                <w:rFonts w:hint="eastAsia"/>
                <w:sz w:val="24"/>
                <w:lang w:val="en-US" w:eastAsia="zh-CN"/>
              </w:rPr>
            </w:pPr>
            <w:r>
              <w:rPr>
                <w:rFonts w:hint="eastAsia"/>
                <w:sz w:val="24"/>
                <w:lang w:val="en-US" w:eastAsia="zh-CN"/>
              </w:rPr>
              <w:t>海底观测工作,无论是对于科学研究,海洋环境保护,还是对于海底资源勘探与开发,都是十分重要的。为此,发达海洋国家先后制订了相关计划,建立了水下定点、长期观测平台或观测网,将海洋观测系统的研究与建设提升到国策高度。美国、日本、加拿大等国先后开展了很多相关的研究工作,分别建立了实际的海底观测示范系统与实际应用系统,有些已经投入正式使用。</w:t>
            </w:r>
          </w:p>
          <w:p>
            <w:pPr>
              <w:spacing w:line="500" w:lineRule="exact"/>
              <w:ind w:firstLine="480" w:firstLineChars="200"/>
              <w:jc w:val="both"/>
              <w:rPr>
                <w:rFonts w:hint="eastAsia"/>
                <w:sz w:val="24"/>
                <w:lang w:val="en-US" w:eastAsia="zh-CN"/>
              </w:rPr>
            </w:pPr>
            <w:r>
              <w:rPr>
                <w:rFonts w:hint="eastAsia"/>
                <w:sz w:val="24"/>
                <w:lang w:val="en-US" w:eastAsia="zh-CN"/>
              </w:rPr>
              <w:t>我国的海洋事业起步较晚。20世纪50年代末期的海洋大调查,开始了海洋研究的时期,但是长期以来以近岸浅海为主,无论经济或者科技的实力,都没有达到走向大洋的程度。改革开放以来,海洋开发和海洋科研逐步和国际接轨,开始走向远洋。1984年,中国开始了南极考察, 1999年又开始调查北冰洋, 1991年设立“大洋专项”,对太平洋矿产资源开始调查; 1998年加入国际大洋钻探计划(IODP),1999年首次实现了南海的深海科学钻探。一系列的进展,都表明我国正向深海大洋进军,正在进入海洋事业的新阶段。然而,我们与发达国家还存在着明显的差距,我国深海技术的研究开发与技术储备比发达国家落后10 年以上,深海技术系统中的关键部件绝大部分依赖进口,既无相关高技术产业,又缺乏具有应用价值的自主知识产权。深海海底资源勘查与开发的技术装备过多依赖发达国家,这都将严重制约我国深海高新技术的发展。从国防安全、海洋开发和科学研究出发,我国不仅要密切关注、积极参与国际上研究建设海底观测系统平台的活动,而且必须自主地进行海底观测系统的建设。为此,我国已将深海探测技术列入国家“十一五”中长期发展规划,国家将在深海观测技术方面加大投入,这是发展深海观测技术的十分有利的契机,也必将影响我国海洋科学甚至地球科学未来的发展方向。</w:t>
            </w:r>
          </w:p>
          <w:p>
            <w:pPr>
              <w:numPr>
                <w:ilvl w:val="0"/>
                <w:numId w:val="1"/>
              </w:numPr>
              <w:rPr>
                <w:rFonts w:hint="eastAsia"/>
                <w:b/>
                <w:bCs/>
                <w:sz w:val="28"/>
                <w:szCs w:val="28"/>
                <w:lang w:val="en-US" w:eastAsia="zh-CN"/>
              </w:rPr>
            </w:pPr>
            <w:r>
              <w:rPr>
                <w:rFonts w:hint="eastAsia"/>
                <w:b/>
                <w:bCs/>
                <w:sz w:val="28"/>
                <w:szCs w:val="28"/>
                <w:lang w:val="en-US" w:eastAsia="zh-CN"/>
              </w:rPr>
              <w:t>国内外研究现状</w:t>
            </w:r>
          </w:p>
          <w:p>
            <w:pPr>
              <w:spacing w:line="500" w:lineRule="exact"/>
              <w:ind w:firstLine="480" w:firstLineChars="200"/>
              <w:jc w:val="both"/>
              <w:rPr>
                <w:rFonts w:hint="eastAsia"/>
                <w:sz w:val="24"/>
                <w:lang w:val="en-US" w:eastAsia="zh-CN"/>
              </w:rPr>
            </w:pPr>
            <w:r>
              <w:rPr>
                <w:rFonts w:hint="eastAsia"/>
                <w:sz w:val="24"/>
                <w:lang w:val="en-US" w:eastAsia="zh-CN"/>
              </w:rPr>
              <w:t>上世纪末，美国的定点探测海底沉积物的观测站，其工作深度为距离海平面4000米的深海海底。在此观测站的基础上，又进一步研发出能够在海底6000米位置工作的ROVER观测站定点观测生物作用。美国的夏威夷大学铺设海底电缆，实现陆地接收站对海底观测站的实时观测。1998年，美国实施的“NEPTUNE”计划，针对东太平洋的中脊区域进行综合性的监测。之后，欧盟、加拿大、日本等建立了深海海底光缆观测站网。然而上述观测站网存在依赖海底光缆，建设成本较高，不能重复使用等缺点。因此，就目前的发展来看，需要设计一种稳定性好、灵活性好、能够重复使用的深海海底环境原位监测系统。</w:t>
            </w:r>
          </w:p>
          <w:p>
            <w:pPr>
              <w:spacing w:line="500" w:lineRule="exact"/>
              <w:ind w:firstLine="480" w:firstLineChars="200"/>
              <w:jc w:val="both"/>
              <w:rPr>
                <w:rFonts w:hint="eastAsia"/>
                <w:sz w:val="24"/>
                <w:lang w:val="en-US" w:eastAsia="zh-CN"/>
              </w:rPr>
            </w:pPr>
            <w:r>
              <w:rPr>
                <w:rFonts w:hint="eastAsia"/>
                <w:sz w:val="24"/>
                <w:lang w:val="en-US" w:eastAsia="zh-CN"/>
              </w:rPr>
              <w:t>目前，部分欧盟国家建立起了定点自动观测站。德国研发出工作深度为6000米的观测站，具有VESP、BS等结构。基于VESP结构的观测站为保证投放地点的准确性，采取可视化投放。法国和意大利在简化型ROV装置的基础上，研发出工作深度达到6000米的海底监测站；英国研发出的工作深度4000米~6000米的监测站，主要功能是观测海底生物的情况。荷兰科学家研究并投入使用的BOBO观测站包含了多参数、多层次、多学科。在欧盟的大力支持下，英国、丹麦等国家，研发出水下4500米处工作的BENBO工作站，对海底沉积物的沉积进行研究。</w:t>
            </w:r>
          </w:p>
          <w:p>
            <w:pPr>
              <w:spacing w:line="500" w:lineRule="exact"/>
              <w:ind w:firstLine="480" w:firstLineChars="200"/>
              <w:jc w:val="both"/>
              <w:rPr>
                <w:rFonts w:hint="eastAsia"/>
                <w:sz w:val="24"/>
                <w:lang w:val="en-US" w:eastAsia="zh-CN"/>
              </w:rPr>
            </w:pPr>
            <w:r>
              <w:rPr>
                <w:rFonts w:hint="eastAsia"/>
                <w:sz w:val="24"/>
                <w:lang w:val="en-US" w:eastAsia="zh-CN"/>
              </w:rPr>
              <w:t>现如今，越来越多的发达国家将深海海底环境的原位监测提升到了国家战略的高度。为了实现在21世纪最终实现对深海海底环境的长期自动连续监测,90年代国外深海海底环境原位监测系统发展迅速,有的已实现了产业化并进入准业务运行阶段。因此，加强深海海底环境的原位监测技术的发展，才能实施有效的获得海洋环境数据。</w:t>
            </w:r>
          </w:p>
          <w:p>
            <w:pPr>
              <w:spacing w:line="500" w:lineRule="exact"/>
              <w:ind w:firstLine="480" w:firstLineChars="200"/>
              <w:jc w:val="both"/>
              <w:rPr>
                <w:rFonts w:hint="eastAsia"/>
                <w:sz w:val="24"/>
                <w:lang w:val="en-US" w:eastAsia="zh-CN"/>
              </w:rPr>
            </w:pPr>
            <w:r>
              <w:rPr>
                <w:rFonts w:hint="eastAsia"/>
                <w:sz w:val="24"/>
                <w:lang w:val="en-US" w:eastAsia="zh-CN"/>
              </w:rPr>
              <w:t>目前，我国的海洋研究现状是深海探测起步晚，落后于欧美地区发达国家。但是在“七五”之后，我国的深海探测事业有了极大的发展，尤其是对深海海底环境的研究方面更是取得了较大的进步。中国海洋大学研究的深海海底边界层原位监测系统，其最大工作深度为距离海平面4000米的深海海底，集成了DO、PH、CO2、CH4等深海探测仪器。就目前情况来说，我国的海洋探测技术处于起步阶段，与欧美国家差距较大。虽然我国的深海探测事业有了极大的发展，对于深海海底边界层的研究更是取得了长足的进步，但是和发达国家的探测研究相比较，仍然存在着明显的不足。</w:t>
            </w:r>
          </w:p>
          <w:p>
            <w:pPr>
              <w:spacing w:line="500" w:lineRule="exact"/>
              <w:ind w:firstLine="480" w:firstLineChars="200"/>
              <w:jc w:val="both"/>
              <w:rPr>
                <w:rFonts w:hint="eastAsia"/>
                <w:sz w:val="24"/>
                <w:lang w:val="en-US" w:eastAsia="zh-CN"/>
              </w:rPr>
            </w:pPr>
            <w:r>
              <w:rPr>
                <w:rFonts w:hint="eastAsia"/>
                <w:sz w:val="24"/>
                <w:lang w:val="en-US" w:eastAsia="zh-CN"/>
              </w:rPr>
              <w:t>近年来,我国在深海观测方面也进行了一定的研究和实践,开展了太平洋海底资源调查并划得了开辟区,参加了国际大洋钻探并在南海取得成功,“可燃冰”和深海油气的勘探也已经着手。在国家863计划的支持下,科研人员先后开展了海洋观测技术的研究,例如水下机器人、深海潜标、锚系浮标、海床基动力环境自动监测系统、电缆传输式6 000m高精度CTDC剖面探测仪、ADCP和ACCP、水下生态环境观测站、海底定点系留自动剖面仪、深海沉积物捕获器等项技术研究。这些成果都是近10年来在借鉴国外技术的基础上自我开发的技术,有的成果已成为定型产品,用于国防建设和科研领域,它们为建立深海长期观测站奠定了技术基础和积累了经验。然而,这些远远不能满足要求,难以适应国际海上权益与资源之争。无论是在地震监测、深海油气和大洋矿产资源勘探开发方面,还是在基因资源的开发利用、海军的能力建设方面,都对深海底观测提出了强烈的需求。构建拥有自主知识产权的海底观测平台/网络势在必行。</w:t>
            </w:r>
          </w:p>
          <w:p>
            <w:pPr>
              <w:numPr>
                <w:numId w:val="0"/>
              </w:numPr>
              <w:ind w:leftChars="0"/>
              <w:rPr>
                <w:b/>
                <w:bCs/>
                <w:sz w:val="28"/>
                <w:szCs w:val="28"/>
              </w:rPr>
            </w:pPr>
            <w:r>
              <w:rPr>
                <w:rFonts w:hint="eastAsia"/>
                <w:b/>
                <w:bCs/>
                <w:sz w:val="24"/>
                <w:lang w:val="en-US" w:eastAsia="zh-CN"/>
              </w:rPr>
              <w:t>2</w:t>
            </w:r>
            <w:r>
              <w:rPr>
                <w:rFonts w:hint="eastAsia"/>
                <w:b/>
                <w:bCs/>
                <w:sz w:val="24"/>
                <w:lang w:eastAsia="zh-CN"/>
              </w:rPr>
              <w:t>、</w:t>
            </w:r>
            <w:r>
              <w:rPr>
                <w:rFonts w:hint="eastAsia"/>
                <w:b/>
                <w:bCs/>
                <w:sz w:val="28"/>
                <w:szCs w:val="28"/>
              </w:rPr>
              <w:t>发展趋势</w:t>
            </w:r>
          </w:p>
          <w:p>
            <w:pPr>
              <w:spacing w:line="500" w:lineRule="exact"/>
              <w:ind w:firstLine="480" w:firstLineChars="200"/>
              <w:jc w:val="both"/>
              <w:rPr>
                <w:rFonts w:hint="eastAsia"/>
                <w:sz w:val="24"/>
                <w:lang w:val="en-US" w:eastAsia="zh-CN"/>
              </w:rPr>
            </w:pPr>
            <w:r>
              <w:rPr>
                <w:rFonts w:hint="eastAsia"/>
                <w:sz w:val="24"/>
                <w:lang w:val="en-US" w:eastAsia="zh-CN"/>
              </w:rPr>
              <w:t>长期化：海底环境的某些参数需要长时间的观测才能分析其变化规律，所以这就要求海底观测平台能够长期工作满足数据采集的需要。</w:t>
            </w:r>
          </w:p>
          <w:p>
            <w:pPr>
              <w:spacing w:line="500" w:lineRule="exact"/>
              <w:ind w:firstLine="480" w:firstLineChars="200"/>
              <w:jc w:val="both"/>
              <w:rPr>
                <w:rFonts w:hint="eastAsia"/>
                <w:sz w:val="24"/>
                <w:lang w:val="en-US" w:eastAsia="zh-CN"/>
              </w:rPr>
            </w:pPr>
            <w:r>
              <w:rPr>
                <w:rFonts w:hint="eastAsia"/>
                <w:sz w:val="24"/>
                <w:lang w:val="en-US" w:eastAsia="zh-CN"/>
              </w:rPr>
              <w:t>稳定化：由于海底环境复杂多变，海底观测平台需要能够稳定的为各个监测传感器提供稳定的电能，并且能够将采集的数据稳定地保存到存储设备中。</w:t>
            </w:r>
          </w:p>
          <w:p>
            <w:pPr>
              <w:spacing w:line="500" w:lineRule="exact"/>
              <w:ind w:firstLine="480" w:firstLineChars="200"/>
              <w:jc w:val="both"/>
              <w:rPr>
                <w:rFonts w:hint="eastAsia"/>
                <w:sz w:val="24"/>
                <w:lang w:val="en-US" w:eastAsia="zh-CN"/>
              </w:rPr>
            </w:pPr>
            <w:r>
              <w:rPr>
                <w:rFonts w:hint="eastAsia"/>
                <w:sz w:val="24"/>
                <w:lang w:val="en-US" w:eastAsia="zh-CN"/>
              </w:rPr>
              <w:t>网络化：为了能够监测到各个地域的海底环境变化，可以将各个海底监测平台进行组网，同时监测海底各个地区的环境变化。现在我国已经开始组建海底观测网络，例如：浙江大学研制的ZERO海底观测网络实验平台。</w:t>
            </w:r>
          </w:p>
          <w:p>
            <w:pPr>
              <w:numPr>
                <w:numId w:val="0"/>
              </w:numPr>
              <w:ind w:leftChars="0"/>
              <w:rPr>
                <w:rFonts w:hint="eastAsia"/>
                <w:b/>
                <w:bCs/>
                <w:sz w:val="28"/>
                <w:szCs w:val="28"/>
                <w:lang w:val="en-US" w:eastAsia="zh-CN"/>
              </w:rPr>
            </w:pPr>
            <w:r>
              <w:rPr>
                <w:rFonts w:hint="eastAsia"/>
                <w:b/>
                <w:bCs/>
                <w:sz w:val="28"/>
                <w:szCs w:val="28"/>
                <w:lang w:val="en-US" w:eastAsia="zh-CN"/>
              </w:rPr>
              <w:t>3、研究意义</w:t>
            </w:r>
          </w:p>
          <w:p>
            <w:pPr>
              <w:spacing w:line="500" w:lineRule="exact"/>
              <w:ind w:firstLine="480" w:firstLineChars="200"/>
              <w:jc w:val="both"/>
              <w:rPr>
                <w:rFonts w:hint="eastAsia"/>
                <w:sz w:val="24"/>
                <w:lang w:val="en-US" w:eastAsia="zh-CN"/>
              </w:rPr>
            </w:pPr>
            <w:r>
              <w:rPr>
                <w:rFonts w:hint="eastAsia"/>
                <w:sz w:val="24"/>
                <w:lang w:val="en-US" w:eastAsia="zh-CN"/>
              </w:rPr>
              <w:t>海底观测系统是人类研究探索海洋，开发和利用海底资源的重要前提之一。海底观测系统的主要任务主要有三项：一是探测未知世界；二是寻找海底资源；三是监控人类活动对海洋带来的影响。对海洋乃至海底的物理、化学和生物量的观测，如海洋的流、浪、潮等动力参数，海底的结构构造参数和海洋的PH、CO2、DO(溶解氧)、营养盐、蛋白总量等化学和生物量等等，都是海洋科学研究的基础。在深海海底资源勘探领域，除了探测新的海底资源之外，海底观测系统还可在这样三个方向进行应用：一是研究矿物生长与发展，如热液硫化物的生成机理研究；二是开展面向生物资源开发的特定地区生态系统研究，如热液生态体系的研究；三是进行大洋资源开发过程及其后续过程的环境变化监测，从而避免资源开采过程中对海洋周边环境所带来的不良影响。</w:t>
            </w:r>
          </w:p>
          <w:p>
            <w:pPr>
              <w:spacing w:line="500" w:lineRule="exact"/>
              <w:ind w:firstLine="480" w:firstLineChars="200"/>
              <w:jc w:val="both"/>
              <w:rPr>
                <w:rFonts w:hint="eastAsia"/>
                <w:sz w:val="24"/>
                <w:lang w:val="en-US" w:eastAsia="zh-CN"/>
              </w:rPr>
            </w:pPr>
            <w:r>
              <w:rPr>
                <w:rFonts w:hint="eastAsia"/>
                <w:sz w:val="24"/>
                <w:lang w:val="en-US" w:eastAsia="zh-CN"/>
              </w:rPr>
              <w:t>海底观测系统的最大优势是原位分析。海洋生物学、海洋化学和海洋地质研究的传统做法是从海里取样后带回室实验室进行分析。其缺陷是显然的，一是容器可能污染水样，二是采回后的海水化学性质可能已发生变化，如pH值等，一些深海生物可能已死亡。新的方法——原位分析：不是把样品采回实验室分析，而是把海水传感器放在海里直接进行探测。原位分析是海洋环境研究的基本要求。只要将海水中的原位观测传感器与海底的节点连接，其就成了海底观测系统的有机组成部分(图1)。</w:t>
            </w:r>
          </w:p>
          <w:p>
            <w:pPr>
              <w:pStyle w:val="2"/>
              <w:keepNext/>
              <w:keepLines/>
              <w:widowControl w:val="0"/>
              <w:wordWrap/>
              <w:adjustRightInd w:val="0"/>
              <w:snapToGrid w:val="0"/>
              <w:spacing w:before="156" w:beforeLines="50" w:after="156" w:afterLines="50" w:line="240" w:lineRule="auto"/>
              <w:ind w:left="0" w:leftChars="0" w:right="0" w:firstLine="0" w:firstLineChars="0"/>
              <w:jc w:val="both"/>
              <w:textAlignment w:val="auto"/>
              <w:outlineLvl w:val="2"/>
            </w:pPr>
            <w:bookmarkStart w:id="0" w:name="_Toc356768291"/>
            <w:r>
              <w:rPr>
                <w:rFonts w:ascii="宋体" w:hAnsi="宋体" w:eastAsia="宋体" w:cs="Times New Roman"/>
                <w:b/>
                <w:bCs/>
                <w:kern w:val="2"/>
                <w:sz w:val="28"/>
                <w:szCs w:val="28"/>
                <w:lang w:val="en-US" w:eastAsia="zh-CN" w:bidi="ar-SA"/>
              </w:rPr>
              <w:pict>
                <v:shape id="Picture 1" o:spid="_x0000_s1026" type="#_x0000_t75" style="height:260.65pt;width:413.2pt;rotation:0f;" o:ole="f" fillcolor="#FFFFFF" filled="f" o:preferrelative="f" stroked="f" coordorigin="0,0" coordsize="21600,21600">
                  <v:fill on="f" color2="#FFFFFF" focus="0%"/>
                  <v:imagedata gain="65536f" blacklevel="0f" gamma="0" o:title="C:\Users\Administrator\Desktop\图片3.jpg图片3" r:id="rId11"/>
                  <o:lock v:ext="edit" position="f" selection="f" grouping="f" rotation="f" cropping="f" text="f" aspectratio="f"/>
                  <w10:wrap type="none"/>
                  <w10:anchorlock/>
                </v:shape>
              </w:pict>
            </w:r>
          </w:p>
          <w:p>
            <w:pPr>
              <w:jc w:val="center"/>
              <w:rPr>
                <w:rFonts w:hint="eastAsia"/>
                <w:b w:val="0"/>
                <w:bCs/>
                <w:sz w:val="18"/>
                <w:szCs w:val="18"/>
              </w:rPr>
            </w:pPr>
            <w:r>
              <w:rPr>
                <w:rFonts w:hint="eastAsia"/>
                <w:b w:val="0"/>
                <w:bCs/>
                <w:sz w:val="18"/>
                <w:szCs w:val="18"/>
              </w:rPr>
              <w:t>图1 海底热液口的原位观测</w:t>
            </w:r>
          </w:p>
          <w:p>
            <w:pPr>
              <w:pStyle w:val="2"/>
              <w:keepNext/>
              <w:keepLines/>
              <w:widowControl w:val="0"/>
              <w:wordWrap/>
              <w:adjustRightInd w:val="0"/>
              <w:snapToGrid w:val="0"/>
              <w:spacing w:before="156" w:beforeLines="50" w:after="156" w:afterLines="50" w:line="240" w:lineRule="auto"/>
              <w:ind w:left="0" w:leftChars="0" w:right="0" w:firstLine="0" w:firstLineChars="0"/>
              <w:jc w:val="both"/>
              <w:textAlignment w:val="auto"/>
              <w:outlineLvl w:val="2"/>
              <w:rPr>
                <w:rFonts w:hint="eastAsia" w:eastAsia="宋体"/>
                <w:lang w:val="en-US" w:eastAsia="zh-CN"/>
              </w:rPr>
            </w:pPr>
            <w:r>
              <w:rPr>
                <w:rFonts w:hint="eastAsia"/>
                <w:lang w:val="en-US" w:eastAsia="zh-CN"/>
              </w:rPr>
              <w:t>4、常见传感器的工作原理</w:t>
            </w:r>
          </w:p>
          <w:bookmarkEnd w:id="0"/>
          <w:p>
            <w:pPr>
              <w:spacing w:line="500" w:lineRule="exact"/>
              <w:ind w:firstLine="480" w:firstLineChars="200"/>
              <w:jc w:val="both"/>
              <w:rPr>
                <w:rFonts w:hint="eastAsia"/>
                <w:sz w:val="24"/>
                <w:lang w:val="en-US" w:eastAsia="zh-CN"/>
              </w:rPr>
            </w:pPr>
            <w:r>
              <w:rPr>
                <w:rFonts w:hint="eastAsia"/>
                <w:sz w:val="24"/>
                <w:lang w:val="en-US" w:eastAsia="zh-CN"/>
              </w:rPr>
              <w:t>(1) 声学多普勒流速剖面仪（ADCP）原理</w:t>
            </w:r>
          </w:p>
          <w:p>
            <w:pPr>
              <w:spacing w:line="500" w:lineRule="exact"/>
              <w:ind w:firstLine="480" w:firstLineChars="200"/>
              <w:jc w:val="both"/>
              <w:rPr>
                <w:rFonts w:hint="eastAsia"/>
                <w:sz w:val="24"/>
                <w:lang w:val="en-US" w:eastAsia="zh-CN"/>
              </w:rPr>
            </w:pPr>
            <w:r>
              <w:rPr>
                <w:rFonts w:hint="eastAsia"/>
                <w:sz w:val="24"/>
                <w:lang w:val="en-US" w:eastAsia="zh-CN"/>
              </w:rPr>
              <w:t>流速测量是海洋作业的重要任务之一。ADCP全称Acoustic Doppler Current Profiler，即声学多普勒流速剖面仪，是当今世界上应用最广泛的测流仪器之一。ADCP性能稳定，是一种快速、有效、科学的测流装置。</w:t>
            </w:r>
          </w:p>
          <w:p>
            <w:pPr>
              <w:spacing w:line="500" w:lineRule="exact"/>
              <w:ind w:firstLine="480" w:firstLineChars="200"/>
              <w:jc w:val="both"/>
              <w:rPr>
                <w:rFonts w:hint="eastAsia"/>
                <w:sz w:val="24"/>
                <w:lang w:val="en-US" w:eastAsia="zh-CN"/>
              </w:rPr>
            </w:pPr>
            <w:r>
              <w:rPr>
                <w:rFonts w:hint="eastAsia"/>
                <w:sz w:val="24"/>
                <w:lang w:val="en-US" w:eastAsia="zh-CN"/>
              </w:rPr>
              <w:t>ADCP 配有四个换能器，如图2所示。换能器与水平方向成一定夹角分布，既能发射又能接收声波。换能器发射固定频率的声波，然后接收遇到水体中颗粒物而散射回来的声波。假定颗粒物的运动速度和水体流速相同，当颗粒物的运动方向是接近换能器时，换能器接收到的回波频率比发射波的频率高；当颗粒物的运动方向是背离换能器时，换能器接收到的回波频率比发射波的频率低，即多普勒效应。根据相应的公式，可以计算出颗粒物沿声波方向的速度，再经过转换获得地球坐标系下水的流速。</w:t>
            </w:r>
          </w:p>
          <w:p>
            <w:pPr>
              <w:adjustRightInd w:val="0"/>
              <w:snapToGrid w:val="0"/>
              <w:spacing w:line="360" w:lineRule="auto"/>
              <w:ind w:left="0" w:leftChars="0" w:firstLine="420"/>
              <w:jc w:val="center"/>
            </w:pPr>
            <w:r>
              <w:rPr>
                <w:rFonts w:ascii="Times New Roman" w:hAnsi="Times New Roman" w:eastAsia="宋体" w:cs="Times New Roman"/>
                <w:kern w:val="2"/>
                <w:sz w:val="21"/>
                <w:szCs w:val="24"/>
                <w:lang w:val="en-US" w:eastAsia="zh-CN" w:bidi="ar-SA"/>
              </w:rPr>
              <w:pict>
                <v:shape id="Picture 5" o:spid="_x0000_s1027" type="#_x0000_t75" style="height:202.35pt;width:255.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adjustRightInd w:val="0"/>
              <w:snapToGrid w:val="0"/>
              <w:spacing w:line="360" w:lineRule="auto"/>
              <w:ind w:left="0" w:leftChars="0" w:firstLine="420"/>
              <w:jc w:val="center"/>
              <w:rPr>
                <w:rFonts w:hint="eastAsia"/>
                <w:sz w:val="21"/>
                <w:szCs w:val="21"/>
              </w:rPr>
            </w:pPr>
            <w:r>
              <w:rPr>
                <w:rFonts w:hint="eastAsia"/>
                <w:sz w:val="21"/>
                <w:szCs w:val="21"/>
              </w:rPr>
              <w:t>图</w:t>
            </w:r>
            <w:r>
              <w:rPr>
                <w:rFonts w:hint="eastAsia"/>
                <w:sz w:val="21"/>
                <w:szCs w:val="21"/>
                <w:lang w:val="en-US" w:eastAsia="zh-CN"/>
              </w:rPr>
              <w:t>2</w:t>
            </w:r>
            <w:r>
              <w:rPr>
                <w:rFonts w:hint="eastAsia"/>
                <w:sz w:val="21"/>
                <w:szCs w:val="21"/>
              </w:rPr>
              <w:t xml:space="preserve"> ADCP换能器 </w:t>
            </w:r>
          </w:p>
          <w:p>
            <w:pPr>
              <w:adjustRightInd w:val="0"/>
              <w:snapToGrid w:val="0"/>
              <w:spacing w:line="360" w:lineRule="auto"/>
              <w:ind w:left="0" w:leftChars="0" w:firstLine="480" w:firstLineChars="200"/>
              <w:rPr>
                <w:rFonts w:hint="eastAsia"/>
              </w:rPr>
            </w:pPr>
          </w:p>
          <w:p>
            <w:pPr>
              <w:adjustRightInd w:val="0"/>
              <w:snapToGrid w:val="0"/>
              <w:spacing w:line="360" w:lineRule="auto"/>
              <w:ind w:left="0" w:leftChars="0"/>
            </w:pPr>
            <w:r>
              <w:rPr>
                <w:rFonts w:hint="eastAsia"/>
              </w:rPr>
              <w:t>(2) 温盐深剖面仪工作原理</w:t>
            </w:r>
          </w:p>
          <w:p>
            <w:pPr>
              <w:adjustRightInd w:val="0"/>
              <w:snapToGrid w:val="0"/>
              <w:spacing w:line="360" w:lineRule="auto"/>
              <w:ind w:left="0" w:leftChars="0"/>
              <w:jc w:val="center"/>
              <w:rPr>
                <w:rFonts w:hint="eastAsia"/>
              </w:rPr>
            </w:pPr>
            <w:r>
              <w:fldChar w:fldCharType="begin"/>
            </w:r>
            <w:r>
              <w:instrText xml:space="preserve"> INCLUDEPICTURE "http://img1.17img.cn/17img/old/showb/pic/c153303.jpg!w250x250.jpg" \* MERGEFORMATINET </w:instrText>
            </w:r>
            <w:r>
              <w:fldChar w:fldCharType="separate"/>
            </w:r>
            <w:r>
              <w:rPr>
                <w:rFonts w:ascii="Times New Roman" w:hAnsi="Times New Roman" w:eastAsia="宋体" w:cs="Times New Roman"/>
                <w:kern w:val="2"/>
                <w:sz w:val="21"/>
                <w:szCs w:val="24"/>
                <w:lang w:val="en-US" w:eastAsia="zh-CN" w:bidi="ar-SA"/>
              </w:rPr>
              <w:pict>
                <v:shape id="Picture 6" o:spid="_x0000_s1028" alt="SBE 16plus V2 SEACAT温盐（深）记录仪" type="#_x0000_t75" style="height:123.75pt;width:312.55pt;rotation:0f;" o:ole="f" fillcolor="#FFFFFF" filled="f" o:preferrelative="t" stroked="f" coordorigin="0,0" coordsize="21600,21600">
                  <v:fill on="f" color2="#FFFFFF" focus="0%"/>
                  <v:imagedata croptop="19816f" cropbottom="19816f" gain="65536f" blacklevel="0f" gamma="0" o:title="c153303" r:id="rId13"/>
                  <o:lock v:ext="edit" position="f" selection="f" grouping="f" rotation="f" cropping="f" text="f" aspectratio="t"/>
                  <w10:wrap type="none"/>
                  <w10:anchorlock/>
                </v:shape>
              </w:pict>
            </w:r>
            <w:r>
              <w:fldChar w:fldCharType="end"/>
            </w:r>
          </w:p>
          <w:p>
            <w:pPr>
              <w:adjustRightInd w:val="0"/>
              <w:snapToGrid w:val="0"/>
              <w:spacing w:line="360" w:lineRule="auto"/>
              <w:ind w:left="0" w:leftChars="0"/>
              <w:jc w:val="center"/>
              <w:rPr>
                <w:sz w:val="21"/>
                <w:szCs w:val="21"/>
              </w:rPr>
            </w:pPr>
            <w:r>
              <w:rPr>
                <w:rFonts w:hAnsi="宋体"/>
                <w:sz w:val="21"/>
                <w:szCs w:val="21"/>
              </w:rPr>
              <w:t>图</w:t>
            </w:r>
            <w:r>
              <w:rPr>
                <w:rFonts w:hint="eastAsia"/>
                <w:sz w:val="21"/>
                <w:szCs w:val="21"/>
                <w:lang w:val="en-US" w:eastAsia="zh-CN"/>
              </w:rPr>
              <w:t>3</w:t>
            </w:r>
            <w:r>
              <w:rPr>
                <w:sz w:val="21"/>
                <w:szCs w:val="21"/>
              </w:rPr>
              <w:t xml:space="preserve">  </w:t>
            </w:r>
            <w:r>
              <w:rPr>
                <w:color w:val="000000"/>
                <w:sz w:val="21"/>
                <w:szCs w:val="21"/>
                <w:shd w:val="clear" w:color="auto" w:fill="FFFFFF"/>
              </w:rPr>
              <w:t>SBE 16plus V2 SEACAT</w:t>
            </w:r>
            <w:r>
              <w:rPr>
                <w:rFonts w:hAnsi="宋体"/>
                <w:color w:val="000000"/>
                <w:sz w:val="21"/>
                <w:szCs w:val="21"/>
                <w:shd w:val="clear" w:color="auto" w:fill="FFFFFF"/>
              </w:rPr>
              <w:t>温盐（深）记录仪</w:t>
            </w:r>
          </w:p>
          <w:p>
            <w:pPr>
              <w:spacing w:line="500" w:lineRule="exact"/>
              <w:ind w:firstLine="480" w:firstLineChars="200"/>
              <w:jc w:val="both"/>
              <w:rPr>
                <w:rFonts w:hint="eastAsia"/>
                <w:sz w:val="24"/>
                <w:lang w:val="en-US" w:eastAsia="zh-CN"/>
              </w:rPr>
            </w:pPr>
            <w:r>
              <w:rPr>
                <w:rFonts w:hint="eastAsia"/>
                <w:sz w:val="24"/>
                <w:lang w:val="en-US" w:eastAsia="zh-CN"/>
              </w:rPr>
              <w:t>温盐深剖面仪，简称为CTD，即电导率、温度和深度的测量仪器。CTD工作原理简介：K = K (R)，对于海水CTD参数的测量，可以归结到一种物理量的测量。例如， 由传感器测量响应的电阻的变化来完成。简而言之，电导率C与一定海水水柱的电阻有关(C=K)，可以通过流过电导池的海水的电阻随海洋环境(海水的温度、压力和盐度)的变化来提取。温度的变化通过热敏电阻反映海水的温度T (K=T )。而深度D一般通过压力测量，根据数学关系进行计算。而压力P (K=P)的测量采用应变式硅阻随深度变化取得。</w:t>
            </w:r>
          </w:p>
          <w:p>
            <w:pPr>
              <w:spacing w:line="500" w:lineRule="exact"/>
              <w:ind w:firstLine="480" w:firstLineChars="200"/>
              <w:jc w:val="both"/>
              <w:rPr>
                <w:rFonts w:hint="eastAsia"/>
                <w:sz w:val="24"/>
                <w:lang w:val="en-US" w:eastAsia="zh-CN"/>
              </w:rPr>
            </w:pPr>
            <w:r>
              <w:rPr>
                <w:rFonts w:hint="eastAsia"/>
                <w:sz w:val="24"/>
                <w:lang w:val="en-US" w:eastAsia="zh-CN"/>
              </w:rPr>
              <w:t>(3) CH4传感器测量原理</w:t>
            </w:r>
          </w:p>
          <w:p>
            <w:pPr>
              <w:spacing w:line="500" w:lineRule="exact"/>
              <w:ind w:firstLine="480" w:firstLineChars="200"/>
              <w:jc w:val="both"/>
              <w:rPr>
                <w:rFonts w:hint="eastAsia"/>
                <w:sz w:val="24"/>
                <w:lang w:val="en-US" w:eastAsia="zh-CN"/>
              </w:rPr>
            </w:pPr>
            <w:r>
              <w:rPr>
                <w:rFonts w:hint="eastAsia"/>
                <w:sz w:val="24"/>
                <w:lang w:val="en-US" w:eastAsia="zh-CN"/>
              </w:rPr>
              <w:t>水下甲烷传感器广泛应用于甲烷水合物研究、湖沼研究、海岸风险管理、管道检测和泄漏检测等各个应用领域。</w:t>
            </w:r>
            <w:bookmarkStart w:id="1" w:name="OLE_LINK14"/>
            <w:bookmarkStart w:id="2" w:name="OLE_LINK15"/>
            <w:r>
              <w:rPr>
                <w:rFonts w:hint="eastAsia"/>
                <w:sz w:val="24"/>
                <w:lang w:val="en-US" w:eastAsia="zh-CN"/>
              </w:rPr>
              <w:t>HydroC-II-CH4</w:t>
            </w:r>
            <w:bookmarkEnd w:id="1"/>
            <w:bookmarkEnd w:id="2"/>
            <w:r>
              <w:rPr>
                <w:rFonts w:hint="eastAsia"/>
                <w:sz w:val="24"/>
                <w:lang w:val="en-US" w:eastAsia="zh-CN"/>
              </w:rPr>
              <w:t>型甲烷传感器采用了高渗透性膜和非色散红外分光检测的专利技术，具有低检测阈和高精度的特点，同时配备了Seabird公司的水泵，如图4所示，能获得更快的响应速度，也可以有效减少生物附着的情况。</w:t>
            </w:r>
          </w:p>
          <w:p>
            <w:pPr>
              <w:pStyle w:val="8"/>
              <w:spacing w:line="360" w:lineRule="auto"/>
              <w:jc w:val="center"/>
              <w:rPr>
                <w:rFonts w:hint="eastAsia"/>
              </w:rPr>
            </w:pPr>
            <w:r>
              <w:rPr>
                <w:rFonts w:hint="eastAsia" w:ascii="宋体" w:hAnsi="Times New Roman" w:eastAsia="宋体" w:cs="宋体"/>
                <w:color w:val="000000"/>
                <w:sz w:val="24"/>
                <w:szCs w:val="24"/>
                <w:lang w:val="en-US" w:eastAsia="zh-CN" w:bidi="ar-SA"/>
              </w:rPr>
              <w:pict>
                <v:shape id="Picture 7" o:spid="_x0000_s1029" type="#_x0000_t75" style="height:131.2pt;width:314.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8"/>
              <w:spacing w:line="360" w:lineRule="auto"/>
              <w:ind w:firstLine="420" w:firstLineChars="200"/>
              <w:jc w:val="center"/>
              <w:rPr>
                <w:rFonts w:hint="eastAsia" w:ascii="Times New Roman" w:cs="Times New Roman"/>
                <w:color w:val="auto"/>
                <w:kern w:val="2"/>
                <w:sz w:val="21"/>
                <w:szCs w:val="21"/>
              </w:rPr>
            </w:pPr>
            <w:r>
              <w:rPr>
                <w:rFonts w:hint="eastAsia"/>
                <w:sz w:val="21"/>
                <w:szCs w:val="21"/>
              </w:rPr>
              <w:t>图</w:t>
            </w:r>
            <w:r>
              <w:rPr>
                <w:rFonts w:hint="eastAsia"/>
                <w:sz w:val="21"/>
                <w:szCs w:val="21"/>
                <w:lang w:val="en-US" w:eastAsia="zh-CN"/>
              </w:rPr>
              <w:t>4</w:t>
            </w:r>
            <w:r>
              <w:rPr>
                <w:rFonts w:hint="eastAsia"/>
                <w:sz w:val="21"/>
                <w:szCs w:val="21"/>
              </w:rPr>
              <w:t xml:space="preserve"> CH4传感器与外部水泵</w:t>
            </w:r>
          </w:p>
          <w:p>
            <w:pPr>
              <w:spacing w:line="500" w:lineRule="exact"/>
              <w:ind w:firstLine="480" w:firstLineChars="200"/>
              <w:jc w:val="both"/>
              <w:rPr>
                <w:rFonts w:hint="eastAsia"/>
                <w:sz w:val="24"/>
                <w:lang w:val="en-US" w:eastAsia="zh-CN"/>
              </w:rPr>
            </w:pPr>
            <w:r>
              <w:rPr>
                <w:rFonts w:hint="eastAsia"/>
                <w:sz w:val="24"/>
                <w:lang w:val="en-US" w:eastAsia="zh-CN"/>
              </w:rPr>
              <w:t>首先水泵将一部分海水抽入传感器内部，这一部分水与内部气路之间隔着一层复合疏水薄膜，当两边的甲烷浓度到达平衡后，通过非色散红外光谱可以测得甲烷的浓度。在这之后传感器内部的数据记录装置记录下甲烷浓度。</w:t>
            </w:r>
          </w:p>
          <w:p>
            <w:pPr>
              <w:spacing w:line="500" w:lineRule="exact"/>
              <w:ind w:firstLine="480" w:firstLineChars="200"/>
              <w:jc w:val="both"/>
              <w:rPr>
                <w:rFonts w:hint="eastAsia"/>
                <w:sz w:val="24"/>
                <w:lang w:val="en-US" w:eastAsia="zh-CN"/>
              </w:rPr>
            </w:pPr>
            <w:r>
              <w:rPr>
                <w:rFonts w:hint="eastAsia"/>
                <w:sz w:val="24"/>
                <w:lang w:val="en-US" w:eastAsia="zh-CN"/>
              </w:rPr>
              <w:t>CH4传感器的工作主要分为2个阶段：工作阶段、休眠阶段。其中工作阶段又分为预热、标定、冲洗、测量4个子阶段，可以配置阶段的时间周期来满足不同的测量需求。</w:t>
            </w:r>
          </w:p>
          <w:p>
            <w:pPr>
              <w:pStyle w:val="8"/>
              <w:spacing w:line="360" w:lineRule="auto"/>
              <w:jc w:val="center"/>
              <w:rPr>
                <w:rFonts w:hint="eastAsia"/>
              </w:rPr>
            </w:pPr>
            <w:r>
              <w:rPr>
                <w:rFonts w:ascii="宋体" w:hAnsi="Times New Roman" w:eastAsia="宋体" w:cs="宋体"/>
                <w:color w:val="000000"/>
                <w:sz w:val="24"/>
                <w:szCs w:val="24"/>
                <w:lang w:val="en-US" w:eastAsia="zh-CN" w:bidi="ar-SA"/>
              </w:rPr>
              <w:object>
                <v:shape id="Picture 8" type="#_x0000_t75" style="height:148.45pt;width:398.95pt;rotation:0f;" o:ole="t"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o:OLEObject Type="Embed" ProgID="Visio.Drawing.11" ShapeID="Picture 8" DrawAspect="Content" ObjectID="_5" r:id="rId15"/>
              </w:object>
            </w:r>
          </w:p>
          <w:p>
            <w:pPr>
              <w:pStyle w:val="8"/>
              <w:spacing w:line="360" w:lineRule="auto"/>
              <w:jc w:val="center"/>
              <w:rPr>
                <w:rFonts w:hint="eastAsia" w:ascii="Times New Roman" w:cs="Times New Roman"/>
                <w:color w:val="auto"/>
                <w:kern w:val="2"/>
              </w:rPr>
            </w:pPr>
            <w:r>
              <w:rPr>
                <w:rFonts w:hint="eastAsia"/>
                <w:sz w:val="21"/>
                <w:szCs w:val="21"/>
              </w:rPr>
              <w:t>图</w:t>
            </w:r>
            <w:r>
              <w:rPr>
                <w:rFonts w:hint="eastAsia"/>
                <w:sz w:val="21"/>
                <w:szCs w:val="21"/>
                <w:lang w:val="en-US" w:eastAsia="zh-CN"/>
              </w:rPr>
              <w:t>5</w:t>
            </w:r>
            <w:r>
              <w:rPr>
                <w:rFonts w:hint="eastAsia"/>
                <w:sz w:val="21"/>
                <w:szCs w:val="21"/>
              </w:rPr>
              <w:t xml:space="preserve"> 甲烷传感器工作原理</w:t>
            </w:r>
          </w:p>
          <w:p>
            <w:pPr>
              <w:pStyle w:val="8"/>
              <w:spacing w:line="360" w:lineRule="auto"/>
              <w:rPr>
                <w:rFonts w:ascii="Times New Roman" w:cs="Times New Roman"/>
                <w:color w:val="auto"/>
                <w:kern w:val="2"/>
              </w:rPr>
            </w:pPr>
            <w:r>
              <w:rPr>
                <w:rFonts w:hint="eastAsia" w:ascii="Times New Roman" w:cs="Times New Roman"/>
                <w:color w:val="auto"/>
                <w:kern w:val="2"/>
              </w:rPr>
              <w:t>(4) CO2传感器工作原理</w:t>
            </w:r>
          </w:p>
          <w:p>
            <w:pPr>
              <w:pStyle w:val="8"/>
              <w:spacing w:line="360" w:lineRule="auto"/>
              <w:jc w:val="center"/>
              <w:rPr>
                <w:rFonts w:hint="eastAsia"/>
              </w:rPr>
            </w:pPr>
            <w:r>
              <w:fldChar w:fldCharType="begin"/>
            </w:r>
            <w:r>
              <w:instrText xml:space="preserve"> INCLUDEPICTURE "http://img1.17img.cn/17img/old/showb/pic/c153309.jpg!w280x280.jpg" \* MERGEFORMATINET </w:instrText>
            </w:r>
            <w:r>
              <w:fldChar w:fldCharType="separate"/>
            </w:r>
            <w:r>
              <w:rPr>
                <w:rFonts w:ascii="宋体" w:hAnsi="Times New Roman" w:eastAsia="宋体" w:cs="宋体"/>
                <w:color w:val="000000"/>
                <w:sz w:val="24"/>
                <w:szCs w:val="24"/>
                <w:lang w:val="en-US" w:eastAsia="zh-CN" w:bidi="ar-SA"/>
              </w:rPr>
              <w:pict>
                <v:shape id="Picture 9" o:spid="_x0000_s1031" alt="产品图片" type="#_x0000_t75" style="height:86.85pt;width:210.6pt;rotation:0f;" o:ole="f" fillcolor="#FFFFFF" filled="f" o:preferrelative="t" stroked="f" coordorigin="0,0" coordsize="21600,21600">
                  <v:fill on="f" color2="#FFFFFF" focus="0%"/>
                  <v:imagedata croptop="17693f" cropbottom="17693f" gain="65536f" blacklevel="0f" gamma="0" o:title="c153309" r:id="rId17"/>
                  <o:lock v:ext="edit" position="f" selection="f" grouping="f" rotation="f" cropping="f" text="f" aspectratio="t"/>
                  <w10:wrap type="none"/>
                  <w10:anchorlock/>
                </v:shape>
              </w:pict>
            </w:r>
            <w:r>
              <w:fldChar w:fldCharType="end"/>
            </w:r>
          </w:p>
          <w:p>
            <w:pPr>
              <w:pStyle w:val="8"/>
              <w:spacing w:line="360" w:lineRule="auto"/>
              <w:jc w:val="center"/>
              <w:rPr>
                <w:rFonts w:ascii="Times New Roman" w:hAnsi="宋体" w:cs="Times New Roman"/>
                <w:color w:val="auto"/>
                <w:sz w:val="21"/>
                <w:szCs w:val="21"/>
                <w:shd w:val="clear" w:color="auto" w:fill="FFFFFF"/>
              </w:rPr>
            </w:pPr>
            <w:r>
              <w:rPr>
                <w:rFonts w:ascii="Times New Roman" w:hAnsi="宋体" w:cs="Times New Roman"/>
                <w:color w:val="auto"/>
                <w:sz w:val="21"/>
                <w:szCs w:val="21"/>
              </w:rPr>
              <w:t>图</w:t>
            </w:r>
            <w:r>
              <w:rPr>
                <w:rFonts w:hint="eastAsia" w:ascii="Times New Roman" w:cs="Times New Roman"/>
                <w:color w:val="auto"/>
                <w:sz w:val="21"/>
                <w:szCs w:val="21"/>
                <w:lang w:val="en-US" w:eastAsia="zh-CN"/>
              </w:rPr>
              <w:t>6</w:t>
            </w:r>
            <w:r>
              <w:rPr>
                <w:rFonts w:ascii="Times New Roman" w:cs="Times New Roman"/>
                <w:color w:val="auto"/>
                <w:sz w:val="21"/>
                <w:szCs w:val="21"/>
              </w:rPr>
              <w:t xml:space="preserve">  </w:t>
            </w:r>
            <w:r>
              <w:rPr>
                <w:rFonts w:ascii="Times New Roman" w:cs="Times New Roman"/>
                <w:color w:val="auto"/>
                <w:sz w:val="21"/>
                <w:szCs w:val="21"/>
                <w:shd w:val="clear" w:color="auto" w:fill="FFFFFF"/>
              </w:rPr>
              <w:t>HydroC™/ CO2</w:t>
            </w:r>
            <w:r>
              <w:rPr>
                <w:rFonts w:ascii="Times New Roman" w:hAnsi="宋体" w:cs="Times New Roman"/>
                <w:color w:val="auto"/>
                <w:sz w:val="21"/>
                <w:szCs w:val="21"/>
                <w:shd w:val="clear" w:color="auto" w:fill="FFFFFF"/>
              </w:rPr>
              <w:t>水下传感器</w:t>
            </w:r>
          </w:p>
          <w:p>
            <w:pPr>
              <w:spacing w:line="500" w:lineRule="exact"/>
              <w:ind w:firstLine="480" w:firstLineChars="200"/>
              <w:jc w:val="both"/>
              <w:rPr>
                <w:rFonts w:hint="eastAsia"/>
                <w:sz w:val="24"/>
                <w:lang w:val="en-US" w:eastAsia="zh-CN"/>
              </w:rPr>
            </w:pPr>
            <w:r>
              <w:rPr>
                <w:rFonts w:hint="eastAsia" w:ascii="Times New Roman" w:hAnsi="宋体" w:cs="Times New Roman"/>
                <w:color w:val="auto"/>
                <w:sz w:val="21"/>
                <w:szCs w:val="21"/>
                <w:shd w:val="clear" w:color="auto" w:fill="FFFFFF"/>
                <w:lang w:val="en-US" w:eastAsia="zh-CN"/>
              </w:rPr>
              <w:t xml:space="preserve">    </w:t>
            </w:r>
            <w:r>
              <w:rPr>
                <w:rFonts w:hint="eastAsia"/>
                <w:sz w:val="24"/>
                <w:lang w:val="en-US" w:eastAsia="zh-CN"/>
              </w:rPr>
              <w:t>在海洋环境原位观测领域，对CO2通量的监测非常重要。CONTROS公司生产的HydroC™/CO2是一种独特的水下CO2传感器，它解决了原位监测水下CO2这一全球性的问题。它广泛应用于海洋调查、温室效应研究、海洋监测、水质监测和废水处理等领域。</w:t>
            </w:r>
          </w:p>
          <w:p>
            <w:pPr>
              <w:spacing w:line="500" w:lineRule="exact"/>
              <w:ind w:firstLine="480" w:firstLineChars="200"/>
              <w:jc w:val="both"/>
              <w:rPr>
                <w:rFonts w:hint="eastAsia"/>
                <w:sz w:val="24"/>
                <w:lang w:val="en-US" w:eastAsia="zh-CN"/>
              </w:rPr>
            </w:pPr>
            <w:r>
              <w:rPr>
                <w:rFonts w:hint="eastAsia"/>
                <w:sz w:val="24"/>
                <w:lang w:val="en-US" w:eastAsia="zh-CN"/>
              </w:rPr>
              <w:t>水下CO2传感器主要组成部分是NDIR高精度光学分析系统。工作原理：水中溶解的CO2透过一种特殊的硅脂薄膜从液体中扩散到拥有专利技术的检测仓内，采用红外光谱吸收技术的方法检测CO2的浓度，并将浓度值转化为输出信号。</w:t>
            </w:r>
          </w:p>
          <w:p>
            <w:pPr>
              <w:spacing w:line="500" w:lineRule="exact"/>
              <w:ind w:firstLine="480" w:firstLineChars="200"/>
              <w:jc w:val="both"/>
              <w:rPr>
                <w:rFonts w:hint="eastAsia"/>
                <w:sz w:val="24"/>
                <w:lang w:val="en-US" w:eastAsia="zh-CN"/>
              </w:rPr>
            </w:pPr>
            <w:r>
              <w:rPr>
                <w:rFonts w:hint="eastAsia"/>
                <w:sz w:val="24"/>
                <w:lang w:val="en-US" w:eastAsia="zh-CN"/>
              </w:rPr>
              <w:t>(5) 多环芳烃传感器工作原理</w:t>
            </w:r>
          </w:p>
          <w:p>
            <w:pPr>
              <w:spacing w:line="500" w:lineRule="exact"/>
              <w:ind w:firstLine="480" w:firstLineChars="200"/>
              <w:jc w:val="both"/>
              <w:rPr>
                <w:rFonts w:hint="eastAsia"/>
                <w:sz w:val="24"/>
                <w:lang w:val="en-US" w:eastAsia="zh-CN"/>
              </w:rPr>
            </w:pPr>
            <w:bookmarkStart w:id="3" w:name="OLE_LINK8"/>
            <w:bookmarkStart w:id="4" w:name="OLE_LINK9"/>
            <w:r>
              <w:rPr>
                <w:rFonts w:hint="eastAsia"/>
                <w:sz w:val="24"/>
                <w:lang w:val="en-US" w:eastAsia="zh-CN"/>
              </w:rPr>
              <w:t>HydroC-PAH</w:t>
            </w:r>
            <w:bookmarkEnd w:id="3"/>
            <w:bookmarkEnd w:id="4"/>
            <w:r>
              <w:rPr>
                <w:rFonts w:hint="eastAsia"/>
                <w:sz w:val="24"/>
                <w:lang w:val="en-US" w:eastAsia="zh-CN"/>
              </w:rPr>
              <w:t>水下多环芳烃传感器可实现水中溶解腐殖酸、氨基酸、BTXE和多环芳烃的现场测量。该传感器采用创造性的光学镜头纳米级覆层，能够有效防止溢油包覆和污染，适用于海底环境监测、管道检测、原油泄漏检测。</w:t>
            </w:r>
          </w:p>
          <w:p>
            <w:pPr>
              <w:spacing w:line="500" w:lineRule="exact"/>
              <w:ind w:firstLine="480" w:firstLineChars="200"/>
              <w:jc w:val="both"/>
              <w:rPr>
                <w:rFonts w:hint="eastAsia"/>
                <w:sz w:val="24"/>
                <w:lang w:val="en-US" w:eastAsia="zh-CN"/>
              </w:rPr>
            </w:pPr>
            <w:r>
              <w:rPr>
                <w:rFonts w:hint="eastAsia"/>
                <w:sz w:val="24"/>
                <w:lang w:val="en-US" w:eastAsia="zh-CN"/>
              </w:rPr>
              <w:t>PAH传感器的激发光源在水中闪光，通过测量给定采样体积中的荧光剂量值，可以测得水中的PAH浓度值。针对不同的化合物，通过调节带通滤波器的范围，可以滤去相应光谱外的荧光，留下的荧光集中照射到紫外光电二级管，并转换成电压值。</w:t>
            </w:r>
          </w:p>
          <w:p>
            <w:pPr>
              <w:spacing w:line="500" w:lineRule="exact"/>
              <w:ind w:firstLine="480" w:firstLineChars="200"/>
              <w:jc w:val="both"/>
              <w:rPr>
                <w:rFonts w:hint="eastAsia"/>
                <w:sz w:val="24"/>
                <w:lang w:val="en-US" w:eastAsia="zh-CN"/>
              </w:rPr>
            </w:pPr>
            <w:r>
              <w:rPr>
                <w:rFonts w:hint="eastAsia"/>
                <w:sz w:val="24"/>
                <w:lang w:val="en-US" w:eastAsia="zh-CN"/>
              </w:rPr>
              <w:t>PAH传感器输出的为12位的二进制值，需要通过换算得到PAH的浓度值，例如数据为14E(HEX)，14E(HEX)=334(DEC)则PAH浓度计算：realConcentration=334*500ppb/4095=40.781ppb(ug/L)。</w:t>
            </w:r>
          </w:p>
          <w:p>
            <w:pPr>
              <w:pStyle w:val="2"/>
              <w:keepNext/>
              <w:keepLines/>
              <w:widowControl w:val="0"/>
              <w:numPr>
                <w:ilvl w:val="0"/>
                <w:numId w:val="2"/>
              </w:numPr>
              <w:wordWrap/>
              <w:adjustRightInd w:val="0"/>
              <w:snapToGrid w:val="0"/>
              <w:spacing w:before="156" w:beforeLines="50" w:after="156" w:afterLines="50" w:line="240" w:lineRule="auto"/>
              <w:ind w:left="0" w:leftChars="0" w:right="0" w:firstLine="0" w:firstLineChars="0"/>
              <w:jc w:val="both"/>
              <w:textAlignment w:val="auto"/>
              <w:outlineLvl w:val="2"/>
              <w:rPr>
                <w:rFonts w:hint="eastAsia"/>
                <w:lang w:val="en-US" w:eastAsia="zh-CN"/>
              </w:rPr>
            </w:pPr>
            <w:r>
              <w:rPr>
                <w:rFonts w:hint="eastAsia"/>
                <w:lang w:val="en-US" w:eastAsia="zh-CN"/>
              </w:rPr>
              <w:t>作者拟解决问题</w:t>
            </w:r>
          </w:p>
          <w:p>
            <w:pPr>
              <w:spacing w:line="500" w:lineRule="exact"/>
              <w:ind w:firstLine="480" w:firstLineChars="200"/>
              <w:jc w:val="both"/>
              <w:rPr>
                <w:rFonts w:hint="eastAsia"/>
                <w:sz w:val="24"/>
                <w:lang w:val="en-US" w:eastAsia="zh-CN"/>
              </w:rPr>
            </w:pPr>
            <w:r>
              <w:rPr>
                <w:rFonts w:hint="eastAsia"/>
                <w:sz w:val="24"/>
                <w:lang w:val="en-US" w:eastAsia="zh-CN"/>
              </w:rPr>
              <w:t>本课题主要完成海底环境原位监测平台的数据采集系统设计，是将地球化学、水文和生物等多种传感器的数据上行和供电下行，统一集成在同一系统中。系统不仅能将各传感器数据统一采集，集中管理，为数据提取和将来的数据远程发送提供便利，而且在传感器提供接口的前提下，还能实现对传感器的外部供电和统一电源管理，以及传感器的参数配置。系统必须保障整个监测平台的高效、平稳和安全运行，是平台提供原位监测数据的重要组成部分。</w:t>
            </w:r>
          </w:p>
          <w:p>
            <w:pPr>
              <w:spacing w:line="500" w:lineRule="exact"/>
              <w:ind w:firstLine="480" w:firstLineChars="200"/>
              <w:jc w:val="both"/>
              <w:rPr>
                <w:rFonts w:hint="eastAsia"/>
                <w:sz w:val="24"/>
                <w:lang w:val="en-US" w:eastAsia="zh-CN"/>
              </w:rPr>
            </w:pPr>
            <w:r>
              <w:rPr>
                <w:rFonts w:hint="eastAsia"/>
                <w:sz w:val="24"/>
                <w:lang w:val="en-US" w:eastAsia="zh-CN"/>
              </w:rPr>
              <w:t>主要完成目标：海底环境原位</w:t>
            </w:r>
            <w:bookmarkStart w:id="5" w:name="_GoBack"/>
            <w:bookmarkEnd w:id="5"/>
            <w:r>
              <w:rPr>
                <w:rFonts w:hint="eastAsia"/>
                <w:sz w:val="24"/>
                <w:lang w:val="en-US" w:eastAsia="zh-CN"/>
              </w:rPr>
              <w:t>监测平台数据采集系统中的电源管理单元电路的软硬件设计与研制实现、数据采集主电路的软硬件设计与研制实现、用户读取软件的软硬件设计与研制实现、系统的组装与调试、耐压仓内的固定与避振、耐压仓设计加工、整体水池试验等。</w:t>
            </w:r>
          </w:p>
          <w:p>
            <w:pPr>
              <w:pStyle w:val="2"/>
              <w:keepNext/>
              <w:keepLines/>
              <w:widowControl w:val="0"/>
              <w:wordWrap/>
              <w:adjustRightInd w:val="0"/>
              <w:snapToGrid w:val="0"/>
              <w:spacing w:before="156" w:beforeLines="50" w:after="156" w:afterLines="50" w:line="240" w:lineRule="auto"/>
              <w:ind w:left="0" w:leftChars="0" w:right="0" w:firstLine="0" w:firstLineChars="0"/>
              <w:jc w:val="both"/>
              <w:textAlignment w:val="auto"/>
              <w:outlineLvl w:val="2"/>
              <w:rPr>
                <w:rFonts w:hint="eastAsia"/>
                <w:lang w:val="en-US" w:eastAsia="zh-CN"/>
              </w:rPr>
            </w:pPr>
            <w:r>
              <w:rPr>
                <w:rFonts w:hint="eastAsia"/>
                <w:lang w:val="en-US" w:eastAsia="zh-CN"/>
              </w:rPr>
              <w:t>6、参考书目</w:t>
            </w:r>
          </w:p>
          <w:p>
            <w:pPr>
              <w:rPr>
                <w:bCs/>
                <w:szCs w:val="21"/>
              </w:rPr>
            </w:pPr>
            <w:r>
              <w:rPr>
                <w:b/>
                <w:bCs/>
                <w:sz w:val="24"/>
              </w:rPr>
              <w:t>[</w:t>
            </w:r>
            <w:r>
              <w:rPr>
                <w:bCs/>
                <w:szCs w:val="21"/>
              </w:rPr>
              <w:t>1] Favali P, Beranzoli L, Anna G D, et al. A fleet of multiparameter observatories for geophysical and environmental monitoring at seafloor[J]. Annals of Geophysics, 2009, 49(2-3).</w:t>
            </w:r>
          </w:p>
          <w:p>
            <w:pPr>
              <w:rPr>
                <w:bCs/>
                <w:szCs w:val="21"/>
              </w:rPr>
            </w:pPr>
            <w:r>
              <w:rPr>
                <w:bCs/>
                <w:szCs w:val="21"/>
              </w:rPr>
              <w:t>[2]</w:t>
            </w:r>
            <w:r>
              <w:rPr>
                <w:rFonts w:hint="eastAsia"/>
                <w:bCs/>
                <w:szCs w:val="21"/>
              </w:rPr>
              <w:t xml:space="preserve"> </w:t>
            </w:r>
            <w:r>
              <w:rPr>
                <w:bCs/>
                <w:szCs w:val="21"/>
              </w:rPr>
              <w:t>Aymerich, F I, Piera, et al. Cable Planning for the European Multidisciplinary Seafloor Observatory[J]. Sea Technology, 2011, 52(6).</w:t>
            </w:r>
          </w:p>
          <w:p>
            <w:pPr>
              <w:rPr>
                <w:bCs/>
                <w:szCs w:val="21"/>
              </w:rPr>
            </w:pPr>
            <w:r>
              <w:rPr>
                <w:bCs/>
                <w:szCs w:val="21"/>
              </w:rPr>
              <w:t xml:space="preserve">[3] </w:t>
            </w:r>
            <w:r>
              <w:rPr>
                <w:rFonts w:hint="eastAsia"/>
                <w:bCs/>
                <w:szCs w:val="21"/>
              </w:rPr>
              <w:t xml:space="preserve"> </w:t>
            </w:r>
            <w:r>
              <w:rPr>
                <w:bCs/>
                <w:szCs w:val="21"/>
              </w:rPr>
              <w:t>Xu H, Zhang Y, Xu C, et al. Coastal seafloor observatory at Xiaoqushan in the East China Sea[J]. Chinese Science Bulletin, 2011, 56(26).</w:t>
            </w:r>
          </w:p>
          <w:p>
            <w:pPr>
              <w:rPr>
                <w:bCs/>
                <w:szCs w:val="21"/>
              </w:rPr>
            </w:pPr>
            <w:r>
              <w:rPr>
                <w:bCs/>
                <w:szCs w:val="21"/>
              </w:rPr>
              <w:t>[4]</w:t>
            </w:r>
            <w:r>
              <w:rPr>
                <w:rFonts w:hint="eastAsia"/>
                <w:bCs/>
                <w:szCs w:val="21"/>
              </w:rPr>
              <w:t xml:space="preserve"> </w:t>
            </w:r>
            <w:r>
              <w:rPr>
                <w:bCs/>
                <w:szCs w:val="21"/>
              </w:rPr>
              <w:t xml:space="preserve"> Favali P, Beranzoli L. EMSO: European multidisciplinary seafloor observatory[J]. Nuclear Inst. and Methods in Physics Research, A, 2009, 602(1).</w:t>
            </w:r>
          </w:p>
          <w:p>
            <w:pPr>
              <w:rPr>
                <w:bCs/>
                <w:szCs w:val="21"/>
              </w:rPr>
            </w:pPr>
            <w:r>
              <w:rPr>
                <w:bCs/>
                <w:szCs w:val="21"/>
              </w:rPr>
              <w:t>[5]</w:t>
            </w:r>
            <w:r>
              <w:rPr>
                <w:rFonts w:hint="eastAsia"/>
                <w:bCs/>
                <w:szCs w:val="21"/>
              </w:rPr>
              <w:t xml:space="preserve"> </w:t>
            </w:r>
            <w:r>
              <w:rPr>
                <w:bCs/>
                <w:szCs w:val="21"/>
              </w:rPr>
              <w:t>Refsnes J E, Sorensen A J, Pettersen K Y. Robust observer design for underwater vehicles[C]. Munich2006: 313-319.</w:t>
            </w:r>
          </w:p>
          <w:p>
            <w:pPr>
              <w:rPr>
                <w:bCs/>
                <w:szCs w:val="21"/>
              </w:rPr>
            </w:pPr>
            <w:r>
              <w:rPr>
                <w:bCs/>
                <w:szCs w:val="21"/>
              </w:rPr>
              <w:t>[6] Beranzoli L, De Santis A, Etiope G, et al. GEOSTAR: a GEophysical and Oceanographic STation for Abyssal Research[J]. Physics of the Earth and Planetary Interiors, 1998, 108(2).</w:t>
            </w:r>
          </w:p>
          <w:p>
            <w:pPr>
              <w:rPr>
                <w:bCs/>
                <w:szCs w:val="21"/>
              </w:rPr>
            </w:pPr>
            <w:r>
              <w:rPr>
                <w:bCs/>
                <w:szCs w:val="21"/>
              </w:rPr>
              <w:t>[7] Li D, Wang G, Yang C, et al. IEEE 1588 based time synchronization system for a seafloor observatory network[J]. Journal of Zhejiang University SCIENCE C, 2013, 14(10).</w:t>
            </w:r>
          </w:p>
          <w:p>
            <w:pPr>
              <w:rPr>
                <w:bCs/>
                <w:szCs w:val="21"/>
              </w:rPr>
            </w:pPr>
            <w:r>
              <w:rPr>
                <w:bCs/>
                <w:szCs w:val="21"/>
              </w:rPr>
              <w:t>[8] Ingram W C, Meyers S R, Brunner C A, et al. Late Pleistocene–Holocene sedimentation surrounding an active seafloor gas-hydrate and cold-seep field on the Northern Gulf of Mexico Slope[J]. Marine Geology, 2010.</w:t>
            </w:r>
          </w:p>
          <w:p>
            <w:pPr>
              <w:rPr>
                <w:bCs/>
                <w:szCs w:val="21"/>
              </w:rPr>
            </w:pPr>
            <w:r>
              <w:rPr>
                <w:bCs/>
                <w:szCs w:val="21"/>
              </w:rPr>
              <w:t>[9] Friede I G, Mienert J, Person R, et al. ESONET—European Sea Floor Observatory Network[J]. Elsevier Oceanography Series, 2003, 69.</w:t>
            </w:r>
          </w:p>
          <w:p>
            <w:pPr>
              <w:rPr>
                <w:bCs/>
                <w:szCs w:val="21"/>
              </w:rPr>
            </w:pPr>
            <w:r>
              <w:rPr>
                <w:bCs/>
                <w:szCs w:val="21"/>
              </w:rPr>
              <w:t>[10] Favali P, Beranzoli L, Anna G D, et al. NEMO-SN-1 the first “real-time” seafloor observatory of ESONET[J]. Nuclear Inst. and Methods in Physics Research, A, 2006, 567(2).</w:t>
            </w:r>
          </w:p>
          <w:p>
            <w:pPr>
              <w:rPr>
                <w:rFonts w:hint="eastAsia"/>
                <w:bCs/>
                <w:szCs w:val="21"/>
              </w:rPr>
            </w:pPr>
            <w:r>
              <w:rPr>
                <w:rFonts w:hint="eastAsia"/>
                <w:bCs/>
                <w:szCs w:val="21"/>
              </w:rPr>
              <w:t>[11] Sgroi T, Beranzoli L, Di Grazia G, et al. New observations of local seismicity by the SN‐1 seafloor observatory in the Ionian Sea, off‐shore Eastern Sicily (Italy)[J]. Geophysical Journal International, 2007, 169(2).</w:t>
            </w:r>
          </w:p>
          <w:p>
            <w:pPr>
              <w:rPr>
                <w:bCs/>
                <w:szCs w:val="21"/>
              </w:rPr>
            </w:pPr>
            <w:r>
              <w:rPr>
                <w:bCs/>
                <w:szCs w:val="21"/>
              </w:rPr>
              <w:t>[12] Mànuel-Làzaro, Antoni, Nogueras, et al. OBSEA: an Expandable Seafloor Observatory[J]. Sea Technology, 2010, 51(7).</w:t>
            </w:r>
          </w:p>
          <w:p>
            <w:pPr>
              <w:rPr>
                <w:bCs/>
                <w:szCs w:val="21"/>
              </w:rPr>
            </w:pPr>
            <w:r>
              <w:rPr>
                <w:bCs/>
                <w:szCs w:val="21"/>
              </w:rPr>
              <w:t>[13]</w:t>
            </w:r>
            <w:r>
              <w:t xml:space="preserve"> </w:t>
            </w:r>
            <w:r>
              <w:rPr>
                <w:bCs/>
                <w:szCs w:val="21"/>
              </w:rPr>
              <w:t>A T J, H R P. A National Ecological Observatory Network.[J]. Science, 2002, 298(5600).</w:t>
            </w:r>
          </w:p>
          <w:p>
            <w:pPr>
              <w:rPr>
                <w:bCs/>
                <w:szCs w:val="21"/>
              </w:rPr>
            </w:pPr>
            <w:r>
              <w:rPr>
                <w:bCs/>
                <w:szCs w:val="21"/>
              </w:rPr>
              <w:t>[14] Aymerich, F I, Piera, et al. Cable Planning for the European Multidisciplinary Seafloor Observatory[J]. Sea Technology, 2011, 52(6).</w:t>
            </w:r>
          </w:p>
          <w:p>
            <w:pPr>
              <w:rPr>
                <w:bCs/>
                <w:szCs w:val="21"/>
              </w:rPr>
            </w:pPr>
            <w:r>
              <w:rPr>
                <w:bCs/>
                <w:szCs w:val="21"/>
              </w:rPr>
              <w:t>[15] Zhang Y, Fan D, Xu H. Records of the tsunami induced by the 2010 Chilean earthquake from Xiaoqushan seafloor observatory in the East China Sea[J]. Chinese Science Bulletin, 2011, 56(27).</w:t>
            </w:r>
          </w:p>
          <w:p>
            <w:pPr>
              <w:rPr>
                <w:bCs/>
                <w:szCs w:val="21"/>
              </w:rPr>
            </w:pPr>
            <w:r>
              <w:rPr>
                <w:bCs/>
                <w:szCs w:val="21"/>
              </w:rPr>
              <w:t>[16] Favali P, Beranzoli L. Seafloor Observatory Science: a Review[J]. Annals of Geophysics, 2009, 49(2-3).</w:t>
            </w:r>
          </w:p>
          <w:p>
            <w:pPr>
              <w:rPr>
                <w:bCs/>
                <w:szCs w:val="21"/>
              </w:rPr>
            </w:pPr>
            <w:r>
              <w:rPr>
                <w:bCs/>
                <w:szCs w:val="21"/>
              </w:rPr>
              <w:t>[17] Italiano F, Maugeri R, Mastrolia A, et al. SMM, A New Seafloor Monitoring Module for Real-Time Data Transmission: an Application to Shallow Hydrothermal Vents[J]. Procedia Earth and Planetary Science, 2011, 4.</w:t>
            </w:r>
          </w:p>
          <w:p>
            <w:pPr>
              <w:rPr>
                <w:bCs/>
                <w:szCs w:val="21"/>
              </w:rPr>
            </w:pPr>
            <w:r>
              <w:rPr>
                <w:bCs/>
                <w:szCs w:val="21"/>
              </w:rPr>
              <w:t>[18] Xu, Huiping, Yu, et al. Tests and Upgrades for the East China Sea Seafloor Observatory[J]. EN, 2012, 53(9).</w:t>
            </w:r>
          </w:p>
          <w:p>
            <w:pPr>
              <w:rPr>
                <w:bCs/>
                <w:szCs w:val="21"/>
              </w:rPr>
            </w:pPr>
            <w:r>
              <w:rPr>
                <w:bCs/>
                <w:szCs w:val="21"/>
              </w:rPr>
              <w:t>[19] Aguzzi J, Mànuel A, Condal F, et al. The New Seafloor Observatory (OBSEA) for Remote and Long-Term Coastal Ecosystem Monitoring[J]. Sensors, 2011, 11(6).</w:t>
            </w:r>
          </w:p>
          <w:p>
            <w:pPr>
              <w:rPr>
                <w:rFonts w:hint="eastAsia"/>
                <w:bCs/>
                <w:szCs w:val="21"/>
              </w:rPr>
            </w:pPr>
            <w:r>
              <w:rPr>
                <w:bCs/>
                <w:szCs w:val="21"/>
              </w:rPr>
              <w:t>[20] R D. NEON to shed light on environment research. National Ecological Observatory Network.[J]. Nature, 2000, 404(6775).</w:t>
            </w:r>
          </w:p>
          <w:p>
            <w:pPr>
              <w:rPr>
                <w:bCs/>
                <w:szCs w:val="21"/>
              </w:rPr>
            </w:pPr>
            <w:r>
              <w:rPr>
                <w:bCs/>
                <w:szCs w:val="21"/>
              </w:rPr>
              <w:t>[</w:t>
            </w:r>
            <w:r>
              <w:rPr>
                <w:rFonts w:hint="eastAsia"/>
                <w:bCs/>
                <w:szCs w:val="21"/>
              </w:rPr>
              <w:t>2</w:t>
            </w:r>
            <w:r>
              <w:rPr>
                <w:bCs/>
                <w:szCs w:val="21"/>
              </w:rPr>
              <w:t>1]</w:t>
            </w:r>
            <w:r>
              <w:rPr>
                <w:rFonts w:hint="eastAsia"/>
                <w:bCs/>
                <w:szCs w:val="21"/>
              </w:rPr>
              <w:t xml:space="preserve"> </w:t>
            </w:r>
            <w:r>
              <w:rPr>
                <w:bCs/>
                <w:szCs w:val="21"/>
              </w:rPr>
              <w:t>Kawaguchi K, Araki E, Kaneda Y. A Design Concept of Seafloor Observatory Network for Earthquakes and Tsunamis[C]. Tokyo2007: 176-178.</w:t>
            </w:r>
          </w:p>
          <w:p>
            <w:pPr>
              <w:rPr>
                <w:bCs/>
                <w:szCs w:val="21"/>
              </w:rPr>
            </w:pPr>
            <w:r>
              <w:rPr>
                <w:bCs/>
                <w:szCs w:val="21"/>
              </w:rPr>
              <w:t>[2</w:t>
            </w:r>
            <w:r>
              <w:rPr>
                <w:rFonts w:hint="eastAsia"/>
                <w:bCs/>
                <w:szCs w:val="21"/>
              </w:rPr>
              <w:t>2</w:t>
            </w:r>
            <w:r>
              <w:rPr>
                <w:bCs/>
                <w:szCs w:val="21"/>
              </w:rPr>
              <w:t>]</w:t>
            </w:r>
            <w:r>
              <w:t xml:space="preserve"> </w:t>
            </w:r>
            <w:r>
              <w:rPr>
                <w:bCs/>
                <w:szCs w:val="21"/>
              </w:rPr>
              <w:t>Sherlock M, Kloser R, Williams A, et al. A combined benthic grab and observation system for rapid assessment of water column and seabed[C]. Sydney, NSW2010: 1-5.</w:t>
            </w:r>
          </w:p>
          <w:p>
            <w:pPr>
              <w:rPr>
                <w:rFonts w:hint="eastAsia"/>
                <w:bCs/>
                <w:szCs w:val="21"/>
              </w:rPr>
            </w:pPr>
            <w:r>
              <w:rPr>
                <w:bCs/>
                <w:szCs w:val="21"/>
              </w:rPr>
              <w:t>[</w:t>
            </w:r>
            <w:r>
              <w:rPr>
                <w:rFonts w:hint="eastAsia"/>
                <w:bCs/>
                <w:szCs w:val="21"/>
              </w:rPr>
              <w:t>2</w:t>
            </w:r>
            <w:r>
              <w:rPr>
                <w:bCs/>
                <w:szCs w:val="21"/>
              </w:rPr>
              <w:t>3]</w:t>
            </w:r>
            <w:r>
              <w:rPr>
                <w:rFonts w:hint="eastAsia"/>
                <w:bCs/>
                <w:szCs w:val="21"/>
              </w:rPr>
              <w:t xml:space="preserve"> </w:t>
            </w:r>
            <w:r>
              <w:rPr>
                <w:bCs/>
                <w:szCs w:val="21"/>
              </w:rPr>
              <w:t>Li X, Gao L, Guo Z, et al. A Research of Core Metadata for Seafloor Observatory Network[C]. Shenzhen, China2013: 143-146.</w:t>
            </w:r>
          </w:p>
          <w:p>
            <w:pPr>
              <w:rPr>
                <w:bCs/>
                <w:szCs w:val="21"/>
              </w:rPr>
            </w:pPr>
            <w:r>
              <w:rPr>
                <w:bCs/>
                <w:szCs w:val="21"/>
              </w:rPr>
              <w:t>[</w:t>
            </w:r>
            <w:r>
              <w:rPr>
                <w:rFonts w:hint="eastAsia"/>
                <w:bCs/>
                <w:szCs w:val="21"/>
              </w:rPr>
              <w:t>2</w:t>
            </w:r>
            <w:r>
              <w:rPr>
                <w:bCs/>
                <w:szCs w:val="21"/>
              </w:rPr>
              <w:t>4]</w:t>
            </w:r>
            <w:r>
              <w:rPr>
                <w:rFonts w:hint="eastAsia"/>
                <w:bCs/>
                <w:szCs w:val="21"/>
              </w:rPr>
              <w:t xml:space="preserve"> </w:t>
            </w:r>
            <w:r>
              <w:rPr>
                <w:bCs/>
                <w:szCs w:val="21"/>
              </w:rPr>
              <w:t>Xiu L, Linfei Z, Fuxin G. Application of SOA in the Prototype System for Seafloor Observatory Network[C]. Shenzhen2013: 139-142.</w:t>
            </w:r>
          </w:p>
          <w:p>
            <w:pPr>
              <w:rPr>
                <w:bCs/>
                <w:szCs w:val="21"/>
              </w:rPr>
            </w:pPr>
            <w:r>
              <w:rPr>
                <w:bCs/>
                <w:szCs w:val="21"/>
              </w:rPr>
              <w:t>[</w:t>
            </w:r>
            <w:r>
              <w:rPr>
                <w:rFonts w:hint="eastAsia"/>
                <w:bCs/>
                <w:szCs w:val="21"/>
              </w:rPr>
              <w:t>2</w:t>
            </w:r>
            <w:r>
              <w:rPr>
                <w:bCs/>
                <w:szCs w:val="21"/>
              </w:rPr>
              <w:t>5] Seablom M S, Talabac S J, Ardizzone J, et al. A Sensor Web Simulator for Design of New Earth Science Observing Systems[C]. Boston, MA2008: 298-301.</w:t>
            </w:r>
          </w:p>
          <w:p>
            <w:pPr>
              <w:rPr>
                <w:bCs/>
                <w:szCs w:val="21"/>
              </w:rPr>
            </w:pPr>
            <w:r>
              <w:rPr>
                <w:bCs/>
                <w:szCs w:val="21"/>
              </w:rPr>
              <w:t>[</w:t>
            </w:r>
            <w:r>
              <w:rPr>
                <w:rFonts w:hint="eastAsia"/>
                <w:bCs/>
                <w:szCs w:val="21"/>
              </w:rPr>
              <w:t>2</w:t>
            </w:r>
            <w:r>
              <w:rPr>
                <w:bCs/>
                <w:szCs w:val="21"/>
              </w:rPr>
              <w:t>6]</w:t>
            </w:r>
            <w:r>
              <w:rPr>
                <w:rFonts w:hint="eastAsia"/>
                <w:bCs/>
                <w:szCs w:val="21"/>
              </w:rPr>
              <w:t xml:space="preserve"> </w:t>
            </w:r>
            <w:r>
              <w:rPr>
                <w:bCs/>
                <w:szCs w:val="21"/>
              </w:rPr>
              <w:t>Anderson S P, Matthews P. A towed 75 kHz ADCP for operational deepwater current surveys[C].2005: 46-49.</w:t>
            </w:r>
          </w:p>
          <w:p>
            <w:pPr>
              <w:rPr>
                <w:bCs/>
                <w:szCs w:val="21"/>
              </w:rPr>
            </w:pPr>
            <w:r>
              <w:rPr>
                <w:bCs/>
                <w:szCs w:val="21"/>
              </w:rPr>
              <w:t>[</w:t>
            </w:r>
            <w:r>
              <w:rPr>
                <w:rFonts w:hint="eastAsia"/>
                <w:bCs/>
                <w:szCs w:val="21"/>
              </w:rPr>
              <w:t>2</w:t>
            </w:r>
            <w:r>
              <w:rPr>
                <w:bCs/>
                <w:szCs w:val="21"/>
              </w:rPr>
              <w:t>7]</w:t>
            </w:r>
            <w:r>
              <w:rPr>
                <w:rFonts w:hint="eastAsia"/>
                <w:bCs/>
                <w:szCs w:val="21"/>
              </w:rPr>
              <w:t xml:space="preserve"> </w:t>
            </w:r>
            <w:r>
              <w:rPr>
                <w:bCs/>
                <w:szCs w:val="21"/>
              </w:rPr>
              <w:t>Kawaguchi K, Araki E, Kaneko S, et al. Subsea engineering ROV and seafloor observatory construction[C]. Tokyo2011: 1-6.</w:t>
            </w:r>
          </w:p>
          <w:p>
            <w:pPr>
              <w:rPr>
                <w:bCs/>
                <w:szCs w:val="21"/>
              </w:rPr>
            </w:pPr>
            <w:r>
              <w:rPr>
                <w:bCs/>
                <w:szCs w:val="21"/>
              </w:rPr>
              <w:t>[</w:t>
            </w:r>
            <w:r>
              <w:rPr>
                <w:rFonts w:hint="eastAsia"/>
                <w:bCs/>
                <w:szCs w:val="21"/>
              </w:rPr>
              <w:t>2</w:t>
            </w:r>
            <w:r>
              <w:rPr>
                <w:bCs/>
                <w:szCs w:val="21"/>
              </w:rPr>
              <w:t>8]</w:t>
            </w:r>
            <w:r>
              <w:rPr>
                <w:rFonts w:hint="eastAsia"/>
                <w:bCs/>
                <w:szCs w:val="21"/>
              </w:rPr>
              <w:t xml:space="preserve"> </w:t>
            </w:r>
            <w:r>
              <w:rPr>
                <w:bCs/>
                <w:szCs w:val="21"/>
              </w:rPr>
              <w:t>Gottlieb J, Graham R, Maughan T, et al. An experimental momentum-based front detection method for autonomous underwater vehicles[C]. Saint Paul, MN2012: 5322-5327.</w:t>
            </w:r>
          </w:p>
          <w:p>
            <w:pPr>
              <w:rPr>
                <w:bCs/>
                <w:szCs w:val="21"/>
              </w:rPr>
            </w:pPr>
            <w:r>
              <w:rPr>
                <w:bCs/>
                <w:szCs w:val="21"/>
              </w:rPr>
              <w:t>[</w:t>
            </w:r>
            <w:r>
              <w:rPr>
                <w:rFonts w:hint="eastAsia"/>
                <w:bCs/>
                <w:szCs w:val="21"/>
              </w:rPr>
              <w:t>2</w:t>
            </w:r>
            <w:r>
              <w:rPr>
                <w:bCs/>
                <w:szCs w:val="21"/>
              </w:rPr>
              <w:t>9]</w:t>
            </w:r>
            <w:r>
              <w:t xml:space="preserve"> </w:t>
            </w:r>
            <w:r>
              <w:rPr>
                <w:bCs/>
                <w:szCs w:val="21"/>
              </w:rPr>
              <w:t>Gillooly M, Nolan G, O'Neill N, et al. The European Seafloor Observatory Network Implementation Model: Towards a model for European Observatory Implementation[C]. Tokyo2007: 698-701.</w:t>
            </w:r>
          </w:p>
          <w:p>
            <w:pPr>
              <w:rPr>
                <w:bCs/>
                <w:szCs w:val="21"/>
              </w:rPr>
            </w:pPr>
            <w:r>
              <w:rPr>
                <w:bCs/>
                <w:szCs w:val="21"/>
              </w:rPr>
              <w:t>[</w:t>
            </w:r>
            <w:r>
              <w:rPr>
                <w:rFonts w:hint="eastAsia"/>
                <w:bCs/>
                <w:szCs w:val="21"/>
              </w:rPr>
              <w:t>3</w:t>
            </w:r>
            <w:r>
              <w:rPr>
                <w:bCs/>
                <w:szCs w:val="21"/>
              </w:rPr>
              <w:t>0] Camilli R, Bowen A, Farr N. Bright blue: Advanced technologies for marine environmental monitoring and offshore energy[C]. Sydney, NSW2010: 1-7.</w:t>
            </w:r>
          </w:p>
          <w:p>
            <w:pPr>
              <w:rPr>
                <w:rFonts w:hint="eastAsia"/>
                <w:bCs/>
                <w:szCs w:val="21"/>
              </w:rPr>
            </w:pPr>
            <w:r>
              <w:rPr>
                <w:rFonts w:hint="eastAsia"/>
                <w:bCs/>
                <w:szCs w:val="21"/>
              </w:rPr>
              <w:t>[31] 李康. 深海海底边界层原位监测中控制系统的设计与实现[D].中国海洋大学,2012.</w:t>
            </w:r>
          </w:p>
          <w:p>
            <w:pPr>
              <w:rPr>
                <w:rFonts w:hint="eastAsia"/>
                <w:bCs/>
                <w:szCs w:val="21"/>
              </w:rPr>
            </w:pPr>
            <w:r>
              <w:rPr>
                <w:rFonts w:hint="eastAsia"/>
                <w:bCs/>
                <w:szCs w:val="21"/>
              </w:rPr>
              <w:t>[32] 徐翠玲. 南海冷泉区甲烷渗漏过程的原位观测研究[D].中国海洋大学,2013.</w:t>
            </w:r>
          </w:p>
          <w:p>
            <w:pPr>
              <w:rPr>
                <w:rFonts w:hint="eastAsia"/>
                <w:bCs/>
                <w:szCs w:val="21"/>
              </w:rPr>
            </w:pPr>
            <w:r>
              <w:rPr>
                <w:rFonts w:hint="eastAsia"/>
                <w:bCs/>
                <w:szCs w:val="21"/>
              </w:rPr>
              <w:t>[33] 龙生海. 海堤原位监测及沉降预测研究[D].东华理工大学,2013.</w:t>
            </w:r>
          </w:p>
          <w:p>
            <w:pPr>
              <w:rPr>
                <w:rFonts w:hint="eastAsia"/>
                <w:bCs/>
                <w:szCs w:val="21"/>
              </w:rPr>
            </w:pPr>
            <w:r>
              <w:rPr>
                <w:rFonts w:hint="eastAsia"/>
                <w:bCs/>
                <w:szCs w:val="21"/>
              </w:rPr>
              <w:t>[34] 王雨飞. 基于Windows CE6.0的深海海底边界层原位监测系统的设计[D].中国海洋大学,2013.</w:t>
            </w:r>
          </w:p>
          <w:p>
            <w:pPr>
              <w:rPr>
                <w:rFonts w:hint="eastAsia"/>
                <w:bCs/>
                <w:szCs w:val="21"/>
              </w:rPr>
            </w:pPr>
            <w:r>
              <w:rPr>
                <w:rFonts w:hint="eastAsia"/>
                <w:bCs/>
                <w:szCs w:val="21"/>
              </w:rPr>
              <w:t>[35]</w:t>
            </w:r>
            <w:r>
              <w:rPr>
                <w:rFonts w:hint="eastAsia"/>
              </w:rPr>
              <w:t xml:space="preserve"> </w:t>
            </w:r>
            <w:r>
              <w:rPr>
                <w:rFonts w:hint="eastAsia"/>
                <w:bCs/>
                <w:szCs w:val="21"/>
              </w:rPr>
              <w:t>王项南, 马丽珊, 熊焰, et al. 深海观测平台技术[J]. 海洋技术, 2007,(03): 16-18.</w:t>
            </w:r>
          </w:p>
          <w:p>
            <w:pPr>
              <w:rPr>
                <w:rFonts w:hint="eastAsia"/>
                <w:bCs/>
                <w:szCs w:val="21"/>
              </w:rPr>
            </w:pPr>
            <w:r>
              <w:rPr>
                <w:rFonts w:hint="eastAsia"/>
                <w:bCs/>
                <w:szCs w:val="21"/>
              </w:rPr>
              <w:t>[36] 黄霞. 海底原位地球化学传感器的研制与应用[D].浙江大学,2008.</w:t>
            </w:r>
          </w:p>
          <w:p>
            <w:pPr>
              <w:rPr>
                <w:rFonts w:hint="eastAsia"/>
                <w:bCs/>
                <w:szCs w:val="21"/>
              </w:rPr>
            </w:pPr>
            <w:r>
              <w:rPr>
                <w:rFonts w:hint="eastAsia"/>
                <w:bCs/>
                <w:szCs w:val="21"/>
              </w:rPr>
              <w:t>[37] 夏欣. 基于电阻率测量的海床蚀积过程原位监测技术研究[D].中国海洋大学,2009.</w:t>
            </w:r>
          </w:p>
          <w:p>
            <w:pPr>
              <w:rPr>
                <w:rFonts w:hint="eastAsia"/>
                <w:bCs/>
                <w:szCs w:val="21"/>
              </w:rPr>
            </w:pPr>
            <w:r>
              <w:rPr>
                <w:rFonts w:hint="eastAsia"/>
                <w:bCs/>
                <w:szCs w:val="21"/>
              </w:rPr>
              <w:t>[38]王雨飞,李欣. 深海海底边界层原位监测硬件系统设计[J]. 中国新技术新产品,2013,02:18-19.</w:t>
            </w:r>
          </w:p>
          <w:p>
            <w:pPr>
              <w:rPr>
                <w:rFonts w:hint="eastAsia"/>
                <w:bCs/>
                <w:szCs w:val="21"/>
              </w:rPr>
            </w:pPr>
            <w:r>
              <w:rPr>
                <w:rFonts w:hint="eastAsia"/>
                <w:bCs/>
                <w:szCs w:val="21"/>
              </w:rPr>
              <w:t>[39]谢东亚,李欣. 深海海底边界层原位监测中电源管理系统的设计[J]. 现代电子技术,2013,06:136-138.</w:t>
            </w:r>
          </w:p>
          <w:p>
            <w:pPr>
              <w:rPr>
                <w:rFonts w:hint="eastAsia"/>
                <w:bCs/>
                <w:szCs w:val="21"/>
              </w:rPr>
            </w:pPr>
            <w:r>
              <w:rPr>
                <w:rFonts w:hint="eastAsia"/>
                <w:bCs/>
                <w:szCs w:val="21"/>
              </w:rPr>
              <w:t>[40] 杨磊,王项南,李芝凤,石建军,李超,司惠民,朱锐. 深海原位化学要素数据采集系统设计[J]. 海洋技术,2013,03:6-10.</w:t>
            </w:r>
          </w:p>
          <w:p>
            <w:pPr>
              <w:rPr>
                <w:rFonts w:hint="eastAsia"/>
                <w:bCs/>
                <w:szCs w:val="21"/>
              </w:rPr>
            </w:pPr>
            <w:r>
              <w:rPr>
                <w:rFonts w:hint="eastAsia"/>
                <w:bCs/>
                <w:szCs w:val="21"/>
              </w:rPr>
              <w:t>[41] 吴邦春, 彭晓彤, 周怀阳, et al. 基于海底观测网的深海化学监测系统的设计[J]. 仪器仪表学报, 2011,(05): 1171-1176.</w:t>
            </w:r>
          </w:p>
          <w:p>
            <w:pPr>
              <w:rPr>
                <w:rFonts w:hint="eastAsia"/>
                <w:bCs/>
                <w:szCs w:val="21"/>
              </w:rPr>
            </w:pPr>
            <w:r>
              <w:rPr>
                <w:rFonts w:hint="eastAsia"/>
                <w:bCs/>
                <w:szCs w:val="21"/>
              </w:rPr>
              <w:t>[42]</w:t>
            </w:r>
            <w:r>
              <w:rPr>
                <w:rFonts w:hint="eastAsia"/>
              </w:rPr>
              <w:t xml:space="preserve"> </w:t>
            </w:r>
            <w:r>
              <w:rPr>
                <w:rFonts w:hint="eastAsia"/>
                <w:bCs/>
                <w:szCs w:val="21"/>
              </w:rPr>
              <w:t>吕斌, 杜立彬, 贺海靖, et al. 基于ARM9的海底观测网节点电路硬件设计[J]. 山东科学, 2012,(01): 59-64.</w:t>
            </w:r>
          </w:p>
          <w:p>
            <w:pPr>
              <w:rPr>
                <w:rFonts w:hint="eastAsia"/>
                <w:bCs/>
                <w:szCs w:val="21"/>
              </w:rPr>
            </w:pPr>
            <w:r>
              <w:rPr>
                <w:rFonts w:hint="eastAsia"/>
                <w:bCs/>
                <w:szCs w:val="21"/>
              </w:rPr>
              <w:t>[43] 柏秀芳. 海床原位监测及其动力特性研究[D].中国科学院研究生院（海洋研究所）,2008.</w:t>
            </w:r>
          </w:p>
          <w:p>
            <w:pPr>
              <w:rPr>
                <w:rFonts w:hint="eastAsia"/>
                <w:bCs/>
                <w:szCs w:val="21"/>
              </w:rPr>
            </w:pPr>
            <w:r>
              <w:rPr>
                <w:rFonts w:hint="eastAsia"/>
                <w:bCs/>
                <w:szCs w:val="21"/>
              </w:rPr>
              <w:t>[44] 葛玉荣. 海水中浮游植物粒径分布及浓度原位监测系统研究[D].中国海洋大学,2011.</w:t>
            </w:r>
          </w:p>
          <w:p>
            <w:pPr>
              <w:rPr>
                <w:rFonts w:hint="eastAsia"/>
                <w:bCs/>
                <w:szCs w:val="21"/>
              </w:rPr>
            </w:pPr>
            <w:r>
              <w:rPr>
                <w:rFonts w:hint="eastAsia"/>
                <w:bCs/>
                <w:szCs w:val="21"/>
              </w:rPr>
              <w:t>[45 宋忠强,李欣,李培良. 海底动力环境原位监测中数据管理系统的设计[J]. 海洋技术,2009,04:30-32.</w:t>
            </w:r>
          </w:p>
          <w:p>
            <w:pPr>
              <w:rPr>
                <w:rFonts w:hint="eastAsia"/>
                <w:bCs/>
                <w:szCs w:val="21"/>
              </w:rPr>
            </w:pPr>
            <w:r>
              <w:rPr>
                <w:rFonts w:hint="eastAsia"/>
                <w:bCs/>
                <w:szCs w:val="21"/>
              </w:rPr>
              <w:t>[46] 吕枫, 彭晓彤, 周怀阳, et al. 缆系海底观测网原型系统设计[J]. 仪器仪表学报, 2012,(05): 1134-1140.</w:t>
            </w:r>
          </w:p>
          <w:p>
            <w:pPr>
              <w:rPr>
                <w:rFonts w:hint="eastAsia"/>
                <w:bCs/>
                <w:szCs w:val="21"/>
              </w:rPr>
            </w:pPr>
            <w:r>
              <w:rPr>
                <w:rFonts w:hint="eastAsia"/>
                <w:bCs/>
                <w:szCs w:val="21"/>
              </w:rPr>
              <w:t>[47] 宫立新,杨燕雄,张甲波,任旭光. 海滩原位监测技术及应用[J]. 海洋地质前沿,2014,03:47-55.</w:t>
            </w:r>
          </w:p>
          <w:p>
            <w:pPr>
              <w:rPr>
                <w:rFonts w:hint="eastAsia"/>
                <w:bCs/>
                <w:szCs w:val="21"/>
              </w:rPr>
            </w:pPr>
            <w:r>
              <w:rPr>
                <w:rFonts w:hint="eastAsia"/>
                <w:bCs/>
                <w:szCs w:val="21"/>
              </w:rPr>
              <w:t>[48] 娄连惠,雷世兵. 原位监测技术在滑坡稳定性监测中的应用[J]. 人民长江,2014,07:74-76.</w:t>
            </w:r>
          </w:p>
          <w:p>
            <w:pPr>
              <w:rPr>
                <w:rFonts w:hint="eastAsia"/>
                <w:bCs/>
                <w:szCs w:val="21"/>
              </w:rPr>
            </w:pPr>
            <w:r>
              <w:rPr>
                <w:rFonts w:hint="eastAsia"/>
                <w:bCs/>
                <w:szCs w:val="21"/>
              </w:rPr>
              <w:t>[49]</w:t>
            </w:r>
            <w:r>
              <w:rPr>
                <w:rFonts w:hint="eastAsia"/>
              </w:rPr>
              <w:t xml:space="preserve"> </w:t>
            </w:r>
            <w:r>
              <w:rPr>
                <w:rFonts w:hint="eastAsia"/>
                <w:bCs/>
                <w:szCs w:val="21"/>
              </w:rPr>
              <w:t xml:space="preserve">汪品先. 从海洋内部研究海洋[J]. 地球科学进展, 2013,(05): 517-520. </w:t>
            </w:r>
          </w:p>
          <w:p>
            <w:pPr>
              <w:rPr>
                <w:rFonts w:hint="eastAsia"/>
                <w:bCs/>
                <w:szCs w:val="21"/>
              </w:rPr>
            </w:pPr>
            <w:r>
              <w:rPr>
                <w:rFonts w:hint="eastAsia"/>
                <w:bCs/>
                <w:szCs w:val="21"/>
              </w:rPr>
              <w:t>[50] 金田义行, 彭岩. 日本先进的实时海底观测网[J]. 国际地震动态, 2011,(11): 5-6.</w:t>
            </w:r>
          </w:p>
          <w:p>
            <w:pPr>
              <w:rPr>
                <w:rFonts w:hint="eastAsia"/>
                <w:b/>
                <w:bCs/>
                <w:sz w:val="24"/>
              </w:rPr>
            </w:pPr>
          </w:p>
          <w:p>
            <w:pPr>
              <w:rPr>
                <w:rFonts w:hint="eastAsia"/>
                <w:b/>
                <w:bCs/>
                <w:sz w:val="24"/>
              </w:rPr>
            </w:pPr>
            <w:r>
              <w:rPr>
                <w:rFonts w:hint="eastAsia"/>
                <w:b/>
                <w:bCs/>
                <w:sz w:val="24"/>
              </w:rPr>
              <w:t xml:space="preserve">  </w:t>
            </w:r>
          </w:p>
          <w:p>
            <w:pPr>
              <w:wordWrap w:val="0"/>
              <w:ind w:right="480"/>
              <w:rPr>
                <w:rFonts w:hint="eastAsia"/>
                <w:b/>
                <w:bCs/>
                <w:sz w:val="24"/>
              </w:rPr>
            </w:pPr>
            <w:r>
              <w:rPr>
                <w:rFonts w:hint="eastAsia"/>
                <w:b/>
                <w:bCs/>
                <w:sz w:val="24"/>
              </w:rPr>
              <w:t xml:space="preserve">                                           学生（签字）：        </w:t>
            </w:r>
          </w:p>
          <w:p>
            <w:pPr>
              <w:jc w:val="center"/>
              <w:rPr>
                <w:rFonts w:hint="eastAsia"/>
                <w:b/>
                <w:bCs/>
                <w:sz w:val="24"/>
              </w:rPr>
            </w:pPr>
            <w:r>
              <w:rPr>
                <w:rFonts w:hint="eastAsia"/>
                <w:b/>
                <w:bCs/>
                <w:sz w:val="24"/>
              </w:rPr>
              <w:t xml:space="preserve">                                       年   月     日 </w:t>
            </w:r>
          </w:p>
          <w:p>
            <w:pPr>
              <w:jc w:val="center"/>
              <w:rPr>
                <w:b/>
                <w:bCs/>
                <w:sz w:val="24"/>
              </w:rPr>
            </w:pPr>
          </w:p>
          <w:p>
            <w:pPr>
              <w:jc w:val="center"/>
              <w:rPr>
                <w:b/>
                <w:bCs/>
                <w:sz w:val="24"/>
              </w:rPr>
            </w:pPr>
          </w:p>
        </w:tc>
      </w:tr>
    </w:tbl>
    <w:p>
      <w:pPr>
        <w:sectPr>
          <w:type w:val="continuous"/>
          <w:pgSz w:w="11906" w:h="16838"/>
          <w:pgMar w:top="1440" w:right="1800" w:bottom="1440" w:left="1800" w:header="851" w:footer="992" w:gutter="0"/>
          <w:cols w:space="720" w:num="1"/>
          <w:docGrid w:type="lines" w:linePitch="312" w:charSpace="0"/>
        </w:sectPr>
      </w:pPr>
    </w:p>
    <w:p/>
    <w:sectPr>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394231">
    <w:nsid w:val="548AFA77"/>
    <w:multiLevelType w:val="singleLevel"/>
    <w:tmpl w:val="548AFA77"/>
    <w:lvl w:ilvl="0" w:tentative="1">
      <w:start w:val="0"/>
      <w:numFmt w:val="decimal"/>
      <w:suff w:val="nothing"/>
      <w:lvlText w:val="%1、"/>
      <w:lvlJc w:val="left"/>
    </w:lvl>
  </w:abstractNum>
  <w:abstractNum w:abstractNumId="1428558114">
    <w:nsid w:val="55261122"/>
    <w:multiLevelType w:val="singleLevel"/>
    <w:tmpl w:val="55261122"/>
    <w:lvl w:ilvl="0" w:tentative="1">
      <w:start w:val="5"/>
      <w:numFmt w:val="decimal"/>
      <w:suff w:val="nothing"/>
      <w:lvlText w:val="%1、"/>
      <w:lvlJc w:val="left"/>
    </w:lvl>
  </w:abstractNum>
  <w:num w:numId="1">
    <w:abstractNumId w:val="1418394231"/>
  </w:num>
  <w:num w:numId="2">
    <w:abstractNumId w:val="1428558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F751CB"/>
    <w:rsid w:val="00011C9D"/>
    <w:rsid w:val="00025EC6"/>
    <w:rsid w:val="00031BE8"/>
    <w:rsid w:val="00037E17"/>
    <w:rsid w:val="00051834"/>
    <w:rsid w:val="000614B4"/>
    <w:rsid w:val="00065EA5"/>
    <w:rsid w:val="00070200"/>
    <w:rsid w:val="00086600"/>
    <w:rsid w:val="00087D9C"/>
    <w:rsid w:val="00094043"/>
    <w:rsid w:val="000955BC"/>
    <w:rsid w:val="000B26F8"/>
    <w:rsid w:val="000B5110"/>
    <w:rsid w:val="000B6AC3"/>
    <w:rsid w:val="000B7943"/>
    <w:rsid w:val="000D6AB8"/>
    <w:rsid w:val="000E01B4"/>
    <w:rsid w:val="00110EE1"/>
    <w:rsid w:val="001214C0"/>
    <w:rsid w:val="00122D54"/>
    <w:rsid w:val="00123BA6"/>
    <w:rsid w:val="00135BB9"/>
    <w:rsid w:val="0014210B"/>
    <w:rsid w:val="00157690"/>
    <w:rsid w:val="001865C2"/>
    <w:rsid w:val="001A2A0F"/>
    <w:rsid w:val="001D14E9"/>
    <w:rsid w:val="001D3807"/>
    <w:rsid w:val="001F43B6"/>
    <w:rsid w:val="001F76C8"/>
    <w:rsid w:val="00216DB4"/>
    <w:rsid w:val="00232CCB"/>
    <w:rsid w:val="00236818"/>
    <w:rsid w:val="0027011E"/>
    <w:rsid w:val="00270824"/>
    <w:rsid w:val="00281362"/>
    <w:rsid w:val="002813BC"/>
    <w:rsid w:val="002A0909"/>
    <w:rsid w:val="002A330E"/>
    <w:rsid w:val="002B2D62"/>
    <w:rsid w:val="002B5FCE"/>
    <w:rsid w:val="002C38C4"/>
    <w:rsid w:val="002D79E6"/>
    <w:rsid w:val="00325785"/>
    <w:rsid w:val="0032633B"/>
    <w:rsid w:val="0033656E"/>
    <w:rsid w:val="003456AF"/>
    <w:rsid w:val="00350763"/>
    <w:rsid w:val="00363CC4"/>
    <w:rsid w:val="003853CB"/>
    <w:rsid w:val="003934A0"/>
    <w:rsid w:val="003939BB"/>
    <w:rsid w:val="003D4CFF"/>
    <w:rsid w:val="003F128B"/>
    <w:rsid w:val="0041352D"/>
    <w:rsid w:val="00434627"/>
    <w:rsid w:val="00446023"/>
    <w:rsid w:val="0044713E"/>
    <w:rsid w:val="00451764"/>
    <w:rsid w:val="00455F37"/>
    <w:rsid w:val="00455FE1"/>
    <w:rsid w:val="00481493"/>
    <w:rsid w:val="004A14D7"/>
    <w:rsid w:val="004A72EB"/>
    <w:rsid w:val="004C1601"/>
    <w:rsid w:val="004C28D4"/>
    <w:rsid w:val="004D6702"/>
    <w:rsid w:val="004E295C"/>
    <w:rsid w:val="004E7716"/>
    <w:rsid w:val="004F58C8"/>
    <w:rsid w:val="004F6436"/>
    <w:rsid w:val="0051288C"/>
    <w:rsid w:val="005262A6"/>
    <w:rsid w:val="00533567"/>
    <w:rsid w:val="00537915"/>
    <w:rsid w:val="005411E5"/>
    <w:rsid w:val="00553DA9"/>
    <w:rsid w:val="00556B08"/>
    <w:rsid w:val="00573386"/>
    <w:rsid w:val="005815EA"/>
    <w:rsid w:val="00590817"/>
    <w:rsid w:val="005949BA"/>
    <w:rsid w:val="005A2C9C"/>
    <w:rsid w:val="005B119E"/>
    <w:rsid w:val="005B5DCF"/>
    <w:rsid w:val="005C33FA"/>
    <w:rsid w:val="005E6026"/>
    <w:rsid w:val="005E68C4"/>
    <w:rsid w:val="005F5BE4"/>
    <w:rsid w:val="006200AF"/>
    <w:rsid w:val="00655C1B"/>
    <w:rsid w:val="0066104E"/>
    <w:rsid w:val="00662517"/>
    <w:rsid w:val="006A3892"/>
    <w:rsid w:val="006A5B7F"/>
    <w:rsid w:val="006B15D1"/>
    <w:rsid w:val="006B1F13"/>
    <w:rsid w:val="006B46DE"/>
    <w:rsid w:val="006D07B0"/>
    <w:rsid w:val="006E1F8B"/>
    <w:rsid w:val="006E6EC5"/>
    <w:rsid w:val="006F13F7"/>
    <w:rsid w:val="006F169D"/>
    <w:rsid w:val="006F77C6"/>
    <w:rsid w:val="00737531"/>
    <w:rsid w:val="00784DD2"/>
    <w:rsid w:val="00791AAE"/>
    <w:rsid w:val="007E1343"/>
    <w:rsid w:val="007E41D8"/>
    <w:rsid w:val="007E6064"/>
    <w:rsid w:val="007F1921"/>
    <w:rsid w:val="0080588B"/>
    <w:rsid w:val="008175EF"/>
    <w:rsid w:val="00825E41"/>
    <w:rsid w:val="00830459"/>
    <w:rsid w:val="00835BFD"/>
    <w:rsid w:val="00841196"/>
    <w:rsid w:val="008468AE"/>
    <w:rsid w:val="008509B9"/>
    <w:rsid w:val="008713A9"/>
    <w:rsid w:val="008D3512"/>
    <w:rsid w:val="008D4BE7"/>
    <w:rsid w:val="008E2612"/>
    <w:rsid w:val="008F0686"/>
    <w:rsid w:val="008F189B"/>
    <w:rsid w:val="008F477C"/>
    <w:rsid w:val="00904019"/>
    <w:rsid w:val="0091588F"/>
    <w:rsid w:val="00922B17"/>
    <w:rsid w:val="0093214F"/>
    <w:rsid w:val="009425BB"/>
    <w:rsid w:val="009523E0"/>
    <w:rsid w:val="00960A7A"/>
    <w:rsid w:val="009850E4"/>
    <w:rsid w:val="009A2FC1"/>
    <w:rsid w:val="009C59AC"/>
    <w:rsid w:val="009C66AA"/>
    <w:rsid w:val="009D02B8"/>
    <w:rsid w:val="009F2AE8"/>
    <w:rsid w:val="00A00929"/>
    <w:rsid w:val="00A0122B"/>
    <w:rsid w:val="00A1334D"/>
    <w:rsid w:val="00A1775B"/>
    <w:rsid w:val="00A426DA"/>
    <w:rsid w:val="00A63D4B"/>
    <w:rsid w:val="00A82C4A"/>
    <w:rsid w:val="00A85686"/>
    <w:rsid w:val="00A95909"/>
    <w:rsid w:val="00AB40BF"/>
    <w:rsid w:val="00AD064B"/>
    <w:rsid w:val="00AD14E0"/>
    <w:rsid w:val="00AE4363"/>
    <w:rsid w:val="00AE7F22"/>
    <w:rsid w:val="00AF7D1C"/>
    <w:rsid w:val="00B07D64"/>
    <w:rsid w:val="00B168CE"/>
    <w:rsid w:val="00B16A50"/>
    <w:rsid w:val="00B268D9"/>
    <w:rsid w:val="00B413F1"/>
    <w:rsid w:val="00B4201C"/>
    <w:rsid w:val="00B6628C"/>
    <w:rsid w:val="00BA2948"/>
    <w:rsid w:val="00BB1994"/>
    <w:rsid w:val="00BB42BC"/>
    <w:rsid w:val="00BD0BD6"/>
    <w:rsid w:val="00BD2FF3"/>
    <w:rsid w:val="00BD4D54"/>
    <w:rsid w:val="00BD7AA8"/>
    <w:rsid w:val="00BD7CA4"/>
    <w:rsid w:val="00C1123F"/>
    <w:rsid w:val="00C145E7"/>
    <w:rsid w:val="00C15AF2"/>
    <w:rsid w:val="00C15B92"/>
    <w:rsid w:val="00C2117B"/>
    <w:rsid w:val="00C450F0"/>
    <w:rsid w:val="00C47DB7"/>
    <w:rsid w:val="00C52404"/>
    <w:rsid w:val="00C754AF"/>
    <w:rsid w:val="00C876EE"/>
    <w:rsid w:val="00C90D46"/>
    <w:rsid w:val="00C92AE1"/>
    <w:rsid w:val="00C93571"/>
    <w:rsid w:val="00C957B2"/>
    <w:rsid w:val="00D158E6"/>
    <w:rsid w:val="00D22319"/>
    <w:rsid w:val="00D2744E"/>
    <w:rsid w:val="00D2763D"/>
    <w:rsid w:val="00D61350"/>
    <w:rsid w:val="00D76B17"/>
    <w:rsid w:val="00D82DC8"/>
    <w:rsid w:val="00DA225C"/>
    <w:rsid w:val="00DA2E06"/>
    <w:rsid w:val="00DA580E"/>
    <w:rsid w:val="00DA6C1A"/>
    <w:rsid w:val="00DB76C3"/>
    <w:rsid w:val="00DD7BBA"/>
    <w:rsid w:val="00DF7C21"/>
    <w:rsid w:val="00E1312C"/>
    <w:rsid w:val="00E30157"/>
    <w:rsid w:val="00E914DE"/>
    <w:rsid w:val="00E97765"/>
    <w:rsid w:val="00EA2A0E"/>
    <w:rsid w:val="00ED1759"/>
    <w:rsid w:val="00ED2314"/>
    <w:rsid w:val="00EE129B"/>
    <w:rsid w:val="00EE227F"/>
    <w:rsid w:val="00EF050F"/>
    <w:rsid w:val="00F01E9D"/>
    <w:rsid w:val="00F04D5A"/>
    <w:rsid w:val="00F151D5"/>
    <w:rsid w:val="00F36E96"/>
    <w:rsid w:val="00F41107"/>
    <w:rsid w:val="00F5276E"/>
    <w:rsid w:val="00F57FF6"/>
    <w:rsid w:val="00F64C16"/>
    <w:rsid w:val="00F64DF4"/>
    <w:rsid w:val="00F751CB"/>
    <w:rsid w:val="00FA28D5"/>
    <w:rsid w:val="00FA676D"/>
    <w:rsid w:val="00FB5F5F"/>
    <w:rsid w:val="00FC6B16"/>
    <w:rsid w:val="00FC7F3B"/>
    <w:rsid w:val="00FD0832"/>
    <w:rsid w:val="00FF3BBE"/>
    <w:rsid w:val="00FF5D9D"/>
    <w:rsid w:val="00FF7D84"/>
    <w:rsid w:val="14732F9B"/>
    <w:rsid w:val="56980D8A"/>
    <w:rsid w:val="60B45838"/>
    <w:rsid w:val="7BD762E3"/>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nhideWhenUsed="0" w:uiPriority="99" w:semiHidden="0" w:name="header"/>
    <w:lsdException w:unhideWhenUsed="0" w:uiPriority="99" w:semiHidden="0" w:name="footer"/>
    <w:lsdException w:uiPriority="0" w:name="index heading"/>
    <w:lsdException w:qFormat="1" w:uiPriority="0" w:name="caption" w:locked="1"/>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ocked="1"/>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ocked="1"/>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ocked="1"/>
    <w:lsdException w:qFormat="1" w:unhideWhenUsed="0" w:uiPriority="0" w:semiHidden="0" w:name="Emphasis" w:locked="1"/>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locked/>
    <w:uiPriority w:val="0"/>
    <w:pPr>
      <w:keepNext/>
      <w:keepLines/>
      <w:spacing w:before="156" w:beforeLines="50" w:after="156" w:afterLines="50" w:line="480" w:lineRule="exact"/>
      <w:ind w:left="0" w:leftChars="0"/>
      <w:outlineLvl w:val="2"/>
    </w:pPr>
    <w:rPr>
      <w:rFonts w:ascii="宋体" w:hAnsi="宋体"/>
      <w:b/>
      <w:bCs/>
      <w:sz w:val="28"/>
      <w:szCs w:val="28"/>
    </w:rPr>
  </w:style>
  <w:style w:type="character" w:default="1" w:styleId="5">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3">
    <w:name w:val="footer"/>
    <w:basedOn w:val="1"/>
    <w:link w:val="10"/>
    <w:uiPriority w:val="99"/>
    <w:pPr>
      <w:tabs>
        <w:tab w:val="center" w:pos="4153"/>
        <w:tab w:val="right" w:pos="8306"/>
      </w:tabs>
      <w:snapToGrid w:val="0"/>
      <w:jc w:val="left"/>
    </w:pPr>
    <w:rPr>
      <w:sz w:val="18"/>
      <w:szCs w:val="18"/>
    </w:rPr>
  </w:style>
  <w:style w:type="paragraph" w:styleId="4">
    <w:name w:val="header"/>
    <w:basedOn w:val="1"/>
    <w:link w:val="9"/>
    <w:uiPriority w:val="99"/>
    <w:pPr>
      <w:pBdr>
        <w:bottom w:val="single" w:color="auto" w:sz="6" w:space="1"/>
      </w:pBdr>
      <w:tabs>
        <w:tab w:val="center" w:pos="4153"/>
        <w:tab w:val="right" w:pos="8306"/>
      </w:tabs>
      <w:snapToGrid w:val="0"/>
      <w:jc w:val="center"/>
    </w:pPr>
    <w:rPr>
      <w:sz w:val="18"/>
      <w:szCs w:val="18"/>
    </w:rPr>
  </w:style>
  <w:style w:type="character" w:styleId="6">
    <w:name w:val="page number"/>
    <w:basedOn w:val="5"/>
    <w:unhideWhenUsed/>
    <w:uiPriority w:val="0"/>
    <w:rPr/>
  </w:style>
  <w:style w:type="paragraph" w:customStyle="1" w:styleId="8">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9">
    <w:name w:val="页眉 Char"/>
    <w:link w:val="4"/>
    <w:locked/>
    <w:uiPriority w:val="99"/>
    <w:rPr>
      <w:rFonts w:cs="Times New Roman"/>
      <w:kern w:val="2"/>
      <w:sz w:val="18"/>
      <w:szCs w:val="18"/>
    </w:rPr>
  </w:style>
  <w:style w:type="character" w:customStyle="1" w:styleId="10">
    <w:name w:val="页脚 Char"/>
    <w:link w:val="3"/>
    <w:locked/>
    <w:uiPriority w:val="99"/>
    <w:rPr>
      <w:rFonts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6.jpeg"/><Relationship Id="rId16" Type="http://schemas.openxmlformats.org/officeDocument/2006/relationships/image" Target="media/image5.emf"/><Relationship Id="rId15" Type="http://schemas.openxmlformats.org/officeDocument/2006/relationships/oleObject" Target="embeddings/oleObject1.bin"/><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Company>
  <Pages>8</Pages>
  <Words>4200</Words>
  <Characters>7352</Characters>
  <Lines>198</Lines>
  <Paragraphs>137</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2013-12-26T03:19:00Z</dcterms:created>
  <dc:creator>User</dc:creator>
  <cp:lastModifiedBy>Administrator</cp:lastModifiedBy>
  <dcterms:modified xsi:type="dcterms:W3CDTF">2015-04-09T05:47:55Z</dcterms:modified>
  <dc:title>杭州电子科技大学硕士研究生文献综述报告</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