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4760" w14:textId="77777777" w:rsidR="001C2711" w:rsidRDefault="001C2711">
      <w:pPr>
        <w:rPr>
          <w:rFonts w:ascii="Times New Roman" w:hAnsi="Times New Roman" w:cs="Times New Roman"/>
          <w:sz w:val="24"/>
          <w:szCs w:val="24"/>
        </w:rPr>
      </w:pPr>
    </w:p>
    <w:p w14:paraId="3AA3B877" w14:textId="77777777" w:rsidR="00776628" w:rsidRDefault="00776628">
      <w:pPr>
        <w:rPr>
          <w:rFonts w:ascii="Times New Roman" w:hAnsi="Times New Roman" w:cs="Times New Roman"/>
          <w:sz w:val="24"/>
          <w:szCs w:val="24"/>
        </w:rPr>
      </w:pPr>
    </w:p>
    <w:p w14:paraId="3589C417" w14:textId="77777777" w:rsidR="00776628" w:rsidRDefault="00776628">
      <w:pPr>
        <w:rPr>
          <w:rFonts w:ascii="Times New Roman" w:hAnsi="Times New Roman" w:cs="Times New Roman"/>
          <w:sz w:val="24"/>
          <w:szCs w:val="24"/>
        </w:rPr>
      </w:pPr>
    </w:p>
    <w:p w14:paraId="79129F08" w14:textId="77777777" w:rsidR="00776628" w:rsidRDefault="00776628">
      <w:pPr>
        <w:rPr>
          <w:rFonts w:ascii="Times New Roman" w:hAnsi="Times New Roman" w:cs="Times New Roman"/>
          <w:sz w:val="24"/>
          <w:szCs w:val="24"/>
        </w:rPr>
      </w:pPr>
    </w:p>
    <w:p w14:paraId="23CFC4BF" w14:textId="66DB4E7A" w:rsidR="001A60B1" w:rsidRDefault="00634085" w:rsidP="007E60AA">
      <w:pPr>
        <w:jc w:val="center"/>
        <w:rPr>
          <w:rFonts w:ascii="Times New Roman" w:hAnsi="Times New Roman" w:cs="Times New Roman"/>
          <w:b/>
          <w:bCs/>
          <w:sz w:val="32"/>
          <w:szCs w:val="32"/>
        </w:rPr>
      </w:pPr>
      <w:r>
        <w:rPr>
          <w:rFonts w:ascii="Times New Roman" w:hAnsi="Times New Roman" w:cs="Times New Roman"/>
          <w:b/>
          <w:bCs/>
          <w:sz w:val="32"/>
          <w:szCs w:val="32"/>
        </w:rPr>
        <w:t xml:space="preserve">Does Government Expenditure Crowd Out or Crowd </w:t>
      </w:r>
      <w:proofErr w:type="gramStart"/>
      <w:r>
        <w:rPr>
          <w:rFonts w:ascii="Times New Roman" w:hAnsi="Times New Roman" w:cs="Times New Roman"/>
          <w:b/>
          <w:bCs/>
          <w:sz w:val="32"/>
          <w:szCs w:val="32"/>
        </w:rPr>
        <w:t>In</w:t>
      </w:r>
      <w:proofErr w:type="gramEnd"/>
      <w:r>
        <w:rPr>
          <w:rFonts w:ascii="Times New Roman" w:hAnsi="Times New Roman" w:cs="Times New Roman"/>
          <w:b/>
          <w:bCs/>
          <w:sz w:val="32"/>
          <w:szCs w:val="32"/>
        </w:rPr>
        <w:t xml:space="preserve"> Private Investment</w:t>
      </w:r>
      <w:r w:rsidR="001A60B1" w:rsidRPr="001A60B1">
        <w:rPr>
          <w:rFonts w:ascii="Times New Roman" w:hAnsi="Times New Roman" w:cs="Times New Roman"/>
          <w:b/>
          <w:bCs/>
          <w:sz w:val="32"/>
          <w:szCs w:val="32"/>
        </w:rPr>
        <w:t>?</w:t>
      </w:r>
      <w:r>
        <w:rPr>
          <w:rFonts w:ascii="Times New Roman" w:hAnsi="Times New Roman" w:cs="Times New Roman"/>
          <w:b/>
          <w:bCs/>
          <w:sz w:val="32"/>
          <w:szCs w:val="32"/>
        </w:rPr>
        <w:t xml:space="preserve"> Evidence from Developed and Developing Countries</w:t>
      </w:r>
    </w:p>
    <w:p w14:paraId="501A3E80" w14:textId="4D2174C2" w:rsidR="001C1572" w:rsidRPr="001C1572" w:rsidRDefault="001C1572" w:rsidP="007E60AA">
      <w:pPr>
        <w:jc w:val="center"/>
        <w:rPr>
          <w:rFonts w:ascii="Times New Roman" w:hAnsi="Times New Roman" w:cs="Times New Roman"/>
          <w:sz w:val="24"/>
          <w:szCs w:val="24"/>
        </w:rPr>
      </w:pPr>
      <w:r w:rsidRPr="001C1572">
        <w:rPr>
          <w:rFonts w:ascii="Times New Roman" w:hAnsi="Times New Roman" w:cs="Times New Roman"/>
          <w:sz w:val="24"/>
          <w:szCs w:val="24"/>
        </w:rPr>
        <w:t>Enkhsaikhan Usny-Ekh</w:t>
      </w:r>
    </w:p>
    <w:tbl>
      <w:tblPr>
        <w:tblStyle w:val="PlainTable2"/>
        <w:tblW w:w="0" w:type="auto"/>
        <w:tblLook w:val="04A0" w:firstRow="1" w:lastRow="0" w:firstColumn="1" w:lastColumn="0" w:noHBand="0" w:noVBand="1"/>
      </w:tblPr>
      <w:tblGrid>
        <w:gridCol w:w="9576"/>
      </w:tblGrid>
      <w:tr w:rsidR="007E60AA" w14:paraId="15AC6750" w14:textId="77777777" w:rsidTr="007E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D9D9D9" w:themeFill="background1" w:themeFillShade="D9"/>
          </w:tcPr>
          <w:p w14:paraId="38A46466" w14:textId="1FC399AC" w:rsidR="007E60AA" w:rsidRPr="00396D66" w:rsidRDefault="007E60AA" w:rsidP="00396D66">
            <w:pPr>
              <w:jc w:val="both"/>
              <w:rPr>
                <w:rFonts w:ascii="Times New Roman" w:hAnsi="Times New Roman" w:cs="Times New Roman"/>
                <w:b w:val="0"/>
                <w:bCs w:val="0"/>
                <w:sz w:val="24"/>
                <w:szCs w:val="24"/>
              </w:rPr>
            </w:pPr>
            <w:r>
              <w:rPr>
                <w:rFonts w:ascii="Times New Roman" w:hAnsi="Times New Roman" w:cs="Times New Roman"/>
                <w:sz w:val="24"/>
                <w:szCs w:val="24"/>
              </w:rPr>
              <w:t>Abstract:</w:t>
            </w:r>
            <w:r>
              <w:rPr>
                <w:rFonts w:ascii="Times New Roman" w:hAnsi="Times New Roman" w:cs="Times New Roman"/>
                <w:sz w:val="24"/>
                <w:szCs w:val="24"/>
              </w:rPr>
              <w:t xml:space="preserve"> </w:t>
            </w:r>
            <w:r w:rsidR="0082548E">
              <w:rPr>
                <w:rFonts w:ascii="Times New Roman" w:hAnsi="Times New Roman" w:cs="Times New Roman"/>
                <w:b w:val="0"/>
                <w:bCs w:val="0"/>
                <w:sz w:val="24"/>
                <w:szCs w:val="24"/>
              </w:rPr>
              <w:t xml:space="preserve">This study examines the relationship between government expenditure and private </w:t>
            </w:r>
            <w:r w:rsidR="001C1572">
              <w:rPr>
                <w:rFonts w:ascii="Times New Roman" w:hAnsi="Times New Roman" w:cs="Times New Roman"/>
                <w:b w:val="0"/>
                <w:bCs w:val="0"/>
                <w:sz w:val="24"/>
                <w:szCs w:val="24"/>
              </w:rPr>
              <w:t xml:space="preserve">investment using unbalanced panel data from </w:t>
            </w:r>
            <w:r w:rsidR="005352E3">
              <w:rPr>
                <w:rFonts w:ascii="Times New Roman" w:hAnsi="Times New Roman" w:cs="Times New Roman"/>
                <w:b w:val="0"/>
                <w:bCs w:val="0"/>
                <w:sz w:val="24"/>
                <w:szCs w:val="24"/>
              </w:rPr>
              <w:t>136 countries over the period 1990-2022. By employing a fixed-effects panel regression model. The analysis provides robust evidence that government</w:t>
            </w:r>
            <w:r w:rsidR="00B60BA9">
              <w:rPr>
                <w:rFonts w:ascii="Times New Roman" w:hAnsi="Times New Roman" w:cs="Times New Roman"/>
                <w:b w:val="0"/>
                <w:bCs w:val="0"/>
                <w:sz w:val="24"/>
                <w:szCs w:val="24"/>
              </w:rPr>
              <w:t xml:space="preserve"> total</w:t>
            </w:r>
            <w:r w:rsidR="005352E3">
              <w:rPr>
                <w:rFonts w:ascii="Times New Roman" w:hAnsi="Times New Roman" w:cs="Times New Roman"/>
                <w:b w:val="0"/>
                <w:bCs w:val="0"/>
                <w:sz w:val="24"/>
                <w:szCs w:val="24"/>
              </w:rPr>
              <w:t xml:space="preserve"> expenditure does not crowd out private investment. Instead</w:t>
            </w:r>
            <w:r w:rsidR="00B60BA9">
              <w:rPr>
                <w:rFonts w:ascii="Times New Roman" w:hAnsi="Times New Roman" w:cs="Times New Roman"/>
                <w:b w:val="0"/>
                <w:bCs w:val="0"/>
                <w:sz w:val="24"/>
                <w:szCs w:val="24"/>
              </w:rPr>
              <w:t xml:space="preserve">, it has a significant </w:t>
            </w:r>
            <w:r w:rsidR="000F1255">
              <w:rPr>
                <w:rFonts w:ascii="Times New Roman" w:hAnsi="Times New Roman" w:cs="Times New Roman"/>
                <w:b w:val="0"/>
                <w:bCs w:val="0"/>
                <w:sz w:val="24"/>
                <w:szCs w:val="24"/>
              </w:rPr>
              <w:t xml:space="preserve">crowding-in effect, particularly in developing countries. The findings show that </w:t>
            </w:r>
            <w:proofErr w:type="gramStart"/>
            <w:r w:rsidR="000F1255">
              <w:rPr>
                <w:rFonts w:ascii="Times New Roman" w:hAnsi="Times New Roman" w:cs="Times New Roman"/>
                <w:b w:val="0"/>
                <w:bCs w:val="0"/>
                <w:sz w:val="24"/>
                <w:szCs w:val="24"/>
              </w:rPr>
              <w:t>a one</w:t>
            </w:r>
            <w:proofErr w:type="gramEnd"/>
            <w:r w:rsidR="000F1255">
              <w:rPr>
                <w:rFonts w:ascii="Times New Roman" w:hAnsi="Times New Roman" w:cs="Times New Roman"/>
                <w:b w:val="0"/>
                <w:bCs w:val="0"/>
                <w:sz w:val="24"/>
                <w:szCs w:val="24"/>
              </w:rPr>
              <w:t xml:space="preserve"> percentage point increase in government expenditure as a share of GDP is associated with a 0.145 percentage point increase in private investment. The study also explores difference between developed and developing economies, revealing that government spending strongly complements private investment in developing countries</w:t>
            </w:r>
            <w:r w:rsidR="009F4933">
              <w:rPr>
                <w:rFonts w:ascii="Times New Roman" w:hAnsi="Times New Roman" w:cs="Times New Roman"/>
                <w:b w:val="0"/>
                <w:bCs w:val="0"/>
                <w:sz w:val="24"/>
                <w:szCs w:val="24"/>
              </w:rPr>
              <w:t xml:space="preserve"> whereas no significant relationship is found in developed economies. The </w:t>
            </w:r>
            <w:r w:rsidR="00396D66">
              <w:rPr>
                <w:rFonts w:ascii="Times New Roman" w:hAnsi="Times New Roman" w:cs="Times New Roman"/>
                <w:b w:val="0"/>
                <w:bCs w:val="0"/>
                <w:sz w:val="24"/>
                <w:szCs w:val="24"/>
              </w:rPr>
              <w:t>result</w:t>
            </w:r>
            <w:r w:rsidR="00396D66">
              <w:rPr>
                <w:rFonts w:ascii="Times New Roman" w:hAnsi="Times New Roman" w:cs="Times New Roman"/>
                <w:sz w:val="24"/>
                <w:szCs w:val="24"/>
              </w:rPr>
              <w:t>s</w:t>
            </w:r>
            <w:r w:rsidR="009F4933">
              <w:rPr>
                <w:rFonts w:ascii="Times New Roman" w:hAnsi="Times New Roman" w:cs="Times New Roman"/>
                <w:b w:val="0"/>
                <w:bCs w:val="0"/>
                <w:sz w:val="24"/>
                <w:szCs w:val="24"/>
              </w:rPr>
              <w:t xml:space="preserve"> support the Keynesian view that fiscal policy can stimulate private investment, especially in economies operating below potential. These findings have important </w:t>
            </w:r>
            <w:r w:rsidR="00396D66">
              <w:rPr>
                <w:rFonts w:ascii="Times New Roman" w:hAnsi="Times New Roman" w:cs="Times New Roman"/>
                <w:b w:val="0"/>
                <w:bCs w:val="0"/>
                <w:sz w:val="24"/>
                <w:szCs w:val="24"/>
              </w:rPr>
              <w:t xml:space="preserve">policy implications, particularly for developing nations seeking to boost economic growth through public investment. </w:t>
            </w:r>
          </w:p>
        </w:tc>
      </w:tr>
    </w:tbl>
    <w:p w14:paraId="4BDB2D86" w14:textId="77777777" w:rsidR="00776628" w:rsidRPr="001A60B1" w:rsidRDefault="00776628">
      <w:pPr>
        <w:rPr>
          <w:rFonts w:ascii="Times New Roman" w:hAnsi="Times New Roman" w:cs="Times New Roman"/>
          <w:sz w:val="24"/>
          <w:szCs w:val="24"/>
          <w:lang w:val="mn-MN"/>
        </w:rPr>
      </w:pPr>
    </w:p>
    <w:p w14:paraId="4A75B99A" w14:textId="77777777" w:rsidR="00776628" w:rsidRDefault="00776628">
      <w:pPr>
        <w:rPr>
          <w:rFonts w:ascii="Times New Roman" w:hAnsi="Times New Roman" w:cs="Times New Roman"/>
          <w:sz w:val="24"/>
          <w:szCs w:val="24"/>
        </w:rPr>
      </w:pPr>
    </w:p>
    <w:p w14:paraId="34242249" w14:textId="77777777" w:rsidR="00776628" w:rsidRDefault="00776628">
      <w:pPr>
        <w:rPr>
          <w:rFonts w:ascii="Times New Roman" w:hAnsi="Times New Roman" w:cs="Times New Roman"/>
          <w:sz w:val="24"/>
          <w:szCs w:val="24"/>
        </w:rPr>
      </w:pPr>
    </w:p>
    <w:p w14:paraId="763C4EB4" w14:textId="77777777" w:rsidR="00776628" w:rsidRDefault="00776628">
      <w:pPr>
        <w:rPr>
          <w:rFonts w:ascii="Times New Roman" w:hAnsi="Times New Roman" w:cs="Times New Roman"/>
          <w:sz w:val="24"/>
          <w:szCs w:val="24"/>
        </w:rPr>
      </w:pPr>
    </w:p>
    <w:p w14:paraId="72A2C201" w14:textId="77777777" w:rsidR="00776628" w:rsidRDefault="00776628">
      <w:pPr>
        <w:rPr>
          <w:rFonts w:ascii="Times New Roman" w:hAnsi="Times New Roman" w:cs="Times New Roman"/>
          <w:sz w:val="24"/>
          <w:szCs w:val="24"/>
        </w:rPr>
      </w:pPr>
    </w:p>
    <w:p w14:paraId="47E00DF9" w14:textId="77777777" w:rsidR="00776628" w:rsidRDefault="00776628">
      <w:pPr>
        <w:rPr>
          <w:rFonts w:ascii="Times New Roman" w:hAnsi="Times New Roman" w:cs="Times New Roman"/>
          <w:sz w:val="24"/>
          <w:szCs w:val="24"/>
        </w:rPr>
      </w:pPr>
    </w:p>
    <w:p w14:paraId="7BA5FA0B" w14:textId="77777777" w:rsidR="00776628" w:rsidRDefault="00776628">
      <w:pPr>
        <w:rPr>
          <w:rFonts w:ascii="Times New Roman" w:hAnsi="Times New Roman" w:cs="Times New Roman"/>
          <w:sz w:val="24"/>
          <w:szCs w:val="24"/>
        </w:rPr>
      </w:pPr>
    </w:p>
    <w:p w14:paraId="4008189F" w14:textId="77777777" w:rsidR="00776628" w:rsidRDefault="00776628">
      <w:pPr>
        <w:rPr>
          <w:rFonts w:ascii="Times New Roman" w:hAnsi="Times New Roman" w:cs="Times New Roman"/>
          <w:sz w:val="24"/>
          <w:szCs w:val="24"/>
        </w:rPr>
      </w:pPr>
    </w:p>
    <w:p w14:paraId="0FDBC645" w14:textId="77777777" w:rsidR="00776628" w:rsidRDefault="00776628">
      <w:pPr>
        <w:rPr>
          <w:rFonts w:ascii="Times New Roman" w:hAnsi="Times New Roman" w:cs="Times New Roman"/>
          <w:sz w:val="24"/>
          <w:szCs w:val="24"/>
        </w:rPr>
      </w:pPr>
    </w:p>
    <w:p w14:paraId="602C398A" w14:textId="77777777" w:rsidR="001A60B1" w:rsidRDefault="001A60B1">
      <w:pPr>
        <w:rPr>
          <w:rFonts w:ascii="Times New Roman" w:hAnsi="Times New Roman" w:cs="Times New Roman"/>
          <w:sz w:val="24"/>
          <w:szCs w:val="24"/>
        </w:rPr>
      </w:pPr>
    </w:p>
    <w:p w14:paraId="4996A03A" w14:textId="77777777" w:rsidR="00776628" w:rsidRDefault="00776628">
      <w:pPr>
        <w:rPr>
          <w:rFonts w:ascii="Times New Roman" w:hAnsi="Times New Roman" w:cs="Times New Roman"/>
          <w:sz w:val="24"/>
          <w:szCs w:val="24"/>
        </w:rPr>
      </w:pPr>
    </w:p>
    <w:p w14:paraId="443E9A61" w14:textId="2D2D69EF" w:rsidR="00776628" w:rsidRDefault="00776628" w:rsidP="0002191E">
      <w:pPr>
        <w:pStyle w:val="Heading1"/>
        <w:numPr>
          <w:ilvl w:val="0"/>
          <w:numId w:val="1"/>
        </w:numPr>
      </w:pPr>
      <w:r>
        <w:lastRenderedPageBreak/>
        <w:t>Introduction</w:t>
      </w:r>
    </w:p>
    <w:p w14:paraId="33C9A13F" w14:textId="2046CB93" w:rsidR="008F6CF8" w:rsidRDefault="0094476E" w:rsidP="0094476E">
      <w:pPr>
        <w:jc w:val="both"/>
        <w:rPr>
          <w:rFonts w:ascii="Times New Roman" w:hAnsi="Times New Roman" w:cs="Times New Roman"/>
          <w:sz w:val="24"/>
          <w:szCs w:val="24"/>
        </w:rPr>
      </w:pPr>
      <w:r>
        <w:rPr>
          <w:rFonts w:ascii="Times New Roman" w:hAnsi="Times New Roman" w:cs="Times New Roman"/>
          <w:sz w:val="24"/>
          <w:szCs w:val="24"/>
        </w:rPr>
        <w:t xml:space="preserve">Capital and technological developments are the main drivers of economic growth and development, and private investment is what enables these factors to </w:t>
      </w:r>
      <w:r w:rsidR="008F6CF8">
        <w:rPr>
          <w:rFonts w:ascii="Times New Roman" w:hAnsi="Times New Roman" w:cs="Times New Roman"/>
          <w:sz w:val="24"/>
          <w:szCs w:val="24"/>
        </w:rPr>
        <w:t xml:space="preserve">thrive. On the other hand, fiscal policy, a major part of the economy, directly affects economic performance through government spending and taxation, with large shift capable of significantly influencing national economic growth, employment levels, and inflation rates. Therefore, it is crucial to study the relationship between private investment and government expenditure, both of which are key components of the economy. </w:t>
      </w:r>
    </w:p>
    <w:p w14:paraId="1BE07C43" w14:textId="77777777" w:rsidR="00197363" w:rsidRDefault="00607417" w:rsidP="0094476E">
      <w:pPr>
        <w:jc w:val="both"/>
        <w:rPr>
          <w:rFonts w:ascii="Times New Roman" w:hAnsi="Times New Roman" w:cs="Times New Roman"/>
          <w:sz w:val="24"/>
          <w:szCs w:val="24"/>
        </w:rPr>
      </w:pPr>
      <w:r>
        <w:rPr>
          <w:rFonts w:ascii="Times New Roman" w:hAnsi="Times New Roman" w:cs="Times New Roman"/>
          <w:sz w:val="24"/>
          <w:szCs w:val="24"/>
        </w:rPr>
        <w:t xml:space="preserve">The relationship between these two variables has been one of the most debated topics in economic history. The debate </w:t>
      </w:r>
      <w:r w:rsidR="008F7F81">
        <w:rPr>
          <w:rFonts w:ascii="Times New Roman" w:hAnsi="Times New Roman" w:cs="Times New Roman"/>
          <w:sz w:val="24"/>
          <w:szCs w:val="24"/>
        </w:rPr>
        <w:t xml:space="preserve">began with Adam Smith (1976) and continued through economists like John Maynard Keynes (1936), Martin J. Bailey (1971), Willem H. Buiter (1981), and Alan Artis (1979). One side </w:t>
      </w:r>
      <w:r w:rsidR="00A132A4">
        <w:rPr>
          <w:rFonts w:ascii="Times New Roman" w:hAnsi="Times New Roman" w:cs="Times New Roman"/>
          <w:sz w:val="24"/>
          <w:szCs w:val="24"/>
        </w:rPr>
        <w:t xml:space="preserve">(the Classical approach) </w:t>
      </w:r>
      <w:r w:rsidR="008F7F81">
        <w:rPr>
          <w:rFonts w:ascii="Times New Roman" w:hAnsi="Times New Roman" w:cs="Times New Roman"/>
          <w:sz w:val="24"/>
          <w:szCs w:val="24"/>
        </w:rPr>
        <w:t>argues that government expenditure reduces or “crowds out” private investment, while the other side</w:t>
      </w:r>
      <w:r w:rsidR="00B002F1">
        <w:rPr>
          <w:rFonts w:ascii="Times New Roman" w:hAnsi="Times New Roman" w:cs="Times New Roman"/>
          <w:sz w:val="24"/>
          <w:szCs w:val="24"/>
        </w:rPr>
        <w:t xml:space="preserve"> (Keynesian)</w:t>
      </w:r>
      <w:r w:rsidR="008F7F81">
        <w:rPr>
          <w:rFonts w:ascii="Times New Roman" w:hAnsi="Times New Roman" w:cs="Times New Roman"/>
          <w:sz w:val="24"/>
          <w:szCs w:val="24"/>
        </w:rPr>
        <w:t xml:space="preserve"> believes it boosts private investment. Some economists even contend that there is no relationship between the two.</w:t>
      </w:r>
      <w:r w:rsidR="009D39D5">
        <w:rPr>
          <w:rFonts w:ascii="Times New Roman" w:hAnsi="Times New Roman" w:cs="Times New Roman"/>
          <w:sz w:val="24"/>
          <w:szCs w:val="24"/>
        </w:rPr>
        <w:t xml:space="preserve"> </w:t>
      </w:r>
    </w:p>
    <w:p w14:paraId="292044C9" w14:textId="5DD2378A" w:rsidR="00930D08" w:rsidRDefault="00930D08" w:rsidP="0094476E">
      <w:pPr>
        <w:jc w:val="both"/>
        <w:rPr>
          <w:rFonts w:ascii="Times New Roman" w:hAnsi="Times New Roman" w:cs="Times New Roman"/>
          <w:sz w:val="24"/>
          <w:szCs w:val="24"/>
        </w:rPr>
      </w:pPr>
      <w:r>
        <w:rPr>
          <w:rFonts w:ascii="Times New Roman" w:hAnsi="Times New Roman" w:cs="Times New Roman"/>
          <w:sz w:val="24"/>
          <w:szCs w:val="24"/>
        </w:rPr>
        <w:t>The Classical view argues that the economy will naturally reach full employment through flexible prices, wages, and interest rates, and argues that expansionary fiscal policies lead to a crowding-out effect on private investment. As government spending increases, interest rates rise in the loanable funds market, making private investment more costly and thus reducing it</w:t>
      </w:r>
      <w:r w:rsidR="00C27300">
        <w:rPr>
          <w:rFonts w:ascii="Times New Roman" w:hAnsi="Times New Roman" w:cs="Times New Roman"/>
          <w:sz w:val="24"/>
          <w:szCs w:val="24"/>
        </w:rPr>
        <w:t xml:space="preserve">. On the other hand, the Keynesian view argues that expansionary fiscal policy crowds in private investment </w:t>
      </w:r>
      <w:r w:rsidR="00ED7D52">
        <w:rPr>
          <w:rFonts w:ascii="Times New Roman" w:hAnsi="Times New Roman" w:cs="Times New Roman"/>
          <w:sz w:val="24"/>
          <w:szCs w:val="24"/>
        </w:rPr>
        <w:t>by stimulating economic activity, especially when the economy is operating below its potential.</w:t>
      </w:r>
      <w:r w:rsidR="000B231B">
        <w:rPr>
          <w:rFonts w:ascii="Times New Roman" w:hAnsi="Times New Roman" w:cs="Times New Roman"/>
          <w:sz w:val="24"/>
          <w:szCs w:val="24"/>
        </w:rPr>
        <w:t xml:space="preserve"> They </w:t>
      </w:r>
      <w:r w:rsidR="00AE1F2C">
        <w:rPr>
          <w:rFonts w:ascii="Times New Roman" w:hAnsi="Times New Roman" w:cs="Times New Roman"/>
          <w:sz w:val="24"/>
          <w:szCs w:val="24"/>
        </w:rPr>
        <w:t xml:space="preserve">content the economy is usually below its potential, in this scenario, the sensitivity of investment to interest rates is low, so the impact of higher interest rates on investment is minimal, allowing government expenditure to boost private investment. </w:t>
      </w:r>
      <w:r w:rsidR="00ED7D52">
        <w:rPr>
          <w:rFonts w:ascii="Times New Roman" w:hAnsi="Times New Roman" w:cs="Times New Roman"/>
          <w:sz w:val="24"/>
          <w:szCs w:val="24"/>
        </w:rPr>
        <w:t xml:space="preserve"> </w:t>
      </w:r>
    </w:p>
    <w:p w14:paraId="5D402B7E" w14:textId="3604D840" w:rsidR="00B002F1" w:rsidRDefault="008D2A50" w:rsidP="0094476E">
      <w:pPr>
        <w:jc w:val="both"/>
        <w:rPr>
          <w:rFonts w:ascii="Times New Roman" w:hAnsi="Times New Roman" w:cs="Times New Roman"/>
          <w:sz w:val="24"/>
          <w:szCs w:val="24"/>
        </w:rPr>
      </w:pPr>
      <w:r>
        <w:rPr>
          <w:rFonts w:ascii="Times New Roman" w:hAnsi="Times New Roman" w:cs="Times New Roman"/>
          <w:sz w:val="24"/>
          <w:szCs w:val="24"/>
        </w:rPr>
        <w:t xml:space="preserve">This study analyzes the relationship between private investment and government expenditure using </w:t>
      </w:r>
      <w:r w:rsidR="00632564">
        <w:rPr>
          <w:rFonts w:ascii="Times New Roman" w:hAnsi="Times New Roman" w:cs="Times New Roman"/>
          <w:sz w:val="24"/>
          <w:szCs w:val="24"/>
        </w:rPr>
        <w:t xml:space="preserve">unbalanced panel regression data from 136 countries. It also examines this relationship in the context of both developed and </w:t>
      </w:r>
      <w:r w:rsidR="0049033E">
        <w:rPr>
          <w:rFonts w:ascii="Times New Roman" w:hAnsi="Times New Roman" w:cs="Times New Roman"/>
          <w:sz w:val="24"/>
          <w:szCs w:val="24"/>
        </w:rPr>
        <w:t xml:space="preserve">developing countries, providing a more comprehensive understanding of how government spending impacts private investment in different economic environments. </w:t>
      </w:r>
    </w:p>
    <w:p w14:paraId="694C0B2B" w14:textId="223C3EF7" w:rsidR="0049033E" w:rsidRPr="00607417" w:rsidRDefault="0049033E" w:rsidP="0094476E">
      <w:pPr>
        <w:jc w:val="both"/>
        <w:rPr>
          <w:rFonts w:ascii="Times New Roman" w:hAnsi="Times New Roman" w:cs="Times New Roman"/>
          <w:sz w:val="24"/>
          <w:szCs w:val="24"/>
        </w:rPr>
      </w:pPr>
      <w:r>
        <w:rPr>
          <w:rFonts w:ascii="Times New Roman" w:hAnsi="Times New Roman" w:cs="Times New Roman"/>
          <w:sz w:val="24"/>
          <w:szCs w:val="24"/>
        </w:rPr>
        <w:t xml:space="preserve">This study is organized into five sections. The second section provides a detailed explanation of the variables used, along with a graphical </w:t>
      </w:r>
      <w:r w:rsidR="00BB30B7">
        <w:rPr>
          <w:rFonts w:ascii="Times New Roman" w:hAnsi="Times New Roman" w:cs="Times New Roman"/>
          <w:sz w:val="24"/>
          <w:szCs w:val="24"/>
        </w:rPr>
        <w:t xml:space="preserve">analysis. The third section outlines the model employed, while the fourth presents the model’s results. Finally, the conclusion is presented in the last section. </w:t>
      </w:r>
    </w:p>
    <w:p w14:paraId="50A05F49" w14:textId="596BF537" w:rsidR="00776628" w:rsidRPr="00C82E55" w:rsidRDefault="00776628" w:rsidP="00C82E55">
      <w:pPr>
        <w:pStyle w:val="Heading1"/>
        <w:numPr>
          <w:ilvl w:val="0"/>
          <w:numId w:val="1"/>
        </w:numPr>
      </w:pPr>
      <w:r w:rsidRPr="00C82E55">
        <w:t>Data</w:t>
      </w:r>
    </w:p>
    <w:p w14:paraId="29A159C2" w14:textId="4A40EFD3" w:rsidR="00776628" w:rsidRDefault="00C35F8A" w:rsidP="00C35F8A">
      <w:pPr>
        <w:jc w:val="both"/>
        <w:rPr>
          <w:rFonts w:ascii="Times New Roman" w:hAnsi="Times New Roman" w:cs="Times New Roman"/>
          <w:sz w:val="24"/>
          <w:szCs w:val="24"/>
        </w:rPr>
      </w:pPr>
      <w:r>
        <w:rPr>
          <w:rFonts w:ascii="Times New Roman" w:hAnsi="Times New Roman" w:cs="Times New Roman"/>
          <w:sz w:val="24"/>
          <w:szCs w:val="24"/>
        </w:rPr>
        <w:t xml:space="preserve">The study uses unbalanced panel data from 136 countries over the period 1990-2022. After balancing the panel, only 69 countries remained, leading to the decision to use the unbalanced </w:t>
      </w:r>
      <w:r>
        <w:rPr>
          <w:rFonts w:ascii="Times New Roman" w:hAnsi="Times New Roman" w:cs="Times New Roman"/>
          <w:sz w:val="24"/>
          <w:szCs w:val="24"/>
        </w:rPr>
        <w:lastRenderedPageBreak/>
        <w:t xml:space="preserve">data. Data sources include the IMF (for government expenditure) and the World Bank’s World Development Indicators (for private investment, GDP growth, openness, inflation, and exchange rate). Private investment is proxied by Gross Fixed Capital Formation as a share of GDP due to data availability issues. Confounder </w:t>
      </w:r>
      <w:r w:rsidR="00170C74">
        <w:rPr>
          <w:rFonts w:ascii="Times New Roman" w:hAnsi="Times New Roman" w:cs="Times New Roman"/>
          <w:sz w:val="24"/>
          <w:szCs w:val="24"/>
        </w:rPr>
        <w:t xml:space="preserve">variables include GDP growth, openness (measured as the sum of exports and imports as a percentage of GDP), inflation (measured by changes in the CPI), and the exchange rate (against USD). </w:t>
      </w:r>
    </w:p>
    <w:p w14:paraId="15BD2794" w14:textId="2FDD3911" w:rsidR="0035789A" w:rsidRDefault="0035789A" w:rsidP="0035789A">
      <w:pPr>
        <w:pStyle w:val="Caption"/>
      </w:pPr>
      <w:r>
        <w:t xml:space="preserve">Table </w:t>
      </w:r>
      <w:fldSimple w:instr=" SEQ Table \* ARABIC ">
        <w:r w:rsidR="00D228CC">
          <w:rPr>
            <w:noProof/>
          </w:rPr>
          <w:t>1</w:t>
        </w:r>
      </w:fldSimple>
      <w:r>
        <w:t>. Descriptive statistics</w:t>
      </w:r>
    </w:p>
    <w:tbl>
      <w:tblPr>
        <w:tblStyle w:val="PlainTable2"/>
        <w:tblW w:w="9558" w:type="dxa"/>
        <w:tblLook w:val="04A0" w:firstRow="1" w:lastRow="0" w:firstColumn="1" w:lastColumn="0" w:noHBand="0" w:noVBand="1"/>
      </w:tblPr>
      <w:tblGrid>
        <w:gridCol w:w="3866"/>
        <w:gridCol w:w="936"/>
        <w:gridCol w:w="886"/>
        <w:gridCol w:w="990"/>
        <w:gridCol w:w="810"/>
        <w:gridCol w:w="990"/>
        <w:gridCol w:w="1080"/>
      </w:tblGrid>
      <w:tr w:rsidR="006133A2" w:rsidRPr="006133A2" w14:paraId="50290319" w14:textId="77777777" w:rsidTr="0076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Pr>
          <w:p w14:paraId="3FBC6627" w14:textId="77777777" w:rsidR="00D65156" w:rsidRPr="006133A2" w:rsidRDefault="00D65156" w:rsidP="00D65156">
            <w:pPr>
              <w:rPr>
                <w:rFonts w:ascii="Times New Roman" w:hAnsi="Times New Roman" w:cs="Times New Roman"/>
                <w:b w:val="0"/>
                <w:bCs w:val="0"/>
                <w:sz w:val="24"/>
                <w:szCs w:val="24"/>
              </w:rPr>
            </w:pPr>
          </w:p>
        </w:tc>
        <w:tc>
          <w:tcPr>
            <w:tcW w:w="936" w:type="dxa"/>
          </w:tcPr>
          <w:p w14:paraId="39A7C04F" w14:textId="3123A5F5"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Count</w:t>
            </w:r>
          </w:p>
        </w:tc>
        <w:tc>
          <w:tcPr>
            <w:tcW w:w="886" w:type="dxa"/>
          </w:tcPr>
          <w:p w14:paraId="73895DE1" w14:textId="2F9C52AE"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Mean</w:t>
            </w:r>
          </w:p>
        </w:tc>
        <w:tc>
          <w:tcPr>
            <w:tcW w:w="990" w:type="dxa"/>
          </w:tcPr>
          <w:p w14:paraId="77E37001" w14:textId="1B1CAECF"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Std</w:t>
            </w:r>
          </w:p>
        </w:tc>
        <w:tc>
          <w:tcPr>
            <w:tcW w:w="810" w:type="dxa"/>
          </w:tcPr>
          <w:p w14:paraId="6B4CCC86" w14:textId="366B0D9F"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Min</w:t>
            </w:r>
          </w:p>
        </w:tc>
        <w:tc>
          <w:tcPr>
            <w:tcW w:w="990" w:type="dxa"/>
          </w:tcPr>
          <w:p w14:paraId="7C4F1BC0" w14:textId="2CBCD09B"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Median</w:t>
            </w:r>
          </w:p>
        </w:tc>
        <w:tc>
          <w:tcPr>
            <w:tcW w:w="1080" w:type="dxa"/>
          </w:tcPr>
          <w:p w14:paraId="01E88453" w14:textId="3DD9FF22" w:rsidR="00D65156" w:rsidRPr="006133A2" w:rsidRDefault="00D65156" w:rsidP="000D6F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133A2">
              <w:rPr>
                <w:rFonts w:ascii="Times New Roman" w:hAnsi="Times New Roman" w:cs="Times New Roman"/>
                <w:b w:val="0"/>
                <w:bCs w:val="0"/>
                <w:sz w:val="24"/>
                <w:szCs w:val="24"/>
              </w:rPr>
              <w:t>Max</w:t>
            </w:r>
          </w:p>
        </w:tc>
      </w:tr>
      <w:tr w:rsidR="006133A2" w:rsidRPr="006133A2" w14:paraId="7EB0EFEC" w14:textId="77777777" w:rsidTr="0076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nil"/>
            </w:tcBorders>
          </w:tcPr>
          <w:p w14:paraId="5068B099" w14:textId="18529543" w:rsidR="00A41C4F" w:rsidRPr="006133A2" w:rsidRDefault="00A41C4F"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Private investment (% of GDP)</w:t>
            </w:r>
          </w:p>
        </w:tc>
        <w:tc>
          <w:tcPr>
            <w:tcW w:w="936" w:type="dxa"/>
            <w:tcBorders>
              <w:bottom w:val="nil"/>
            </w:tcBorders>
          </w:tcPr>
          <w:p w14:paraId="5B4BB83E" w14:textId="774F0ADB" w:rsidR="00A41C4F" w:rsidRPr="006133A2" w:rsidRDefault="009356DF"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950.0</w:t>
            </w:r>
          </w:p>
        </w:tc>
        <w:tc>
          <w:tcPr>
            <w:tcW w:w="886" w:type="dxa"/>
            <w:tcBorders>
              <w:bottom w:val="nil"/>
            </w:tcBorders>
          </w:tcPr>
          <w:p w14:paraId="02E81A7D" w14:textId="3B1D0189" w:rsidR="00A41C4F" w:rsidRPr="006133A2" w:rsidRDefault="00A24EB0"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22.7</w:t>
            </w:r>
          </w:p>
        </w:tc>
        <w:tc>
          <w:tcPr>
            <w:tcW w:w="990" w:type="dxa"/>
            <w:tcBorders>
              <w:bottom w:val="nil"/>
            </w:tcBorders>
          </w:tcPr>
          <w:p w14:paraId="1D4CD978" w14:textId="03D5EACE"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7.3</w:t>
            </w:r>
          </w:p>
        </w:tc>
        <w:tc>
          <w:tcPr>
            <w:tcW w:w="810" w:type="dxa"/>
            <w:tcBorders>
              <w:bottom w:val="nil"/>
            </w:tcBorders>
          </w:tcPr>
          <w:p w14:paraId="283FA2F2" w14:textId="69EC7995"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1.2</w:t>
            </w:r>
          </w:p>
        </w:tc>
        <w:tc>
          <w:tcPr>
            <w:tcW w:w="990" w:type="dxa"/>
            <w:tcBorders>
              <w:bottom w:val="nil"/>
            </w:tcBorders>
          </w:tcPr>
          <w:p w14:paraId="2C5AD9EF" w14:textId="4A43C3FC"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22.0</w:t>
            </w:r>
          </w:p>
        </w:tc>
        <w:tc>
          <w:tcPr>
            <w:tcW w:w="1080" w:type="dxa"/>
            <w:tcBorders>
              <w:bottom w:val="nil"/>
            </w:tcBorders>
          </w:tcPr>
          <w:p w14:paraId="34676C42" w14:textId="265AC12F"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78.0</w:t>
            </w:r>
          </w:p>
        </w:tc>
      </w:tr>
      <w:tr w:rsidR="006133A2" w:rsidRPr="006133A2" w14:paraId="7D0C3BDC" w14:textId="77777777" w:rsidTr="007612EE">
        <w:tc>
          <w:tcPr>
            <w:cnfStyle w:val="001000000000" w:firstRow="0" w:lastRow="0" w:firstColumn="1" w:lastColumn="0" w:oddVBand="0" w:evenVBand="0" w:oddHBand="0" w:evenHBand="0" w:firstRowFirstColumn="0" w:firstRowLastColumn="0" w:lastRowFirstColumn="0" w:lastRowLastColumn="0"/>
            <w:tcW w:w="3866" w:type="dxa"/>
            <w:tcBorders>
              <w:top w:val="nil"/>
              <w:bottom w:val="nil"/>
            </w:tcBorders>
          </w:tcPr>
          <w:p w14:paraId="64F129AB" w14:textId="124BABA3" w:rsidR="00A41C4F" w:rsidRPr="006133A2" w:rsidRDefault="00A41C4F"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Government expenditure (% of GDP)</w:t>
            </w:r>
          </w:p>
        </w:tc>
        <w:tc>
          <w:tcPr>
            <w:tcW w:w="936" w:type="dxa"/>
            <w:tcBorders>
              <w:top w:val="nil"/>
              <w:bottom w:val="nil"/>
            </w:tcBorders>
          </w:tcPr>
          <w:p w14:paraId="12D8658F" w14:textId="22858514" w:rsidR="00A41C4F" w:rsidRPr="006133A2" w:rsidRDefault="00A02471"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950.0</w:t>
            </w:r>
          </w:p>
        </w:tc>
        <w:tc>
          <w:tcPr>
            <w:tcW w:w="886" w:type="dxa"/>
            <w:tcBorders>
              <w:top w:val="nil"/>
              <w:bottom w:val="nil"/>
            </w:tcBorders>
          </w:tcPr>
          <w:p w14:paraId="12BCC9A9" w14:textId="295C531A" w:rsidR="00A41C4F" w:rsidRPr="006133A2" w:rsidRDefault="00A24EB0"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30.9</w:t>
            </w:r>
          </w:p>
        </w:tc>
        <w:tc>
          <w:tcPr>
            <w:tcW w:w="990" w:type="dxa"/>
            <w:tcBorders>
              <w:top w:val="nil"/>
              <w:bottom w:val="nil"/>
            </w:tcBorders>
          </w:tcPr>
          <w:p w14:paraId="6F912066" w14:textId="6E6D44E3" w:rsidR="00A41C4F"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13.9</w:t>
            </w:r>
          </w:p>
        </w:tc>
        <w:tc>
          <w:tcPr>
            <w:tcW w:w="810" w:type="dxa"/>
            <w:tcBorders>
              <w:top w:val="nil"/>
              <w:bottom w:val="nil"/>
            </w:tcBorders>
          </w:tcPr>
          <w:p w14:paraId="2D94D840" w14:textId="3CBF678C" w:rsidR="00A41C4F"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2.1</w:t>
            </w:r>
          </w:p>
        </w:tc>
        <w:tc>
          <w:tcPr>
            <w:tcW w:w="990" w:type="dxa"/>
            <w:tcBorders>
              <w:top w:val="nil"/>
              <w:bottom w:val="nil"/>
            </w:tcBorders>
          </w:tcPr>
          <w:p w14:paraId="4238D801" w14:textId="5383BD3D" w:rsidR="00A41C4F"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29.2</w:t>
            </w:r>
          </w:p>
        </w:tc>
        <w:tc>
          <w:tcPr>
            <w:tcW w:w="1080" w:type="dxa"/>
            <w:tcBorders>
              <w:top w:val="nil"/>
              <w:bottom w:val="nil"/>
            </w:tcBorders>
          </w:tcPr>
          <w:p w14:paraId="19C38684" w14:textId="7F882E86" w:rsidR="00A41C4F"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204.2</w:t>
            </w:r>
          </w:p>
        </w:tc>
      </w:tr>
      <w:tr w:rsidR="006133A2" w:rsidRPr="006133A2" w14:paraId="782874DE" w14:textId="77777777" w:rsidTr="0076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top w:val="nil"/>
              <w:bottom w:val="nil"/>
            </w:tcBorders>
          </w:tcPr>
          <w:p w14:paraId="596152D1" w14:textId="2E97EDA9" w:rsidR="00A41C4F" w:rsidRPr="006133A2" w:rsidRDefault="000D65BA"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GDP growth</w:t>
            </w:r>
          </w:p>
        </w:tc>
        <w:tc>
          <w:tcPr>
            <w:tcW w:w="936" w:type="dxa"/>
            <w:tcBorders>
              <w:top w:val="nil"/>
              <w:bottom w:val="nil"/>
            </w:tcBorders>
          </w:tcPr>
          <w:p w14:paraId="05B30B59" w14:textId="4B76AADC" w:rsidR="00A41C4F" w:rsidRPr="006133A2" w:rsidRDefault="00A24EB0"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948.0</w:t>
            </w:r>
          </w:p>
        </w:tc>
        <w:tc>
          <w:tcPr>
            <w:tcW w:w="886" w:type="dxa"/>
            <w:tcBorders>
              <w:top w:val="nil"/>
              <w:bottom w:val="nil"/>
            </w:tcBorders>
          </w:tcPr>
          <w:p w14:paraId="40C70CA1" w14:textId="6EC6B472" w:rsidR="00A41C4F" w:rsidRPr="006133A2" w:rsidRDefault="00A24EB0"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3.4</w:t>
            </w:r>
          </w:p>
        </w:tc>
        <w:tc>
          <w:tcPr>
            <w:tcW w:w="990" w:type="dxa"/>
            <w:tcBorders>
              <w:top w:val="nil"/>
              <w:bottom w:val="nil"/>
            </w:tcBorders>
          </w:tcPr>
          <w:p w14:paraId="2F3C5847" w14:textId="7C0F16DB"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4.8</w:t>
            </w:r>
          </w:p>
        </w:tc>
        <w:tc>
          <w:tcPr>
            <w:tcW w:w="810" w:type="dxa"/>
            <w:tcBorders>
              <w:top w:val="nil"/>
              <w:bottom w:val="nil"/>
            </w:tcBorders>
          </w:tcPr>
          <w:p w14:paraId="391362D3" w14:textId="311691E8"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-50.2</w:t>
            </w:r>
          </w:p>
        </w:tc>
        <w:tc>
          <w:tcPr>
            <w:tcW w:w="990" w:type="dxa"/>
            <w:tcBorders>
              <w:top w:val="nil"/>
              <w:bottom w:val="nil"/>
            </w:tcBorders>
          </w:tcPr>
          <w:p w14:paraId="37C319FC" w14:textId="367B3D60"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3.7</w:t>
            </w:r>
          </w:p>
        </w:tc>
        <w:tc>
          <w:tcPr>
            <w:tcW w:w="1080" w:type="dxa"/>
            <w:tcBorders>
              <w:top w:val="nil"/>
              <w:bottom w:val="nil"/>
            </w:tcBorders>
          </w:tcPr>
          <w:p w14:paraId="52C8B083" w14:textId="7A6409E0"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82.8</w:t>
            </w:r>
          </w:p>
        </w:tc>
      </w:tr>
      <w:tr w:rsidR="006133A2" w:rsidRPr="006133A2" w14:paraId="43123F21" w14:textId="77777777" w:rsidTr="007612EE">
        <w:tc>
          <w:tcPr>
            <w:cnfStyle w:val="001000000000" w:firstRow="0" w:lastRow="0" w:firstColumn="1" w:lastColumn="0" w:oddVBand="0" w:evenVBand="0" w:oddHBand="0" w:evenHBand="0" w:firstRowFirstColumn="0" w:firstRowLastColumn="0" w:lastRowFirstColumn="0" w:lastRowLastColumn="0"/>
            <w:tcW w:w="3866" w:type="dxa"/>
            <w:tcBorders>
              <w:top w:val="nil"/>
              <w:bottom w:val="nil"/>
            </w:tcBorders>
          </w:tcPr>
          <w:p w14:paraId="43185C56" w14:textId="0D1DA0A3" w:rsidR="00A41C4F" w:rsidRPr="006133A2" w:rsidRDefault="000D65BA"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Openness</w:t>
            </w:r>
          </w:p>
        </w:tc>
        <w:tc>
          <w:tcPr>
            <w:tcW w:w="936" w:type="dxa"/>
            <w:tcBorders>
              <w:top w:val="nil"/>
              <w:bottom w:val="nil"/>
            </w:tcBorders>
          </w:tcPr>
          <w:p w14:paraId="189B3A78" w14:textId="0FDA7993" w:rsidR="00A41C4F" w:rsidRPr="006133A2" w:rsidRDefault="00A24EB0"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928.0</w:t>
            </w:r>
          </w:p>
        </w:tc>
        <w:tc>
          <w:tcPr>
            <w:tcW w:w="886" w:type="dxa"/>
            <w:tcBorders>
              <w:top w:val="nil"/>
              <w:bottom w:val="nil"/>
            </w:tcBorders>
          </w:tcPr>
          <w:p w14:paraId="161EBE4D" w14:textId="40237BFE" w:rsidR="00A41C4F" w:rsidRPr="006133A2" w:rsidRDefault="00A24EB0"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81.4</w:t>
            </w:r>
          </w:p>
        </w:tc>
        <w:tc>
          <w:tcPr>
            <w:tcW w:w="990" w:type="dxa"/>
            <w:tcBorders>
              <w:top w:val="nil"/>
              <w:bottom w:val="nil"/>
            </w:tcBorders>
          </w:tcPr>
          <w:p w14:paraId="347745FF" w14:textId="31332FA6" w:rsidR="00A41C4F"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49.5</w:t>
            </w:r>
          </w:p>
        </w:tc>
        <w:tc>
          <w:tcPr>
            <w:tcW w:w="810" w:type="dxa"/>
            <w:tcBorders>
              <w:top w:val="nil"/>
              <w:bottom w:val="nil"/>
            </w:tcBorders>
          </w:tcPr>
          <w:p w14:paraId="5EC5200D" w14:textId="56F7E7C8" w:rsidR="00A41C4F"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2.7</w:t>
            </w:r>
          </w:p>
        </w:tc>
        <w:tc>
          <w:tcPr>
            <w:tcW w:w="990" w:type="dxa"/>
            <w:tcBorders>
              <w:top w:val="nil"/>
              <w:bottom w:val="nil"/>
            </w:tcBorders>
          </w:tcPr>
          <w:p w14:paraId="4B6B7973" w14:textId="6471AB57" w:rsidR="00A41C4F"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70.5</w:t>
            </w:r>
          </w:p>
        </w:tc>
        <w:tc>
          <w:tcPr>
            <w:tcW w:w="1080" w:type="dxa"/>
            <w:tcBorders>
              <w:top w:val="nil"/>
              <w:bottom w:val="nil"/>
            </w:tcBorders>
          </w:tcPr>
          <w:p w14:paraId="751F0BBD" w14:textId="78FAEF7D" w:rsidR="00A41C4F"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442.6</w:t>
            </w:r>
          </w:p>
        </w:tc>
      </w:tr>
      <w:tr w:rsidR="006133A2" w:rsidRPr="006133A2" w14:paraId="7F9E66E2" w14:textId="77777777" w:rsidTr="0076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top w:val="nil"/>
              <w:bottom w:val="nil"/>
            </w:tcBorders>
          </w:tcPr>
          <w:p w14:paraId="2E0CBD5D" w14:textId="333B0EA1" w:rsidR="00A41C4F" w:rsidRPr="006133A2" w:rsidRDefault="000D65BA"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Inflation</w:t>
            </w:r>
          </w:p>
        </w:tc>
        <w:tc>
          <w:tcPr>
            <w:tcW w:w="936" w:type="dxa"/>
            <w:tcBorders>
              <w:top w:val="nil"/>
              <w:bottom w:val="nil"/>
            </w:tcBorders>
          </w:tcPr>
          <w:p w14:paraId="39C97399" w14:textId="14EAD42D" w:rsidR="00A41C4F" w:rsidRPr="006133A2" w:rsidRDefault="00A24EB0"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740.0</w:t>
            </w:r>
          </w:p>
        </w:tc>
        <w:tc>
          <w:tcPr>
            <w:tcW w:w="886" w:type="dxa"/>
            <w:tcBorders>
              <w:top w:val="nil"/>
              <w:bottom w:val="nil"/>
            </w:tcBorders>
          </w:tcPr>
          <w:p w14:paraId="0064941F" w14:textId="18E82391" w:rsidR="00A41C4F" w:rsidRPr="006133A2" w:rsidRDefault="00A24EB0"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10.9</w:t>
            </w:r>
          </w:p>
        </w:tc>
        <w:tc>
          <w:tcPr>
            <w:tcW w:w="990" w:type="dxa"/>
            <w:tcBorders>
              <w:top w:val="nil"/>
              <w:bottom w:val="nil"/>
            </w:tcBorders>
          </w:tcPr>
          <w:p w14:paraId="2D930D14" w14:textId="2F92D85E"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128.6</w:t>
            </w:r>
          </w:p>
        </w:tc>
        <w:tc>
          <w:tcPr>
            <w:tcW w:w="810" w:type="dxa"/>
            <w:tcBorders>
              <w:top w:val="nil"/>
              <w:bottom w:val="nil"/>
            </w:tcBorders>
          </w:tcPr>
          <w:p w14:paraId="7D698B5C" w14:textId="499D2619" w:rsidR="00A41C4F" w:rsidRPr="006133A2" w:rsidRDefault="00005736"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-16.9</w:t>
            </w:r>
          </w:p>
        </w:tc>
        <w:tc>
          <w:tcPr>
            <w:tcW w:w="990" w:type="dxa"/>
            <w:tcBorders>
              <w:top w:val="nil"/>
              <w:bottom w:val="nil"/>
            </w:tcBorders>
          </w:tcPr>
          <w:p w14:paraId="55144181" w14:textId="15D310FB"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3.7</w:t>
            </w:r>
          </w:p>
        </w:tc>
        <w:tc>
          <w:tcPr>
            <w:tcW w:w="1080" w:type="dxa"/>
            <w:tcBorders>
              <w:top w:val="nil"/>
              <w:bottom w:val="nil"/>
            </w:tcBorders>
          </w:tcPr>
          <w:p w14:paraId="0521E016" w14:textId="01FAA09F" w:rsidR="00A41C4F" w:rsidRPr="006133A2" w:rsidRDefault="006133A2" w:rsidP="00A0247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7,428.7</w:t>
            </w:r>
          </w:p>
        </w:tc>
      </w:tr>
      <w:tr w:rsidR="006133A2" w:rsidRPr="006133A2" w14:paraId="1FE0EC71" w14:textId="77777777" w:rsidTr="007612EE">
        <w:tc>
          <w:tcPr>
            <w:cnfStyle w:val="001000000000" w:firstRow="0" w:lastRow="0" w:firstColumn="1" w:lastColumn="0" w:oddVBand="0" w:evenVBand="0" w:oddHBand="0" w:evenHBand="0" w:firstRowFirstColumn="0" w:firstRowLastColumn="0" w:lastRowFirstColumn="0" w:lastRowLastColumn="0"/>
            <w:tcW w:w="3866" w:type="dxa"/>
            <w:tcBorders>
              <w:top w:val="nil"/>
            </w:tcBorders>
          </w:tcPr>
          <w:p w14:paraId="7F68AB32" w14:textId="501AC025" w:rsidR="000D65BA" w:rsidRPr="006133A2" w:rsidRDefault="000D65BA" w:rsidP="0035789A">
            <w:pPr>
              <w:rPr>
                <w:rFonts w:ascii="Times New Roman" w:hAnsi="Times New Roman" w:cs="Times New Roman"/>
                <w:b w:val="0"/>
                <w:bCs w:val="0"/>
                <w:sz w:val="24"/>
                <w:szCs w:val="24"/>
              </w:rPr>
            </w:pPr>
            <w:r w:rsidRPr="006133A2">
              <w:rPr>
                <w:rFonts w:ascii="Times New Roman" w:hAnsi="Times New Roman" w:cs="Times New Roman"/>
                <w:b w:val="0"/>
                <w:bCs w:val="0"/>
                <w:sz w:val="24"/>
                <w:szCs w:val="24"/>
              </w:rPr>
              <w:t>Exchange rate</w:t>
            </w:r>
          </w:p>
        </w:tc>
        <w:tc>
          <w:tcPr>
            <w:tcW w:w="936" w:type="dxa"/>
            <w:tcBorders>
              <w:top w:val="nil"/>
            </w:tcBorders>
          </w:tcPr>
          <w:p w14:paraId="6D7CA30F" w14:textId="5A7D5320" w:rsidR="000D65BA" w:rsidRPr="006133A2" w:rsidRDefault="00A24EB0"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3</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924.0</w:t>
            </w:r>
          </w:p>
        </w:tc>
        <w:tc>
          <w:tcPr>
            <w:tcW w:w="886" w:type="dxa"/>
            <w:tcBorders>
              <w:top w:val="nil"/>
            </w:tcBorders>
          </w:tcPr>
          <w:p w14:paraId="61886711" w14:textId="794F27EA" w:rsidR="000D65BA" w:rsidRPr="006133A2" w:rsidRDefault="00A24EB0"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625.8</w:t>
            </w:r>
          </w:p>
        </w:tc>
        <w:tc>
          <w:tcPr>
            <w:tcW w:w="990" w:type="dxa"/>
            <w:tcBorders>
              <w:top w:val="nil"/>
            </w:tcBorders>
          </w:tcPr>
          <w:p w14:paraId="48E6D150" w14:textId="06F0AF2F" w:rsidR="000D65BA"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2</w:t>
            </w:r>
            <w:r w:rsidR="006133A2" w:rsidRPr="006133A2">
              <w:rPr>
                <w:rFonts w:ascii="Times New Roman" w:hAnsi="Times New Roman" w:cs="Times New Roman"/>
                <w:sz w:val="24"/>
                <w:szCs w:val="24"/>
              </w:rPr>
              <w:t>,</w:t>
            </w:r>
            <w:r w:rsidRPr="006133A2">
              <w:rPr>
                <w:rFonts w:ascii="Times New Roman" w:hAnsi="Times New Roman" w:cs="Times New Roman"/>
                <w:sz w:val="24"/>
                <w:szCs w:val="24"/>
              </w:rPr>
              <w:t>672.4</w:t>
            </w:r>
          </w:p>
        </w:tc>
        <w:tc>
          <w:tcPr>
            <w:tcW w:w="810" w:type="dxa"/>
            <w:tcBorders>
              <w:top w:val="nil"/>
            </w:tcBorders>
          </w:tcPr>
          <w:p w14:paraId="59F8D79B" w14:textId="6ABC124A" w:rsidR="000D65BA" w:rsidRPr="006133A2" w:rsidRDefault="00005736"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0.0</w:t>
            </w:r>
          </w:p>
        </w:tc>
        <w:tc>
          <w:tcPr>
            <w:tcW w:w="990" w:type="dxa"/>
            <w:tcBorders>
              <w:top w:val="nil"/>
            </w:tcBorders>
          </w:tcPr>
          <w:p w14:paraId="3A744494" w14:textId="371EB1EC" w:rsidR="000D65BA"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9.9</w:t>
            </w:r>
          </w:p>
        </w:tc>
        <w:tc>
          <w:tcPr>
            <w:tcW w:w="1080" w:type="dxa"/>
            <w:tcBorders>
              <w:top w:val="nil"/>
            </w:tcBorders>
          </w:tcPr>
          <w:p w14:paraId="1977B17E" w14:textId="08496028" w:rsidR="000D65BA" w:rsidRPr="006133A2" w:rsidRDefault="006133A2" w:rsidP="00A0247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33A2">
              <w:rPr>
                <w:rFonts w:ascii="Times New Roman" w:hAnsi="Times New Roman" w:cs="Times New Roman"/>
                <w:sz w:val="24"/>
                <w:szCs w:val="24"/>
              </w:rPr>
              <w:t>42,000.0</w:t>
            </w:r>
          </w:p>
        </w:tc>
      </w:tr>
    </w:tbl>
    <w:p w14:paraId="55402943" w14:textId="1AFCC646" w:rsidR="0035789A" w:rsidRDefault="006133A2" w:rsidP="00D5520F">
      <w:pPr>
        <w:jc w:val="right"/>
        <w:rPr>
          <w:rFonts w:ascii="Times New Roman" w:hAnsi="Times New Roman" w:cs="Times New Roman"/>
          <w:i/>
          <w:iCs/>
        </w:rPr>
      </w:pPr>
      <w:r w:rsidRPr="00D5520F">
        <w:rPr>
          <w:rFonts w:ascii="Times New Roman" w:hAnsi="Times New Roman" w:cs="Times New Roman"/>
          <w:i/>
          <w:iCs/>
        </w:rPr>
        <w:t xml:space="preserve">Source: </w:t>
      </w:r>
      <w:r w:rsidR="00650EE4">
        <w:rPr>
          <w:rFonts w:ascii="Times New Roman" w:hAnsi="Times New Roman" w:cs="Times New Roman"/>
          <w:i/>
          <w:iCs/>
        </w:rPr>
        <w:t xml:space="preserve">IMF, </w:t>
      </w:r>
      <w:r w:rsidRPr="00D5520F">
        <w:rPr>
          <w:rFonts w:ascii="Times New Roman" w:hAnsi="Times New Roman" w:cs="Times New Roman"/>
          <w:i/>
          <w:iCs/>
        </w:rPr>
        <w:t xml:space="preserve">The World Bank, </w:t>
      </w:r>
      <w:r w:rsidR="00D5520F" w:rsidRPr="00D5520F">
        <w:rPr>
          <w:rFonts w:ascii="Times New Roman" w:hAnsi="Times New Roman" w:cs="Times New Roman"/>
          <w:i/>
          <w:iCs/>
        </w:rPr>
        <w:t>World Development Indicators</w:t>
      </w:r>
    </w:p>
    <w:p w14:paraId="31094DA1" w14:textId="06C7A1AD" w:rsidR="00665783" w:rsidRPr="00665783" w:rsidRDefault="006D4AF7" w:rsidP="00167101">
      <w:pPr>
        <w:jc w:val="both"/>
        <w:rPr>
          <w:rFonts w:ascii="Times New Roman" w:hAnsi="Times New Roman" w:cs="Times New Roman"/>
          <w:sz w:val="24"/>
          <w:szCs w:val="24"/>
        </w:rPr>
      </w:pPr>
      <w:r>
        <w:rPr>
          <w:rFonts w:ascii="Times New Roman" w:hAnsi="Times New Roman" w:cs="Times New Roman"/>
          <w:sz w:val="24"/>
          <w:szCs w:val="24"/>
        </w:rPr>
        <w:t xml:space="preserve">One surprising thing about government spending is that wealthier countries </w:t>
      </w:r>
      <w:proofErr w:type="gramStart"/>
      <w:r>
        <w:rPr>
          <w:rFonts w:ascii="Times New Roman" w:hAnsi="Times New Roman" w:cs="Times New Roman"/>
          <w:sz w:val="24"/>
          <w:szCs w:val="24"/>
        </w:rPr>
        <w:t>actually spend</w:t>
      </w:r>
      <w:proofErr w:type="gramEnd"/>
      <w:r>
        <w:rPr>
          <w:rFonts w:ascii="Times New Roman" w:hAnsi="Times New Roman" w:cs="Times New Roman"/>
          <w:sz w:val="24"/>
          <w:szCs w:val="24"/>
        </w:rPr>
        <w:t xml:space="preserve"> more-around 40 percent of GDP on average. For upper-and</w:t>
      </w:r>
      <w:r w:rsidR="003B5E81">
        <w:rPr>
          <w:rFonts w:ascii="Times New Roman" w:hAnsi="Times New Roman" w:cs="Times New Roman"/>
          <w:sz w:val="24"/>
          <w:szCs w:val="24"/>
        </w:rPr>
        <w:t xml:space="preserve"> lower-middle-income countries, it’s about 30 percent and for low-income countries, it’s just 20 percent. It is often assumed that developing countries rely more on government intervention, while developed countries are driven by the private sector. However, this assumption does not hold true. </w:t>
      </w:r>
      <w:r w:rsidR="004F3B84">
        <w:rPr>
          <w:rFonts w:ascii="Times New Roman" w:hAnsi="Times New Roman" w:cs="Times New Roman"/>
          <w:sz w:val="24"/>
          <w:szCs w:val="24"/>
        </w:rPr>
        <w:t xml:space="preserve">When it comes to private investment, the pattern is different. Lower-middle-income countries sometimes invest more privately </w:t>
      </w:r>
      <w:r w:rsidR="00523CF1">
        <w:rPr>
          <w:rFonts w:ascii="Times New Roman" w:hAnsi="Times New Roman" w:cs="Times New Roman"/>
          <w:sz w:val="24"/>
          <w:szCs w:val="24"/>
        </w:rPr>
        <w:t>than high-income countries</w:t>
      </w:r>
      <w:r w:rsidR="00A518EB">
        <w:rPr>
          <w:rFonts w:ascii="Times New Roman" w:hAnsi="Times New Roman" w:cs="Times New Roman"/>
          <w:sz w:val="24"/>
          <w:szCs w:val="24"/>
        </w:rPr>
        <w:t xml:space="preserve">. But one clear trend is that high-income countries have stable investment levels, while lower-income </w:t>
      </w:r>
      <w:r w:rsidR="003D0F15">
        <w:rPr>
          <w:rFonts w:ascii="Times New Roman" w:hAnsi="Times New Roman" w:cs="Times New Roman"/>
          <w:sz w:val="24"/>
          <w:szCs w:val="24"/>
        </w:rPr>
        <w:t xml:space="preserve">countries show a lot more ups and downs over time. </w:t>
      </w:r>
    </w:p>
    <w:p w14:paraId="4ACF05D5" w14:textId="73AA5089" w:rsidR="00665783" w:rsidRDefault="00665783" w:rsidP="00665783">
      <w:pPr>
        <w:pStyle w:val="Caption"/>
        <w:rPr>
          <w:rFonts w:cs="Times New Roman"/>
          <w:sz w:val="24"/>
          <w:szCs w:val="24"/>
        </w:rPr>
      </w:pPr>
      <w:r>
        <w:t xml:space="preserve">Figure </w:t>
      </w:r>
      <w:r>
        <w:fldChar w:fldCharType="begin"/>
      </w:r>
      <w:r>
        <w:instrText xml:space="preserve"> SEQ Figure \* ARABIC </w:instrText>
      </w:r>
      <w:r>
        <w:fldChar w:fldCharType="separate"/>
      </w:r>
      <w:r w:rsidR="00D228CC">
        <w:rPr>
          <w:noProof/>
        </w:rPr>
        <w:t>1</w:t>
      </w:r>
      <w:r>
        <w:fldChar w:fldCharType="end"/>
      </w:r>
      <w:r>
        <w:t>. Private investment and Government expenditure (% of GDP)</w:t>
      </w:r>
    </w:p>
    <w:p w14:paraId="031F9D57" w14:textId="77777777" w:rsidR="00665783" w:rsidRDefault="00665783" w:rsidP="0066578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22276" wp14:editId="7EB3BEA3">
            <wp:extent cx="5936615" cy="1828800"/>
            <wp:effectExtent l="0" t="0" r="6985" b="0"/>
            <wp:docPr id="133503985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39856" name="Picture 1" descr="A graph of different colore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1828800"/>
                    </a:xfrm>
                    <a:prstGeom prst="rect">
                      <a:avLst/>
                    </a:prstGeom>
                    <a:noFill/>
                    <a:ln>
                      <a:noFill/>
                    </a:ln>
                  </pic:spPr>
                </pic:pic>
              </a:graphicData>
            </a:graphic>
          </wp:inline>
        </w:drawing>
      </w:r>
    </w:p>
    <w:p w14:paraId="6EE3C7BA" w14:textId="77777777" w:rsidR="00665783" w:rsidRPr="00D5520F" w:rsidRDefault="00665783" w:rsidP="00665783">
      <w:pPr>
        <w:jc w:val="right"/>
        <w:rPr>
          <w:rFonts w:ascii="Times New Roman" w:hAnsi="Times New Roman" w:cs="Times New Roman"/>
          <w:i/>
          <w:iCs/>
        </w:rPr>
      </w:pPr>
      <w:r w:rsidRPr="00D5520F">
        <w:rPr>
          <w:rFonts w:ascii="Times New Roman" w:hAnsi="Times New Roman" w:cs="Times New Roman"/>
          <w:i/>
          <w:iCs/>
        </w:rPr>
        <w:t xml:space="preserve">Source: </w:t>
      </w:r>
      <w:r>
        <w:rPr>
          <w:rFonts w:ascii="Times New Roman" w:hAnsi="Times New Roman" w:cs="Times New Roman"/>
          <w:i/>
          <w:iCs/>
        </w:rPr>
        <w:t xml:space="preserve">IMF, </w:t>
      </w:r>
      <w:r w:rsidRPr="00D5520F">
        <w:rPr>
          <w:rFonts w:ascii="Times New Roman" w:hAnsi="Times New Roman" w:cs="Times New Roman"/>
          <w:i/>
          <w:iCs/>
        </w:rPr>
        <w:t>The World Bank, World Development Indicators</w:t>
      </w:r>
    </w:p>
    <w:p w14:paraId="5E785E85" w14:textId="77777777" w:rsidR="00665783" w:rsidRPr="00D5520F" w:rsidRDefault="00665783" w:rsidP="00665783">
      <w:pPr>
        <w:rPr>
          <w:rFonts w:ascii="Times New Roman" w:hAnsi="Times New Roman" w:cs="Times New Roman"/>
          <w:i/>
          <w:iCs/>
        </w:rPr>
      </w:pPr>
    </w:p>
    <w:p w14:paraId="50D3EC79" w14:textId="5E6E4DC4" w:rsidR="000E1FB5" w:rsidRPr="00421CFC" w:rsidRDefault="000E1FB5" w:rsidP="00421CFC">
      <w:pPr>
        <w:pStyle w:val="Heading1"/>
        <w:numPr>
          <w:ilvl w:val="0"/>
          <w:numId w:val="1"/>
        </w:numPr>
      </w:pPr>
      <w:r w:rsidRPr="00C82E55">
        <w:lastRenderedPageBreak/>
        <w:t xml:space="preserve">Model </w:t>
      </w:r>
    </w:p>
    <w:p w14:paraId="41D030D2" w14:textId="621C30AF" w:rsidR="00602F3D" w:rsidRDefault="00421CFC" w:rsidP="00421CFC">
      <w:pPr>
        <w:jc w:val="both"/>
        <w:rPr>
          <w:rFonts w:ascii="Times New Roman" w:hAnsi="Times New Roman" w:cs="Times New Roman"/>
          <w:sz w:val="24"/>
          <w:szCs w:val="24"/>
        </w:rPr>
      </w:pPr>
      <w:r>
        <w:rPr>
          <w:rFonts w:ascii="Times New Roman" w:hAnsi="Times New Roman" w:cs="Times New Roman"/>
          <w:sz w:val="24"/>
          <w:szCs w:val="24"/>
        </w:rPr>
        <w:t>The analysis uses a fixed effects panel regression, which is robust and less sensitive to unbalanced data compared to the first-difference model. The model is specified as</w:t>
      </w:r>
      <w:r w:rsidR="006446F8">
        <w:rPr>
          <w:rFonts w:ascii="Times New Roman" w:hAnsi="Times New Roman" w:cs="Times New Roman"/>
          <w:sz w:val="24"/>
          <w:szCs w:val="24"/>
        </w:rPr>
        <w:t>:</w:t>
      </w:r>
      <w:r>
        <w:rPr>
          <w:rFonts w:ascii="Times New Roman" w:hAnsi="Times New Roman" w:cs="Times New Roman"/>
          <w:sz w:val="24"/>
          <w:szCs w:val="24"/>
        </w:rPr>
        <w:t xml:space="preserve"> </w:t>
      </w:r>
    </w:p>
    <w:p w14:paraId="3D8D5865" w14:textId="204ED668" w:rsidR="00DD0FBC" w:rsidRPr="00DD0FBC" w:rsidRDefault="00DD0FBC" w:rsidP="00DD0FBC">
      <w:pPr>
        <w:jc w:val="both"/>
        <w:rPr>
          <w:rFonts w:ascii="Times New Roman" w:hAnsi="Times New Roman" w:cs="Times New Roman"/>
          <w:sz w:val="24"/>
          <w:szCs w:val="24"/>
        </w:rPr>
      </w:pPr>
      <m:oMathPara>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 go</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+grwt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+ope</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m:rPr>
                  <m:sty m:val="p"/>
                </m:rPr>
                <w:rPr>
                  <w:rFonts w:ascii="Cambria Math" w:hAnsi="Cambria Math" w:cs="Times New Roman"/>
                  <w:sz w:val="24"/>
                  <w:szCs w:val="24"/>
                </w:rPr>
                <m:t>it</m:t>
              </m:r>
            </m:sub>
          </m:sSub>
          <m:r>
            <w:rPr>
              <w:rFonts w:ascii="Cambria Math" w:hAnsi="Cambria Math" w:cs="Times New Roman"/>
              <w:sz w:val="24"/>
              <w:szCs w:val="24"/>
            </w:rPr>
            <m:t>+lexc</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r>
            <w:rPr>
              <w:rFonts w:ascii="Cambria Math" w:hAnsi="Cambria Math" w:cs="Times New Roman"/>
              <w:sz w:val="24"/>
              <w:szCs w:val="24"/>
            </w:rPr>
            <m:t xml:space="preserve"> </m:t>
          </m:r>
        </m:oMath>
      </m:oMathPara>
    </w:p>
    <w:p w14:paraId="7284F487" w14:textId="4810E451" w:rsidR="00DD0FBC" w:rsidRPr="00DD0FBC" w:rsidRDefault="00DD0FBC" w:rsidP="00DD0FBC">
      <w:pPr>
        <w:jc w:val="both"/>
        <w:rPr>
          <w:rFonts w:ascii="Times New Roman" w:hAnsi="Times New Roman" w:cs="Times New Roman"/>
          <w:sz w:val="24"/>
          <w:szCs w:val="24"/>
        </w:rPr>
      </w:pPr>
      <w:r w:rsidRPr="00DD0FBC">
        <w:rPr>
          <w:rFonts w:ascii="Times New Roman" w:hAnsi="Times New Roman" w:cs="Times New Roman"/>
          <w:sz w:val="24"/>
          <w:szCs w:val="24"/>
        </w:rPr>
        <w:t xml:space="preserve">Where, </w:t>
      </w: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sidRPr="00DD0FBC">
        <w:rPr>
          <w:rFonts w:ascii="Times New Roman" w:hAnsi="Times New Roman" w:cs="Times New Roman"/>
          <w:sz w:val="24"/>
          <w:szCs w:val="24"/>
        </w:rPr>
        <w:t xml:space="preserve"> – private investment (GFCF, % of GDP), </w:t>
      </w:r>
      <m:oMath>
        <m:r>
          <w:rPr>
            <w:rFonts w:ascii="Cambria Math" w:hAnsi="Cambria Math" w:cs="Times New Roman"/>
            <w:sz w:val="24"/>
            <w:szCs w:val="24"/>
          </w:rPr>
          <m:t>go</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sidRPr="00DD0FBC">
        <w:rPr>
          <w:rFonts w:ascii="Times New Roman" w:hAnsi="Times New Roman" w:cs="Times New Roman"/>
          <w:sz w:val="24"/>
          <w:szCs w:val="24"/>
        </w:rPr>
        <w:t xml:space="preserve"> – government expenditure (% of GDP), </w:t>
      </w:r>
      <m:oMath>
        <m:r>
          <w:rPr>
            <w:rFonts w:ascii="Cambria Math" w:hAnsi="Cambria Math" w:cs="Times New Roman"/>
            <w:sz w:val="24"/>
            <w:szCs w:val="24"/>
          </w:rPr>
          <m:t>open</m:t>
        </m:r>
      </m:oMath>
      <w:r w:rsidRPr="00DD0FBC">
        <w:rPr>
          <w:rFonts w:ascii="Times New Roman" w:hAnsi="Times New Roman" w:cs="Times New Roman"/>
          <w:sz w:val="24"/>
          <w:szCs w:val="24"/>
        </w:rPr>
        <w:t xml:space="preserve"> – sum of export and import (% of GDP),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inf</m:t>
            </m:r>
            <m:ctrlPr>
              <w:rPr>
                <w:rFonts w:ascii="Cambria Math" w:hAnsi="Cambria Math" w:cs="Times New Roman"/>
                <w:sz w:val="24"/>
                <w:szCs w:val="24"/>
              </w:rPr>
            </m:ctrlPr>
          </m:e>
          <m:sub>
            <m:r>
              <w:rPr>
                <w:rFonts w:ascii="Cambria Math" w:hAnsi="Cambria Math" w:cs="Times New Roman"/>
                <w:sz w:val="24"/>
                <w:szCs w:val="24"/>
              </w:rPr>
              <m:t>it</m:t>
            </m:r>
          </m:sub>
        </m:sSub>
      </m:oMath>
      <w:r w:rsidRPr="00DD0FBC">
        <w:rPr>
          <w:rFonts w:ascii="Times New Roman" w:hAnsi="Times New Roman" w:cs="Times New Roman"/>
          <w:sz w:val="24"/>
          <w:szCs w:val="24"/>
        </w:rPr>
        <w:t xml:space="preserve"> – inflation </w:t>
      </w:r>
      <w:r w:rsidR="003D0BB8">
        <w:rPr>
          <w:rFonts w:ascii="Times New Roman" w:hAnsi="Times New Roman" w:cs="Times New Roman"/>
          <w:sz w:val="24"/>
          <w:szCs w:val="24"/>
        </w:rPr>
        <w:t>(change in CPI)</w:t>
      </w:r>
      <w:r w:rsidRPr="00DD0FBC">
        <w:rPr>
          <w:rFonts w:ascii="Times New Roman" w:hAnsi="Times New Roman" w:cs="Times New Roman"/>
          <w:sz w:val="24"/>
          <w:szCs w:val="24"/>
        </w:rPr>
        <w:t xml:space="preserve">, and </w:t>
      </w:r>
      <m:oMath>
        <m:r>
          <w:rPr>
            <w:rFonts w:ascii="Cambria Math" w:hAnsi="Cambria Math" w:cs="Times New Roman"/>
            <w:sz w:val="24"/>
            <w:szCs w:val="24"/>
          </w:rPr>
          <m:t>lexc</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DD0FBC">
        <w:rPr>
          <w:rFonts w:ascii="Times New Roman" w:hAnsi="Times New Roman" w:cs="Times New Roman"/>
          <w:sz w:val="24"/>
          <w:szCs w:val="24"/>
        </w:rPr>
        <w:t xml:space="preserve"> – log of exchange rate (against</w:t>
      </w:r>
      <w:r w:rsidR="00DE6DBC">
        <w:rPr>
          <w:rFonts w:ascii="Times New Roman" w:hAnsi="Times New Roman" w:cs="Times New Roman"/>
          <w:sz w:val="24"/>
          <w:szCs w:val="24"/>
        </w:rPr>
        <w:t xml:space="preserve"> USD</w:t>
      </w:r>
      <w:r w:rsidRPr="00DD0FBC">
        <w:rPr>
          <w:rFonts w:ascii="Times New Roman" w:hAnsi="Times New Roman" w:cs="Times New Roman"/>
          <w:sz w:val="24"/>
          <w:szCs w:val="24"/>
        </w:rPr>
        <w:t xml:space="preserve">), and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sidRPr="00DD0FBC">
        <w:rPr>
          <w:rFonts w:ascii="Times New Roman" w:hAnsi="Times New Roman" w:cs="Times New Roman"/>
          <w:sz w:val="24"/>
          <w:szCs w:val="24"/>
        </w:rPr>
        <w:t xml:space="preserve"> – year and country fixed effects. </w:t>
      </w:r>
    </w:p>
    <w:p w14:paraId="4937304E" w14:textId="5396E254" w:rsidR="00421CFC" w:rsidRDefault="0019408B" w:rsidP="00421CFC">
      <w:pPr>
        <w:jc w:val="both"/>
        <w:rPr>
          <w:rFonts w:ascii="Times New Roman" w:hAnsi="Times New Roman" w:cs="Times New Roman"/>
          <w:sz w:val="24"/>
          <w:szCs w:val="24"/>
        </w:rPr>
      </w:pPr>
      <w:r>
        <w:rPr>
          <w:rFonts w:ascii="Times New Roman" w:hAnsi="Times New Roman" w:cs="Times New Roman"/>
          <w:sz w:val="24"/>
          <w:szCs w:val="24"/>
        </w:rPr>
        <w:t>When trade barriers are lower, firms gain an advantage in the export sector, which increases investment leverage. Conversely, higher import possibilities</w:t>
      </w:r>
      <w:r w:rsidR="00DA41D1">
        <w:rPr>
          <w:rFonts w:ascii="Times New Roman" w:hAnsi="Times New Roman" w:cs="Times New Roman"/>
          <w:sz w:val="24"/>
          <w:szCs w:val="24"/>
        </w:rPr>
        <w:t xml:space="preserve"> – </w:t>
      </w:r>
      <w:r>
        <w:rPr>
          <w:rFonts w:ascii="Times New Roman" w:hAnsi="Times New Roman" w:cs="Times New Roman"/>
          <w:sz w:val="24"/>
          <w:szCs w:val="24"/>
        </w:rPr>
        <w:t>though</w:t>
      </w:r>
      <w:r w:rsidR="00DA41D1">
        <w:rPr>
          <w:rFonts w:ascii="Times New Roman" w:hAnsi="Times New Roman" w:cs="Times New Roman"/>
          <w:sz w:val="24"/>
          <w:szCs w:val="24"/>
        </w:rPr>
        <w:t xml:space="preserve"> the use of production inputs from abroad – can enhance domestic </w:t>
      </w:r>
      <w:r w:rsidR="00696045">
        <w:rPr>
          <w:rFonts w:ascii="Times New Roman" w:hAnsi="Times New Roman" w:cs="Times New Roman"/>
          <w:sz w:val="24"/>
          <w:szCs w:val="24"/>
        </w:rPr>
        <w:t>competitiveness. However, if domestic producers can compete with foreign producers, capital</w:t>
      </w:r>
      <w:r w:rsidR="00475189">
        <w:rPr>
          <w:rFonts w:ascii="Times New Roman" w:hAnsi="Times New Roman" w:cs="Times New Roman"/>
          <w:sz w:val="24"/>
          <w:szCs w:val="24"/>
        </w:rPr>
        <w:t xml:space="preserve"> outflow might happen</w:t>
      </w:r>
      <w:r w:rsidR="00696045">
        <w:rPr>
          <w:rFonts w:ascii="Times New Roman" w:hAnsi="Times New Roman" w:cs="Times New Roman"/>
          <w:sz w:val="24"/>
          <w:szCs w:val="24"/>
        </w:rPr>
        <w:t>.</w:t>
      </w:r>
      <w:r>
        <w:rPr>
          <w:rFonts w:ascii="Times New Roman" w:hAnsi="Times New Roman" w:cs="Times New Roman"/>
          <w:sz w:val="24"/>
          <w:szCs w:val="24"/>
        </w:rPr>
        <w:t xml:space="preserve"> </w:t>
      </w:r>
    </w:p>
    <w:p w14:paraId="7D9C1A06" w14:textId="18FDA497" w:rsidR="00665783" w:rsidRDefault="00475189" w:rsidP="00E772F7">
      <w:pPr>
        <w:jc w:val="both"/>
        <w:rPr>
          <w:rFonts w:ascii="Times New Roman" w:hAnsi="Times New Roman" w:cs="Times New Roman"/>
          <w:sz w:val="24"/>
          <w:szCs w:val="24"/>
        </w:rPr>
      </w:pPr>
      <w:r>
        <w:rPr>
          <w:rFonts w:ascii="Times New Roman" w:hAnsi="Times New Roman" w:cs="Times New Roman"/>
          <w:sz w:val="24"/>
          <w:szCs w:val="24"/>
        </w:rPr>
        <w:t>Research on the relationship between private investment and government expenditure often uses inflation and exchange rates as indicators of economic instability and external shocks, as these factors can significantly influence investment decisions.</w:t>
      </w:r>
    </w:p>
    <w:p w14:paraId="1117BEB6" w14:textId="711976CF" w:rsidR="000E1FB5" w:rsidRPr="00C82E55" w:rsidRDefault="000E1FB5" w:rsidP="00C82E55">
      <w:pPr>
        <w:pStyle w:val="Heading1"/>
        <w:numPr>
          <w:ilvl w:val="0"/>
          <w:numId w:val="1"/>
        </w:numPr>
      </w:pPr>
      <w:r w:rsidRPr="00C82E55">
        <w:t xml:space="preserve">Result </w:t>
      </w:r>
    </w:p>
    <w:p w14:paraId="04FE290B" w14:textId="70FBFCCF" w:rsidR="00192AB9" w:rsidRDefault="00192AB9" w:rsidP="00BE36F2">
      <w:pPr>
        <w:jc w:val="both"/>
        <w:rPr>
          <w:rFonts w:ascii="Times New Roman" w:hAnsi="Times New Roman" w:cs="Times New Roman"/>
          <w:sz w:val="24"/>
          <w:szCs w:val="24"/>
        </w:rPr>
      </w:pPr>
      <w:r w:rsidRPr="00192AB9">
        <w:rPr>
          <w:rFonts w:ascii="Times New Roman" w:hAnsi="Times New Roman" w:cs="Times New Roman"/>
          <w:sz w:val="24"/>
          <w:szCs w:val="24"/>
        </w:rPr>
        <w:t xml:space="preserve">The regression results are summarized in </w:t>
      </w:r>
      <w:r w:rsidRPr="00EE619D">
        <w:rPr>
          <w:rFonts w:ascii="Times New Roman" w:hAnsi="Times New Roman" w:cs="Times New Roman"/>
          <w:sz w:val="24"/>
          <w:szCs w:val="24"/>
        </w:rPr>
        <w:fldChar w:fldCharType="begin"/>
      </w:r>
      <w:r w:rsidRPr="00EE619D">
        <w:rPr>
          <w:rFonts w:ascii="Times New Roman" w:hAnsi="Times New Roman" w:cs="Times New Roman"/>
          <w:sz w:val="24"/>
          <w:szCs w:val="24"/>
        </w:rPr>
        <w:instrText xml:space="preserve"> REF _Ref191650267 \h </w:instrText>
      </w:r>
      <w:r w:rsidRPr="00EE619D">
        <w:rPr>
          <w:rFonts w:ascii="Times New Roman" w:hAnsi="Times New Roman" w:cs="Times New Roman"/>
          <w:sz w:val="24"/>
          <w:szCs w:val="24"/>
        </w:rPr>
      </w:r>
      <w:r w:rsidRPr="00EE619D">
        <w:rPr>
          <w:rFonts w:ascii="Times New Roman" w:hAnsi="Times New Roman" w:cs="Times New Roman"/>
          <w:sz w:val="24"/>
          <w:szCs w:val="24"/>
        </w:rPr>
        <w:instrText xml:space="preserve"> \* MERGEFORMAT </w:instrText>
      </w:r>
      <w:r w:rsidRPr="00EE619D">
        <w:rPr>
          <w:rFonts w:ascii="Times New Roman" w:hAnsi="Times New Roman" w:cs="Times New Roman"/>
          <w:sz w:val="24"/>
          <w:szCs w:val="24"/>
        </w:rPr>
        <w:fldChar w:fldCharType="separate"/>
      </w:r>
      <w:r w:rsidR="00D228CC" w:rsidRPr="00D228CC">
        <w:rPr>
          <w:rFonts w:ascii="Times New Roman" w:hAnsi="Times New Roman" w:cs="Times New Roman"/>
          <w:sz w:val="24"/>
          <w:szCs w:val="24"/>
        </w:rPr>
        <w:t xml:space="preserve">Table </w:t>
      </w:r>
      <w:r w:rsidR="00D228CC" w:rsidRPr="00D228CC">
        <w:rPr>
          <w:rFonts w:ascii="Times New Roman" w:hAnsi="Times New Roman" w:cs="Times New Roman"/>
          <w:noProof/>
          <w:sz w:val="24"/>
          <w:szCs w:val="24"/>
        </w:rPr>
        <w:t>2</w:t>
      </w:r>
      <w:r w:rsidRPr="00EE619D">
        <w:rPr>
          <w:rFonts w:ascii="Times New Roman" w:hAnsi="Times New Roman" w:cs="Times New Roman"/>
          <w:sz w:val="24"/>
          <w:szCs w:val="24"/>
        </w:rPr>
        <w:fldChar w:fldCharType="end"/>
      </w:r>
      <w:r w:rsidRPr="00192AB9">
        <w:rPr>
          <w:rFonts w:ascii="Times New Roman" w:hAnsi="Times New Roman" w:cs="Times New Roman"/>
          <w:sz w:val="24"/>
          <w:szCs w:val="24"/>
        </w:rPr>
        <w:t>, where three different models are estimated to ensure robustness by</w:t>
      </w:r>
      <w:r>
        <w:rPr>
          <w:rFonts w:ascii="Times New Roman" w:hAnsi="Times New Roman" w:cs="Times New Roman"/>
          <w:sz w:val="24"/>
          <w:szCs w:val="24"/>
        </w:rPr>
        <w:t xml:space="preserve"> </w:t>
      </w:r>
      <w:r w:rsidRPr="00192AB9">
        <w:rPr>
          <w:rFonts w:ascii="Times New Roman" w:hAnsi="Times New Roman" w:cs="Times New Roman"/>
          <w:sz w:val="24"/>
          <w:szCs w:val="24"/>
        </w:rPr>
        <w:t xml:space="preserve">adding variables to the regression for the full dataset (covering both developed and developing countries). Across all models, the regression coefficients remain stable, confirming the model's robustness. The main model for the full dataset is the third regression in </w:t>
      </w:r>
      <w:r w:rsidRPr="00EE619D">
        <w:rPr>
          <w:rFonts w:ascii="Times New Roman" w:hAnsi="Times New Roman" w:cs="Times New Roman"/>
          <w:sz w:val="24"/>
          <w:szCs w:val="24"/>
        </w:rPr>
        <w:fldChar w:fldCharType="begin"/>
      </w:r>
      <w:r w:rsidRPr="00EE619D">
        <w:rPr>
          <w:rFonts w:ascii="Times New Roman" w:hAnsi="Times New Roman" w:cs="Times New Roman"/>
          <w:sz w:val="24"/>
          <w:szCs w:val="24"/>
        </w:rPr>
        <w:instrText xml:space="preserve"> REF _Ref191650267 \h </w:instrText>
      </w:r>
      <w:r w:rsidRPr="00EE619D">
        <w:rPr>
          <w:rFonts w:ascii="Times New Roman" w:hAnsi="Times New Roman" w:cs="Times New Roman"/>
          <w:sz w:val="24"/>
          <w:szCs w:val="24"/>
        </w:rPr>
      </w:r>
      <w:r w:rsidRPr="00EE619D">
        <w:rPr>
          <w:rFonts w:ascii="Times New Roman" w:hAnsi="Times New Roman" w:cs="Times New Roman"/>
          <w:sz w:val="24"/>
          <w:szCs w:val="24"/>
        </w:rPr>
        <w:instrText xml:space="preserve"> \* MERGEFORMAT </w:instrText>
      </w:r>
      <w:r w:rsidRPr="00EE619D">
        <w:rPr>
          <w:rFonts w:ascii="Times New Roman" w:hAnsi="Times New Roman" w:cs="Times New Roman"/>
          <w:sz w:val="24"/>
          <w:szCs w:val="24"/>
        </w:rPr>
        <w:fldChar w:fldCharType="separate"/>
      </w:r>
      <w:r w:rsidR="00D228CC" w:rsidRPr="00D228CC">
        <w:rPr>
          <w:rFonts w:ascii="Times New Roman" w:hAnsi="Times New Roman" w:cs="Times New Roman"/>
          <w:sz w:val="24"/>
          <w:szCs w:val="24"/>
        </w:rPr>
        <w:t xml:space="preserve">Table </w:t>
      </w:r>
      <w:r w:rsidR="00D228CC" w:rsidRPr="00D228CC">
        <w:rPr>
          <w:rFonts w:ascii="Times New Roman" w:hAnsi="Times New Roman" w:cs="Times New Roman"/>
          <w:noProof/>
          <w:sz w:val="24"/>
          <w:szCs w:val="24"/>
        </w:rPr>
        <w:t>2</w:t>
      </w:r>
      <w:r w:rsidRPr="00EE619D">
        <w:rPr>
          <w:rFonts w:ascii="Times New Roman" w:hAnsi="Times New Roman" w:cs="Times New Roman"/>
          <w:sz w:val="24"/>
          <w:szCs w:val="24"/>
        </w:rPr>
        <w:fldChar w:fldCharType="end"/>
      </w:r>
      <w:r w:rsidRPr="00192AB9">
        <w:rPr>
          <w:rFonts w:ascii="Times New Roman" w:hAnsi="Times New Roman" w:cs="Times New Roman"/>
          <w:sz w:val="24"/>
          <w:szCs w:val="24"/>
        </w:rPr>
        <w:t>.</w:t>
      </w:r>
    </w:p>
    <w:p w14:paraId="0B29E8D3" w14:textId="0755814D" w:rsidR="00097DCB" w:rsidRDefault="003E5179" w:rsidP="004A3249">
      <w:pPr>
        <w:jc w:val="both"/>
        <w:rPr>
          <w:rFonts w:ascii="Times New Roman" w:hAnsi="Times New Roman" w:cs="Times New Roman"/>
          <w:sz w:val="24"/>
          <w:szCs w:val="24"/>
        </w:rPr>
      </w:pPr>
      <w:r>
        <w:rPr>
          <w:rFonts w:ascii="Times New Roman" w:hAnsi="Times New Roman" w:cs="Times New Roman"/>
          <w:sz w:val="24"/>
          <w:szCs w:val="24"/>
        </w:rPr>
        <w:t xml:space="preserve">The findings indicate that government expenditure does not crowd out private investment; instead, it has a crowd-in effect. </w:t>
      </w:r>
      <w:r w:rsidR="005F7272">
        <w:rPr>
          <w:rFonts w:ascii="Times New Roman" w:hAnsi="Times New Roman" w:cs="Times New Roman"/>
          <w:sz w:val="24"/>
          <w:szCs w:val="24"/>
        </w:rPr>
        <w:t xml:space="preserve">On average, compared to its </w:t>
      </w:r>
      <w:proofErr w:type="gramStart"/>
      <w:r w:rsidR="005F7272">
        <w:rPr>
          <w:rFonts w:ascii="Times New Roman" w:hAnsi="Times New Roman" w:cs="Times New Roman"/>
          <w:sz w:val="24"/>
          <w:szCs w:val="24"/>
        </w:rPr>
        <w:t>mean</w:t>
      </w:r>
      <w:proofErr w:type="gramEnd"/>
      <w:r w:rsidR="005F7272">
        <w:rPr>
          <w:rFonts w:ascii="Times New Roman" w:hAnsi="Times New Roman" w:cs="Times New Roman"/>
          <w:sz w:val="24"/>
          <w:szCs w:val="24"/>
        </w:rPr>
        <w:t xml:space="preserve"> </w:t>
      </w:r>
      <w:r w:rsidR="00E207FC">
        <w:rPr>
          <w:rFonts w:ascii="Times New Roman" w:hAnsi="Times New Roman" w:cs="Times New Roman"/>
          <w:sz w:val="24"/>
          <w:szCs w:val="24"/>
        </w:rPr>
        <w:t xml:space="preserve">within year and country, </w:t>
      </w:r>
      <w:r w:rsidR="004A3249">
        <w:rPr>
          <w:rFonts w:ascii="Times New Roman" w:hAnsi="Times New Roman" w:cs="Times New Roman"/>
          <w:sz w:val="24"/>
          <w:szCs w:val="24"/>
        </w:rPr>
        <w:t xml:space="preserve">private investment </w:t>
      </w:r>
      <w:r w:rsidR="00BA5A0E">
        <w:rPr>
          <w:rFonts w:ascii="Times New Roman" w:hAnsi="Times New Roman" w:cs="Times New Roman"/>
          <w:sz w:val="24"/>
          <w:szCs w:val="24"/>
        </w:rPr>
        <w:t>(</w:t>
      </w:r>
      <w:r w:rsidR="004A3249">
        <w:rPr>
          <w:rFonts w:ascii="Times New Roman" w:hAnsi="Times New Roman" w:cs="Times New Roman"/>
          <w:sz w:val="24"/>
          <w:szCs w:val="24"/>
        </w:rPr>
        <w:t>as a share of GDP</w:t>
      </w:r>
      <w:r w:rsidR="00BA5A0E">
        <w:rPr>
          <w:rFonts w:ascii="Times New Roman" w:hAnsi="Times New Roman" w:cs="Times New Roman"/>
          <w:sz w:val="24"/>
          <w:szCs w:val="24"/>
        </w:rPr>
        <w:t>)</w:t>
      </w:r>
      <w:r w:rsidR="004A3249">
        <w:rPr>
          <w:rFonts w:ascii="Times New Roman" w:hAnsi="Times New Roman" w:cs="Times New Roman"/>
          <w:sz w:val="24"/>
          <w:szCs w:val="24"/>
        </w:rPr>
        <w:t xml:space="preserve"> is expected to be </w:t>
      </w:r>
      <w:r w:rsidR="003C5E8A">
        <w:rPr>
          <w:rFonts w:ascii="Times New Roman" w:hAnsi="Times New Roman" w:cs="Times New Roman"/>
          <w:sz w:val="24"/>
          <w:szCs w:val="24"/>
        </w:rPr>
        <w:t xml:space="preserve">0.145 percentage points higher where and when government expenditure </w:t>
      </w:r>
      <w:r w:rsidR="00BA5A0E">
        <w:rPr>
          <w:rFonts w:ascii="Times New Roman" w:hAnsi="Times New Roman" w:cs="Times New Roman"/>
          <w:sz w:val="24"/>
          <w:szCs w:val="24"/>
        </w:rPr>
        <w:t>(</w:t>
      </w:r>
      <w:r w:rsidR="003C5E8A">
        <w:rPr>
          <w:rFonts w:ascii="Times New Roman" w:hAnsi="Times New Roman" w:cs="Times New Roman"/>
          <w:sz w:val="24"/>
          <w:szCs w:val="24"/>
        </w:rPr>
        <w:t>as a share of GDP</w:t>
      </w:r>
      <w:r w:rsidR="00BA5A0E">
        <w:rPr>
          <w:rFonts w:ascii="Times New Roman" w:hAnsi="Times New Roman" w:cs="Times New Roman"/>
          <w:sz w:val="24"/>
          <w:szCs w:val="24"/>
        </w:rPr>
        <w:t>)</w:t>
      </w:r>
      <w:r w:rsidR="003C5E8A">
        <w:rPr>
          <w:rFonts w:ascii="Times New Roman" w:hAnsi="Times New Roman" w:cs="Times New Roman"/>
          <w:sz w:val="24"/>
          <w:szCs w:val="24"/>
        </w:rPr>
        <w:t xml:space="preserve"> is higher by one percentage point </w:t>
      </w:r>
      <w:r w:rsidR="00F56181">
        <w:rPr>
          <w:rFonts w:ascii="Times New Roman" w:hAnsi="Times New Roman" w:cs="Times New Roman"/>
          <w:sz w:val="24"/>
          <w:szCs w:val="24"/>
        </w:rPr>
        <w:t>compared to its mean within country and year.</w:t>
      </w:r>
      <w:r w:rsidR="00570418">
        <w:rPr>
          <w:rFonts w:ascii="Times New Roman" w:hAnsi="Times New Roman" w:cs="Times New Roman"/>
          <w:sz w:val="24"/>
          <w:szCs w:val="24"/>
        </w:rPr>
        <w:t xml:space="preserve"> </w:t>
      </w:r>
      <w:r w:rsidR="00C7478C">
        <w:rPr>
          <w:rFonts w:ascii="Times New Roman" w:hAnsi="Times New Roman" w:cs="Times New Roman"/>
          <w:sz w:val="24"/>
          <w:szCs w:val="24"/>
        </w:rPr>
        <w:t xml:space="preserve">Among other variables, GDP growth (0.217) strongly boosts private investment, while exchange rate depreciation is correlated with higher investment. However, inflation and openness show no significant effects. </w:t>
      </w:r>
    </w:p>
    <w:p w14:paraId="2E7052E8" w14:textId="13D68129" w:rsidR="00C7478C" w:rsidRDefault="00C7478C" w:rsidP="004A3249">
      <w:pPr>
        <w:jc w:val="both"/>
        <w:rPr>
          <w:rFonts w:ascii="Times New Roman" w:hAnsi="Times New Roman" w:cs="Times New Roman"/>
          <w:sz w:val="24"/>
          <w:szCs w:val="24"/>
        </w:rPr>
      </w:pPr>
      <w:r>
        <w:rPr>
          <w:rFonts w:ascii="Times New Roman" w:hAnsi="Times New Roman" w:cs="Times New Roman"/>
          <w:sz w:val="24"/>
          <w:szCs w:val="24"/>
        </w:rPr>
        <w:t>The results differ significantly between developed and developing countries. In developing nations, government expenditure has a strong positive</w:t>
      </w:r>
      <w:r w:rsidR="000C7F7A">
        <w:rPr>
          <w:rFonts w:ascii="Times New Roman" w:hAnsi="Times New Roman" w:cs="Times New Roman"/>
          <w:sz w:val="24"/>
          <w:szCs w:val="24"/>
        </w:rPr>
        <w:t xml:space="preserve"> effect on private investment</w:t>
      </w:r>
      <w:r w:rsidR="00E32202">
        <w:rPr>
          <w:rFonts w:ascii="Times New Roman" w:hAnsi="Times New Roman" w:cs="Times New Roman"/>
          <w:sz w:val="24"/>
          <w:szCs w:val="24"/>
        </w:rPr>
        <w:t>s</w:t>
      </w:r>
      <w:r w:rsidR="003A2717">
        <w:rPr>
          <w:rFonts w:ascii="Times New Roman" w:hAnsi="Times New Roman" w:cs="Times New Roman"/>
          <w:sz w:val="24"/>
          <w:szCs w:val="24"/>
        </w:rPr>
        <w:t xml:space="preserve"> complementing private capital. In contrast, in developed countries, this relationship is insignificant, possibly due to market </w:t>
      </w:r>
      <w:r w:rsidR="00652902">
        <w:rPr>
          <w:rFonts w:ascii="Times New Roman" w:hAnsi="Times New Roman" w:cs="Times New Roman"/>
          <w:sz w:val="24"/>
          <w:szCs w:val="24"/>
        </w:rPr>
        <w:t>saturation or crowding-out effect. Simil</w:t>
      </w:r>
      <w:r w:rsidR="008263FA">
        <w:rPr>
          <w:rFonts w:ascii="Times New Roman" w:hAnsi="Times New Roman" w:cs="Times New Roman"/>
          <w:sz w:val="24"/>
          <w:szCs w:val="24"/>
        </w:rPr>
        <w:t>arly, GDP growth has a substantial impact on private investment in developing economies but is weak in developed ones, reflecting the greater sensitivity emerging markets to growth opportunities</w:t>
      </w:r>
      <w:r w:rsidR="00A22E92">
        <w:rPr>
          <w:rFonts w:ascii="Times New Roman" w:hAnsi="Times New Roman" w:cs="Times New Roman"/>
          <w:sz w:val="24"/>
          <w:szCs w:val="24"/>
        </w:rPr>
        <w:t xml:space="preserve">. Trade openness benefits developing economies while it has </w:t>
      </w:r>
      <w:r w:rsidR="007F4B31">
        <w:rPr>
          <w:rFonts w:ascii="Times New Roman" w:hAnsi="Times New Roman" w:cs="Times New Roman"/>
          <w:sz w:val="24"/>
          <w:szCs w:val="24"/>
        </w:rPr>
        <w:t xml:space="preserve">no significant effect </w:t>
      </w:r>
      <w:r w:rsidR="00471B55">
        <w:rPr>
          <w:rFonts w:ascii="Times New Roman" w:hAnsi="Times New Roman" w:cs="Times New Roman"/>
          <w:sz w:val="24"/>
          <w:szCs w:val="24"/>
        </w:rPr>
        <w:t xml:space="preserve">in developed countries, possibly </w:t>
      </w:r>
      <w:r w:rsidR="00471B55">
        <w:rPr>
          <w:rFonts w:ascii="Times New Roman" w:hAnsi="Times New Roman" w:cs="Times New Roman"/>
          <w:sz w:val="24"/>
          <w:szCs w:val="24"/>
        </w:rPr>
        <w:lastRenderedPageBreak/>
        <w:t xml:space="preserve">due to their already high levels of trade integration. Inflation </w:t>
      </w:r>
      <w:r w:rsidR="00556170">
        <w:rPr>
          <w:rFonts w:ascii="Times New Roman" w:hAnsi="Times New Roman" w:cs="Times New Roman"/>
          <w:sz w:val="24"/>
          <w:szCs w:val="24"/>
        </w:rPr>
        <w:t>shows an unexpected positive association with private investment in developed countries</w:t>
      </w:r>
      <w:r w:rsidR="00E2042C">
        <w:rPr>
          <w:rFonts w:ascii="Times New Roman" w:hAnsi="Times New Roman" w:cs="Times New Roman"/>
          <w:sz w:val="24"/>
          <w:szCs w:val="24"/>
        </w:rPr>
        <w:t xml:space="preserve"> while the impact of exchange rate fluctuations is unclear. </w:t>
      </w:r>
    </w:p>
    <w:p w14:paraId="358905F9" w14:textId="6F41CBCE" w:rsidR="00167C24" w:rsidRDefault="00167C24" w:rsidP="00167C24">
      <w:pPr>
        <w:pStyle w:val="Caption"/>
      </w:pPr>
      <w:bookmarkStart w:id="0" w:name="_Ref191650254"/>
      <w:bookmarkStart w:id="1" w:name="_Ref191650267"/>
      <w:r>
        <w:t xml:space="preserve">Table </w:t>
      </w:r>
      <w:fldSimple w:instr=" SEQ Table \* ARABIC ">
        <w:r w:rsidR="00D228CC">
          <w:rPr>
            <w:noProof/>
          </w:rPr>
          <w:t>2</w:t>
        </w:r>
      </w:fldSimple>
      <w:bookmarkEnd w:id="1"/>
      <w:r>
        <w:t>. Model result</w:t>
      </w:r>
      <w:bookmarkEnd w:id="0"/>
    </w:p>
    <w:tbl>
      <w:tblPr>
        <w:tblStyle w:val="PlainTable2"/>
        <w:tblW w:w="9814" w:type="dxa"/>
        <w:tblLook w:val="04A0" w:firstRow="1" w:lastRow="0" w:firstColumn="1" w:lastColumn="0" w:noHBand="0" w:noVBand="1"/>
      </w:tblPr>
      <w:tblGrid>
        <w:gridCol w:w="2448"/>
        <w:gridCol w:w="1473"/>
        <w:gridCol w:w="1473"/>
        <w:gridCol w:w="1473"/>
        <w:gridCol w:w="1473"/>
        <w:gridCol w:w="1474"/>
      </w:tblGrid>
      <w:tr w:rsidR="00167C24" w:rsidRPr="00DC5E88" w14:paraId="5A354B65" w14:textId="77777777" w:rsidTr="0006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6"/>
          </w:tcPr>
          <w:p w14:paraId="64B6F72C"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Dependent variable: Private investment (% of GDP)</w:t>
            </w:r>
          </w:p>
        </w:tc>
      </w:tr>
      <w:tr w:rsidR="00167C24" w:rsidRPr="00DC5E88" w14:paraId="7E9D9056"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99A378F" w14:textId="77777777" w:rsidR="00167C24" w:rsidRPr="00DC5E88" w:rsidRDefault="00167C24" w:rsidP="00062E42">
            <w:pPr>
              <w:rPr>
                <w:rFonts w:ascii="Times New Roman" w:hAnsi="Times New Roman" w:cs="Times New Roman"/>
                <w:b w:val="0"/>
                <w:bCs w:val="0"/>
              </w:rPr>
            </w:pPr>
          </w:p>
        </w:tc>
        <w:tc>
          <w:tcPr>
            <w:tcW w:w="1473" w:type="dxa"/>
            <w:vAlign w:val="center"/>
          </w:tcPr>
          <w:p w14:paraId="3C5248EF" w14:textId="77777777" w:rsidR="00167C24" w:rsidRPr="00DC5E88" w:rsidRDefault="00167C24" w:rsidP="00062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(1)</w:t>
            </w:r>
          </w:p>
        </w:tc>
        <w:tc>
          <w:tcPr>
            <w:tcW w:w="1473" w:type="dxa"/>
            <w:vAlign w:val="center"/>
          </w:tcPr>
          <w:p w14:paraId="3BC4C673" w14:textId="77777777" w:rsidR="00167C24" w:rsidRPr="00DC5E88" w:rsidRDefault="00167C24" w:rsidP="00062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(2)</w:t>
            </w:r>
          </w:p>
        </w:tc>
        <w:tc>
          <w:tcPr>
            <w:tcW w:w="1473" w:type="dxa"/>
            <w:vAlign w:val="center"/>
          </w:tcPr>
          <w:p w14:paraId="06FE0A83" w14:textId="77777777" w:rsidR="00167C24" w:rsidRPr="00DC5E88" w:rsidRDefault="00167C24" w:rsidP="00062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(3)</w:t>
            </w:r>
          </w:p>
        </w:tc>
        <w:tc>
          <w:tcPr>
            <w:tcW w:w="1473" w:type="dxa"/>
            <w:vAlign w:val="center"/>
          </w:tcPr>
          <w:p w14:paraId="5AE60A2C" w14:textId="77777777" w:rsidR="00167C24" w:rsidRPr="00DC5E88" w:rsidRDefault="00167C24" w:rsidP="00062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Developed countries</w:t>
            </w:r>
          </w:p>
        </w:tc>
        <w:tc>
          <w:tcPr>
            <w:tcW w:w="1474" w:type="dxa"/>
            <w:vAlign w:val="center"/>
          </w:tcPr>
          <w:p w14:paraId="462117DF" w14:textId="77777777" w:rsidR="00167C24" w:rsidRPr="00DC5E88" w:rsidRDefault="00167C24" w:rsidP="00062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Developing countries</w:t>
            </w:r>
          </w:p>
        </w:tc>
      </w:tr>
      <w:tr w:rsidR="00167C24" w:rsidRPr="00DC5E88" w14:paraId="58D927AF"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bottom w:val="nil"/>
            </w:tcBorders>
          </w:tcPr>
          <w:p w14:paraId="7DB73AA2"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Government expenditure</w:t>
            </w:r>
            <w:r>
              <w:rPr>
                <w:rFonts w:ascii="Times New Roman" w:hAnsi="Times New Roman" w:cs="Times New Roman"/>
                <w:b w:val="0"/>
                <w:bCs w:val="0"/>
              </w:rPr>
              <w:t xml:space="preserve"> </w:t>
            </w:r>
          </w:p>
        </w:tc>
        <w:tc>
          <w:tcPr>
            <w:tcW w:w="1473" w:type="dxa"/>
            <w:tcBorders>
              <w:bottom w:val="nil"/>
            </w:tcBorders>
          </w:tcPr>
          <w:p w14:paraId="795161BE"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0.145***</w:t>
            </w:r>
          </w:p>
        </w:tc>
        <w:tc>
          <w:tcPr>
            <w:tcW w:w="1473" w:type="dxa"/>
            <w:tcBorders>
              <w:bottom w:val="nil"/>
            </w:tcBorders>
          </w:tcPr>
          <w:p w14:paraId="421FB0D5"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0.159***</w:t>
            </w:r>
          </w:p>
        </w:tc>
        <w:tc>
          <w:tcPr>
            <w:tcW w:w="1473" w:type="dxa"/>
            <w:tcBorders>
              <w:bottom w:val="nil"/>
            </w:tcBorders>
          </w:tcPr>
          <w:p w14:paraId="54CFAA21"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0.150***</w:t>
            </w:r>
          </w:p>
        </w:tc>
        <w:tc>
          <w:tcPr>
            <w:tcW w:w="1473" w:type="dxa"/>
            <w:tcBorders>
              <w:bottom w:val="nil"/>
            </w:tcBorders>
          </w:tcPr>
          <w:p w14:paraId="3DBE8A28"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0.013</w:t>
            </w:r>
          </w:p>
        </w:tc>
        <w:tc>
          <w:tcPr>
            <w:tcW w:w="1474" w:type="dxa"/>
            <w:tcBorders>
              <w:bottom w:val="nil"/>
            </w:tcBorders>
          </w:tcPr>
          <w:p w14:paraId="51C6F60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0.179***</w:t>
            </w:r>
          </w:p>
        </w:tc>
      </w:tr>
      <w:tr w:rsidR="00167C24" w:rsidRPr="00DC5E88" w14:paraId="49B5A219"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1DD446CF" w14:textId="77777777" w:rsidR="00167C24" w:rsidRPr="00DC5E88" w:rsidRDefault="00167C24" w:rsidP="00062E42">
            <w:pPr>
              <w:rPr>
                <w:rFonts w:ascii="Times New Roman" w:hAnsi="Times New Roman" w:cs="Times New Roman"/>
                <w:b w:val="0"/>
                <w:bCs w:val="0"/>
              </w:rPr>
            </w:pPr>
            <w:r>
              <w:rPr>
                <w:rFonts w:ascii="Times New Roman" w:hAnsi="Times New Roman" w:cs="Times New Roman"/>
                <w:b w:val="0"/>
                <w:bCs w:val="0"/>
              </w:rPr>
              <w:t>(% of GDP)</w:t>
            </w:r>
          </w:p>
        </w:tc>
        <w:tc>
          <w:tcPr>
            <w:tcW w:w="1473" w:type="dxa"/>
            <w:tcBorders>
              <w:top w:val="nil"/>
              <w:bottom w:val="nil"/>
            </w:tcBorders>
          </w:tcPr>
          <w:p w14:paraId="73AD2BB1"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(0.040)</w:t>
            </w:r>
          </w:p>
        </w:tc>
        <w:tc>
          <w:tcPr>
            <w:tcW w:w="1473" w:type="dxa"/>
            <w:tcBorders>
              <w:top w:val="nil"/>
              <w:bottom w:val="nil"/>
            </w:tcBorders>
          </w:tcPr>
          <w:p w14:paraId="557223DB"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(0.039)</w:t>
            </w:r>
          </w:p>
        </w:tc>
        <w:tc>
          <w:tcPr>
            <w:tcW w:w="1473" w:type="dxa"/>
            <w:tcBorders>
              <w:top w:val="nil"/>
              <w:bottom w:val="nil"/>
            </w:tcBorders>
          </w:tcPr>
          <w:p w14:paraId="16D65A75"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(0.040)</w:t>
            </w:r>
          </w:p>
        </w:tc>
        <w:tc>
          <w:tcPr>
            <w:tcW w:w="1473" w:type="dxa"/>
            <w:tcBorders>
              <w:top w:val="nil"/>
              <w:bottom w:val="nil"/>
            </w:tcBorders>
          </w:tcPr>
          <w:p w14:paraId="38590270"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(0.074)</w:t>
            </w:r>
          </w:p>
        </w:tc>
        <w:tc>
          <w:tcPr>
            <w:tcW w:w="1474" w:type="dxa"/>
            <w:tcBorders>
              <w:top w:val="nil"/>
              <w:bottom w:val="nil"/>
            </w:tcBorders>
          </w:tcPr>
          <w:p w14:paraId="49BF448D"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(0.054)</w:t>
            </w:r>
          </w:p>
        </w:tc>
      </w:tr>
      <w:tr w:rsidR="00167C24" w:rsidRPr="00DC5E88" w14:paraId="55459E05"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581880DB"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GDP growth</w:t>
            </w:r>
          </w:p>
        </w:tc>
        <w:tc>
          <w:tcPr>
            <w:tcW w:w="1473" w:type="dxa"/>
            <w:tcBorders>
              <w:top w:val="nil"/>
              <w:bottom w:val="nil"/>
            </w:tcBorders>
          </w:tcPr>
          <w:p w14:paraId="3F14415A"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071BF3D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0.227***</w:t>
            </w:r>
          </w:p>
        </w:tc>
        <w:tc>
          <w:tcPr>
            <w:tcW w:w="1473" w:type="dxa"/>
            <w:tcBorders>
              <w:top w:val="nil"/>
              <w:bottom w:val="nil"/>
            </w:tcBorders>
          </w:tcPr>
          <w:p w14:paraId="56661FEC"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0.217***</w:t>
            </w:r>
          </w:p>
        </w:tc>
        <w:tc>
          <w:tcPr>
            <w:tcW w:w="1473" w:type="dxa"/>
            <w:tcBorders>
              <w:top w:val="nil"/>
              <w:bottom w:val="nil"/>
            </w:tcBorders>
          </w:tcPr>
          <w:p w14:paraId="26E39001"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0.044</w:t>
            </w:r>
          </w:p>
        </w:tc>
        <w:tc>
          <w:tcPr>
            <w:tcW w:w="1474" w:type="dxa"/>
            <w:tcBorders>
              <w:top w:val="nil"/>
              <w:bottom w:val="nil"/>
            </w:tcBorders>
          </w:tcPr>
          <w:p w14:paraId="03184617"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0.232***</w:t>
            </w:r>
          </w:p>
        </w:tc>
      </w:tr>
      <w:tr w:rsidR="00167C24" w:rsidRPr="00DC5E88" w14:paraId="6846F67A"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6ACC1276" w14:textId="77777777" w:rsidR="00167C24" w:rsidRPr="00DC5E88" w:rsidRDefault="00167C24" w:rsidP="00062E42">
            <w:pPr>
              <w:rPr>
                <w:rFonts w:ascii="Times New Roman" w:hAnsi="Times New Roman" w:cs="Times New Roman"/>
                <w:b w:val="0"/>
                <w:bCs w:val="0"/>
              </w:rPr>
            </w:pPr>
          </w:p>
        </w:tc>
        <w:tc>
          <w:tcPr>
            <w:tcW w:w="1473" w:type="dxa"/>
            <w:tcBorders>
              <w:top w:val="nil"/>
              <w:bottom w:val="nil"/>
            </w:tcBorders>
          </w:tcPr>
          <w:p w14:paraId="31ED383F"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4939AA1"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(0.050)</w:t>
            </w:r>
          </w:p>
        </w:tc>
        <w:tc>
          <w:tcPr>
            <w:tcW w:w="1473" w:type="dxa"/>
            <w:tcBorders>
              <w:top w:val="nil"/>
              <w:bottom w:val="nil"/>
            </w:tcBorders>
          </w:tcPr>
          <w:p w14:paraId="5DA01935"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(0.056)</w:t>
            </w:r>
          </w:p>
        </w:tc>
        <w:tc>
          <w:tcPr>
            <w:tcW w:w="1473" w:type="dxa"/>
            <w:tcBorders>
              <w:top w:val="nil"/>
              <w:bottom w:val="nil"/>
            </w:tcBorders>
          </w:tcPr>
          <w:p w14:paraId="61F3F6DF"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(0.041)</w:t>
            </w:r>
          </w:p>
        </w:tc>
        <w:tc>
          <w:tcPr>
            <w:tcW w:w="1474" w:type="dxa"/>
            <w:tcBorders>
              <w:top w:val="nil"/>
              <w:bottom w:val="nil"/>
            </w:tcBorders>
          </w:tcPr>
          <w:p w14:paraId="6752A313"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(0.048)</w:t>
            </w:r>
          </w:p>
        </w:tc>
      </w:tr>
      <w:tr w:rsidR="00167C24" w:rsidRPr="00DC5E88" w14:paraId="6F4BD0EB"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056A99B7"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Openness</w:t>
            </w:r>
          </w:p>
        </w:tc>
        <w:tc>
          <w:tcPr>
            <w:tcW w:w="1473" w:type="dxa"/>
            <w:tcBorders>
              <w:top w:val="nil"/>
              <w:bottom w:val="nil"/>
            </w:tcBorders>
          </w:tcPr>
          <w:p w14:paraId="6597AA77"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06737EC9"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c>
          <w:tcPr>
            <w:tcW w:w="1473" w:type="dxa"/>
            <w:tcBorders>
              <w:top w:val="nil"/>
              <w:bottom w:val="nil"/>
            </w:tcBorders>
          </w:tcPr>
          <w:p w14:paraId="17D3998C"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0.001</w:t>
            </w:r>
          </w:p>
        </w:tc>
        <w:tc>
          <w:tcPr>
            <w:tcW w:w="1473" w:type="dxa"/>
            <w:tcBorders>
              <w:top w:val="nil"/>
              <w:bottom w:val="nil"/>
            </w:tcBorders>
          </w:tcPr>
          <w:p w14:paraId="2BB65000"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-0.013</w:t>
            </w:r>
          </w:p>
        </w:tc>
        <w:tc>
          <w:tcPr>
            <w:tcW w:w="1474" w:type="dxa"/>
            <w:tcBorders>
              <w:top w:val="nil"/>
              <w:bottom w:val="nil"/>
            </w:tcBorders>
          </w:tcPr>
          <w:p w14:paraId="0C27D610"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0.044**</w:t>
            </w:r>
          </w:p>
        </w:tc>
      </w:tr>
      <w:tr w:rsidR="00167C24" w:rsidRPr="00DC5E88" w14:paraId="3DCA84EB"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4A9AAE8C" w14:textId="77777777" w:rsidR="00167C24" w:rsidRPr="00DC5E88" w:rsidRDefault="00167C24" w:rsidP="00062E42">
            <w:pPr>
              <w:rPr>
                <w:rFonts w:ascii="Times New Roman" w:hAnsi="Times New Roman" w:cs="Times New Roman"/>
                <w:b w:val="0"/>
                <w:bCs w:val="0"/>
              </w:rPr>
            </w:pPr>
          </w:p>
        </w:tc>
        <w:tc>
          <w:tcPr>
            <w:tcW w:w="1473" w:type="dxa"/>
            <w:tcBorders>
              <w:top w:val="nil"/>
              <w:bottom w:val="nil"/>
            </w:tcBorders>
          </w:tcPr>
          <w:p w14:paraId="2B270F58"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14847EAF"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(0.017)</w:t>
            </w:r>
          </w:p>
        </w:tc>
        <w:tc>
          <w:tcPr>
            <w:tcW w:w="1473" w:type="dxa"/>
            <w:tcBorders>
              <w:top w:val="nil"/>
              <w:bottom w:val="nil"/>
            </w:tcBorders>
          </w:tcPr>
          <w:p w14:paraId="39FCBFA3"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(0.016)</w:t>
            </w:r>
          </w:p>
        </w:tc>
        <w:tc>
          <w:tcPr>
            <w:tcW w:w="1473" w:type="dxa"/>
            <w:tcBorders>
              <w:top w:val="nil"/>
              <w:bottom w:val="nil"/>
            </w:tcBorders>
          </w:tcPr>
          <w:p w14:paraId="3050B5AB"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(0.020)</w:t>
            </w:r>
          </w:p>
        </w:tc>
        <w:tc>
          <w:tcPr>
            <w:tcW w:w="1474" w:type="dxa"/>
            <w:tcBorders>
              <w:top w:val="nil"/>
              <w:bottom w:val="nil"/>
            </w:tcBorders>
          </w:tcPr>
          <w:p w14:paraId="235638B7"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(0.019)</w:t>
            </w:r>
          </w:p>
        </w:tc>
      </w:tr>
      <w:tr w:rsidR="00167C24" w:rsidRPr="00DC5E88" w14:paraId="57AB5B25"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1D5A0D4E"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Inflation</w:t>
            </w:r>
          </w:p>
        </w:tc>
        <w:tc>
          <w:tcPr>
            <w:tcW w:w="1473" w:type="dxa"/>
            <w:tcBorders>
              <w:top w:val="nil"/>
              <w:bottom w:val="nil"/>
            </w:tcBorders>
          </w:tcPr>
          <w:p w14:paraId="22BD2C53"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4E5A2E77"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4B55B8D"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c>
          <w:tcPr>
            <w:tcW w:w="1473" w:type="dxa"/>
            <w:tcBorders>
              <w:top w:val="nil"/>
              <w:bottom w:val="nil"/>
            </w:tcBorders>
          </w:tcPr>
          <w:p w14:paraId="6C8625A2"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0.417***</w:t>
            </w:r>
          </w:p>
        </w:tc>
        <w:tc>
          <w:tcPr>
            <w:tcW w:w="1474" w:type="dxa"/>
            <w:tcBorders>
              <w:top w:val="nil"/>
              <w:bottom w:val="nil"/>
            </w:tcBorders>
          </w:tcPr>
          <w:p w14:paraId="715EA9F7"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r>
      <w:tr w:rsidR="00167C24" w:rsidRPr="00DC5E88" w14:paraId="36B20051"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63D4825D" w14:textId="77777777" w:rsidR="00167C24" w:rsidRPr="00DC5E88" w:rsidRDefault="00167C24" w:rsidP="00062E42">
            <w:pPr>
              <w:rPr>
                <w:rFonts w:ascii="Times New Roman" w:hAnsi="Times New Roman" w:cs="Times New Roman"/>
                <w:b w:val="0"/>
                <w:bCs w:val="0"/>
              </w:rPr>
            </w:pPr>
          </w:p>
        </w:tc>
        <w:tc>
          <w:tcPr>
            <w:tcW w:w="1473" w:type="dxa"/>
            <w:tcBorders>
              <w:top w:val="nil"/>
              <w:bottom w:val="nil"/>
            </w:tcBorders>
          </w:tcPr>
          <w:p w14:paraId="6A9A2783"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36EAC4DA"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678EA720"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c>
          <w:tcPr>
            <w:tcW w:w="1473" w:type="dxa"/>
            <w:tcBorders>
              <w:top w:val="nil"/>
              <w:bottom w:val="nil"/>
            </w:tcBorders>
          </w:tcPr>
          <w:p w14:paraId="66AE5ED9"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(0.094)</w:t>
            </w:r>
          </w:p>
        </w:tc>
        <w:tc>
          <w:tcPr>
            <w:tcW w:w="1474" w:type="dxa"/>
            <w:tcBorders>
              <w:top w:val="nil"/>
              <w:bottom w:val="nil"/>
            </w:tcBorders>
          </w:tcPr>
          <w:p w14:paraId="4A799E12"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r>
      <w:tr w:rsidR="00167C24" w:rsidRPr="00DC5E88" w14:paraId="41A99E7E"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65C2ECDB"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Log of exchange rate</w:t>
            </w:r>
          </w:p>
        </w:tc>
        <w:tc>
          <w:tcPr>
            <w:tcW w:w="1473" w:type="dxa"/>
            <w:tcBorders>
              <w:top w:val="nil"/>
              <w:bottom w:val="nil"/>
            </w:tcBorders>
          </w:tcPr>
          <w:p w14:paraId="020567B4"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2468053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459CB18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0.439**</w:t>
            </w:r>
          </w:p>
        </w:tc>
        <w:tc>
          <w:tcPr>
            <w:tcW w:w="1473" w:type="dxa"/>
            <w:tcBorders>
              <w:top w:val="nil"/>
              <w:bottom w:val="nil"/>
            </w:tcBorders>
          </w:tcPr>
          <w:p w14:paraId="27534869"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0.214</w:t>
            </w:r>
          </w:p>
        </w:tc>
        <w:tc>
          <w:tcPr>
            <w:tcW w:w="1474" w:type="dxa"/>
            <w:tcBorders>
              <w:top w:val="nil"/>
              <w:bottom w:val="nil"/>
            </w:tcBorders>
          </w:tcPr>
          <w:p w14:paraId="410D98BF"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-0.226</w:t>
            </w:r>
          </w:p>
        </w:tc>
      </w:tr>
      <w:tr w:rsidR="00167C24" w:rsidRPr="00DC5E88" w14:paraId="343DBE64"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tcBorders>
          </w:tcPr>
          <w:p w14:paraId="23323013" w14:textId="77777777" w:rsidR="00167C24" w:rsidRPr="00DC5E88" w:rsidRDefault="00167C24" w:rsidP="00062E42">
            <w:pPr>
              <w:rPr>
                <w:rFonts w:ascii="Times New Roman" w:hAnsi="Times New Roman" w:cs="Times New Roman"/>
                <w:b w:val="0"/>
                <w:bCs w:val="0"/>
              </w:rPr>
            </w:pPr>
          </w:p>
        </w:tc>
        <w:tc>
          <w:tcPr>
            <w:tcW w:w="1473" w:type="dxa"/>
            <w:tcBorders>
              <w:top w:val="nil"/>
            </w:tcBorders>
          </w:tcPr>
          <w:p w14:paraId="576B1CBF"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tcBorders>
          </w:tcPr>
          <w:p w14:paraId="433AAF0B"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tcBorders>
          </w:tcPr>
          <w:p w14:paraId="3D5A02CD"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(0.180)</w:t>
            </w:r>
          </w:p>
        </w:tc>
        <w:tc>
          <w:tcPr>
            <w:tcW w:w="1473" w:type="dxa"/>
            <w:tcBorders>
              <w:top w:val="nil"/>
            </w:tcBorders>
          </w:tcPr>
          <w:p w14:paraId="412A4917"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(0.171)</w:t>
            </w:r>
          </w:p>
        </w:tc>
        <w:tc>
          <w:tcPr>
            <w:tcW w:w="1474" w:type="dxa"/>
            <w:tcBorders>
              <w:top w:val="nil"/>
            </w:tcBorders>
          </w:tcPr>
          <w:p w14:paraId="0E42D04C"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(0.245)</w:t>
            </w:r>
          </w:p>
        </w:tc>
      </w:tr>
      <w:tr w:rsidR="00167C24" w:rsidRPr="00DC5E88" w14:paraId="6DE60F7F"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bottom w:val="nil"/>
            </w:tcBorders>
          </w:tcPr>
          <w:p w14:paraId="3FBDC072"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Year fixed effect</w:t>
            </w:r>
          </w:p>
        </w:tc>
        <w:tc>
          <w:tcPr>
            <w:tcW w:w="1473" w:type="dxa"/>
            <w:tcBorders>
              <w:bottom w:val="nil"/>
            </w:tcBorders>
          </w:tcPr>
          <w:p w14:paraId="6D8C9F24"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bottom w:val="nil"/>
            </w:tcBorders>
          </w:tcPr>
          <w:p w14:paraId="46C21E17"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bottom w:val="nil"/>
            </w:tcBorders>
          </w:tcPr>
          <w:p w14:paraId="2009357E"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bottom w:val="nil"/>
            </w:tcBorders>
          </w:tcPr>
          <w:p w14:paraId="1C55F42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4" w:type="dxa"/>
            <w:tcBorders>
              <w:bottom w:val="nil"/>
            </w:tcBorders>
          </w:tcPr>
          <w:p w14:paraId="28841353"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r>
      <w:tr w:rsidR="00167C24" w:rsidRPr="00DC5E88" w14:paraId="4BF7E685"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2DED6BC1"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Country fixed effect</w:t>
            </w:r>
          </w:p>
        </w:tc>
        <w:tc>
          <w:tcPr>
            <w:tcW w:w="1473" w:type="dxa"/>
            <w:tcBorders>
              <w:top w:val="nil"/>
              <w:bottom w:val="nil"/>
            </w:tcBorders>
          </w:tcPr>
          <w:p w14:paraId="084BA541"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top w:val="nil"/>
              <w:bottom w:val="nil"/>
            </w:tcBorders>
          </w:tcPr>
          <w:p w14:paraId="590F75CB"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top w:val="nil"/>
              <w:bottom w:val="nil"/>
            </w:tcBorders>
          </w:tcPr>
          <w:p w14:paraId="4126DC04"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top w:val="nil"/>
              <w:bottom w:val="nil"/>
            </w:tcBorders>
          </w:tcPr>
          <w:p w14:paraId="0AD3552E"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4" w:type="dxa"/>
            <w:tcBorders>
              <w:top w:val="nil"/>
              <w:bottom w:val="nil"/>
            </w:tcBorders>
          </w:tcPr>
          <w:p w14:paraId="68778360"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r>
      <w:tr w:rsidR="00167C24" w:rsidRPr="00DC5E88" w14:paraId="46733D78"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005364B2"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 xml:space="preserve">Observations </w:t>
            </w:r>
          </w:p>
        </w:tc>
        <w:tc>
          <w:tcPr>
            <w:tcW w:w="1473" w:type="dxa"/>
            <w:tcBorders>
              <w:top w:val="nil"/>
              <w:bottom w:val="nil"/>
            </w:tcBorders>
          </w:tcPr>
          <w:p w14:paraId="1A4AB51E"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3,950</w:t>
            </w:r>
          </w:p>
        </w:tc>
        <w:tc>
          <w:tcPr>
            <w:tcW w:w="1473" w:type="dxa"/>
            <w:tcBorders>
              <w:top w:val="nil"/>
              <w:bottom w:val="nil"/>
            </w:tcBorders>
          </w:tcPr>
          <w:p w14:paraId="3F12F912"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3,926</w:t>
            </w:r>
          </w:p>
        </w:tc>
        <w:tc>
          <w:tcPr>
            <w:tcW w:w="1473" w:type="dxa"/>
            <w:tcBorders>
              <w:top w:val="nil"/>
              <w:bottom w:val="nil"/>
            </w:tcBorders>
          </w:tcPr>
          <w:p w14:paraId="55EA001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3,701</w:t>
            </w:r>
          </w:p>
        </w:tc>
        <w:tc>
          <w:tcPr>
            <w:tcW w:w="1473" w:type="dxa"/>
            <w:tcBorders>
              <w:top w:val="nil"/>
              <w:bottom w:val="nil"/>
            </w:tcBorders>
          </w:tcPr>
          <w:p w14:paraId="0D12222A"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1,154</w:t>
            </w:r>
          </w:p>
        </w:tc>
        <w:tc>
          <w:tcPr>
            <w:tcW w:w="1474" w:type="dxa"/>
            <w:tcBorders>
              <w:top w:val="nil"/>
              <w:bottom w:val="nil"/>
            </w:tcBorders>
          </w:tcPr>
          <w:p w14:paraId="0BB55464"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2,547</w:t>
            </w:r>
          </w:p>
        </w:tc>
      </w:tr>
      <w:tr w:rsidR="00167C24" w:rsidRPr="00DC5E88" w14:paraId="69927296" w14:textId="77777777" w:rsidTr="0006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4E0A06D3"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Number of groups</w:t>
            </w:r>
          </w:p>
        </w:tc>
        <w:tc>
          <w:tcPr>
            <w:tcW w:w="1473" w:type="dxa"/>
            <w:tcBorders>
              <w:top w:val="nil"/>
              <w:bottom w:val="nil"/>
            </w:tcBorders>
          </w:tcPr>
          <w:p w14:paraId="71B4AB82"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136</w:t>
            </w:r>
          </w:p>
        </w:tc>
        <w:tc>
          <w:tcPr>
            <w:tcW w:w="1473" w:type="dxa"/>
            <w:tcBorders>
              <w:top w:val="nil"/>
              <w:bottom w:val="nil"/>
            </w:tcBorders>
          </w:tcPr>
          <w:p w14:paraId="3B2498C8"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135</w:t>
            </w:r>
          </w:p>
        </w:tc>
        <w:tc>
          <w:tcPr>
            <w:tcW w:w="1473" w:type="dxa"/>
            <w:tcBorders>
              <w:top w:val="nil"/>
              <w:bottom w:val="nil"/>
            </w:tcBorders>
          </w:tcPr>
          <w:p w14:paraId="0606028F"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133</w:t>
            </w:r>
          </w:p>
        </w:tc>
        <w:tc>
          <w:tcPr>
            <w:tcW w:w="1473" w:type="dxa"/>
            <w:tcBorders>
              <w:top w:val="nil"/>
              <w:bottom w:val="nil"/>
            </w:tcBorders>
          </w:tcPr>
          <w:p w14:paraId="2F9CC985"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w:t>
            </w:r>
          </w:p>
        </w:tc>
        <w:tc>
          <w:tcPr>
            <w:tcW w:w="1474" w:type="dxa"/>
            <w:tcBorders>
              <w:top w:val="nil"/>
              <w:bottom w:val="nil"/>
            </w:tcBorders>
          </w:tcPr>
          <w:p w14:paraId="2CEBB52E" w14:textId="77777777" w:rsidR="00167C24" w:rsidRPr="00DC5E88" w:rsidRDefault="00167C24" w:rsidP="00062E4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106</w:t>
            </w:r>
          </w:p>
        </w:tc>
      </w:tr>
      <w:tr w:rsidR="00167C24" w:rsidRPr="00DC5E88" w14:paraId="5A394B46" w14:textId="77777777" w:rsidTr="00062E42">
        <w:tc>
          <w:tcPr>
            <w:cnfStyle w:val="001000000000" w:firstRow="0" w:lastRow="0" w:firstColumn="1" w:lastColumn="0" w:oddVBand="0" w:evenVBand="0" w:oddHBand="0" w:evenHBand="0" w:firstRowFirstColumn="0" w:firstRowLastColumn="0" w:lastRowFirstColumn="0" w:lastRowLastColumn="0"/>
            <w:tcW w:w="2448" w:type="dxa"/>
            <w:tcBorders>
              <w:top w:val="nil"/>
            </w:tcBorders>
          </w:tcPr>
          <w:p w14:paraId="3242CC45" w14:textId="77777777" w:rsidR="00167C24" w:rsidRPr="00DC5E88" w:rsidRDefault="00167C24" w:rsidP="00062E42">
            <w:pPr>
              <w:rPr>
                <w:rFonts w:ascii="Times New Roman" w:hAnsi="Times New Roman" w:cs="Times New Roman"/>
                <w:b w:val="0"/>
                <w:bCs w:val="0"/>
              </w:rPr>
            </w:pPr>
            <w:r w:rsidRPr="00DC5E88">
              <w:rPr>
                <w:rFonts w:ascii="Times New Roman" w:hAnsi="Times New Roman" w:cs="Times New Roman"/>
                <w:b w:val="0"/>
                <w:bCs w:val="0"/>
              </w:rPr>
              <w:t>R-squared</w:t>
            </w:r>
          </w:p>
        </w:tc>
        <w:tc>
          <w:tcPr>
            <w:tcW w:w="1473" w:type="dxa"/>
            <w:tcBorders>
              <w:top w:val="nil"/>
            </w:tcBorders>
          </w:tcPr>
          <w:p w14:paraId="47A33C7F"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0.060</w:t>
            </w:r>
          </w:p>
        </w:tc>
        <w:tc>
          <w:tcPr>
            <w:tcW w:w="1473" w:type="dxa"/>
            <w:tcBorders>
              <w:top w:val="nil"/>
            </w:tcBorders>
          </w:tcPr>
          <w:p w14:paraId="5C54AE46"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0.094</w:t>
            </w:r>
          </w:p>
        </w:tc>
        <w:tc>
          <w:tcPr>
            <w:tcW w:w="1473" w:type="dxa"/>
            <w:tcBorders>
              <w:top w:val="nil"/>
            </w:tcBorders>
          </w:tcPr>
          <w:p w14:paraId="37AEA0FA"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0.092</w:t>
            </w:r>
          </w:p>
        </w:tc>
        <w:tc>
          <w:tcPr>
            <w:tcW w:w="1473" w:type="dxa"/>
            <w:tcBorders>
              <w:top w:val="nil"/>
            </w:tcBorders>
          </w:tcPr>
          <w:p w14:paraId="41625FBA"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0.176</w:t>
            </w:r>
          </w:p>
        </w:tc>
        <w:tc>
          <w:tcPr>
            <w:tcW w:w="1474" w:type="dxa"/>
            <w:tcBorders>
              <w:top w:val="nil"/>
            </w:tcBorders>
          </w:tcPr>
          <w:p w14:paraId="75FF324B" w14:textId="77777777" w:rsidR="00167C24" w:rsidRPr="00DC5E88" w:rsidRDefault="00167C24" w:rsidP="00062E4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0.152</w:t>
            </w:r>
          </w:p>
        </w:tc>
      </w:tr>
    </w:tbl>
    <w:p w14:paraId="6309A926" w14:textId="77777777" w:rsidR="00167C24" w:rsidRPr="00566888" w:rsidRDefault="00167C24" w:rsidP="00167C24">
      <w:pPr>
        <w:jc w:val="right"/>
        <w:rPr>
          <w:rFonts w:ascii="Times New Roman" w:hAnsi="Times New Roman" w:cs="Times New Roman"/>
        </w:rPr>
      </w:pPr>
      <w:r w:rsidRPr="00566888">
        <w:rPr>
          <w:rFonts w:ascii="Times New Roman" w:hAnsi="Times New Roman" w:cs="Times New Roman"/>
          <w:vertAlign w:val="superscript"/>
        </w:rPr>
        <w:t>*</w:t>
      </w:r>
      <w:r w:rsidRPr="00566888">
        <w:rPr>
          <w:rFonts w:ascii="Times New Roman" w:hAnsi="Times New Roman" w:cs="Times New Roman"/>
        </w:rPr>
        <w:t>p&lt;0.1; </w:t>
      </w:r>
      <w:r w:rsidRPr="00566888">
        <w:rPr>
          <w:rFonts w:ascii="Times New Roman" w:hAnsi="Times New Roman" w:cs="Times New Roman"/>
          <w:vertAlign w:val="superscript"/>
        </w:rPr>
        <w:t>**</w:t>
      </w:r>
      <w:r w:rsidRPr="00566888">
        <w:rPr>
          <w:rFonts w:ascii="Times New Roman" w:hAnsi="Times New Roman" w:cs="Times New Roman"/>
        </w:rPr>
        <w:t>p&lt;0.05; </w:t>
      </w:r>
      <w:r w:rsidRPr="00566888">
        <w:rPr>
          <w:rFonts w:ascii="Times New Roman" w:hAnsi="Times New Roman" w:cs="Times New Roman"/>
          <w:vertAlign w:val="superscript"/>
        </w:rPr>
        <w:t>***</w:t>
      </w:r>
      <w:r w:rsidRPr="00566888">
        <w:rPr>
          <w:rFonts w:ascii="Times New Roman" w:hAnsi="Times New Roman" w:cs="Times New Roman"/>
        </w:rPr>
        <w:t>p&lt;0.01</w:t>
      </w:r>
    </w:p>
    <w:p w14:paraId="4188788A" w14:textId="3EB97A05" w:rsidR="0017118E" w:rsidRDefault="00F27F98" w:rsidP="00B936F7">
      <w:pPr>
        <w:jc w:val="both"/>
        <w:rPr>
          <w:rFonts w:ascii="Times New Roman" w:hAnsi="Times New Roman" w:cs="Times New Roman"/>
          <w:sz w:val="24"/>
          <w:szCs w:val="24"/>
        </w:rPr>
      </w:pPr>
      <w:r>
        <w:rPr>
          <w:rFonts w:ascii="Times New Roman" w:hAnsi="Times New Roman" w:cs="Times New Roman"/>
          <w:sz w:val="24"/>
          <w:szCs w:val="24"/>
        </w:rPr>
        <w:t xml:space="preserve">Classical and Keynesian views differ on the role of interest rates in private investment. The classical view </w:t>
      </w:r>
      <w:r w:rsidR="009741C6">
        <w:rPr>
          <w:rFonts w:ascii="Times New Roman" w:hAnsi="Times New Roman" w:cs="Times New Roman"/>
          <w:sz w:val="24"/>
          <w:szCs w:val="24"/>
        </w:rPr>
        <w:t xml:space="preserve">argues that higher interest rates reduce private investment, while the Keynesian view suggest that private investment is not very sensitive to interest rates. The analysis also includes </w:t>
      </w:r>
      <w:r w:rsidR="00DE3417">
        <w:rPr>
          <w:rFonts w:ascii="Times New Roman" w:hAnsi="Times New Roman" w:cs="Times New Roman"/>
          <w:sz w:val="24"/>
          <w:szCs w:val="24"/>
        </w:rPr>
        <w:t>an estimation of the relationship between interest rates and private investment (</w:t>
      </w:r>
      <w:r w:rsidR="00DE3417" w:rsidRPr="00E30832">
        <w:rPr>
          <w:rFonts w:ascii="Times New Roman" w:hAnsi="Times New Roman" w:cs="Times New Roman"/>
          <w:sz w:val="24"/>
          <w:szCs w:val="24"/>
        </w:rPr>
        <w:fldChar w:fldCharType="begin"/>
      </w:r>
      <w:r w:rsidR="00DE3417" w:rsidRPr="00E30832">
        <w:rPr>
          <w:rFonts w:ascii="Times New Roman" w:hAnsi="Times New Roman" w:cs="Times New Roman"/>
          <w:sz w:val="24"/>
          <w:szCs w:val="24"/>
        </w:rPr>
        <w:instrText xml:space="preserve"> REF _Ref191664194 \h </w:instrText>
      </w:r>
      <w:r w:rsidR="00DE3417" w:rsidRPr="00E30832">
        <w:rPr>
          <w:rFonts w:ascii="Times New Roman" w:hAnsi="Times New Roman" w:cs="Times New Roman"/>
          <w:sz w:val="24"/>
          <w:szCs w:val="24"/>
        </w:rPr>
      </w:r>
      <w:r w:rsidR="00DE3417" w:rsidRPr="00E30832">
        <w:rPr>
          <w:rFonts w:ascii="Times New Roman" w:hAnsi="Times New Roman" w:cs="Times New Roman"/>
          <w:sz w:val="24"/>
          <w:szCs w:val="24"/>
        </w:rPr>
        <w:instrText xml:space="preserve"> \* MERGEFORMAT </w:instrText>
      </w:r>
      <w:r w:rsidR="00DE3417" w:rsidRPr="00E30832">
        <w:rPr>
          <w:rFonts w:ascii="Times New Roman" w:hAnsi="Times New Roman" w:cs="Times New Roman"/>
          <w:sz w:val="24"/>
          <w:szCs w:val="24"/>
        </w:rPr>
        <w:fldChar w:fldCharType="separate"/>
      </w:r>
      <w:r w:rsidR="00D228CC" w:rsidRPr="00D228CC">
        <w:rPr>
          <w:rFonts w:ascii="Times New Roman" w:hAnsi="Times New Roman" w:cs="Times New Roman"/>
          <w:sz w:val="24"/>
          <w:szCs w:val="24"/>
        </w:rPr>
        <w:t xml:space="preserve">Appendix </w:t>
      </w:r>
      <w:r w:rsidR="00D228CC" w:rsidRPr="00D228CC">
        <w:rPr>
          <w:rFonts w:ascii="Times New Roman" w:hAnsi="Times New Roman" w:cs="Times New Roman"/>
          <w:noProof/>
          <w:sz w:val="24"/>
          <w:szCs w:val="24"/>
        </w:rPr>
        <w:t>1</w:t>
      </w:r>
      <w:r w:rsidR="00DE3417" w:rsidRPr="00E30832">
        <w:rPr>
          <w:rFonts w:ascii="Times New Roman" w:hAnsi="Times New Roman" w:cs="Times New Roman"/>
          <w:sz w:val="24"/>
          <w:szCs w:val="24"/>
        </w:rPr>
        <w:fldChar w:fldCharType="end"/>
      </w:r>
      <w:r w:rsidR="00DE3417">
        <w:rPr>
          <w:rFonts w:ascii="Times New Roman" w:hAnsi="Times New Roman" w:cs="Times New Roman"/>
          <w:sz w:val="24"/>
          <w:szCs w:val="24"/>
        </w:rPr>
        <w:t>), which finds no significant effect. This result aligns with the Keynesian perspective, as all models in the study support its view.</w:t>
      </w:r>
    </w:p>
    <w:p w14:paraId="163F0618" w14:textId="5AAA6E1D" w:rsidR="000E1FB5" w:rsidRPr="003E5037" w:rsidRDefault="003E5037" w:rsidP="003E5037">
      <w:pPr>
        <w:pStyle w:val="Heading1"/>
        <w:numPr>
          <w:ilvl w:val="0"/>
          <w:numId w:val="1"/>
        </w:numPr>
      </w:pPr>
      <w:r>
        <w:t xml:space="preserve">Conclusion </w:t>
      </w:r>
    </w:p>
    <w:p w14:paraId="07BEBB6F" w14:textId="77777777" w:rsidR="000929ED" w:rsidRDefault="000929ED" w:rsidP="000929ED">
      <w:pPr>
        <w:jc w:val="both"/>
        <w:rPr>
          <w:rFonts w:ascii="Times New Roman" w:hAnsi="Times New Roman" w:cs="Times New Roman"/>
          <w:sz w:val="24"/>
          <w:szCs w:val="24"/>
        </w:rPr>
      </w:pPr>
      <w:r w:rsidRPr="000929ED">
        <w:rPr>
          <w:rFonts w:ascii="Times New Roman" w:hAnsi="Times New Roman" w:cs="Times New Roman"/>
          <w:sz w:val="24"/>
          <w:szCs w:val="24"/>
        </w:rPr>
        <w:t>The analysis confirms that government total expenditure does not crowd out private investment; instead, it supports investment growth, particularly in developing economies. This supports the Keynesian perspective, which argues that fiscal policy can stimulate private sector activity by enhancing aggregate demand and reducing economic uncertainty. The impact is particularly significant in developing economies, where government spending on infrastructure, education, and other essential services complements private investment. Conversely, in developed economies, the effect is negligible, potentially due to market saturation or efficient capital allocation mechanisms that make government intervention less necessary.</w:t>
      </w:r>
    </w:p>
    <w:p w14:paraId="4030D4E0" w14:textId="7EBED115" w:rsidR="00FC61A6" w:rsidRPr="000929ED" w:rsidRDefault="00FC61A6" w:rsidP="000929ED">
      <w:pPr>
        <w:jc w:val="both"/>
        <w:rPr>
          <w:rFonts w:ascii="Times New Roman" w:hAnsi="Times New Roman" w:cs="Times New Roman"/>
          <w:sz w:val="24"/>
          <w:szCs w:val="24"/>
        </w:rPr>
      </w:pPr>
      <w:r w:rsidRPr="00FC61A6">
        <w:rPr>
          <w:rFonts w:ascii="Times New Roman" w:hAnsi="Times New Roman" w:cs="Times New Roman"/>
          <w:sz w:val="24"/>
          <w:szCs w:val="24"/>
        </w:rPr>
        <w:lastRenderedPageBreak/>
        <w:t xml:space="preserve">From a causality perspective, while the study employs fixed effects panel regression to control for country- and time-specific factors, potential endogeneity concerns remain. Reverse causality is </w:t>
      </w:r>
      <w:r w:rsidRPr="00FC61A6">
        <w:rPr>
          <w:rFonts w:ascii="Times New Roman" w:hAnsi="Times New Roman" w:cs="Times New Roman"/>
          <w:sz w:val="24"/>
          <w:szCs w:val="24"/>
        </w:rPr>
        <w:t xml:space="preserve">possible, </w:t>
      </w:r>
      <w:r w:rsidRPr="00FC61A6">
        <w:rPr>
          <w:rFonts w:ascii="Times New Roman" w:hAnsi="Times New Roman" w:cs="Times New Roman"/>
          <w:sz w:val="24"/>
          <w:szCs w:val="24"/>
        </w:rPr>
        <w:t>strong private investment might lead to increased government revenues, enabling higher spending. However, the results suggest a robust positive association between government expenditure and private investment, particularly in developing economies. Addressing causality further may require instrumental variable approaches or natural experiments.</w:t>
      </w:r>
    </w:p>
    <w:p w14:paraId="3B294C71" w14:textId="5453D354" w:rsidR="000929ED" w:rsidRPr="000929ED" w:rsidRDefault="000929ED" w:rsidP="000929ED">
      <w:pPr>
        <w:jc w:val="both"/>
        <w:rPr>
          <w:rFonts w:ascii="Times New Roman" w:hAnsi="Times New Roman" w:cs="Times New Roman"/>
          <w:sz w:val="24"/>
          <w:szCs w:val="24"/>
        </w:rPr>
      </w:pPr>
      <w:r w:rsidRPr="000929ED">
        <w:rPr>
          <w:rFonts w:ascii="Times New Roman" w:hAnsi="Times New Roman" w:cs="Times New Roman"/>
          <w:sz w:val="24"/>
          <w:szCs w:val="24"/>
        </w:rPr>
        <w:t xml:space="preserve">Additionally, GDP growth plays a crucial role in stimulating investment, especially in emerging markets. Interestingly, inflation appears to be positively associated with private investment in developed economies, contrary to conventional expectations. This may reflect a scenario where moderate inflation signals economic dynamism and expected returns, prompting higher investment. However, exchange rate fluctuations present ambiguous effects, suggesting that currency movements may have complex interactions with investment decisions. Future research should explore how different components of government </w:t>
      </w:r>
      <w:r w:rsidR="00FC61A6" w:rsidRPr="000929ED">
        <w:rPr>
          <w:rFonts w:ascii="Times New Roman" w:hAnsi="Times New Roman" w:cs="Times New Roman"/>
          <w:sz w:val="24"/>
          <w:szCs w:val="24"/>
        </w:rPr>
        <w:t xml:space="preserve">expenditures </w:t>
      </w:r>
      <w:r w:rsidRPr="000929ED">
        <w:rPr>
          <w:rFonts w:ascii="Times New Roman" w:hAnsi="Times New Roman" w:cs="Times New Roman"/>
          <w:sz w:val="24"/>
          <w:szCs w:val="24"/>
        </w:rPr>
        <w:t>such as public consumption, investment, and fiscal balance—impact private investment differently.</w:t>
      </w:r>
    </w:p>
    <w:p w14:paraId="3A6670F4" w14:textId="77777777" w:rsidR="000929ED" w:rsidRPr="000929ED" w:rsidRDefault="000929ED" w:rsidP="000929ED">
      <w:pPr>
        <w:jc w:val="both"/>
        <w:rPr>
          <w:rFonts w:ascii="Times New Roman" w:hAnsi="Times New Roman" w:cs="Times New Roman"/>
          <w:sz w:val="24"/>
          <w:szCs w:val="24"/>
        </w:rPr>
      </w:pPr>
      <w:r w:rsidRPr="000929ED">
        <w:rPr>
          <w:rFonts w:ascii="Times New Roman" w:hAnsi="Times New Roman" w:cs="Times New Roman"/>
          <w:b/>
          <w:bCs/>
          <w:sz w:val="24"/>
          <w:szCs w:val="24"/>
        </w:rPr>
        <w:t>Policy Recommendations</w:t>
      </w:r>
    </w:p>
    <w:p w14:paraId="07081BAF" w14:textId="77777777" w:rsidR="000929ED" w:rsidRPr="000929ED" w:rsidRDefault="000929ED" w:rsidP="000929ED">
      <w:pPr>
        <w:numPr>
          <w:ilvl w:val="0"/>
          <w:numId w:val="2"/>
        </w:numPr>
        <w:jc w:val="both"/>
        <w:rPr>
          <w:rFonts w:ascii="Times New Roman" w:hAnsi="Times New Roman" w:cs="Times New Roman"/>
          <w:sz w:val="24"/>
          <w:szCs w:val="24"/>
        </w:rPr>
      </w:pPr>
      <w:r w:rsidRPr="000929ED">
        <w:rPr>
          <w:rFonts w:ascii="Times New Roman" w:hAnsi="Times New Roman" w:cs="Times New Roman"/>
          <w:b/>
          <w:bCs/>
          <w:sz w:val="24"/>
          <w:szCs w:val="24"/>
        </w:rPr>
        <w:t>Enhancing Public Spending Efficiency</w:t>
      </w:r>
      <w:r w:rsidRPr="000929ED">
        <w:rPr>
          <w:rFonts w:ascii="Times New Roman" w:hAnsi="Times New Roman" w:cs="Times New Roman"/>
          <w:sz w:val="24"/>
          <w:szCs w:val="24"/>
        </w:rPr>
        <w:t xml:space="preserve"> – Policymakers should ensure that government expenditure effectively supports infrastructure, human capital development, and economic stability to maximize its positive effect on private investment.</w:t>
      </w:r>
    </w:p>
    <w:p w14:paraId="5D1AB049" w14:textId="77777777" w:rsidR="000929ED" w:rsidRPr="000929ED" w:rsidRDefault="000929ED" w:rsidP="000929ED">
      <w:pPr>
        <w:numPr>
          <w:ilvl w:val="0"/>
          <w:numId w:val="2"/>
        </w:numPr>
        <w:jc w:val="both"/>
        <w:rPr>
          <w:rFonts w:ascii="Times New Roman" w:hAnsi="Times New Roman" w:cs="Times New Roman"/>
          <w:sz w:val="24"/>
          <w:szCs w:val="24"/>
        </w:rPr>
      </w:pPr>
      <w:r w:rsidRPr="000929ED">
        <w:rPr>
          <w:rFonts w:ascii="Times New Roman" w:hAnsi="Times New Roman" w:cs="Times New Roman"/>
          <w:b/>
          <w:bCs/>
          <w:sz w:val="24"/>
          <w:szCs w:val="24"/>
        </w:rPr>
        <w:t>Targeted Fiscal Policies</w:t>
      </w:r>
      <w:r w:rsidRPr="000929ED">
        <w:rPr>
          <w:rFonts w:ascii="Times New Roman" w:hAnsi="Times New Roman" w:cs="Times New Roman"/>
          <w:sz w:val="24"/>
          <w:szCs w:val="24"/>
        </w:rPr>
        <w:t xml:space="preserve"> – Developing economies should prioritize government spending on sectors that complement private investment, such as infrastructure and innovation, while avoiding excessive deficits that may lead to economic instability.</w:t>
      </w:r>
    </w:p>
    <w:p w14:paraId="63E9C4B2" w14:textId="77777777" w:rsidR="000929ED" w:rsidRPr="000929ED" w:rsidRDefault="000929ED" w:rsidP="000929ED">
      <w:pPr>
        <w:numPr>
          <w:ilvl w:val="0"/>
          <w:numId w:val="2"/>
        </w:numPr>
        <w:jc w:val="both"/>
        <w:rPr>
          <w:rFonts w:ascii="Times New Roman" w:hAnsi="Times New Roman" w:cs="Times New Roman"/>
          <w:sz w:val="24"/>
          <w:szCs w:val="24"/>
        </w:rPr>
      </w:pPr>
      <w:r w:rsidRPr="000929ED">
        <w:rPr>
          <w:rFonts w:ascii="Times New Roman" w:hAnsi="Times New Roman" w:cs="Times New Roman"/>
          <w:b/>
          <w:bCs/>
          <w:sz w:val="24"/>
          <w:szCs w:val="24"/>
        </w:rPr>
        <w:t>Macroeconomic Stability</w:t>
      </w:r>
      <w:r w:rsidRPr="000929ED">
        <w:rPr>
          <w:rFonts w:ascii="Times New Roman" w:hAnsi="Times New Roman" w:cs="Times New Roman"/>
          <w:sz w:val="24"/>
          <w:szCs w:val="24"/>
        </w:rPr>
        <w:t xml:space="preserve"> – Given the mixed effects of inflation and exchange rates, governments should adopt policies that stabilize macroeconomic conditions, ensuring a predictable investment climate.</w:t>
      </w:r>
    </w:p>
    <w:p w14:paraId="37E07F00" w14:textId="72C199BC" w:rsidR="00A0190E" w:rsidRPr="000929ED" w:rsidRDefault="000929ED" w:rsidP="000929ED">
      <w:pPr>
        <w:numPr>
          <w:ilvl w:val="0"/>
          <w:numId w:val="2"/>
        </w:numPr>
        <w:jc w:val="both"/>
        <w:rPr>
          <w:rFonts w:ascii="Times New Roman" w:hAnsi="Times New Roman" w:cs="Times New Roman"/>
          <w:sz w:val="24"/>
          <w:szCs w:val="24"/>
        </w:rPr>
      </w:pPr>
      <w:r w:rsidRPr="000929ED">
        <w:rPr>
          <w:rFonts w:ascii="Times New Roman" w:hAnsi="Times New Roman" w:cs="Times New Roman"/>
          <w:b/>
          <w:bCs/>
          <w:sz w:val="24"/>
          <w:szCs w:val="24"/>
        </w:rPr>
        <w:t>Further Research on Expenditure Components</w:t>
      </w:r>
      <w:r w:rsidRPr="000929ED">
        <w:rPr>
          <w:rFonts w:ascii="Times New Roman" w:hAnsi="Times New Roman" w:cs="Times New Roman"/>
          <w:sz w:val="24"/>
          <w:szCs w:val="24"/>
        </w:rPr>
        <w:t xml:space="preserve"> – Policymakers and researchers should analyze how different parts of government expenditure—public consumption, investment, and fiscal balance—impact private investment to design more effective fiscal policies.</w:t>
      </w:r>
    </w:p>
    <w:p w14:paraId="327F7386" w14:textId="77777777" w:rsidR="00A0190E" w:rsidRDefault="00A0190E">
      <w:pPr>
        <w:rPr>
          <w:rFonts w:ascii="Times New Roman" w:hAnsi="Times New Roman" w:cs="Times New Roman"/>
          <w:sz w:val="24"/>
          <w:szCs w:val="24"/>
        </w:rPr>
      </w:pPr>
    </w:p>
    <w:p w14:paraId="62A31529" w14:textId="77777777" w:rsidR="00A0190E" w:rsidRDefault="00A0190E">
      <w:pPr>
        <w:rPr>
          <w:rFonts w:ascii="Times New Roman" w:hAnsi="Times New Roman" w:cs="Times New Roman"/>
          <w:sz w:val="24"/>
          <w:szCs w:val="24"/>
        </w:rPr>
      </w:pPr>
    </w:p>
    <w:p w14:paraId="4A99CF91" w14:textId="77777777" w:rsidR="00A0190E" w:rsidRDefault="00A0190E">
      <w:pPr>
        <w:rPr>
          <w:rFonts w:ascii="Times New Roman" w:hAnsi="Times New Roman" w:cs="Times New Roman"/>
          <w:sz w:val="24"/>
          <w:szCs w:val="24"/>
        </w:rPr>
      </w:pPr>
    </w:p>
    <w:p w14:paraId="29F9E7BB" w14:textId="77777777" w:rsidR="00A0190E" w:rsidRDefault="00A0190E">
      <w:pPr>
        <w:rPr>
          <w:rFonts w:ascii="Times New Roman" w:hAnsi="Times New Roman" w:cs="Times New Roman"/>
          <w:sz w:val="24"/>
          <w:szCs w:val="24"/>
        </w:rPr>
      </w:pPr>
    </w:p>
    <w:p w14:paraId="4F240E2A" w14:textId="77777777" w:rsidR="00A0190E" w:rsidRDefault="00A0190E">
      <w:pPr>
        <w:rPr>
          <w:rFonts w:ascii="Times New Roman" w:hAnsi="Times New Roman" w:cs="Times New Roman"/>
          <w:sz w:val="24"/>
          <w:szCs w:val="24"/>
        </w:rPr>
      </w:pPr>
    </w:p>
    <w:p w14:paraId="3AAA585E" w14:textId="2A6711D6" w:rsidR="00142BF3" w:rsidRDefault="00142BF3" w:rsidP="00A0190E">
      <w:pPr>
        <w:pStyle w:val="Heading1"/>
      </w:pPr>
      <w:r>
        <w:lastRenderedPageBreak/>
        <w:t xml:space="preserve">Appendix </w:t>
      </w:r>
    </w:p>
    <w:p w14:paraId="2ED4BBB6" w14:textId="404818EC" w:rsidR="00446127" w:rsidRDefault="00F746AE" w:rsidP="00F746AE">
      <w:pPr>
        <w:pStyle w:val="Caption"/>
        <w:rPr>
          <w:rFonts w:cs="Times New Roman"/>
          <w:sz w:val="24"/>
          <w:szCs w:val="24"/>
        </w:rPr>
      </w:pPr>
      <w:bookmarkStart w:id="2" w:name="_Ref191664194"/>
      <w:r>
        <w:t xml:space="preserve">Appendix </w:t>
      </w:r>
      <w:fldSimple w:instr=" SEQ Appendix \* ARABIC ">
        <w:r w:rsidR="00D228CC">
          <w:rPr>
            <w:noProof/>
          </w:rPr>
          <w:t>1</w:t>
        </w:r>
      </w:fldSimple>
      <w:bookmarkEnd w:id="2"/>
      <w:r>
        <w:t>. Investment vs Real interest rate</w:t>
      </w:r>
    </w:p>
    <w:tbl>
      <w:tblPr>
        <w:tblStyle w:val="PlainTable2"/>
        <w:tblW w:w="6867" w:type="dxa"/>
        <w:jc w:val="center"/>
        <w:tblLook w:val="04A0" w:firstRow="1" w:lastRow="0" w:firstColumn="1" w:lastColumn="0" w:noHBand="0" w:noVBand="1"/>
      </w:tblPr>
      <w:tblGrid>
        <w:gridCol w:w="2448"/>
        <w:gridCol w:w="1473"/>
        <w:gridCol w:w="1473"/>
        <w:gridCol w:w="1473"/>
      </w:tblGrid>
      <w:tr w:rsidR="00131E0E" w:rsidRPr="00DC5E88" w14:paraId="22FCA161" w14:textId="77777777" w:rsidTr="00131E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59E26D82" w14:textId="77777777" w:rsidR="00131E0E" w:rsidRPr="00DC5E88" w:rsidRDefault="00131E0E" w:rsidP="00903522">
            <w:pPr>
              <w:rPr>
                <w:rFonts w:ascii="Times New Roman" w:hAnsi="Times New Roman" w:cs="Times New Roman"/>
                <w:b w:val="0"/>
                <w:bCs w:val="0"/>
              </w:rPr>
            </w:pPr>
          </w:p>
        </w:tc>
        <w:tc>
          <w:tcPr>
            <w:tcW w:w="1473" w:type="dxa"/>
            <w:vAlign w:val="center"/>
          </w:tcPr>
          <w:p w14:paraId="5E900A63" w14:textId="77777777" w:rsidR="00131E0E" w:rsidRPr="00DC5E88" w:rsidRDefault="00131E0E" w:rsidP="00903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(1)</w:t>
            </w:r>
          </w:p>
        </w:tc>
        <w:tc>
          <w:tcPr>
            <w:tcW w:w="1473" w:type="dxa"/>
            <w:vAlign w:val="center"/>
          </w:tcPr>
          <w:p w14:paraId="56EB62F6" w14:textId="77777777" w:rsidR="00131E0E" w:rsidRPr="00DC5E88" w:rsidRDefault="00131E0E" w:rsidP="00903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(2)</w:t>
            </w:r>
          </w:p>
        </w:tc>
        <w:tc>
          <w:tcPr>
            <w:tcW w:w="1473" w:type="dxa"/>
            <w:vAlign w:val="center"/>
          </w:tcPr>
          <w:p w14:paraId="1F405FE5" w14:textId="77777777" w:rsidR="00131E0E" w:rsidRPr="00DC5E88" w:rsidRDefault="00131E0E" w:rsidP="00903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(3)</w:t>
            </w:r>
          </w:p>
        </w:tc>
      </w:tr>
      <w:tr w:rsidR="00131E0E" w:rsidRPr="00DC5E88" w14:paraId="6DA4DAAE"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6DA3FDDE" w14:textId="77777777" w:rsidR="00131E0E" w:rsidRPr="00DC5E88" w:rsidRDefault="00131E0E" w:rsidP="00131E0E">
            <w:pPr>
              <w:rPr>
                <w:rFonts w:ascii="Times New Roman" w:hAnsi="Times New Roman" w:cs="Times New Roman"/>
                <w:b w:val="0"/>
                <w:bCs w:val="0"/>
              </w:rPr>
            </w:pPr>
          </w:p>
        </w:tc>
        <w:tc>
          <w:tcPr>
            <w:tcW w:w="1473" w:type="dxa"/>
            <w:vAlign w:val="center"/>
          </w:tcPr>
          <w:p w14:paraId="474F1ABE" w14:textId="6FBDED6D" w:rsidR="00131E0E" w:rsidRPr="00DC5E88" w:rsidRDefault="00131E0E" w:rsidP="00131E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(1)</w:t>
            </w:r>
          </w:p>
        </w:tc>
        <w:tc>
          <w:tcPr>
            <w:tcW w:w="1473" w:type="dxa"/>
            <w:vAlign w:val="center"/>
          </w:tcPr>
          <w:p w14:paraId="40C1D6D8" w14:textId="644A6728" w:rsidR="00131E0E" w:rsidRPr="00DC5E88" w:rsidRDefault="00131E0E" w:rsidP="00131E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(2)</w:t>
            </w:r>
          </w:p>
        </w:tc>
        <w:tc>
          <w:tcPr>
            <w:tcW w:w="1473" w:type="dxa"/>
            <w:vAlign w:val="center"/>
          </w:tcPr>
          <w:p w14:paraId="675C04EB" w14:textId="15644D6A" w:rsidR="00131E0E" w:rsidRPr="00DC5E88" w:rsidRDefault="00131E0E" w:rsidP="00131E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(3)</w:t>
            </w:r>
          </w:p>
        </w:tc>
      </w:tr>
      <w:tr w:rsidR="00131E0E" w:rsidRPr="00DC5E88" w14:paraId="58E20DC7"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bottom w:val="nil"/>
            </w:tcBorders>
          </w:tcPr>
          <w:p w14:paraId="50C7D24A" w14:textId="62DB0A16" w:rsidR="00131E0E" w:rsidRPr="00DC5E88" w:rsidRDefault="00131E0E" w:rsidP="00131E0E">
            <w:pPr>
              <w:rPr>
                <w:rFonts w:ascii="Times New Roman" w:hAnsi="Times New Roman" w:cs="Times New Roman"/>
                <w:b w:val="0"/>
                <w:bCs w:val="0"/>
              </w:rPr>
            </w:pPr>
            <w:r>
              <w:rPr>
                <w:rFonts w:ascii="Times New Roman" w:hAnsi="Times New Roman" w:cs="Times New Roman"/>
                <w:b w:val="0"/>
                <w:bCs w:val="0"/>
              </w:rPr>
              <w:t>Real Interest rate</w:t>
            </w:r>
          </w:p>
        </w:tc>
        <w:tc>
          <w:tcPr>
            <w:tcW w:w="1473" w:type="dxa"/>
            <w:tcBorders>
              <w:bottom w:val="nil"/>
            </w:tcBorders>
          </w:tcPr>
          <w:p w14:paraId="1CDB48BC" w14:textId="0723C046"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BD1900">
              <w:rPr>
                <w:rFonts w:ascii="Times New Roman" w:hAnsi="Times New Roman" w:cs="Times New Roman"/>
              </w:rPr>
              <w:t>025</w:t>
            </w:r>
          </w:p>
        </w:tc>
        <w:tc>
          <w:tcPr>
            <w:tcW w:w="1473" w:type="dxa"/>
            <w:tcBorders>
              <w:bottom w:val="nil"/>
            </w:tcBorders>
          </w:tcPr>
          <w:p w14:paraId="238224B2" w14:textId="64441D58"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BD1900">
              <w:rPr>
                <w:rFonts w:ascii="Times New Roman" w:hAnsi="Times New Roman" w:cs="Times New Roman"/>
              </w:rPr>
              <w:t>016</w:t>
            </w:r>
          </w:p>
        </w:tc>
        <w:tc>
          <w:tcPr>
            <w:tcW w:w="1473" w:type="dxa"/>
            <w:tcBorders>
              <w:bottom w:val="nil"/>
            </w:tcBorders>
          </w:tcPr>
          <w:p w14:paraId="52C696AE" w14:textId="67277F8D"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BD1900">
              <w:rPr>
                <w:rFonts w:ascii="Times New Roman" w:hAnsi="Times New Roman" w:cs="Times New Roman"/>
              </w:rPr>
              <w:t>011</w:t>
            </w:r>
          </w:p>
        </w:tc>
      </w:tr>
      <w:tr w:rsidR="00131E0E" w:rsidRPr="00DC5E88" w14:paraId="7FBF38CD"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73377131" w14:textId="43B75A29" w:rsidR="00131E0E" w:rsidRPr="00DC5E88" w:rsidRDefault="00131E0E" w:rsidP="00131E0E">
            <w:pPr>
              <w:rPr>
                <w:rFonts w:ascii="Times New Roman" w:hAnsi="Times New Roman" w:cs="Times New Roman"/>
                <w:b w:val="0"/>
                <w:bCs w:val="0"/>
              </w:rPr>
            </w:pPr>
          </w:p>
        </w:tc>
        <w:tc>
          <w:tcPr>
            <w:tcW w:w="1473" w:type="dxa"/>
            <w:tcBorders>
              <w:top w:val="nil"/>
              <w:bottom w:val="nil"/>
            </w:tcBorders>
          </w:tcPr>
          <w:p w14:paraId="30FE6634" w14:textId="3CFA9C04"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BD1900">
              <w:rPr>
                <w:rFonts w:ascii="Times New Roman" w:hAnsi="Times New Roman" w:cs="Times New Roman"/>
              </w:rPr>
              <w:t>20</w:t>
            </w:r>
            <w:r w:rsidRPr="00DC5E88">
              <w:rPr>
                <w:rFonts w:ascii="Times New Roman" w:hAnsi="Times New Roman" w:cs="Times New Roman"/>
              </w:rPr>
              <w:t>)</w:t>
            </w:r>
          </w:p>
        </w:tc>
        <w:tc>
          <w:tcPr>
            <w:tcW w:w="1473" w:type="dxa"/>
            <w:tcBorders>
              <w:top w:val="nil"/>
              <w:bottom w:val="nil"/>
            </w:tcBorders>
          </w:tcPr>
          <w:p w14:paraId="2AA3A70B" w14:textId="2771E205"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BD1900">
              <w:rPr>
                <w:rFonts w:ascii="Times New Roman" w:hAnsi="Times New Roman" w:cs="Times New Roman"/>
              </w:rPr>
              <w:t>20</w:t>
            </w:r>
            <w:r w:rsidRPr="00DC5E88">
              <w:rPr>
                <w:rFonts w:ascii="Times New Roman" w:hAnsi="Times New Roman" w:cs="Times New Roman"/>
              </w:rPr>
              <w:t>)</w:t>
            </w:r>
          </w:p>
        </w:tc>
        <w:tc>
          <w:tcPr>
            <w:tcW w:w="1473" w:type="dxa"/>
            <w:tcBorders>
              <w:top w:val="nil"/>
              <w:bottom w:val="nil"/>
            </w:tcBorders>
          </w:tcPr>
          <w:p w14:paraId="634C15C7" w14:textId="1C1CDC35"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BD1900">
              <w:rPr>
                <w:rFonts w:ascii="Times New Roman" w:hAnsi="Times New Roman" w:cs="Times New Roman"/>
              </w:rPr>
              <w:t>2</w:t>
            </w:r>
            <w:r w:rsidRPr="00DC5E88">
              <w:rPr>
                <w:rFonts w:ascii="Times New Roman" w:hAnsi="Times New Roman" w:cs="Times New Roman"/>
              </w:rPr>
              <w:t>0)</w:t>
            </w:r>
          </w:p>
        </w:tc>
      </w:tr>
      <w:tr w:rsidR="00131E0E" w:rsidRPr="00DC5E88" w14:paraId="44503B96"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65F2FAB8"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GDP growth</w:t>
            </w:r>
          </w:p>
        </w:tc>
        <w:tc>
          <w:tcPr>
            <w:tcW w:w="1473" w:type="dxa"/>
            <w:tcBorders>
              <w:top w:val="nil"/>
              <w:bottom w:val="nil"/>
            </w:tcBorders>
          </w:tcPr>
          <w:p w14:paraId="35895490"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07DEB7B" w14:textId="364D5042"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BD1900">
              <w:rPr>
                <w:rFonts w:ascii="Times New Roman" w:hAnsi="Times New Roman" w:cs="Times New Roman"/>
              </w:rPr>
              <w:t>162</w:t>
            </w:r>
            <w:r w:rsidRPr="00DC5E88">
              <w:rPr>
                <w:rFonts w:ascii="Times New Roman" w:hAnsi="Times New Roman" w:cs="Times New Roman"/>
              </w:rPr>
              <w:t>**</w:t>
            </w:r>
          </w:p>
        </w:tc>
        <w:tc>
          <w:tcPr>
            <w:tcW w:w="1473" w:type="dxa"/>
            <w:tcBorders>
              <w:top w:val="nil"/>
              <w:bottom w:val="nil"/>
            </w:tcBorders>
          </w:tcPr>
          <w:p w14:paraId="29BFBF5A" w14:textId="3149D72B"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BD1900">
              <w:rPr>
                <w:rFonts w:ascii="Times New Roman" w:hAnsi="Times New Roman" w:cs="Times New Roman"/>
              </w:rPr>
              <w:t>164</w:t>
            </w:r>
            <w:r w:rsidRPr="00DC5E88">
              <w:rPr>
                <w:rFonts w:ascii="Times New Roman" w:hAnsi="Times New Roman" w:cs="Times New Roman"/>
              </w:rPr>
              <w:t>*</w:t>
            </w:r>
          </w:p>
        </w:tc>
      </w:tr>
      <w:tr w:rsidR="00131E0E" w:rsidRPr="00DC5E88" w14:paraId="6DBDF944"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550AD4A4" w14:textId="77777777" w:rsidR="00131E0E" w:rsidRPr="00DC5E88" w:rsidRDefault="00131E0E" w:rsidP="00131E0E">
            <w:pPr>
              <w:rPr>
                <w:rFonts w:ascii="Times New Roman" w:hAnsi="Times New Roman" w:cs="Times New Roman"/>
                <w:b w:val="0"/>
                <w:bCs w:val="0"/>
              </w:rPr>
            </w:pPr>
          </w:p>
        </w:tc>
        <w:tc>
          <w:tcPr>
            <w:tcW w:w="1473" w:type="dxa"/>
            <w:tcBorders>
              <w:top w:val="nil"/>
              <w:bottom w:val="nil"/>
            </w:tcBorders>
          </w:tcPr>
          <w:p w14:paraId="1B8C67AE"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472385A" w14:textId="5F4421FD"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BD1900">
              <w:rPr>
                <w:rFonts w:ascii="Times New Roman" w:hAnsi="Times New Roman" w:cs="Times New Roman"/>
              </w:rPr>
              <w:t>79</w:t>
            </w:r>
            <w:r w:rsidRPr="00DC5E88">
              <w:rPr>
                <w:rFonts w:ascii="Times New Roman" w:hAnsi="Times New Roman" w:cs="Times New Roman"/>
              </w:rPr>
              <w:t>)</w:t>
            </w:r>
          </w:p>
        </w:tc>
        <w:tc>
          <w:tcPr>
            <w:tcW w:w="1473" w:type="dxa"/>
            <w:tcBorders>
              <w:top w:val="nil"/>
              <w:bottom w:val="nil"/>
            </w:tcBorders>
          </w:tcPr>
          <w:p w14:paraId="5CE8D319" w14:textId="271AA49B"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450D98">
              <w:rPr>
                <w:rFonts w:ascii="Times New Roman" w:hAnsi="Times New Roman" w:cs="Times New Roman"/>
              </w:rPr>
              <w:t>86</w:t>
            </w:r>
            <w:r w:rsidRPr="00DC5E88">
              <w:rPr>
                <w:rFonts w:ascii="Times New Roman" w:hAnsi="Times New Roman" w:cs="Times New Roman"/>
              </w:rPr>
              <w:t>)</w:t>
            </w:r>
          </w:p>
        </w:tc>
      </w:tr>
      <w:tr w:rsidR="00131E0E" w:rsidRPr="00DC5E88" w14:paraId="6AC04328"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2C108790"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Openness</w:t>
            </w:r>
          </w:p>
        </w:tc>
        <w:tc>
          <w:tcPr>
            <w:tcW w:w="1473" w:type="dxa"/>
            <w:tcBorders>
              <w:top w:val="nil"/>
              <w:bottom w:val="nil"/>
            </w:tcBorders>
          </w:tcPr>
          <w:p w14:paraId="112D5B7C"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141B520E" w14:textId="3567E68E"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w:t>
            </w:r>
            <w:r w:rsidR="00450D98">
              <w:rPr>
                <w:rFonts w:ascii="Times New Roman" w:hAnsi="Times New Roman" w:cs="Times New Roman"/>
              </w:rPr>
              <w:t>14</w:t>
            </w:r>
          </w:p>
        </w:tc>
        <w:tc>
          <w:tcPr>
            <w:tcW w:w="1473" w:type="dxa"/>
            <w:tcBorders>
              <w:top w:val="nil"/>
              <w:bottom w:val="nil"/>
            </w:tcBorders>
          </w:tcPr>
          <w:p w14:paraId="7727AACA" w14:textId="071D701E" w:rsidR="00131E0E" w:rsidRPr="00DC5E88" w:rsidRDefault="00450D98"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131E0E" w:rsidRPr="00DC5E88">
              <w:rPr>
                <w:rFonts w:ascii="Times New Roman" w:hAnsi="Times New Roman" w:cs="Times New Roman"/>
              </w:rPr>
              <w:t>0.0</w:t>
            </w:r>
            <w:r>
              <w:rPr>
                <w:rFonts w:ascii="Times New Roman" w:hAnsi="Times New Roman" w:cs="Times New Roman"/>
              </w:rPr>
              <w:t>16</w:t>
            </w:r>
          </w:p>
        </w:tc>
      </w:tr>
      <w:tr w:rsidR="00131E0E" w:rsidRPr="00DC5E88" w14:paraId="6587E4D4"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6CDD4FE3" w14:textId="77777777" w:rsidR="00131E0E" w:rsidRPr="00DC5E88" w:rsidRDefault="00131E0E" w:rsidP="00131E0E">
            <w:pPr>
              <w:rPr>
                <w:rFonts w:ascii="Times New Roman" w:hAnsi="Times New Roman" w:cs="Times New Roman"/>
                <w:b w:val="0"/>
                <w:bCs w:val="0"/>
              </w:rPr>
            </w:pPr>
          </w:p>
        </w:tc>
        <w:tc>
          <w:tcPr>
            <w:tcW w:w="1473" w:type="dxa"/>
            <w:tcBorders>
              <w:top w:val="nil"/>
              <w:bottom w:val="nil"/>
            </w:tcBorders>
          </w:tcPr>
          <w:p w14:paraId="014EA90F"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41B86603" w14:textId="5F768FD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w:t>
            </w:r>
            <w:r w:rsidR="00450D98">
              <w:rPr>
                <w:rFonts w:ascii="Times New Roman" w:hAnsi="Times New Roman" w:cs="Times New Roman"/>
              </w:rPr>
              <w:t>8</w:t>
            </w:r>
            <w:r w:rsidRPr="00DC5E88">
              <w:rPr>
                <w:rFonts w:ascii="Times New Roman" w:hAnsi="Times New Roman" w:cs="Times New Roman"/>
              </w:rPr>
              <w:t>)</w:t>
            </w:r>
          </w:p>
        </w:tc>
        <w:tc>
          <w:tcPr>
            <w:tcW w:w="1473" w:type="dxa"/>
            <w:tcBorders>
              <w:top w:val="nil"/>
              <w:bottom w:val="nil"/>
            </w:tcBorders>
          </w:tcPr>
          <w:p w14:paraId="5A2E5875"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(0.016)</w:t>
            </w:r>
          </w:p>
        </w:tc>
      </w:tr>
      <w:tr w:rsidR="00131E0E" w:rsidRPr="00DC5E88" w14:paraId="5A053BFD"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296278DA"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Inflation</w:t>
            </w:r>
          </w:p>
        </w:tc>
        <w:tc>
          <w:tcPr>
            <w:tcW w:w="1473" w:type="dxa"/>
            <w:tcBorders>
              <w:top w:val="nil"/>
              <w:bottom w:val="nil"/>
            </w:tcBorders>
          </w:tcPr>
          <w:p w14:paraId="41C302E2"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1528113"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052EA21A"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r>
      <w:tr w:rsidR="00131E0E" w:rsidRPr="00DC5E88" w14:paraId="5E21C845"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15DB3839" w14:textId="77777777" w:rsidR="00131E0E" w:rsidRPr="00DC5E88" w:rsidRDefault="00131E0E" w:rsidP="00131E0E">
            <w:pPr>
              <w:rPr>
                <w:rFonts w:ascii="Times New Roman" w:hAnsi="Times New Roman" w:cs="Times New Roman"/>
                <w:b w:val="0"/>
                <w:bCs w:val="0"/>
              </w:rPr>
            </w:pPr>
          </w:p>
        </w:tc>
        <w:tc>
          <w:tcPr>
            <w:tcW w:w="1473" w:type="dxa"/>
            <w:tcBorders>
              <w:top w:val="nil"/>
              <w:bottom w:val="nil"/>
            </w:tcBorders>
          </w:tcPr>
          <w:p w14:paraId="160897FC"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62BB57A4"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481E1827"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(0.000)</w:t>
            </w:r>
          </w:p>
        </w:tc>
      </w:tr>
      <w:tr w:rsidR="00131E0E" w:rsidRPr="00DC5E88" w14:paraId="110F2387"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510CE6B1"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Log of exchange rate</w:t>
            </w:r>
          </w:p>
        </w:tc>
        <w:tc>
          <w:tcPr>
            <w:tcW w:w="1473" w:type="dxa"/>
            <w:tcBorders>
              <w:top w:val="nil"/>
              <w:bottom w:val="nil"/>
            </w:tcBorders>
          </w:tcPr>
          <w:p w14:paraId="76FAF627"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14C23EEA"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3" w:type="dxa"/>
            <w:tcBorders>
              <w:top w:val="nil"/>
              <w:bottom w:val="nil"/>
            </w:tcBorders>
          </w:tcPr>
          <w:p w14:paraId="7AF45D83" w14:textId="05D10966"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0.4</w:t>
            </w:r>
            <w:r w:rsidR="00450D98">
              <w:rPr>
                <w:rFonts w:ascii="Times New Roman" w:hAnsi="Times New Roman" w:cs="Times New Roman"/>
              </w:rPr>
              <w:t>28</w:t>
            </w:r>
          </w:p>
        </w:tc>
      </w:tr>
      <w:tr w:rsidR="00131E0E" w:rsidRPr="00DC5E88" w14:paraId="701BDB41"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tcBorders>
          </w:tcPr>
          <w:p w14:paraId="0CD2B1A9" w14:textId="77777777" w:rsidR="00131E0E" w:rsidRPr="00DC5E88" w:rsidRDefault="00131E0E" w:rsidP="00131E0E">
            <w:pPr>
              <w:rPr>
                <w:rFonts w:ascii="Times New Roman" w:hAnsi="Times New Roman" w:cs="Times New Roman"/>
                <w:b w:val="0"/>
                <w:bCs w:val="0"/>
              </w:rPr>
            </w:pPr>
          </w:p>
        </w:tc>
        <w:tc>
          <w:tcPr>
            <w:tcW w:w="1473" w:type="dxa"/>
            <w:tcBorders>
              <w:top w:val="nil"/>
            </w:tcBorders>
          </w:tcPr>
          <w:p w14:paraId="09F65C0B"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tcBorders>
          </w:tcPr>
          <w:p w14:paraId="4B35B596"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3" w:type="dxa"/>
            <w:tcBorders>
              <w:top w:val="nil"/>
            </w:tcBorders>
          </w:tcPr>
          <w:p w14:paraId="6684200B" w14:textId="21FD06EC"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(0.</w:t>
            </w:r>
            <w:r w:rsidR="00847412">
              <w:rPr>
                <w:rFonts w:ascii="Times New Roman" w:hAnsi="Times New Roman" w:cs="Times New Roman"/>
              </w:rPr>
              <w:t>295</w:t>
            </w:r>
            <w:r w:rsidRPr="00DC5E88">
              <w:rPr>
                <w:rFonts w:ascii="Times New Roman" w:hAnsi="Times New Roman" w:cs="Times New Roman"/>
              </w:rPr>
              <w:t>)</w:t>
            </w:r>
          </w:p>
        </w:tc>
      </w:tr>
      <w:tr w:rsidR="00131E0E" w:rsidRPr="00DC5E88" w14:paraId="33A3CEC3"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bottom w:val="nil"/>
            </w:tcBorders>
          </w:tcPr>
          <w:p w14:paraId="77B739DB"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Year fixed effect</w:t>
            </w:r>
          </w:p>
        </w:tc>
        <w:tc>
          <w:tcPr>
            <w:tcW w:w="1473" w:type="dxa"/>
            <w:tcBorders>
              <w:bottom w:val="nil"/>
            </w:tcBorders>
          </w:tcPr>
          <w:p w14:paraId="4B338077"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bottom w:val="nil"/>
            </w:tcBorders>
          </w:tcPr>
          <w:p w14:paraId="11D44374"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bottom w:val="nil"/>
            </w:tcBorders>
          </w:tcPr>
          <w:p w14:paraId="172C7409" w14:textId="77777777"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r>
      <w:tr w:rsidR="00131E0E" w:rsidRPr="00DC5E88" w14:paraId="0FE7A725"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2E3FD739"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Country fixed effect</w:t>
            </w:r>
          </w:p>
        </w:tc>
        <w:tc>
          <w:tcPr>
            <w:tcW w:w="1473" w:type="dxa"/>
            <w:tcBorders>
              <w:top w:val="nil"/>
              <w:bottom w:val="nil"/>
            </w:tcBorders>
          </w:tcPr>
          <w:p w14:paraId="62306B04"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top w:val="nil"/>
              <w:bottom w:val="nil"/>
            </w:tcBorders>
          </w:tcPr>
          <w:p w14:paraId="768652F7"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c>
          <w:tcPr>
            <w:tcW w:w="1473" w:type="dxa"/>
            <w:tcBorders>
              <w:top w:val="nil"/>
              <w:bottom w:val="nil"/>
            </w:tcBorders>
          </w:tcPr>
          <w:p w14:paraId="1A29B7C2" w14:textId="77777777" w:rsidR="00131E0E" w:rsidRPr="00DC5E88" w:rsidRDefault="00131E0E"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5E88">
              <w:rPr>
                <w:rFonts w:ascii="Times New Roman" w:hAnsi="Times New Roman" w:cs="Times New Roman"/>
              </w:rPr>
              <w:t>Yes</w:t>
            </w:r>
          </w:p>
        </w:tc>
      </w:tr>
      <w:tr w:rsidR="00131E0E" w:rsidRPr="00DC5E88" w14:paraId="35A78186"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4503E2CD"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 xml:space="preserve">Observations </w:t>
            </w:r>
          </w:p>
        </w:tc>
        <w:tc>
          <w:tcPr>
            <w:tcW w:w="1473" w:type="dxa"/>
            <w:tcBorders>
              <w:top w:val="nil"/>
              <w:bottom w:val="nil"/>
            </w:tcBorders>
          </w:tcPr>
          <w:p w14:paraId="41209A54" w14:textId="536C45DA" w:rsidR="00131E0E" w:rsidRPr="00DC5E88" w:rsidRDefault="00847412"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131E0E">
              <w:rPr>
                <w:rFonts w:ascii="Times New Roman" w:hAnsi="Times New Roman" w:cs="Times New Roman"/>
              </w:rPr>
              <w:t>,</w:t>
            </w:r>
            <w:r>
              <w:rPr>
                <w:rFonts w:ascii="Times New Roman" w:hAnsi="Times New Roman" w:cs="Times New Roman"/>
              </w:rPr>
              <w:t>396</w:t>
            </w:r>
          </w:p>
        </w:tc>
        <w:tc>
          <w:tcPr>
            <w:tcW w:w="1473" w:type="dxa"/>
            <w:tcBorders>
              <w:top w:val="nil"/>
              <w:bottom w:val="nil"/>
            </w:tcBorders>
          </w:tcPr>
          <w:p w14:paraId="1ACD69C6" w14:textId="4B2E3336" w:rsidR="00131E0E" w:rsidRPr="00DC5E88" w:rsidRDefault="00847412"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131E0E">
              <w:rPr>
                <w:rFonts w:ascii="Times New Roman" w:hAnsi="Times New Roman" w:cs="Times New Roman"/>
              </w:rPr>
              <w:t>,</w:t>
            </w:r>
            <w:r w:rsidR="00D239F1">
              <w:rPr>
                <w:rFonts w:ascii="Times New Roman" w:hAnsi="Times New Roman" w:cs="Times New Roman"/>
              </w:rPr>
              <w:t>374</w:t>
            </w:r>
          </w:p>
        </w:tc>
        <w:tc>
          <w:tcPr>
            <w:tcW w:w="1473" w:type="dxa"/>
            <w:tcBorders>
              <w:top w:val="nil"/>
              <w:bottom w:val="nil"/>
            </w:tcBorders>
          </w:tcPr>
          <w:p w14:paraId="555FA1ED" w14:textId="22588B1C" w:rsidR="00131E0E" w:rsidRPr="00DC5E88" w:rsidRDefault="00C06909"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2,255</w:t>
            </w:r>
          </w:p>
        </w:tc>
      </w:tr>
      <w:tr w:rsidR="00131E0E" w:rsidRPr="00DC5E88" w14:paraId="59B17CF5" w14:textId="77777777" w:rsidTr="00131E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bottom w:val="nil"/>
            </w:tcBorders>
          </w:tcPr>
          <w:p w14:paraId="7620B723"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Number of groups</w:t>
            </w:r>
          </w:p>
        </w:tc>
        <w:tc>
          <w:tcPr>
            <w:tcW w:w="1473" w:type="dxa"/>
            <w:tcBorders>
              <w:top w:val="nil"/>
              <w:bottom w:val="nil"/>
            </w:tcBorders>
          </w:tcPr>
          <w:p w14:paraId="601EA22A" w14:textId="7E6C3493" w:rsidR="00131E0E" w:rsidRPr="00DC5E88" w:rsidRDefault="00C06909"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473" w:type="dxa"/>
            <w:tcBorders>
              <w:top w:val="nil"/>
              <w:bottom w:val="nil"/>
            </w:tcBorders>
          </w:tcPr>
          <w:p w14:paraId="12400731" w14:textId="33BEF0CE" w:rsidR="00131E0E" w:rsidRPr="00DC5E88" w:rsidRDefault="00C06909"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w:t>
            </w:r>
          </w:p>
        </w:tc>
        <w:tc>
          <w:tcPr>
            <w:tcW w:w="1473" w:type="dxa"/>
            <w:tcBorders>
              <w:top w:val="nil"/>
              <w:bottom w:val="nil"/>
            </w:tcBorders>
          </w:tcPr>
          <w:p w14:paraId="3D60A5CA" w14:textId="5DC5A49F" w:rsidR="00131E0E" w:rsidRPr="00DC5E88" w:rsidRDefault="00C06909" w:rsidP="00131E0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r>
      <w:tr w:rsidR="00131E0E" w:rsidRPr="00DC5E88" w14:paraId="38358782" w14:textId="77777777" w:rsidTr="00131E0E">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nil"/>
            </w:tcBorders>
          </w:tcPr>
          <w:p w14:paraId="0913B50D" w14:textId="77777777" w:rsidR="00131E0E" w:rsidRPr="00DC5E88" w:rsidRDefault="00131E0E" w:rsidP="00131E0E">
            <w:pPr>
              <w:rPr>
                <w:rFonts w:ascii="Times New Roman" w:hAnsi="Times New Roman" w:cs="Times New Roman"/>
                <w:b w:val="0"/>
                <w:bCs w:val="0"/>
              </w:rPr>
            </w:pPr>
            <w:r w:rsidRPr="00DC5E88">
              <w:rPr>
                <w:rFonts w:ascii="Times New Roman" w:hAnsi="Times New Roman" w:cs="Times New Roman"/>
                <w:b w:val="0"/>
                <w:bCs w:val="0"/>
              </w:rPr>
              <w:t>R-squared</w:t>
            </w:r>
          </w:p>
        </w:tc>
        <w:tc>
          <w:tcPr>
            <w:tcW w:w="1473" w:type="dxa"/>
            <w:tcBorders>
              <w:top w:val="nil"/>
            </w:tcBorders>
          </w:tcPr>
          <w:p w14:paraId="5415695F" w14:textId="5E2569D1"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06909">
              <w:rPr>
                <w:rFonts w:ascii="Times New Roman" w:hAnsi="Times New Roman" w:cs="Times New Roman"/>
              </w:rPr>
              <w:t>02</w:t>
            </w:r>
          </w:p>
        </w:tc>
        <w:tc>
          <w:tcPr>
            <w:tcW w:w="1473" w:type="dxa"/>
            <w:tcBorders>
              <w:top w:val="nil"/>
            </w:tcBorders>
          </w:tcPr>
          <w:p w14:paraId="54783D73" w14:textId="1343A509"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06909">
              <w:rPr>
                <w:rFonts w:ascii="Times New Roman" w:hAnsi="Times New Roman" w:cs="Times New Roman"/>
              </w:rPr>
              <w:t>23</w:t>
            </w:r>
          </w:p>
        </w:tc>
        <w:tc>
          <w:tcPr>
            <w:tcW w:w="1473" w:type="dxa"/>
            <w:tcBorders>
              <w:top w:val="nil"/>
            </w:tcBorders>
          </w:tcPr>
          <w:p w14:paraId="23DA39C0" w14:textId="31FB748E" w:rsidR="00131E0E" w:rsidRPr="00DC5E88" w:rsidRDefault="00131E0E" w:rsidP="00131E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r w:rsidR="00C06909">
              <w:rPr>
                <w:rFonts w:ascii="Times New Roman" w:hAnsi="Times New Roman" w:cs="Times New Roman"/>
              </w:rPr>
              <w:t>26</w:t>
            </w:r>
          </w:p>
        </w:tc>
      </w:tr>
    </w:tbl>
    <w:p w14:paraId="5D61BF71" w14:textId="0D8FE009" w:rsidR="00142BF3" w:rsidRPr="00366E53" w:rsidRDefault="00446127" w:rsidP="00366E53">
      <w:pPr>
        <w:jc w:val="right"/>
        <w:rPr>
          <w:rFonts w:ascii="Times New Roman" w:hAnsi="Times New Roman" w:cs="Times New Roman"/>
        </w:rPr>
      </w:pPr>
      <w:r w:rsidRPr="00566888">
        <w:rPr>
          <w:rFonts w:ascii="Times New Roman" w:hAnsi="Times New Roman" w:cs="Times New Roman"/>
          <w:vertAlign w:val="superscript"/>
        </w:rPr>
        <w:t>*</w:t>
      </w:r>
      <w:r w:rsidRPr="00566888">
        <w:rPr>
          <w:rFonts w:ascii="Times New Roman" w:hAnsi="Times New Roman" w:cs="Times New Roman"/>
        </w:rPr>
        <w:t>p&lt;0.1; </w:t>
      </w:r>
      <w:r w:rsidRPr="00566888">
        <w:rPr>
          <w:rFonts w:ascii="Times New Roman" w:hAnsi="Times New Roman" w:cs="Times New Roman"/>
          <w:vertAlign w:val="superscript"/>
        </w:rPr>
        <w:t>**</w:t>
      </w:r>
      <w:r w:rsidRPr="00566888">
        <w:rPr>
          <w:rFonts w:ascii="Times New Roman" w:hAnsi="Times New Roman" w:cs="Times New Roman"/>
        </w:rPr>
        <w:t>p&lt;0.05; </w:t>
      </w:r>
      <w:r w:rsidRPr="00566888">
        <w:rPr>
          <w:rFonts w:ascii="Times New Roman" w:hAnsi="Times New Roman" w:cs="Times New Roman"/>
          <w:vertAlign w:val="superscript"/>
        </w:rPr>
        <w:t>***</w:t>
      </w:r>
      <w:r w:rsidRPr="00566888">
        <w:rPr>
          <w:rFonts w:ascii="Times New Roman" w:hAnsi="Times New Roman" w:cs="Times New Roman"/>
        </w:rPr>
        <w:t>p&lt;0.01</w:t>
      </w:r>
    </w:p>
    <w:p w14:paraId="7CAB1EA7" w14:textId="77777777" w:rsidR="00016822" w:rsidRPr="00366E53" w:rsidRDefault="00016822">
      <w:pPr>
        <w:jc w:val="right"/>
        <w:rPr>
          <w:rFonts w:ascii="Times New Roman" w:hAnsi="Times New Roman" w:cs="Times New Roman"/>
        </w:rPr>
      </w:pPr>
    </w:p>
    <w:sectPr w:rsidR="00016822" w:rsidRPr="0036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1086D"/>
    <w:multiLevelType w:val="hybridMultilevel"/>
    <w:tmpl w:val="CFE2C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7E256E"/>
    <w:multiLevelType w:val="multilevel"/>
    <w:tmpl w:val="584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304189">
    <w:abstractNumId w:val="0"/>
  </w:num>
  <w:num w:numId="2" w16cid:durableId="23215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3037"/>
    <w:rsid w:val="00005736"/>
    <w:rsid w:val="00016822"/>
    <w:rsid w:val="0002191E"/>
    <w:rsid w:val="00034FA3"/>
    <w:rsid w:val="00053C05"/>
    <w:rsid w:val="000929ED"/>
    <w:rsid w:val="00097DCB"/>
    <w:rsid w:val="000A22F0"/>
    <w:rsid w:val="000B231B"/>
    <w:rsid w:val="000C7F7A"/>
    <w:rsid w:val="000D65BA"/>
    <w:rsid w:val="000D6F6E"/>
    <w:rsid w:val="000E1FB5"/>
    <w:rsid w:val="000E3037"/>
    <w:rsid w:val="000E6EB1"/>
    <w:rsid w:val="000F1255"/>
    <w:rsid w:val="00131E0E"/>
    <w:rsid w:val="00142BF3"/>
    <w:rsid w:val="00160864"/>
    <w:rsid w:val="0016583D"/>
    <w:rsid w:val="00167101"/>
    <w:rsid w:val="00167C24"/>
    <w:rsid w:val="00170C74"/>
    <w:rsid w:val="0017118E"/>
    <w:rsid w:val="001717AD"/>
    <w:rsid w:val="00192AB9"/>
    <w:rsid w:val="0019408B"/>
    <w:rsid w:val="00197363"/>
    <w:rsid w:val="001A60B1"/>
    <w:rsid w:val="001C1572"/>
    <w:rsid w:val="001C2711"/>
    <w:rsid w:val="001F1E2C"/>
    <w:rsid w:val="001F7C48"/>
    <w:rsid w:val="00230260"/>
    <w:rsid w:val="00236DFA"/>
    <w:rsid w:val="00272E32"/>
    <w:rsid w:val="002B6D39"/>
    <w:rsid w:val="002C4F9C"/>
    <w:rsid w:val="00311130"/>
    <w:rsid w:val="003457BB"/>
    <w:rsid w:val="0035789A"/>
    <w:rsid w:val="00366E53"/>
    <w:rsid w:val="00372135"/>
    <w:rsid w:val="003727FB"/>
    <w:rsid w:val="00396D66"/>
    <w:rsid w:val="003A2717"/>
    <w:rsid w:val="003B49B6"/>
    <w:rsid w:val="003B5E81"/>
    <w:rsid w:val="003B6737"/>
    <w:rsid w:val="003C5E8A"/>
    <w:rsid w:val="003C6A92"/>
    <w:rsid w:val="003D0BB8"/>
    <w:rsid w:val="003D0F15"/>
    <w:rsid w:val="003E5037"/>
    <w:rsid w:val="003E5179"/>
    <w:rsid w:val="00421CFC"/>
    <w:rsid w:val="00446127"/>
    <w:rsid w:val="004466DE"/>
    <w:rsid w:val="00450D98"/>
    <w:rsid w:val="004706B1"/>
    <w:rsid w:val="00471B55"/>
    <w:rsid w:val="00475189"/>
    <w:rsid w:val="0049033E"/>
    <w:rsid w:val="004A3249"/>
    <w:rsid w:val="004A70C0"/>
    <w:rsid w:val="004F243D"/>
    <w:rsid w:val="004F3B84"/>
    <w:rsid w:val="00502C6E"/>
    <w:rsid w:val="00514344"/>
    <w:rsid w:val="00523CF1"/>
    <w:rsid w:val="005352E3"/>
    <w:rsid w:val="00556170"/>
    <w:rsid w:val="00566888"/>
    <w:rsid w:val="00570418"/>
    <w:rsid w:val="005E193A"/>
    <w:rsid w:val="005F7272"/>
    <w:rsid w:val="005F7327"/>
    <w:rsid w:val="00602F3D"/>
    <w:rsid w:val="00607417"/>
    <w:rsid w:val="00610774"/>
    <w:rsid w:val="006133A2"/>
    <w:rsid w:val="00632564"/>
    <w:rsid w:val="00634085"/>
    <w:rsid w:val="006446F8"/>
    <w:rsid w:val="006469FC"/>
    <w:rsid w:val="00650EE4"/>
    <w:rsid w:val="00652902"/>
    <w:rsid w:val="00665783"/>
    <w:rsid w:val="006927FD"/>
    <w:rsid w:val="00696045"/>
    <w:rsid w:val="006D0A59"/>
    <w:rsid w:val="006D4AF7"/>
    <w:rsid w:val="006F3005"/>
    <w:rsid w:val="00716E4C"/>
    <w:rsid w:val="00753B43"/>
    <w:rsid w:val="007612EE"/>
    <w:rsid w:val="00764FA7"/>
    <w:rsid w:val="00776628"/>
    <w:rsid w:val="007808D4"/>
    <w:rsid w:val="007D4406"/>
    <w:rsid w:val="007D6127"/>
    <w:rsid w:val="007E60AA"/>
    <w:rsid w:val="007F4B31"/>
    <w:rsid w:val="0082548E"/>
    <w:rsid w:val="008263FA"/>
    <w:rsid w:val="00827A54"/>
    <w:rsid w:val="00845A61"/>
    <w:rsid w:val="00847412"/>
    <w:rsid w:val="00886442"/>
    <w:rsid w:val="00895B4E"/>
    <w:rsid w:val="008D2A50"/>
    <w:rsid w:val="008E367D"/>
    <w:rsid w:val="008F45B3"/>
    <w:rsid w:val="008F6CF8"/>
    <w:rsid w:val="008F7F81"/>
    <w:rsid w:val="00930D08"/>
    <w:rsid w:val="009356DF"/>
    <w:rsid w:val="0094476E"/>
    <w:rsid w:val="00964D66"/>
    <w:rsid w:val="00970262"/>
    <w:rsid w:val="0097302B"/>
    <w:rsid w:val="009741C6"/>
    <w:rsid w:val="009C2E58"/>
    <w:rsid w:val="009D39D5"/>
    <w:rsid w:val="009F1F7E"/>
    <w:rsid w:val="009F4933"/>
    <w:rsid w:val="00A0190E"/>
    <w:rsid w:val="00A02471"/>
    <w:rsid w:val="00A132A4"/>
    <w:rsid w:val="00A22E92"/>
    <w:rsid w:val="00A24EB0"/>
    <w:rsid w:val="00A41C4F"/>
    <w:rsid w:val="00A42C69"/>
    <w:rsid w:val="00A518EB"/>
    <w:rsid w:val="00A57920"/>
    <w:rsid w:val="00A61082"/>
    <w:rsid w:val="00AC446C"/>
    <w:rsid w:val="00AE13DD"/>
    <w:rsid w:val="00AE1F2C"/>
    <w:rsid w:val="00AF1CF4"/>
    <w:rsid w:val="00AF4799"/>
    <w:rsid w:val="00B002F1"/>
    <w:rsid w:val="00B03B86"/>
    <w:rsid w:val="00B20677"/>
    <w:rsid w:val="00B250D6"/>
    <w:rsid w:val="00B36505"/>
    <w:rsid w:val="00B60BA9"/>
    <w:rsid w:val="00B722BD"/>
    <w:rsid w:val="00B72476"/>
    <w:rsid w:val="00B8590A"/>
    <w:rsid w:val="00B936F7"/>
    <w:rsid w:val="00BA00E6"/>
    <w:rsid w:val="00BA5A0E"/>
    <w:rsid w:val="00BB30B7"/>
    <w:rsid w:val="00BD1900"/>
    <w:rsid w:val="00BE36F2"/>
    <w:rsid w:val="00C06909"/>
    <w:rsid w:val="00C141CF"/>
    <w:rsid w:val="00C2619F"/>
    <w:rsid w:val="00C27300"/>
    <w:rsid w:val="00C35F8A"/>
    <w:rsid w:val="00C458CA"/>
    <w:rsid w:val="00C7433C"/>
    <w:rsid w:val="00C7478C"/>
    <w:rsid w:val="00C82E55"/>
    <w:rsid w:val="00C914B9"/>
    <w:rsid w:val="00D228CC"/>
    <w:rsid w:val="00D239F1"/>
    <w:rsid w:val="00D50B94"/>
    <w:rsid w:val="00D5520F"/>
    <w:rsid w:val="00D65156"/>
    <w:rsid w:val="00DA2AB7"/>
    <w:rsid w:val="00DA41D1"/>
    <w:rsid w:val="00DC5E88"/>
    <w:rsid w:val="00DD0FBC"/>
    <w:rsid w:val="00DE3417"/>
    <w:rsid w:val="00DE6DBC"/>
    <w:rsid w:val="00DF7D7B"/>
    <w:rsid w:val="00E2042C"/>
    <w:rsid w:val="00E207FC"/>
    <w:rsid w:val="00E30832"/>
    <w:rsid w:val="00E32202"/>
    <w:rsid w:val="00E511A0"/>
    <w:rsid w:val="00E772F7"/>
    <w:rsid w:val="00EA4E16"/>
    <w:rsid w:val="00EB1D2D"/>
    <w:rsid w:val="00ED7D52"/>
    <w:rsid w:val="00EE619D"/>
    <w:rsid w:val="00F00395"/>
    <w:rsid w:val="00F27F98"/>
    <w:rsid w:val="00F40418"/>
    <w:rsid w:val="00F56181"/>
    <w:rsid w:val="00F67B2F"/>
    <w:rsid w:val="00F746AE"/>
    <w:rsid w:val="00F82A42"/>
    <w:rsid w:val="00F85F17"/>
    <w:rsid w:val="00F86118"/>
    <w:rsid w:val="00FC61A6"/>
    <w:rsid w:val="00FD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4ED9"/>
  <w15:chartTrackingRefBased/>
  <w15:docId w15:val="{188471D5-D5F2-41B2-9758-4C5B3ECA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91E"/>
    <w:pPr>
      <w:keepNext/>
      <w:keepLines/>
      <w:spacing w:before="4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0E303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E303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303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E303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E3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1E"/>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0E30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E303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E303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E303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E3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037"/>
    <w:rPr>
      <w:rFonts w:eastAsiaTheme="majorEastAsia" w:cstheme="majorBidi"/>
      <w:color w:val="272727" w:themeColor="text1" w:themeTint="D8"/>
    </w:rPr>
  </w:style>
  <w:style w:type="paragraph" w:styleId="Title">
    <w:name w:val="Title"/>
    <w:basedOn w:val="Normal"/>
    <w:next w:val="Normal"/>
    <w:link w:val="TitleChar"/>
    <w:uiPriority w:val="10"/>
    <w:qFormat/>
    <w:rsid w:val="000E3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0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0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037"/>
    <w:rPr>
      <w:i/>
      <w:iCs/>
      <w:color w:val="404040" w:themeColor="text1" w:themeTint="BF"/>
    </w:rPr>
  </w:style>
  <w:style w:type="paragraph" w:styleId="ListParagraph">
    <w:name w:val="List Paragraph"/>
    <w:basedOn w:val="Normal"/>
    <w:uiPriority w:val="34"/>
    <w:qFormat/>
    <w:rsid w:val="000E3037"/>
    <w:pPr>
      <w:ind w:left="720"/>
      <w:contextualSpacing/>
    </w:pPr>
  </w:style>
  <w:style w:type="character" w:styleId="IntenseEmphasis">
    <w:name w:val="Intense Emphasis"/>
    <w:basedOn w:val="DefaultParagraphFont"/>
    <w:uiPriority w:val="21"/>
    <w:qFormat/>
    <w:rsid w:val="000E3037"/>
    <w:rPr>
      <w:i/>
      <w:iCs/>
      <w:color w:val="365F91" w:themeColor="accent1" w:themeShade="BF"/>
    </w:rPr>
  </w:style>
  <w:style w:type="paragraph" w:styleId="IntenseQuote">
    <w:name w:val="Intense Quote"/>
    <w:basedOn w:val="Normal"/>
    <w:next w:val="Normal"/>
    <w:link w:val="IntenseQuoteChar"/>
    <w:uiPriority w:val="30"/>
    <w:qFormat/>
    <w:rsid w:val="000E303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E3037"/>
    <w:rPr>
      <w:i/>
      <w:iCs/>
      <w:color w:val="365F91" w:themeColor="accent1" w:themeShade="BF"/>
    </w:rPr>
  </w:style>
  <w:style w:type="character" w:styleId="IntenseReference">
    <w:name w:val="Intense Reference"/>
    <w:basedOn w:val="DefaultParagraphFont"/>
    <w:uiPriority w:val="32"/>
    <w:qFormat/>
    <w:rsid w:val="000E3037"/>
    <w:rPr>
      <w:b/>
      <w:bCs/>
      <w:smallCaps/>
      <w:color w:val="365F91" w:themeColor="accent1" w:themeShade="BF"/>
      <w:spacing w:val="5"/>
    </w:rPr>
  </w:style>
  <w:style w:type="paragraph" w:styleId="Caption">
    <w:name w:val="caption"/>
    <w:basedOn w:val="Normal"/>
    <w:next w:val="Normal"/>
    <w:uiPriority w:val="35"/>
    <w:unhideWhenUsed/>
    <w:qFormat/>
    <w:rsid w:val="0035789A"/>
    <w:pPr>
      <w:spacing w:line="240" w:lineRule="auto"/>
    </w:pPr>
    <w:rPr>
      <w:rFonts w:ascii="Times New Roman" w:hAnsi="Times New Roman"/>
      <w:b/>
      <w:i/>
      <w:iCs/>
      <w:color w:val="000000" w:themeColor="text1"/>
      <w:szCs w:val="18"/>
    </w:rPr>
  </w:style>
  <w:style w:type="table" w:styleId="TableGrid">
    <w:name w:val="Table Grid"/>
    <w:basedOn w:val="TableNormal"/>
    <w:uiPriority w:val="59"/>
    <w:rsid w:val="00A41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3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9182">
      <w:bodyDiv w:val="1"/>
      <w:marLeft w:val="0"/>
      <w:marRight w:val="0"/>
      <w:marTop w:val="0"/>
      <w:marBottom w:val="0"/>
      <w:divBdr>
        <w:top w:val="none" w:sz="0" w:space="0" w:color="auto"/>
        <w:left w:val="none" w:sz="0" w:space="0" w:color="auto"/>
        <w:bottom w:val="none" w:sz="0" w:space="0" w:color="auto"/>
        <w:right w:val="none" w:sz="0" w:space="0" w:color="auto"/>
      </w:divBdr>
    </w:div>
    <w:div w:id="679745348">
      <w:bodyDiv w:val="1"/>
      <w:marLeft w:val="0"/>
      <w:marRight w:val="0"/>
      <w:marTop w:val="0"/>
      <w:marBottom w:val="0"/>
      <w:divBdr>
        <w:top w:val="none" w:sz="0" w:space="0" w:color="auto"/>
        <w:left w:val="none" w:sz="0" w:space="0" w:color="auto"/>
        <w:bottom w:val="none" w:sz="0" w:space="0" w:color="auto"/>
        <w:right w:val="none" w:sz="0" w:space="0" w:color="auto"/>
      </w:divBdr>
    </w:div>
    <w:div w:id="872305040">
      <w:bodyDiv w:val="1"/>
      <w:marLeft w:val="0"/>
      <w:marRight w:val="0"/>
      <w:marTop w:val="0"/>
      <w:marBottom w:val="0"/>
      <w:divBdr>
        <w:top w:val="none" w:sz="0" w:space="0" w:color="auto"/>
        <w:left w:val="none" w:sz="0" w:space="0" w:color="auto"/>
        <w:bottom w:val="none" w:sz="0" w:space="0" w:color="auto"/>
        <w:right w:val="none" w:sz="0" w:space="0" w:color="auto"/>
      </w:divBdr>
    </w:div>
    <w:div w:id="1239629789">
      <w:bodyDiv w:val="1"/>
      <w:marLeft w:val="0"/>
      <w:marRight w:val="0"/>
      <w:marTop w:val="0"/>
      <w:marBottom w:val="0"/>
      <w:divBdr>
        <w:top w:val="none" w:sz="0" w:space="0" w:color="auto"/>
        <w:left w:val="none" w:sz="0" w:space="0" w:color="auto"/>
        <w:bottom w:val="none" w:sz="0" w:space="0" w:color="auto"/>
        <w:right w:val="none" w:sz="0" w:space="0" w:color="auto"/>
      </w:divBdr>
    </w:div>
    <w:div w:id="1292711157">
      <w:bodyDiv w:val="1"/>
      <w:marLeft w:val="0"/>
      <w:marRight w:val="0"/>
      <w:marTop w:val="0"/>
      <w:marBottom w:val="0"/>
      <w:divBdr>
        <w:top w:val="none" w:sz="0" w:space="0" w:color="auto"/>
        <w:left w:val="none" w:sz="0" w:space="0" w:color="auto"/>
        <w:bottom w:val="none" w:sz="0" w:space="0" w:color="auto"/>
        <w:right w:val="none" w:sz="0" w:space="0" w:color="auto"/>
      </w:divBdr>
    </w:div>
    <w:div w:id="1542397038">
      <w:bodyDiv w:val="1"/>
      <w:marLeft w:val="0"/>
      <w:marRight w:val="0"/>
      <w:marTop w:val="0"/>
      <w:marBottom w:val="0"/>
      <w:divBdr>
        <w:top w:val="none" w:sz="0" w:space="0" w:color="auto"/>
        <w:left w:val="none" w:sz="0" w:space="0" w:color="auto"/>
        <w:bottom w:val="none" w:sz="0" w:space="0" w:color="auto"/>
        <w:right w:val="none" w:sz="0" w:space="0" w:color="auto"/>
      </w:divBdr>
    </w:div>
    <w:div w:id="1811944933">
      <w:bodyDiv w:val="1"/>
      <w:marLeft w:val="0"/>
      <w:marRight w:val="0"/>
      <w:marTop w:val="0"/>
      <w:marBottom w:val="0"/>
      <w:divBdr>
        <w:top w:val="none" w:sz="0" w:space="0" w:color="auto"/>
        <w:left w:val="none" w:sz="0" w:space="0" w:color="auto"/>
        <w:bottom w:val="none" w:sz="0" w:space="0" w:color="auto"/>
        <w:right w:val="none" w:sz="0" w:space="0" w:color="auto"/>
      </w:divBdr>
    </w:div>
    <w:div w:id="20229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39E32-6A7D-4FD3-BD8C-5A508B90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7</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Enkhsaikhan Usny-Ekh</dc:creator>
  <cp:keywords/>
  <dc:description/>
  <cp:lastModifiedBy>Enkhsaikhan Usny-Ekh</cp:lastModifiedBy>
  <cp:revision>190</cp:revision>
  <cp:lastPrinted>2025-02-28T22:55:00Z</cp:lastPrinted>
  <dcterms:created xsi:type="dcterms:W3CDTF">2025-02-20T14:16:00Z</dcterms:created>
  <dcterms:modified xsi:type="dcterms:W3CDTF">2025-02-28T22:56:00Z</dcterms:modified>
</cp:coreProperties>
</file>