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852" w:rsidRDefault="009F2816">
      <w:pPr>
        <w:autoSpaceDE w:val="0"/>
        <w:autoSpaceDN w:val="0"/>
        <w:adjustRightInd w:val="0"/>
        <w:spacing w:line="360" w:lineRule="auto"/>
        <w:jc w:val="center"/>
        <w:rPr>
          <w:rFonts w:ascii="宋体" w:hAnsi="宋体"/>
          <w:b/>
          <w:kern w:val="0"/>
          <w:sz w:val="32"/>
          <w:szCs w:val="32"/>
        </w:rPr>
      </w:pPr>
      <w:r>
        <w:rPr>
          <w:rFonts w:ascii="宋体" w:hAnsi="宋体" w:hint="eastAsia"/>
          <w:b/>
          <w:kern w:val="0"/>
          <w:sz w:val="32"/>
          <w:szCs w:val="32"/>
        </w:rPr>
        <w:t>生物安全管理活动程序</w:t>
      </w:r>
    </w:p>
    <w:p w:rsidR="00957852" w:rsidRDefault="009F2816">
      <w:pPr>
        <w:autoSpaceDE w:val="0"/>
        <w:autoSpaceDN w:val="0"/>
        <w:adjustRightInd w:val="0"/>
        <w:spacing w:line="360" w:lineRule="auto"/>
        <w:jc w:val="left"/>
        <w:rPr>
          <w:rFonts w:ascii="宋体" w:hAnsi="宋体"/>
          <w:b/>
          <w:kern w:val="0"/>
          <w:sz w:val="28"/>
          <w:szCs w:val="28"/>
        </w:rPr>
      </w:pPr>
      <w:r>
        <w:rPr>
          <w:rFonts w:ascii="宋体" w:hAnsi="宋体"/>
          <w:b/>
          <w:kern w:val="0"/>
          <w:sz w:val="28"/>
          <w:szCs w:val="28"/>
        </w:rPr>
        <w:t>1</w:t>
      </w:r>
      <w:r>
        <w:rPr>
          <w:rFonts w:ascii="宋体" w:hAnsi="宋体" w:hint="eastAsia"/>
          <w:b/>
          <w:kern w:val="0"/>
          <w:sz w:val="28"/>
          <w:szCs w:val="28"/>
        </w:rPr>
        <w:t xml:space="preserve"> 目的</w:t>
      </w:r>
    </w:p>
    <w:p w:rsidR="00957852" w:rsidRDefault="009F2816" w:rsidP="00957852">
      <w:pPr>
        <w:autoSpaceDE w:val="0"/>
        <w:autoSpaceDN w:val="0"/>
        <w:adjustRightInd w:val="0"/>
        <w:spacing w:line="360" w:lineRule="auto"/>
        <w:ind w:firstLineChars="199" w:firstLine="478"/>
        <w:jc w:val="left"/>
        <w:rPr>
          <w:rFonts w:ascii="宋体" w:hAnsi="宋体"/>
          <w:bCs/>
          <w:kern w:val="0"/>
          <w:sz w:val="24"/>
        </w:rPr>
      </w:pPr>
      <w:r>
        <w:rPr>
          <w:rFonts w:ascii="宋体" w:hAnsi="宋体" w:hint="eastAsia"/>
          <w:bCs/>
          <w:kern w:val="0"/>
          <w:sz w:val="24"/>
        </w:rPr>
        <w:t>确定和规范汕头大学生物安全委员会（以下简称生物安全委员会）及汕头大学生物安全三级实验室管理委员会（以下简称实验室管理委员会）进行的生物安全管理活动的程序和要求。</w:t>
      </w:r>
    </w:p>
    <w:p w:rsidR="00957852" w:rsidRDefault="00957852" w:rsidP="00957852">
      <w:pPr>
        <w:autoSpaceDE w:val="0"/>
        <w:autoSpaceDN w:val="0"/>
        <w:adjustRightInd w:val="0"/>
        <w:spacing w:line="360" w:lineRule="auto"/>
        <w:ind w:firstLineChars="199" w:firstLine="478"/>
        <w:jc w:val="left"/>
        <w:rPr>
          <w:rFonts w:ascii="宋体" w:hAnsi="宋体"/>
          <w:bCs/>
          <w:kern w:val="0"/>
          <w:sz w:val="24"/>
        </w:rPr>
      </w:pPr>
    </w:p>
    <w:p w:rsidR="00957852" w:rsidRDefault="009F2816">
      <w:pPr>
        <w:autoSpaceDE w:val="0"/>
        <w:autoSpaceDN w:val="0"/>
        <w:adjustRightInd w:val="0"/>
        <w:spacing w:line="360" w:lineRule="auto"/>
        <w:jc w:val="left"/>
        <w:rPr>
          <w:rFonts w:ascii="宋体" w:hAnsi="宋体"/>
          <w:b/>
          <w:kern w:val="0"/>
          <w:sz w:val="28"/>
          <w:szCs w:val="28"/>
        </w:rPr>
      </w:pPr>
      <w:r>
        <w:rPr>
          <w:rFonts w:ascii="宋体" w:hAnsi="宋体"/>
          <w:b/>
          <w:kern w:val="0"/>
          <w:sz w:val="28"/>
          <w:szCs w:val="28"/>
        </w:rPr>
        <w:t xml:space="preserve">2 </w:t>
      </w:r>
      <w:r>
        <w:rPr>
          <w:rFonts w:ascii="宋体" w:hAnsi="宋体" w:hint="eastAsia"/>
          <w:b/>
          <w:kern w:val="0"/>
          <w:sz w:val="28"/>
          <w:szCs w:val="28"/>
        </w:rPr>
        <w:t>范围</w:t>
      </w:r>
    </w:p>
    <w:p w:rsidR="00957852" w:rsidRDefault="009F2816">
      <w:pPr>
        <w:autoSpaceDE w:val="0"/>
        <w:autoSpaceDN w:val="0"/>
        <w:adjustRightInd w:val="0"/>
        <w:spacing w:line="360" w:lineRule="auto"/>
        <w:ind w:firstLineChars="200" w:firstLine="480"/>
        <w:jc w:val="left"/>
        <w:rPr>
          <w:rFonts w:ascii="宋体" w:hAnsi="宋体"/>
          <w:sz w:val="24"/>
        </w:rPr>
      </w:pPr>
      <w:r>
        <w:rPr>
          <w:rFonts w:ascii="宋体" w:hAnsi="宋体" w:hint="eastAsia"/>
          <w:kern w:val="0"/>
          <w:sz w:val="24"/>
        </w:rPr>
        <w:t>适用于</w:t>
      </w:r>
      <w:r>
        <w:rPr>
          <w:rFonts w:ascii="宋体" w:hAnsi="宋体" w:hint="eastAsia"/>
          <w:bCs/>
          <w:kern w:val="0"/>
          <w:sz w:val="24"/>
        </w:rPr>
        <w:t>生物安全委员会和实验室管理委员会对</w:t>
      </w:r>
      <w:r>
        <w:rPr>
          <w:rFonts w:ascii="宋体" w:hAnsi="宋体" w:hint="eastAsia"/>
          <w:kern w:val="0"/>
          <w:sz w:val="24"/>
        </w:rPr>
        <w:t>本实验室进行</w:t>
      </w:r>
      <w:r>
        <w:rPr>
          <w:rFonts w:ascii="宋体" w:hAnsi="宋体" w:hint="eastAsia"/>
          <w:bCs/>
          <w:kern w:val="0"/>
          <w:sz w:val="24"/>
        </w:rPr>
        <w:t>生物安全管理活动的领导和管理</w:t>
      </w:r>
      <w:r>
        <w:rPr>
          <w:rFonts w:ascii="宋体" w:hAnsi="宋体" w:hint="eastAsia"/>
          <w:sz w:val="24"/>
        </w:rPr>
        <w:t>。</w:t>
      </w:r>
    </w:p>
    <w:p w:rsidR="00957852" w:rsidRDefault="00957852">
      <w:pPr>
        <w:autoSpaceDE w:val="0"/>
        <w:autoSpaceDN w:val="0"/>
        <w:adjustRightInd w:val="0"/>
        <w:spacing w:line="360" w:lineRule="auto"/>
        <w:ind w:firstLineChars="200" w:firstLine="480"/>
        <w:jc w:val="left"/>
        <w:rPr>
          <w:rFonts w:ascii="宋体" w:hAnsi="宋体"/>
          <w:sz w:val="24"/>
        </w:rPr>
      </w:pPr>
    </w:p>
    <w:p w:rsidR="00957852" w:rsidRDefault="009F2816">
      <w:pPr>
        <w:autoSpaceDE w:val="0"/>
        <w:autoSpaceDN w:val="0"/>
        <w:adjustRightInd w:val="0"/>
        <w:spacing w:line="360" w:lineRule="auto"/>
        <w:jc w:val="left"/>
        <w:rPr>
          <w:rFonts w:ascii="宋体" w:hAnsi="宋体"/>
          <w:b/>
          <w:kern w:val="0"/>
          <w:sz w:val="28"/>
          <w:szCs w:val="28"/>
        </w:rPr>
      </w:pPr>
      <w:r>
        <w:rPr>
          <w:rFonts w:ascii="宋体" w:hAnsi="宋体"/>
          <w:b/>
          <w:bCs/>
          <w:sz w:val="28"/>
          <w:szCs w:val="28"/>
        </w:rPr>
        <w:t xml:space="preserve">3 </w:t>
      </w:r>
      <w:r>
        <w:rPr>
          <w:rFonts w:ascii="宋体" w:hAnsi="宋体" w:hint="eastAsia"/>
          <w:b/>
          <w:bCs/>
          <w:sz w:val="28"/>
          <w:szCs w:val="28"/>
        </w:rPr>
        <w:t>职责</w:t>
      </w:r>
    </w:p>
    <w:p w:rsidR="00957852" w:rsidRDefault="009F2816">
      <w:pPr>
        <w:autoSpaceDE w:val="0"/>
        <w:autoSpaceDN w:val="0"/>
        <w:adjustRightInd w:val="0"/>
        <w:spacing w:line="360" w:lineRule="auto"/>
        <w:ind w:firstLineChars="100" w:firstLine="241"/>
        <w:jc w:val="left"/>
        <w:rPr>
          <w:rFonts w:ascii="宋体" w:hAnsi="宋体"/>
          <w:b/>
          <w:kern w:val="0"/>
          <w:sz w:val="24"/>
        </w:rPr>
      </w:pPr>
      <w:bookmarkStart w:id="0" w:name="_Hlk56673193"/>
      <w:r>
        <w:rPr>
          <w:rFonts w:ascii="宋体" w:hAnsi="宋体" w:hint="eastAsia"/>
          <w:b/>
          <w:kern w:val="0"/>
          <w:sz w:val="24"/>
        </w:rPr>
        <w:t>3.1 生物安全委员会</w:t>
      </w:r>
    </w:p>
    <w:p w:rsidR="00957852" w:rsidRDefault="009F2816">
      <w:pPr>
        <w:autoSpaceDE w:val="0"/>
        <w:autoSpaceDN w:val="0"/>
        <w:adjustRightInd w:val="0"/>
        <w:spacing w:line="360" w:lineRule="auto"/>
        <w:ind w:firstLineChars="200" w:firstLine="480"/>
        <w:jc w:val="left"/>
        <w:rPr>
          <w:rFonts w:ascii="宋体" w:hAnsi="宋体"/>
          <w:bCs/>
          <w:kern w:val="0"/>
          <w:sz w:val="24"/>
        </w:rPr>
      </w:pPr>
      <w:r>
        <w:rPr>
          <w:rFonts w:ascii="宋体" w:hAnsi="宋体" w:hint="eastAsia"/>
          <w:bCs/>
          <w:kern w:val="0"/>
          <w:sz w:val="24"/>
        </w:rPr>
        <w:t>负责咨询、指导、评估、监督实验室的生物安全相关事宜。</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hint="eastAsia"/>
          <w:bCs/>
          <w:kern w:val="0"/>
          <w:sz w:val="24"/>
        </w:rPr>
        <w:t>3.1.1 提供生物安全相关技术和政策咨询；</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hint="eastAsia"/>
          <w:bCs/>
          <w:kern w:val="0"/>
          <w:sz w:val="24"/>
        </w:rPr>
        <w:t xml:space="preserve">3.1.2 组织生物安全管理体系文件的评估； </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hint="eastAsia"/>
          <w:bCs/>
          <w:kern w:val="0"/>
          <w:sz w:val="24"/>
        </w:rPr>
        <w:t>3.1.3 定期组织评价和审定生物安全管理工作规范、制度、操作技术指南及规范性技术文件；</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hint="eastAsia"/>
          <w:bCs/>
          <w:kern w:val="0"/>
          <w:sz w:val="24"/>
        </w:rPr>
        <w:t>3.1.4 参与重大实验室生物安全事故的认定、危害评估和处置方案的制定及技术指导。</w:t>
      </w:r>
    </w:p>
    <w:p w:rsidR="00957852" w:rsidRDefault="009F2816">
      <w:pPr>
        <w:autoSpaceDE w:val="0"/>
        <w:autoSpaceDN w:val="0"/>
        <w:adjustRightInd w:val="0"/>
        <w:spacing w:line="360" w:lineRule="auto"/>
        <w:ind w:firstLineChars="100" w:firstLine="241"/>
        <w:jc w:val="left"/>
        <w:rPr>
          <w:rFonts w:ascii="宋体" w:hAnsi="宋体"/>
          <w:b/>
          <w:kern w:val="0"/>
          <w:sz w:val="24"/>
        </w:rPr>
      </w:pPr>
      <w:r>
        <w:rPr>
          <w:rFonts w:ascii="宋体" w:hAnsi="宋体"/>
          <w:b/>
          <w:kern w:val="0"/>
          <w:sz w:val="24"/>
        </w:rPr>
        <w:t xml:space="preserve">3.2 </w:t>
      </w:r>
      <w:r>
        <w:rPr>
          <w:rFonts w:ascii="宋体" w:hAnsi="宋体" w:hint="eastAsia"/>
          <w:b/>
          <w:kern w:val="0"/>
          <w:sz w:val="24"/>
        </w:rPr>
        <w:t>生物安全三级实验室管理委员会</w:t>
      </w:r>
    </w:p>
    <w:bookmarkEnd w:id="0"/>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hint="eastAsia"/>
          <w:bCs/>
          <w:kern w:val="0"/>
          <w:sz w:val="24"/>
        </w:rPr>
        <w:t>3.2.1 批准和发布生物安全管理体系文件；</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hint="eastAsia"/>
          <w:bCs/>
          <w:kern w:val="0"/>
          <w:sz w:val="24"/>
        </w:rPr>
        <w:t>3.2.2 负责生物安全三级实验室整体运行管理；</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hint="eastAsia"/>
          <w:bCs/>
          <w:kern w:val="0"/>
          <w:sz w:val="24"/>
        </w:rPr>
        <w:t>3.2.3 领导生物安全三级实验室管理层的工作；</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hint="eastAsia"/>
          <w:bCs/>
          <w:kern w:val="0"/>
          <w:sz w:val="24"/>
        </w:rPr>
        <w:t>3.2.4 审批实验室使用申请、评估生物安全风险、统筹实验室及人员安排；</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hint="eastAsia"/>
          <w:bCs/>
          <w:kern w:val="0"/>
          <w:sz w:val="24"/>
        </w:rPr>
        <w:t>3.2.5 审批实验室年度安全计划；</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hint="eastAsia"/>
          <w:bCs/>
          <w:kern w:val="0"/>
          <w:sz w:val="24"/>
        </w:rPr>
        <w:t>3.2.6 监管实验室运行及实验活动按规章制度及标准操作程序有序开展；</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hint="eastAsia"/>
          <w:bCs/>
          <w:kern w:val="0"/>
          <w:sz w:val="24"/>
        </w:rPr>
        <w:lastRenderedPageBreak/>
        <w:t>3.2.7 定期回顾并完善实验室管理制度；</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hint="eastAsia"/>
          <w:bCs/>
          <w:kern w:val="0"/>
          <w:sz w:val="24"/>
        </w:rPr>
        <w:t>3.2.8 全面负责生物安全实验室紧急状况处理。</w:t>
      </w:r>
    </w:p>
    <w:p w:rsidR="00957852" w:rsidRDefault="00957852">
      <w:pPr>
        <w:autoSpaceDE w:val="0"/>
        <w:autoSpaceDN w:val="0"/>
        <w:adjustRightInd w:val="0"/>
        <w:spacing w:line="360" w:lineRule="auto"/>
        <w:ind w:firstLineChars="100" w:firstLine="240"/>
        <w:jc w:val="left"/>
        <w:rPr>
          <w:rFonts w:ascii="宋体" w:hAnsi="宋体"/>
          <w:bCs/>
          <w:kern w:val="0"/>
          <w:sz w:val="24"/>
        </w:rPr>
      </w:pPr>
    </w:p>
    <w:p w:rsidR="00957852" w:rsidRDefault="009F2816">
      <w:pPr>
        <w:autoSpaceDE w:val="0"/>
        <w:autoSpaceDN w:val="0"/>
        <w:adjustRightInd w:val="0"/>
        <w:spacing w:line="360" w:lineRule="auto"/>
        <w:jc w:val="left"/>
        <w:rPr>
          <w:rFonts w:ascii="宋体" w:hAnsi="宋体"/>
          <w:b/>
          <w:sz w:val="28"/>
          <w:szCs w:val="28"/>
        </w:rPr>
      </w:pPr>
      <w:r>
        <w:rPr>
          <w:rFonts w:ascii="宋体" w:hAnsi="宋体"/>
          <w:b/>
          <w:sz w:val="28"/>
          <w:szCs w:val="28"/>
        </w:rPr>
        <w:t xml:space="preserve">4 </w:t>
      </w:r>
      <w:r>
        <w:rPr>
          <w:rFonts w:ascii="宋体" w:hAnsi="宋体" w:hint="eastAsia"/>
          <w:b/>
          <w:sz w:val="28"/>
          <w:szCs w:val="28"/>
        </w:rPr>
        <w:t>程序</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hint="eastAsia"/>
          <w:bCs/>
          <w:kern w:val="0"/>
          <w:sz w:val="24"/>
        </w:rPr>
        <w:t>4</w:t>
      </w:r>
      <w:r>
        <w:rPr>
          <w:rFonts w:ascii="宋体" w:hAnsi="宋体"/>
          <w:bCs/>
          <w:kern w:val="0"/>
          <w:sz w:val="24"/>
        </w:rPr>
        <w:t xml:space="preserve">.1 </w:t>
      </w:r>
      <w:r>
        <w:rPr>
          <w:rFonts w:ascii="宋体" w:hAnsi="宋体" w:hint="eastAsia"/>
          <w:bCs/>
          <w:kern w:val="0"/>
          <w:sz w:val="24"/>
        </w:rPr>
        <w:t>汕头大学生物安全三级实验室的生物安全管理体系设计、编撰、评估、发布、执行及反馈循下方流程执行：</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bCs/>
          <w:noProof/>
          <w:kern w:val="0"/>
          <w:sz w:val="24"/>
        </w:rPr>
        <w:drawing>
          <wp:inline distT="0" distB="0" distL="114300" distR="114300">
            <wp:extent cx="5057775" cy="3401060"/>
            <wp:effectExtent l="0" t="0" r="9525" b="8890"/>
            <wp:docPr id="1" name="图片 1" descr="生物安全体系文件设计、编撰、发布、执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生物安全体系文件设计、编撰、发布、执行流程图"/>
                    <pic:cNvPicPr>
                      <a:picLocks noChangeAspect="1"/>
                    </pic:cNvPicPr>
                  </pic:nvPicPr>
                  <pic:blipFill>
                    <a:blip r:embed="rId7"/>
                    <a:stretch>
                      <a:fillRect/>
                    </a:stretch>
                  </pic:blipFill>
                  <pic:spPr>
                    <a:xfrm>
                      <a:off x="0" y="0"/>
                      <a:ext cx="5057775" cy="3401060"/>
                    </a:xfrm>
                    <a:prstGeom prst="rect">
                      <a:avLst/>
                    </a:prstGeom>
                    <a:noFill/>
                    <a:ln>
                      <a:noFill/>
                    </a:ln>
                  </pic:spPr>
                </pic:pic>
              </a:graphicData>
            </a:graphic>
          </wp:inline>
        </w:drawing>
      </w:r>
    </w:p>
    <w:p w:rsidR="00957852" w:rsidRDefault="009F2816">
      <w:pPr>
        <w:autoSpaceDE w:val="0"/>
        <w:autoSpaceDN w:val="0"/>
        <w:adjustRightInd w:val="0"/>
        <w:spacing w:line="360" w:lineRule="auto"/>
        <w:ind w:firstLineChars="100" w:firstLine="240"/>
        <w:jc w:val="left"/>
        <w:rPr>
          <w:rFonts w:ascii="宋体" w:hAnsi="宋体"/>
          <w:bCs/>
          <w:color w:val="000000"/>
          <w:kern w:val="0"/>
          <w:sz w:val="24"/>
        </w:rPr>
      </w:pPr>
      <w:r>
        <w:rPr>
          <w:rFonts w:ascii="宋体" w:hAnsi="宋体"/>
          <w:bCs/>
          <w:color w:val="000000"/>
          <w:kern w:val="0"/>
          <w:sz w:val="24"/>
        </w:rPr>
        <w:t xml:space="preserve">4.2 </w:t>
      </w:r>
      <w:r>
        <w:rPr>
          <w:rFonts w:ascii="宋体" w:hAnsi="宋体" w:hint="eastAsia"/>
          <w:bCs/>
          <w:kern w:val="0"/>
          <w:sz w:val="24"/>
        </w:rPr>
        <w:t>生物安全委员会及实验室管理委员会</w:t>
      </w:r>
      <w:r>
        <w:rPr>
          <w:rFonts w:ascii="宋体" w:hAnsi="宋体" w:hint="eastAsia"/>
          <w:bCs/>
          <w:color w:val="000000"/>
          <w:kern w:val="0"/>
          <w:sz w:val="24"/>
        </w:rPr>
        <w:t>的活动，通常以会议的形式进行。也可以结合管理评审一并对实验室生物安全管理的重大事宜作出决策。</w:t>
      </w:r>
    </w:p>
    <w:p w:rsidR="00957852" w:rsidRDefault="009F2816">
      <w:pPr>
        <w:autoSpaceDE w:val="0"/>
        <w:autoSpaceDN w:val="0"/>
        <w:adjustRightInd w:val="0"/>
        <w:spacing w:line="360" w:lineRule="auto"/>
        <w:ind w:firstLineChars="100" w:firstLine="240"/>
        <w:jc w:val="left"/>
        <w:rPr>
          <w:rFonts w:ascii="宋体" w:hAnsi="宋体"/>
          <w:bCs/>
          <w:color w:val="000000"/>
          <w:kern w:val="0"/>
          <w:sz w:val="24"/>
        </w:rPr>
      </w:pPr>
      <w:r>
        <w:rPr>
          <w:rFonts w:ascii="宋体" w:hAnsi="宋体" w:hint="eastAsia"/>
          <w:bCs/>
          <w:color w:val="000000"/>
          <w:kern w:val="0"/>
          <w:sz w:val="24"/>
        </w:rPr>
        <w:t>4</w:t>
      </w:r>
      <w:r>
        <w:rPr>
          <w:rFonts w:ascii="宋体" w:hAnsi="宋体"/>
          <w:bCs/>
          <w:color w:val="000000"/>
          <w:kern w:val="0"/>
          <w:sz w:val="24"/>
        </w:rPr>
        <w:t xml:space="preserve">.3 </w:t>
      </w:r>
      <w:r>
        <w:rPr>
          <w:rFonts w:ascii="宋体" w:hAnsi="宋体" w:hint="eastAsia"/>
          <w:bCs/>
          <w:color w:val="000000"/>
          <w:kern w:val="0"/>
          <w:sz w:val="24"/>
        </w:rPr>
        <w:t>实验室各项事务申请经实验室管理层各主管预审后递交至办公室，由办公室主管汇总后交实验室主任；实验室主任负责提交至安全委员会、或召集实验室管理委员会会议对各项事务进行讨论及审批。</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bCs/>
          <w:kern w:val="0"/>
          <w:sz w:val="24"/>
        </w:rPr>
        <w:t xml:space="preserve">4.4 </w:t>
      </w:r>
      <w:r>
        <w:rPr>
          <w:rFonts w:ascii="宋体" w:hAnsi="宋体" w:hint="eastAsia"/>
          <w:bCs/>
          <w:kern w:val="0"/>
          <w:sz w:val="24"/>
        </w:rPr>
        <w:t>对重要生物安全活动的管理及决策会议，必须有</w:t>
      </w:r>
      <w:r w:rsidR="009903F2">
        <w:rPr>
          <w:rFonts w:ascii="宋体" w:hAnsi="宋体" w:hint="eastAsia"/>
          <w:bCs/>
          <w:kern w:val="0"/>
          <w:sz w:val="24"/>
        </w:rPr>
        <w:t>半数</w:t>
      </w:r>
      <w:r>
        <w:rPr>
          <w:rFonts w:ascii="宋体" w:hAnsi="宋体" w:hint="eastAsia"/>
          <w:bCs/>
          <w:kern w:val="0"/>
          <w:sz w:val="24"/>
        </w:rPr>
        <w:t>以上的委员会成员参加；对一般性事务决议，可由</w:t>
      </w:r>
      <w:r w:rsidR="009903F2">
        <w:rPr>
          <w:rFonts w:ascii="宋体" w:hAnsi="宋体" w:hint="eastAsia"/>
          <w:bCs/>
          <w:kern w:val="0"/>
          <w:sz w:val="24"/>
        </w:rPr>
        <w:t>两位以上</w:t>
      </w:r>
      <w:r>
        <w:rPr>
          <w:rFonts w:ascii="宋体" w:hAnsi="宋体" w:hint="eastAsia"/>
          <w:bCs/>
          <w:kern w:val="0"/>
          <w:sz w:val="24"/>
        </w:rPr>
        <w:t>委员</w:t>
      </w:r>
      <w:r w:rsidR="009903F2">
        <w:rPr>
          <w:rFonts w:ascii="宋体" w:hAnsi="宋体" w:hint="eastAsia"/>
          <w:bCs/>
          <w:kern w:val="0"/>
          <w:sz w:val="24"/>
        </w:rPr>
        <w:t>或实验室主任</w:t>
      </w:r>
      <w:r>
        <w:rPr>
          <w:rFonts w:ascii="宋体" w:hAnsi="宋体" w:hint="eastAsia"/>
          <w:bCs/>
          <w:kern w:val="0"/>
          <w:sz w:val="24"/>
        </w:rPr>
        <w:t>通过会议或邮件签署进行审批。对生物安全活动管理的决议由实验室管理委员会主任发布。</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bCs/>
          <w:kern w:val="0"/>
          <w:sz w:val="24"/>
        </w:rPr>
        <w:t>4</w:t>
      </w:r>
      <w:r>
        <w:rPr>
          <w:rFonts w:ascii="宋体" w:hAnsi="宋体" w:hint="eastAsia"/>
          <w:bCs/>
          <w:kern w:val="0"/>
          <w:sz w:val="24"/>
        </w:rPr>
        <w:t>.</w:t>
      </w:r>
      <w:r>
        <w:rPr>
          <w:rFonts w:ascii="宋体" w:hAnsi="宋体"/>
          <w:bCs/>
          <w:kern w:val="0"/>
          <w:sz w:val="24"/>
        </w:rPr>
        <w:t xml:space="preserve">5 </w:t>
      </w:r>
      <w:r>
        <w:rPr>
          <w:rFonts w:ascii="宋体" w:hAnsi="宋体" w:hint="eastAsia"/>
          <w:bCs/>
          <w:kern w:val="0"/>
          <w:sz w:val="24"/>
        </w:rPr>
        <w:t>生物安全管理活动决策由实验室主任组织实验室管理层实施。</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bCs/>
          <w:kern w:val="0"/>
          <w:sz w:val="24"/>
        </w:rPr>
        <w:lastRenderedPageBreak/>
        <w:t>4.6</w:t>
      </w:r>
      <w:r>
        <w:rPr>
          <w:rFonts w:ascii="宋体" w:hAnsi="宋体" w:hint="eastAsia"/>
          <w:bCs/>
          <w:kern w:val="0"/>
          <w:sz w:val="24"/>
        </w:rPr>
        <w:t xml:space="preserve"> 对紧急生物安全活动的管理，可由实验室主任或授权的生物安全负责人根据生物安全法规及时做出管理决议。</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bCs/>
          <w:kern w:val="0"/>
          <w:sz w:val="24"/>
        </w:rPr>
        <w:t xml:space="preserve">4.7 </w:t>
      </w:r>
      <w:r>
        <w:rPr>
          <w:rFonts w:ascii="宋体" w:hAnsi="宋体" w:hint="eastAsia"/>
          <w:bCs/>
          <w:kern w:val="0"/>
          <w:sz w:val="24"/>
        </w:rPr>
        <w:t>对实验室生物安全活动的管理决议，要以文件的形式下达，并跟踪执行情况。决议执行完后要归档保存。</w:t>
      </w:r>
    </w:p>
    <w:p w:rsidR="00957852" w:rsidRDefault="009F2816">
      <w:pPr>
        <w:autoSpaceDE w:val="0"/>
        <w:autoSpaceDN w:val="0"/>
        <w:adjustRightInd w:val="0"/>
        <w:spacing w:line="360" w:lineRule="auto"/>
        <w:ind w:firstLineChars="100" w:firstLine="240"/>
        <w:jc w:val="left"/>
        <w:rPr>
          <w:rFonts w:ascii="宋体" w:hAnsi="宋体"/>
          <w:bCs/>
          <w:kern w:val="0"/>
          <w:sz w:val="24"/>
        </w:rPr>
      </w:pPr>
      <w:r>
        <w:rPr>
          <w:rFonts w:ascii="宋体" w:hAnsi="宋体"/>
          <w:bCs/>
          <w:kern w:val="0"/>
          <w:sz w:val="24"/>
        </w:rPr>
        <w:t>4.8</w:t>
      </w:r>
      <w:r>
        <w:rPr>
          <w:rFonts w:ascii="宋体" w:hAnsi="宋体" w:hint="eastAsia"/>
          <w:bCs/>
          <w:kern w:val="0"/>
          <w:sz w:val="24"/>
        </w:rPr>
        <w:t xml:space="preserve"> 超出实验室生物安全委员会管理权限的生物安全活动，需上报省卫生与健康委员会进行审批与管理。</w:t>
      </w:r>
    </w:p>
    <w:p w:rsidR="00CD7215" w:rsidRDefault="00CD7215">
      <w:pPr>
        <w:autoSpaceDE w:val="0"/>
        <w:autoSpaceDN w:val="0"/>
        <w:adjustRightInd w:val="0"/>
        <w:spacing w:line="360" w:lineRule="auto"/>
        <w:ind w:firstLineChars="100" w:firstLine="240"/>
        <w:jc w:val="left"/>
        <w:rPr>
          <w:rFonts w:ascii="宋体" w:hAnsi="宋体"/>
          <w:bCs/>
          <w:kern w:val="0"/>
          <w:sz w:val="24"/>
        </w:rPr>
      </w:pPr>
      <w:r>
        <w:rPr>
          <w:rFonts w:ascii="宋体" w:hAnsi="宋体"/>
          <w:bCs/>
          <w:kern w:val="0"/>
          <w:sz w:val="24"/>
        </w:rPr>
        <w:t xml:space="preserve">4.9 </w:t>
      </w:r>
      <w:r>
        <w:rPr>
          <w:rFonts w:ascii="宋体" w:hAnsi="宋体" w:hint="eastAsia"/>
          <w:bCs/>
          <w:kern w:val="0"/>
          <w:sz w:val="24"/>
        </w:rPr>
        <w:t>关于生物安全三级实验室各种会议活动，应填写《会议记录表》（文件编号</w:t>
      </w:r>
      <w:r>
        <w:rPr>
          <w:rFonts w:ascii="宋体" w:hAnsi="宋体"/>
          <w:bCs/>
          <w:kern w:val="0"/>
          <w:sz w:val="24"/>
        </w:rPr>
        <w:t>:BPD01-01-01</w:t>
      </w:r>
      <w:r>
        <w:rPr>
          <w:rFonts w:ascii="宋体" w:hAnsi="宋体" w:hint="eastAsia"/>
          <w:bCs/>
          <w:kern w:val="0"/>
          <w:sz w:val="24"/>
        </w:rPr>
        <w:t>）,保留有会议记录，并按《档案管理程序》</w:t>
      </w:r>
      <w:r>
        <w:rPr>
          <w:rFonts w:ascii="宋体" w:hAnsi="宋体" w:hint="eastAsia"/>
          <w:bCs/>
          <w:kern w:val="0"/>
          <w:sz w:val="24"/>
        </w:rPr>
        <w:t>（文件编号</w:t>
      </w:r>
      <w:r>
        <w:rPr>
          <w:rFonts w:ascii="宋体" w:hAnsi="宋体"/>
          <w:bCs/>
          <w:kern w:val="0"/>
          <w:sz w:val="24"/>
        </w:rPr>
        <w:t>:BPD01-0</w:t>
      </w:r>
      <w:r>
        <w:rPr>
          <w:rFonts w:ascii="宋体" w:hAnsi="宋体"/>
          <w:bCs/>
          <w:kern w:val="0"/>
          <w:sz w:val="24"/>
        </w:rPr>
        <w:t>4</w:t>
      </w:r>
      <w:r>
        <w:rPr>
          <w:rFonts w:ascii="宋体" w:hAnsi="宋体" w:hint="eastAsia"/>
          <w:bCs/>
          <w:kern w:val="0"/>
          <w:sz w:val="24"/>
        </w:rPr>
        <w:t>）</w:t>
      </w:r>
      <w:r>
        <w:rPr>
          <w:rFonts w:ascii="宋体" w:hAnsi="宋体" w:hint="eastAsia"/>
          <w:bCs/>
          <w:kern w:val="0"/>
          <w:sz w:val="24"/>
        </w:rPr>
        <w:t>进行管理</w:t>
      </w:r>
    </w:p>
    <w:p w:rsidR="00CD7215" w:rsidRDefault="00CD7215">
      <w:pPr>
        <w:autoSpaceDE w:val="0"/>
        <w:autoSpaceDN w:val="0"/>
        <w:adjustRightInd w:val="0"/>
        <w:spacing w:line="360" w:lineRule="auto"/>
        <w:ind w:firstLineChars="100" w:firstLine="240"/>
        <w:jc w:val="left"/>
        <w:rPr>
          <w:rFonts w:ascii="宋体" w:hAnsi="宋体" w:hint="eastAsia"/>
          <w:bCs/>
          <w:kern w:val="0"/>
          <w:sz w:val="24"/>
        </w:rPr>
      </w:pPr>
    </w:p>
    <w:p w:rsidR="00CD7215" w:rsidRPr="00CD7215" w:rsidRDefault="00CD7215" w:rsidP="00CD7215">
      <w:pPr>
        <w:autoSpaceDE w:val="0"/>
        <w:autoSpaceDN w:val="0"/>
        <w:adjustRightInd w:val="0"/>
        <w:spacing w:line="360" w:lineRule="auto"/>
        <w:jc w:val="left"/>
        <w:rPr>
          <w:rFonts w:ascii="宋体" w:hAnsi="宋体"/>
          <w:b/>
          <w:sz w:val="28"/>
          <w:szCs w:val="28"/>
        </w:rPr>
      </w:pPr>
      <w:r w:rsidRPr="00CD7215">
        <w:rPr>
          <w:rFonts w:ascii="宋体" w:hAnsi="宋体" w:hint="eastAsia"/>
          <w:b/>
          <w:sz w:val="28"/>
          <w:szCs w:val="28"/>
        </w:rPr>
        <w:t>5</w:t>
      </w:r>
      <w:r w:rsidRPr="00CD7215">
        <w:rPr>
          <w:rFonts w:ascii="宋体" w:hAnsi="宋体"/>
          <w:b/>
          <w:sz w:val="28"/>
          <w:szCs w:val="28"/>
        </w:rPr>
        <w:t xml:space="preserve"> </w:t>
      </w:r>
      <w:r w:rsidRPr="00CD7215">
        <w:rPr>
          <w:rFonts w:ascii="宋体" w:hAnsi="宋体" w:hint="eastAsia"/>
          <w:b/>
          <w:sz w:val="28"/>
          <w:szCs w:val="28"/>
        </w:rPr>
        <w:t>相关文件</w:t>
      </w:r>
    </w:p>
    <w:tbl>
      <w:tblPr>
        <w:tblStyle w:val="ab"/>
        <w:tblW w:w="0" w:type="auto"/>
        <w:tblLook w:val="04A0" w:firstRow="1" w:lastRow="0" w:firstColumn="1" w:lastColumn="0" w:noHBand="0" w:noVBand="1"/>
      </w:tblPr>
      <w:tblGrid>
        <w:gridCol w:w="4220"/>
        <w:gridCol w:w="4308"/>
      </w:tblGrid>
      <w:tr w:rsidR="00CD7215" w:rsidTr="00CD7215">
        <w:tc>
          <w:tcPr>
            <w:tcW w:w="4220" w:type="dxa"/>
            <w:tcBorders>
              <w:top w:val="nil"/>
              <w:left w:val="nil"/>
              <w:bottom w:val="nil"/>
              <w:right w:val="nil"/>
            </w:tcBorders>
          </w:tcPr>
          <w:p w:rsidR="00CD7215" w:rsidRDefault="00CD7215" w:rsidP="00CE388D">
            <w:pPr>
              <w:spacing w:line="360" w:lineRule="auto"/>
              <w:rPr>
                <w:rFonts w:ascii="宋体" w:hAnsi="宋体" w:hint="eastAsia"/>
                <w:sz w:val="24"/>
              </w:rPr>
            </w:pPr>
            <w:r>
              <w:rPr>
                <w:rFonts w:ascii="宋体" w:hAnsi="宋体"/>
                <w:sz w:val="24"/>
              </w:rPr>
              <w:t xml:space="preserve">  5.1 </w:t>
            </w:r>
            <w:r>
              <w:rPr>
                <w:rFonts w:ascii="宋体" w:hAnsi="宋体" w:hint="eastAsia"/>
                <w:sz w:val="24"/>
              </w:rPr>
              <w:t>档案管理程序</w:t>
            </w:r>
          </w:p>
        </w:tc>
        <w:tc>
          <w:tcPr>
            <w:tcW w:w="4308" w:type="dxa"/>
            <w:tcBorders>
              <w:top w:val="nil"/>
              <w:left w:val="nil"/>
              <w:bottom w:val="nil"/>
              <w:right w:val="nil"/>
            </w:tcBorders>
          </w:tcPr>
          <w:p w:rsidR="00CD7215" w:rsidRDefault="00CD7215" w:rsidP="00CE388D">
            <w:pPr>
              <w:spacing w:line="360" w:lineRule="auto"/>
              <w:jc w:val="right"/>
              <w:rPr>
                <w:rFonts w:ascii="宋体" w:hAnsi="宋体"/>
                <w:sz w:val="24"/>
              </w:rPr>
            </w:pPr>
            <w:r>
              <w:rPr>
                <w:rFonts w:ascii="宋体" w:hAnsi="宋体"/>
                <w:sz w:val="24"/>
              </w:rPr>
              <w:t>（文件编号：BPD01-0</w:t>
            </w:r>
            <w:r>
              <w:rPr>
                <w:rFonts w:ascii="宋体" w:hAnsi="宋体"/>
                <w:sz w:val="24"/>
              </w:rPr>
              <w:t>4</w:t>
            </w:r>
            <w:r>
              <w:rPr>
                <w:rFonts w:ascii="宋体" w:hAnsi="宋体"/>
                <w:sz w:val="24"/>
              </w:rPr>
              <w:t>）</w:t>
            </w:r>
          </w:p>
        </w:tc>
      </w:tr>
    </w:tbl>
    <w:p w:rsidR="00CD7215" w:rsidRPr="00CD7215" w:rsidRDefault="00CD7215">
      <w:pPr>
        <w:autoSpaceDE w:val="0"/>
        <w:autoSpaceDN w:val="0"/>
        <w:adjustRightInd w:val="0"/>
        <w:spacing w:line="360" w:lineRule="auto"/>
        <w:ind w:firstLineChars="100" w:firstLine="240"/>
        <w:jc w:val="left"/>
        <w:rPr>
          <w:rFonts w:ascii="宋体" w:hAnsi="宋体"/>
          <w:bCs/>
          <w:kern w:val="0"/>
          <w:sz w:val="24"/>
        </w:rPr>
      </w:pPr>
    </w:p>
    <w:p w:rsidR="00CD7215" w:rsidRPr="00CD7215" w:rsidRDefault="00CD7215" w:rsidP="00CD7215">
      <w:pPr>
        <w:autoSpaceDE w:val="0"/>
        <w:autoSpaceDN w:val="0"/>
        <w:adjustRightInd w:val="0"/>
        <w:spacing w:line="360" w:lineRule="auto"/>
        <w:jc w:val="left"/>
        <w:rPr>
          <w:rFonts w:ascii="宋体" w:hAnsi="宋体" w:hint="eastAsia"/>
          <w:b/>
          <w:sz w:val="28"/>
          <w:szCs w:val="28"/>
        </w:rPr>
      </w:pPr>
      <w:r w:rsidRPr="00CD7215">
        <w:rPr>
          <w:rFonts w:ascii="宋体" w:hAnsi="宋体" w:hint="eastAsia"/>
          <w:b/>
          <w:sz w:val="28"/>
          <w:szCs w:val="28"/>
        </w:rPr>
        <w:t>6</w:t>
      </w:r>
      <w:r w:rsidRPr="00CD7215">
        <w:rPr>
          <w:rFonts w:ascii="宋体" w:hAnsi="宋体"/>
          <w:b/>
          <w:sz w:val="28"/>
          <w:szCs w:val="28"/>
        </w:rPr>
        <w:t xml:space="preserve"> </w:t>
      </w:r>
      <w:r w:rsidRPr="00CD7215">
        <w:rPr>
          <w:rFonts w:ascii="宋体" w:hAnsi="宋体" w:hint="eastAsia"/>
          <w:b/>
          <w:sz w:val="28"/>
          <w:szCs w:val="28"/>
        </w:rPr>
        <w:t>记录</w:t>
      </w:r>
    </w:p>
    <w:tbl>
      <w:tblPr>
        <w:tblStyle w:val="ab"/>
        <w:tblW w:w="0" w:type="auto"/>
        <w:tblLook w:val="04A0" w:firstRow="1" w:lastRow="0" w:firstColumn="1" w:lastColumn="0" w:noHBand="0" w:noVBand="1"/>
      </w:tblPr>
      <w:tblGrid>
        <w:gridCol w:w="4220"/>
        <w:gridCol w:w="4308"/>
      </w:tblGrid>
      <w:tr w:rsidR="00CD7215" w:rsidTr="00CE388D">
        <w:tc>
          <w:tcPr>
            <w:tcW w:w="4220" w:type="dxa"/>
            <w:tcBorders>
              <w:top w:val="nil"/>
              <w:left w:val="nil"/>
              <w:bottom w:val="nil"/>
              <w:right w:val="nil"/>
            </w:tcBorders>
          </w:tcPr>
          <w:p w:rsidR="00CD7215" w:rsidRDefault="00CD7215" w:rsidP="00CE388D">
            <w:pPr>
              <w:spacing w:line="360" w:lineRule="auto"/>
              <w:rPr>
                <w:rFonts w:ascii="宋体" w:hAnsi="宋体" w:hint="eastAsia"/>
                <w:sz w:val="24"/>
              </w:rPr>
            </w:pPr>
            <w:r>
              <w:rPr>
                <w:rFonts w:ascii="宋体" w:hAnsi="宋体"/>
                <w:sz w:val="24"/>
              </w:rPr>
              <w:t xml:space="preserve">  </w:t>
            </w:r>
            <w:r>
              <w:rPr>
                <w:rFonts w:ascii="宋体" w:hAnsi="宋体"/>
                <w:sz w:val="24"/>
              </w:rPr>
              <w:t>6</w:t>
            </w:r>
            <w:r>
              <w:rPr>
                <w:rFonts w:ascii="宋体" w:hAnsi="宋体"/>
                <w:sz w:val="24"/>
              </w:rPr>
              <w:t xml:space="preserve">.1 </w:t>
            </w:r>
            <w:r>
              <w:rPr>
                <w:rFonts w:ascii="宋体" w:hAnsi="宋体" w:hint="eastAsia"/>
                <w:sz w:val="24"/>
              </w:rPr>
              <w:t>会议记录表</w:t>
            </w:r>
          </w:p>
        </w:tc>
        <w:tc>
          <w:tcPr>
            <w:tcW w:w="4308" w:type="dxa"/>
            <w:tcBorders>
              <w:top w:val="nil"/>
              <w:left w:val="nil"/>
              <w:bottom w:val="nil"/>
              <w:right w:val="nil"/>
            </w:tcBorders>
          </w:tcPr>
          <w:p w:rsidR="00CD7215" w:rsidRDefault="00CD7215" w:rsidP="00CE388D">
            <w:pPr>
              <w:spacing w:line="360" w:lineRule="auto"/>
              <w:jc w:val="right"/>
              <w:rPr>
                <w:rFonts w:ascii="宋体" w:hAnsi="宋体"/>
                <w:sz w:val="24"/>
              </w:rPr>
            </w:pPr>
            <w:r>
              <w:rPr>
                <w:rFonts w:ascii="宋体" w:hAnsi="宋体"/>
                <w:sz w:val="24"/>
              </w:rPr>
              <w:t>（文件编号：</w:t>
            </w:r>
            <w:r w:rsidR="00BE3310">
              <w:rPr>
                <w:rFonts w:ascii="宋体" w:hAnsi="宋体"/>
                <w:bCs/>
                <w:kern w:val="0"/>
                <w:sz w:val="24"/>
              </w:rPr>
              <w:t>BPD01-01-01</w:t>
            </w:r>
            <w:r>
              <w:rPr>
                <w:rFonts w:ascii="宋体" w:hAnsi="宋体"/>
                <w:sz w:val="24"/>
              </w:rPr>
              <w:t>）</w:t>
            </w:r>
          </w:p>
        </w:tc>
      </w:tr>
    </w:tbl>
    <w:p w:rsidR="00957852" w:rsidRPr="00CD7215" w:rsidRDefault="00957852">
      <w:pPr>
        <w:adjustRightInd w:val="0"/>
        <w:snapToGrid w:val="0"/>
        <w:spacing w:line="360" w:lineRule="auto"/>
        <w:rPr>
          <w:rFonts w:ascii="宋体" w:hAnsi="宋体"/>
        </w:rPr>
      </w:pPr>
    </w:p>
    <w:p w:rsidR="00957852" w:rsidRPr="00BE3310" w:rsidRDefault="00957852">
      <w:pPr>
        <w:spacing w:line="360" w:lineRule="auto"/>
        <w:ind w:firstLineChars="2450" w:firstLine="5880"/>
        <w:rPr>
          <w:rFonts w:asciiTheme="minorEastAsia" w:hAnsiTheme="minorEastAsia"/>
          <w:sz w:val="24"/>
        </w:rPr>
      </w:pPr>
      <w:bookmarkStart w:id="1" w:name="_GoBack"/>
      <w:bookmarkEnd w:id="1"/>
    </w:p>
    <w:sectPr w:rsidR="00957852" w:rsidRPr="00BE3310" w:rsidSect="00957852">
      <w:headerReference w:type="default" r:id="rId8"/>
      <w:pgSz w:w="11906" w:h="16838"/>
      <w:pgMar w:top="1440" w:right="1797" w:bottom="1440" w:left="1797" w:header="851" w:footer="992"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53A" w:rsidRDefault="0079653A" w:rsidP="00957852">
      <w:r>
        <w:separator/>
      </w:r>
    </w:p>
  </w:endnote>
  <w:endnote w:type="continuationSeparator" w:id="0">
    <w:p w:rsidR="0079653A" w:rsidRDefault="0079653A" w:rsidP="00957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Ebrima"/>
    <w:charset w:val="00"/>
    <w:family w:val="roman"/>
    <w:pitch w:val="default"/>
    <w:sig w:usb0="00000000" w:usb1="0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53A" w:rsidRDefault="0079653A" w:rsidP="00957852">
      <w:r>
        <w:separator/>
      </w:r>
    </w:p>
  </w:footnote>
  <w:footnote w:type="continuationSeparator" w:id="0">
    <w:p w:rsidR="0079653A" w:rsidRDefault="0079653A" w:rsidP="00957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b"/>
      <w:tblW w:w="0" w:type="auto"/>
      <w:tblLook w:val="04A0" w:firstRow="1" w:lastRow="0" w:firstColumn="1" w:lastColumn="0" w:noHBand="0" w:noVBand="1"/>
    </w:tblPr>
    <w:tblGrid>
      <w:gridCol w:w="1096"/>
      <w:gridCol w:w="5248"/>
      <w:gridCol w:w="911"/>
      <w:gridCol w:w="1267"/>
    </w:tblGrid>
    <w:tr w:rsidR="00957852">
      <w:trPr>
        <w:trHeight w:hRule="exact" w:val="397"/>
      </w:trPr>
      <w:tc>
        <w:tcPr>
          <w:tcW w:w="6344" w:type="dxa"/>
          <w:gridSpan w:val="2"/>
          <w:tcBorders>
            <w:top w:val="nil"/>
            <w:left w:val="nil"/>
            <w:bottom w:val="nil"/>
            <w:right w:val="nil"/>
          </w:tcBorders>
          <w:vAlign w:val="center"/>
        </w:tcPr>
        <w:p w:rsidR="00957852" w:rsidRDefault="009F2816">
          <w:pPr>
            <w:pStyle w:val="a8"/>
            <w:pBdr>
              <w:top w:val="none" w:sz="0" w:space="0" w:color="auto"/>
              <w:left w:val="none" w:sz="0" w:space="0" w:color="auto"/>
              <w:bottom w:val="none" w:sz="0" w:space="0" w:color="auto"/>
              <w:right w:val="none" w:sz="0" w:space="0" w:color="auto"/>
            </w:pBdr>
            <w:rPr>
              <w:rFonts w:asciiTheme="majorEastAsia" w:hAnsiTheme="majorEastAsia" w:cstheme="majorEastAsia"/>
            </w:rPr>
          </w:pPr>
          <w:r>
            <w:rPr>
              <w:rFonts w:ascii="宋体" w:hAnsi="宋体" w:cs="宋体" w:hint="eastAsia"/>
              <w:b/>
              <w:bCs/>
              <w:sz w:val="24"/>
            </w:rPr>
            <w:t>生物安全程序文件</w:t>
          </w:r>
        </w:p>
      </w:tc>
      <w:tc>
        <w:tcPr>
          <w:tcW w:w="2178" w:type="dxa"/>
          <w:gridSpan w:val="2"/>
          <w:tcBorders>
            <w:top w:val="nil"/>
            <w:left w:val="nil"/>
            <w:bottom w:val="nil"/>
            <w:right w:val="nil"/>
          </w:tcBorders>
          <w:vAlign w:val="center"/>
        </w:tcPr>
        <w:p w:rsidR="00957852" w:rsidRDefault="009F2816">
          <w:pPr>
            <w:pStyle w:val="a8"/>
            <w:pBdr>
              <w:top w:val="none" w:sz="0" w:space="0" w:color="auto"/>
              <w:left w:val="none" w:sz="0" w:space="0" w:color="auto"/>
              <w:bottom w:val="none" w:sz="0" w:space="0" w:color="auto"/>
              <w:right w:val="none" w:sz="0" w:space="0" w:color="auto"/>
            </w:pBdr>
            <w:rPr>
              <w:rFonts w:asciiTheme="majorEastAsia" w:eastAsiaTheme="majorEastAsia" w:hAnsiTheme="majorEastAsia" w:cstheme="majorEastAsia"/>
            </w:rPr>
          </w:pPr>
          <w:r>
            <w:rPr>
              <w:rFonts w:asciiTheme="majorEastAsia" w:eastAsiaTheme="majorEastAsia" w:hAnsiTheme="majorEastAsia" w:cstheme="majorEastAsia" w:hint="eastAsia"/>
            </w:rPr>
            <w:t>文件编号：BPD01-0</w:t>
          </w:r>
          <w:r>
            <w:rPr>
              <w:rFonts w:asciiTheme="majorEastAsia" w:eastAsiaTheme="majorEastAsia" w:hAnsiTheme="majorEastAsia" w:cstheme="majorEastAsia"/>
            </w:rPr>
            <w:t>1</w:t>
          </w:r>
        </w:p>
      </w:tc>
    </w:tr>
    <w:tr w:rsidR="00957852">
      <w:trPr>
        <w:trHeight w:hRule="exact" w:val="397"/>
      </w:trPr>
      <w:tc>
        <w:tcPr>
          <w:tcW w:w="1096" w:type="dxa"/>
          <w:tcBorders>
            <w:top w:val="nil"/>
            <w:left w:val="nil"/>
            <w:bottom w:val="nil"/>
            <w:right w:val="nil"/>
          </w:tcBorders>
          <w:vAlign w:val="center"/>
        </w:tcPr>
        <w:p w:rsidR="00957852" w:rsidRDefault="009F2816">
          <w:pPr>
            <w:pStyle w:val="a8"/>
            <w:pBdr>
              <w:top w:val="none" w:sz="0" w:space="0" w:color="auto"/>
              <w:left w:val="none" w:sz="0" w:space="0" w:color="auto"/>
              <w:bottom w:val="none" w:sz="0" w:space="0" w:color="auto"/>
              <w:right w:val="none" w:sz="0" w:space="0" w:color="auto"/>
            </w:pBdr>
            <w:rPr>
              <w:rFonts w:asciiTheme="majorEastAsia" w:eastAsiaTheme="majorEastAsia" w:hAnsiTheme="majorEastAsia" w:cstheme="majorEastAsia"/>
            </w:rPr>
          </w:pPr>
          <w:r>
            <w:rPr>
              <w:rFonts w:asciiTheme="majorEastAsia" w:eastAsiaTheme="majorEastAsia" w:hAnsiTheme="majorEastAsia" w:cstheme="majorEastAsia" w:hint="eastAsia"/>
            </w:rPr>
            <w:t>文件名称：</w:t>
          </w:r>
        </w:p>
      </w:tc>
      <w:tc>
        <w:tcPr>
          <w:tcW w:w="5248" w:type="dxa"/>
          <w:tcBorders>
            <w:top w:val="nil"/>
            <w:left w:val="nil"/>
            <w:bottom w:val="nil"/>
            <w:right w:val="nil"/>
          </w:tcBorders>
          <w:vAlign w:val="center"/>
        </w:tcPr>
        <w:p w:rsidR="00957852" w:rsidRDefault="009F2816">
          <w:pPr>
            <w:pStyle w:val="a8"/>
            <w:pBdr>
              <w:top w:val="none" w:sz="0" w:space="0" w:color="auto"/>
              <w:left w:val="none" w:sz="0" w:space="0" w:color="auto"/>
              <w:bottom w:val="none" w:sz="0" w:space="0" w:color="auto"/>
              <w:right w:val="none" w:sz="0" w:space="0" w:color="auto"/>
            </w:pBdr>
            <w:rPr>
              <w:rFonts w:asciiTheme="majorEastAsia" w:eastAsiaTheme="majorEastAsia" w:hAnsiTheme="majorEastAsia" w:cstheme="majorEastAsia"/>
            </w:rPr>
          </w:pPr>
          <w:r>
            <w:rPr>
              <w:rFonts w:asciiTheme="majorEastAsia" w:eastAsiaTheme="majorEastAsia" w:hAnsiTheme="majorEastAsia" w:cstheme="majorEastAsia" w:hint="eastAsia"/>
            </w:rPr>
            <w:t>生物安全管理活动程序</w:t>
          </w:r>
        </w:p>
      </w:tc>
      <w:tc>
        <w:tcPr>
          <w:tcW w:w="911" w:type="dxa"/>
          <w:tcBorders>
            <w:top w:val="nil"/>
            <w:left w:val="nil"/>
            <w:bottom w:val="nil"/>
            <w:right w:val="nil"/>
          </w:tcBorders>
          <w:vAlign w:val="center"/>
        </w:tcPr>
        <w:p w:rsidR="00957852" w:rsidRDefault="009F2816">
          <w:pPr>
            <w:pStyle w:val="a8"/>
            <w:pBdr>
              <w:top w:val="none" w:sz="0" w:space="0" w:color="auto"/>
              <w:left w:val="none" w:sz="0" w:space="0" w:color="auto"/>
              <w:bottom w:val="none" w:sz="0" w:space="0" w:color="auto"/>
              <w:right w:val="none" w:sz="0" w:space="0" w:color="auto"/>
            </w:pBdr>
            <w:rPr>
              <w:rFonts w:asciiTheme="majorEastAsia" w:eastAsiaTheme="majorEastAsia" w:hAnsiTheme="majorEastAsia" w:cstheme="majorEastAsia"/>
            </w:rPr>
          </w:pPr>
          <w:r>
            <w:rPr>
              <w:rFonts w:asciiTheme="majorEastAsia" w:eastAsiaTheme="majorEastAsia" w:hAnsiTheme="majorEastAsia" w:cstheme="majorEastAsia" w:hint="eastAsia"/>
            </w:rPr>
            <w:t>第 1 版</w:t>
          </w:r>
        </w:p>
      </w:tc>
      <w:tc>
        <w:tcPr>
          <w:tcW w:w="1267" w:type="dxa"/>
          <w:tcBorders>
            <w:top w:val="nil"/>
            <w:left w:val="nil"/>
            <w:bottom w:val="nil"/>
            <w:right w:val="nil"/>
          </w:tcBorders>
          <w:vAlign w:val="center"/>
        </w:tcPr>
        <w:p w:rsidR="00957852" w:rsidRDefault="009F2816">
          <w:pPr>
            <w:pStyle w:val="a8"/>
            <w:pBdr>
              <w:top w:val="none" w:sz="0" w:space="0" w:color="auto"/>
              <w:left w:val="none" w:sz="0" w:space="0" w:color="auto"/>
              <w:bottom w:val="none" w:sz="0" w:space="0" w:color="auto"/>
              <w:right w:val="none" w:sz="0" w:space="0" w:color="auto"/>
            </w:pBdr>
            <w:rPr>
              <w:rFonts w:asciiTheme="majorEastAsia" w:eastAsiaTheme="majorEastAsia" w:hAnsiTheme="majorEastAsia" w:cstheme="majorEastAsia"/>
            </w:rPr>
          </w:pPr>
          <w:r>
            <w:rPr>
              <w:rFonts w:asciiTheme="majorEastAsia" w:eastAsiaTheme="majorEastAsia" w:hAnsiTheme="majorEastAsia" w:cstheme="majorEastAsia" w:hint="eastAsia"/>
            </w:rPr>
            <w:t>第 0 次修订</w:t>
          </w:r>
        </w:p>
      </w:tc>
    </w:tr>
    <w:tr w:rsidR="00957852">
      <w:trPr>
        <w:trHeight w:hRule="exact" w:val="397"/>
      </w:trPr>
      <w:tc>
        <w:tcPr>
          <w:tcW w:w="1096" w:type="dxa"/>
          <w:tcBorders>
            <w:top w:val="nil"/>
            <w:left w:val="nil"/>
            <w:bottom w:val="thinThickSmallGap" w:sz="24" w:space="0" w:color="auto"/>
            <w:right w:val="nil"/>
          </w:tcBorders>
          <w:vAlign w:val="center"/>
        </w:tcPr>
        <w:p w:rsidR="00957852" w:rsidRDefault="009F2816">
          <w:pPr>
            <w:pStyle w:val="a8"/>
            <w:pBdr>
              <w:top w:val="none" w:sz="0" w:space="0" w:color="auto"/>
              <w:left w:val="none" w:sz="0" w:space="0" w:color="auto"/>
              <w:bottom w:val="none" w:sz="0" w:space="0" w:color="auto"/>
              <w:right w:val="none" w:sz="0" w:space="0" w:color="auto"/>
            </w:pBdr>
            <w:rPr>
              <w:rFonts w:asciiTheme="majorEastAsia" w:eastAsiaTheme="majorEastAsia" w:hAnsiTheme="majorEastAsia" w:cstheme="majorEastAsia"/>
            </w:rPr>
          </w:pPr>
          <w:r>
            <w:rPr>
              <w:rFonts w:asciiTheme="majorEastAsia" w:eastAsiaTheme="majorEastAsia" w:hAnsiTheme="majorEastAsia" w:cstheme="majorEastAsia" w:hint="eastAsia"/>
            </w:rPr>
            <w:t>标    题：</w:t>
          </w:r>
        </w:p>
      </w:tc>
      <w:tc>
        <w:tcPr>
          <w:tcW w:w="5248" w:type="dxa"/>
          <w:tcBorders>
            <w:top w:val="nil"/>
            <w:left w:val="nil"/>
            <w:bottom w:val="thinThickSmallGap" w:sz="24" w:space="0" w:color="auto"/>
            <w:right w:val="nil"/>
          </w:tcBorders>
          <w:vAlign w:val="center"/>
        </w:tcPr>
        <w:p w:rsidR="00957852" w:rsidRDefault="009F2816">
          <w:pPr>
            <w:pStyle w:val="a8"/>
            <w:pBdr>
              <w:top w:val="none" w:sz="0" w:space="0" w:color="auto"/>
              <w:left w:val="none" w:sz="0" w:space="0" w:color="auto"/>
              <w:bottom w:val="none" w:sz="0" w:space="0" w:color="auto"/>
              <w:right w:val="none" w:sz="0" w:space="0" w:color="auto"/>
            </w:pBdr>
            <w:rPr>
              <w:rFonts w:asciiTheme="majorEastAsia" w:eastAsiaTheme="majorEastAsia" w:hAnsiTheme="majorEastAsia" w:cstheme="majorEastAsia"/>
            </w:rPr>
          </w:pPr>
          <w:r>
            <w:rPr>
              <w:rFonts w:asciiTheme="majorEastAsia" w:eastAsiaTheme="majorEastAsia" w:hAnsiTheme="majorEastAsia" w:cstheme="majorEastAsia" w:hint="eastAsia"/>
            </w:rPr>
            <w:t>生物安全管理活动程序</w:t>
          </w:r>
        </w:p>
      </w:tc>
      <w:tc>
        <w:tcPr>
          <w:tcW w:w="911" w:type="dxa"/>
          <w:tcBorders>
            <w:top w:val="nil"/>
            <w:left w:val="nil"/>
            <w:bottom w:val="thinThickSmallGap" w:sz="24" w:space="0" w:color="auto"/>
            <w:right w:val="nil"/>
          </w:tcBorders>
          <w:vAlign w:val="center"/>
        </w:tcPr>
        <w:p w:rsidR="00957852" w:rsidRDefault="009F2816">
          <w:pPr>
            <w:pStyle w:val="a8"/>
            <w:pBdr>
              <w:top w:val="none" w:sz="0" w:space="0" w:color="auto"/>
              <w:left w:val="none" w:sz="0" w:space="0" w:color="auto"/>
              <w:bottom w:val="none" w:sz="0" w:space="0" w:color="auto"/>
              <w:right w:val="none" w:sz="0" w:space="0" w:color="auto"/>
            </w:pBdr>
            <w:rPr>
              <w:rFonts w:asciiTheme="majorEastAsia" w:eastAsiaTheme="majorEastAsia" w:hAnsiTheme="majorEastAsia" w:cstheme="majorEastAsia"/>
              <w:szCs w:val="18"/>
            </w:rPr>
          </w:pPr>
          <w:r>
            <w:rPr>
              <w:rFonts w:asciiTheme="majorEastAsia" w:eastAsiaTheme="majorEastAsia" w:hAnsiTheme="majorEastAsia" w:cstheme="majorEastAsia" w:hint="eastAsia"/>
              <w:bCs/>
              <w:szCs w:val="18"/>
            </w:rPr>
            <w:t xml:space="preserve">共 </w:t>
          </w:r>
          <w:r w:rsidR="0079653A">
            <w:fldChar w:fldCharType="begin"/>
          </w:r>
          <w:r w:rsidR="0079653A">
            <w:instrText xml:space="preserve"> SECTIONPAGES \* MERGEFORMAT </w:instrText>
          </w:r>
          <w:r w:rsidR="0079653A">
            <w:fldChar w:fldCharType="separate"/>
          </w:r>
          <w:r w:rsidR="00BE3310" w:rsidRPr="00BE3310">
            <w:rPr>
              <w:rFonts w:asciiTheme="majorEastAsia" w:eastAsiaTheme="majorEastAsia" w:hAnsiTheme="majorEastAsia" w:cstheme="majorEastAsia"/>
              <w:bCs/>
              <w:noProof/>
              <w:szCs w:val="18"/>
            </w:rPr>
            <w:t>3</w:t>
          </w:r>
          <w:r w:rsidR="0079653A">
            <w:rPr>
              <w:rFonts w:asciiTheme="majorEastAsia" w:eastAsiaTheme="majorEastAsia" w:hAnsiTheme="majorEastAsia" w:cstheme="majorEastAsia"/>
              <w:bCs/>
              <w:noProof/>
              <w:szCs w:val="18"/>
            </w:rPr>
            <w:fldChar w:fldCharType="end"/>
          </w:r>
          <w:r>
            <w:rPr>
              <w:rFonts w:asciiTheme="majorEastAsia" w:eastAsiaTheme="majorEastAsia" w:hAnsiTheme="majorEastAsia" w:cstheme="majorEastAsia" w:hint="eastAsia"/>
              <w:bCs/>
              <w:szCs w:val="18"/>
            </w:rPr>
            <w:t xml:space="preserve"> 页</w:t>
          </w:r>
        </w:p>
      </w:tc>
      <w:tc>
        <w:tcPr>
          <w:tcW w:w="1267" w:type="dxa"/>
          <w:tcBorders>
            <w:top w:val="nil"/>
            <w:left w:val="nil"/>
            <w:bottom w:val="thinThickSmallGap" w:sz="24" w:space="0" w:color="auto"/>
            <w:right w:val="nil"/>
          </w:tcBorders>
          <w:vAlign w:val="center"/>
        </w:tcPr>
        <w:p w:rsidR="00957852" w:rsidRDefault="009F2816">
          <w:pPr>
            <w:pStyle w:val="a8"/>
            <w:pBdr>
              <w:top w:val="none" w:sz="0" w:space="0" w:color="auto"/>
              <w:left w:val="none" w:sz="0" w:space="0" w:color="auto"/>
              <w:bottom w:val="none" w:sz="0" w:space="0" w:color="auto"/>
              <w:right w:val="none" w:sz="0" w:space="0" w:color="auto"/>
            </w:pBdr>
            <w:tabs>
              <w:tab w:val="clear" w:pos="4153"/>
            </w:tabs>
            <w:rPr>
              <w:rFonts w:asciiTheme="majorEastAsia" w:eastAsiaTheme="majorEastAsia" w:hAnsiTheme="majorEastAsia" w:cstheme="majorEastAsia"/>
              <w:szCs w:val="18"/>
            </w:rPr>
          </w:pPr>
          <w:r>
            <w:rPr>
              <w:rFonts w:asciiTheme="majorEastAsia" w:eastAsiaTheme="majorEastAsia" w:hAnsiTheme="majorEastAsia" w:cstheme="majorEastAsia" w:hint="eastAsia"/>
              <w:bCs/>
              <w:szCs w:val="18"/>
            </w:rPr>
            <w:t xml:space="preserve">第 </w:t>
          </w:r>
          <w:r w:rsidR="00957852">
            <w:rPr>
              <w:rFonts w:asciiTheme="majorEastAsia" w:eastAsiaTheme="majorEastAsia" w:hAnsiTheme="majorEastAsia" w:cstheme="majorEastAsia" w:hint="eastAsia"/>
              <w:szCs w:val="18"/>
            </w:rPr>
            <w:fldChar w:fldCharType="begin"/>
          </w:r>
          <w:r>
            <w:rPr>
              <w:rStyle w:val="ac"/>
              <w:rFonts w:asciiTheme="majorEastAsia" w:eastAsiaTheme="majorEastAsia" w:hAnsiTheme="majorEastAsia" w:cstheme="majorEastAsia" w:hint="eastAsia"/>
              <w:szCs w:val="18"/>
            </w:rPr>
            <w:instrText xml:space="preserve"> PAGE </w:instrText>
          </w:r>
          <w:r w:rsidR="00957852">
            <w:rPr>
              <w:rFonts w:asciiTheme="majorEastAsia" w:eastAsiaTheme="majorEastAsia" w:hAnsiTheme="majorEastAsia" w:cstheme="majorEastAsia" w:hint="eastAsia"/>
              <w:szCs w:val="18"/>
            </w:rPr>
            <w:fldChar w:fldCharType="separate"/>
          </w:r>
          <w:r>
            <w:rPr>
              <w:rStyle w:val="ac"/>
              <w:rFonts w:asciiTheme="majorEastAsia" w:eastAsiaTheme="majorEastAsia" w:hAnsiTheme="majorEastAsia" w:cstheme="majorEastAsia"/>
              <w:noProof/>
              <w:szCs w:val="18"/>
            </w:rPr>
            <w:t>1</w:t>
          </w:r>
          <w:r w:rsidR="00957852">
            <w:rPr>
              <w:rFonts w:asciiTheme="majorEastAsia" w:eastAsiaTheme="majorEastAsia" w:hAnsiTheme="majorEastAsia" w:cstheme="majorEastAsia" w:hint="eastAsia"/>
              <w:szCs w:val="18"/>
            </w:rPr>
            <w:fldChar w:fldCharType="end"/>
          </w:r>
          <w:r>
            <w:rPr>
              <w:rFonts w:asciiTheme="majorEastAsia" w:eastAsiaTheme="majorEastAsia" w:hAnsiTheme="majorEastAsia" w:cstheme="majorEastAsia" w:hint="eastAsia"/>
              <w:szCs w:val="18"/>
            </w:rPr>
            <w:t xml:space="preserve"> </w:t>
          </w:r>
          <w:r>
            <w:rPr>
              <w:rFonts w:asciiTheme="majorEastAsia" w:eastAsiaTheme="majorEastAsia" w:hAnsiTheme="majorEastAsia" w:cstheme="majorEastAsia" w:hint="eastAsia"/>
              <w:bCs/>
              <w:szCs w:val="18"/>
            </w:rPr>
            <w:t>页</w:t>
          </w:r>
        </w:p>
      </w:tc>
    </w:tr>
  </w:tbl>
  <w:p w:rsidR="00957852" w:rsidRDefault="00957852">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7FBDD291"/>
    <w:rsid w:val="7FBDD291"/>
    <w:rsid w:val="AEDFD711"/>
    <w:rsid w:val="BB7FC764"/>
    <w:rsid w:val="D5DCD92F"/>
    <w:rsid w:val="EECD8010"/>
    <w:rsid w:val="F73A0F8D"/>
    <w:rsid w:val="F7FE3217"/>
    <w:rsid w:val="F9B54452"/>
    <w:rsid w:val="FBDFEE9D"/>
    <w:rsid w:val="FF5B5B8A"/>
    <w:rsid w:val="00064E3D"/>
    <w:rsid w:val="00082FC7"/>
    <w:rsid w:val="00163609"/>
    <w:rsid w:val="002B1E2C"/>
    <w:rsid w:val="0037053F"/>
    <w:rsid w:val="00390DE6"/>
    <w:rsid w:val="003D79F5"/>
    <w:rsid w:val="003F21CB"/>
    <w:rsid w:val="004059B0"/>
    <w:rsid w:val="00483A07"/>
    <w:rsid w:val="006B5C6C"/>
    <w:rsid w:val="006E6DD3"/>
    <w:rsid w:val="00706BD0"/>
    <w:rsid w:val="00726962"/>
    <w:rsid w:val="0075057F"/>
    <w:rsid w:val="00792123"/>
    <w:rsid w:val="0079653A"/>
    <w:rsid w:val="007C57E6"/>
    <w:rsid w:val="00814C81"/>
    <w:rsid w:val="0082142A"/>
    <w:rsid w:val="008C1C22"/>
    <w:rsid w:val="00904D18"/>
    <w:rsid w:val="00957852"/>
    <w:rsid w:val="009903F2"/>
    <w:rsid w:val="009F2816"/>
    <w:rsid w:val="00AA76FA"/>
    <w:rsid w:val="00AD4093"/>
    <w:rsid w:val="00B04AD1"/>
    <w:rsid w:val="00B0734B"/>
    <w:rsid w:val="00B34754"/>
    <w:rsid w:val="00B46DC9"/>
    <w:rsid w:val="00BC2840"/>
    <w:rsid w:val="00BC7D6B"/>
    <w:rsid w:val="00BE3310"/>
    <w:rsid w:val="00C349D6"/>
    <w:rsid w:val="00CD7215"/>
    <w:rsid w:val="00D06DF3"/>
    <w:rsid w:val="00E777C6"/>
    <w:rsid w:val="00EC0137"/>
    <w:rsid w:val="00EE3F52"/>
    <w:rsid w:val="00F15477"/>
    <w:rsid w:val="00F2531C"/>
    <w:rsid w:val="00F9284B"/>
    <w:rsid w:val="203A156F"/>
    <w:rsid w:val="2E744112"/>
    <w:rsid w:val="3BDF1E6B"/>
    <w:rsid w:val="3DB7D56E"/>
    <w:rsid w:val="575A1272"/>
    <w:rsid w:val="580D01A4"/>
    <w:rsid w:val="5FF8D7A8"/>
    <w:rsid w:val="6FDB3B1E"/>
    <w:rsid w:val="6FE7CBA2"/>
    <w:rsid w:val="74B9FBEC"/>
    <w:rsid w:val="75F5E86C"/>
    <w:rsid w:val="77DD7A68"/>
    <w:rsid w:val="7D073B23"/>
    <w:rsid w:val="7EE7C637"/>
    <w:rsid w:val="7F67A6B2"/>
    <w:rsid w:val="7FBDD29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3BCEC6"/>
  <w15:docId w15:val="{6B80C1C5-8FE0-4FB4-8B6E-DFBF4B74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785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rsid w:val="00957852"/>
    <w:pPr>
      <w:jc w:val="left"/>
    </w:pPr>
  </w:style>
  <w:style w:type="paragraph" w:styleId="a5">
    <w:name w:val="Balloon Text"/>
    <w:basedOn w:val="a"/>
    <w:link w:val="a6"/>
    <w:qFormat/>
    <w:rsid w:val="00957852"/>
    <w:rPr>
      <w:sz w:val="18"/>
      <w:szCs w:val="18"/>
    </w:rPr>
  </w:style>
  <w:style w:type="paragraph" w:styleId="a7">
    <w:name w:val="footer"/>
    <w:basedOn w:val="a"/>
    <w:qFormat/>
    <w:rsid w:val="00957852"/>
    <w:pPr>
      <w:tabs>
        <w:tab w:val="center" w:pos="4153"/>
        <w:tab w:val="right" w:pos="8306"/>
      </w:tabs>
      <w:snapToGrid w:val="0"/>
      <w:jc w:val="left"/>
    </w:pPr>
    <w:rPr>
      <w:sz w:val="18"/>
    </w:rPr>
  </w:style>
  <w:style w:type="paragraph" w:styleId="a8">
    <w:name w:val="header"/>
    <w:basedOn w:val="a"/>
    <w:qFormat/>
    <w:rsid w:val="00957852"/>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9">
    <w:name w:val="annotation subject"/>
    <w:basedOn w:val="a3"/>
    <w:next w:val="a3"/>
    <w:link w:val="aa"/>
    <w:qFormat/>
    <w:rsid w:val="00957852"/>
    <w:rPr>
      <w:b/>
      <w:bCs/>
    </w:rPr>
  </w:style>
  <w:style w:type="table" w:styleId="ab">
    <w:name w:val="Table Grid"/>
    <w:basedOn w:val="a1"/>
    <w:qFormat/>
    <w:rsid w:val="0095785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qFormat/>
    <w:rsid w:val="00957852"/>
  </w:style>
  <w:style w:type="character" w:styleId="ad">
    <w:name w:val="annotation reference"/>
    <w:basedOn w:val="a0"/>
    <w:qFormat/>
    <w:rsid w:val="00957852"/>
    <w:rPr>
      <w:sz w:val="21"/>
      <w:szCs w:val="21"/>
    </w:rPr>
  </w:style>
  <w:style w:type="character" w:customStyle="1" w:styleId="a4">
    <w:name w:val="批注文字 字符"/>
    <w:basedOn w:val="a0"/>
    <w:link w:val="a3"/>
    <w:qFormat/>
    <w:rsid w:val="00957852"/>
    <w:rPr>
      <w:kern w:val="2"/>
      <w:sz w:val="21"/>
      <w:szCs w:val="24"/>
    </w:rPr>
  </w:style>
  <w:style w:type="character" w:customStyle="1" w:styleId="aa">
    <w:name w:val="批注主题 字符"/>
    <w:basedOn w:val="a4"/>
    <w:link w:val="a9"/>
    <w:qFormat/>
    <w:rsid w:val="00957852"/>
    <w:rPr>
      <w:b/>
      <w:bCs/>
      <w:kern w:val="2"/>
      <w:sz w:val="21"/>
      <w:szCs w:val="24"/>
    </w:rPr>
  </w:style>
  <w:style w:type="character" w:customStyle="1" w:styleId="a6">
    <w:name w:val="批注框文本 字符"/>
    <w:basedOn w:val="a0"/>
    <w:link w:val="a5"/>
    <w:qFormat/>
    <w:rsid w:val="0095785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183</Words>
  <Characters>1045</Characters>
  <Application>Microsoft Office Word</Application>
  <DocSecurity>0</DocSecurity>
  <Lines>8</Lines>
  <Paragraphs>2</Paragraphs>
  <ScaleCrop>false</ScaleCrop>
  <Company>china</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Schaffer</dc:creator>
  <cp:lastModifiedBy>王嘉</cp:lastModifiedBy>
  <cp:revision>9</cp:revision>
  <dcterms:created xsi:type="dcterms:W3CDTF">2020-08-14T02:16:00Z</dcterms:created>
  <dcterms:modified xsi:type="dcterms:W3CDTF">2021-05-12T08:15:00Z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