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«БЕЛОРУССКИЙ ГОСУДАРСТВЕННЫЙ УНИВЕРСИТЕТ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sz w:val="24"/>
        </w:rPr>
        <w:t>ИНФОРМАТИКИ И РАДИОЭЛЕКТРОНИКИ»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Факультет компьютерных систем и сетей</w:t>
      </w:r>
    </w:p>
    <w:p>
      <w:pPr>
        <w:spacing w:line="276" w:lineRule="auto" w:before="0" w:after="80"/>
        <w:ind w:firstLine="0"/>
        <w:jc w:val="center"/>
      </w:pPr>
      <w:r>
        <w:rPr>
          <w:rFonts w:ascii="Times New Roman" w:hAnsi="Times New Roman"/>
          <w:b w:val="0"/>
          <w:sz w:val="26"/>
        </w:rPr>
        <w:t>Кафедра программного обеспечения информационных технологий</w:t>
      </w:r>
    </w:p>
    <w:p>
      <w:pPr>
        <w:spacing w:before="880" w:after="0"/>
        <w:ind w:firstLine="0"/>
      </w:pPr>
    </w:p>
    <w:p>
      <w:pPr>
        <w:spacing w:line="288" w:lineRule="auto" w:after="16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  <w:br/>
        <w:t>ПО ПРАКТИЧЕСКОМУ ЗАДАНИЮ № 3 (ЧАСТЬ 3)</w:t>
      </w:r>
    </w:p>
    <w:p>
      <w:pPr>
        <w:spacing w:line="288" w:lineRule="auto" w:after="200"/>
        <w:ind w:firstLine="0"/>
        <w:jc w:val="center"/>
      </w:pPr>
      <w:r>
        <w:rPr>
          <w:rFonts w:ascii="Times New Roman" w:hAnsi="Times New Roman"/>
          <w:i/>
          <w:sz w:val="28"/>
        </w:rPr>
        <w:t>по дисциплине «Теория практической реализации игр»</w:t>
      </w:r>
    </w:p>
    <w:p>
      <w:pPr>
        <w:spacing w:line="288" w:lineRule="auto" w:after="0"/>
        <w:ind w:firstLine="0"/>
        <w:jc w:val="center"/>
      </w:pPr>
      <w:r>
        <w:rPr>
          <w:rFonts w:ascii="Times New Roman" w:hAnsi="Times New Roman"/>
          <w:b/>
          <w:sz w:val="28"/>
        </w:rPr>
        <w:t>на тему «Технико-экономическое обоснование разработки и реализации игрового приложения «Rogue Drive: Survival». Расчет экономического эффекта мобильной версии с рекламной монетизацией»</w:t>
      </w:r>
    </w:p>
    <w:p>
      <w:pPr>
        <w:spacing w:before="1120" w:after="0"/>
        <w:ind w:firstLine="0"/>
      </w:pPr>
    </w:p>
    <w:p>
      <w:pPr>
        <w:spacing w:line="288" w:lineRule="auto" w:after="0"/>
        <w:ind w:left="4819" w:firstLine="0"/>
        <w:jc w:val="left"/>
      </w:pPr>
      <w:r>
        <w:rPr>
          <w:rFonts w:ascii="Times New Roman" w:hAnsi="Times New Roman"/>
          <w:sz w:val="26"/>
        </w:rPr>
        <w:t>Выполнил:</w:t>
        <w:br/>
        <w:t>студент 4 курса</w:t>
        <w:br/>
        <w:t>гр. 051001 (ПОИТ)</w:t>
        <w:br/>
        <w:t>Белькевич Е. А.</w:t>
        <w:br/>
        <w:br/>
        <w:t>Проверил:</w:t>
        <w:br/>
        <w:t>ст. преподаватель</w:t>
        <w:br/>
        <w:t>________________</w:t>
      </w:r>
    </w:p>
    <w:p>
      <w:pPr>
        <w:spacing w:before="1280" w:after="0"/>
        <w:ind w:firstLine="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sz w:val="28"/>
        </w:rPr>
        <w:t>Минск 2026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1.3 Расчёт экономического эффекта от реализации мобильного игрового приложения с рекламной монетизацией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рамках дипломного проекта разрабатывается постапокалиптическая экспедиция-одиссея на автомобиле «Rogue Drive: Survival» (Survival Racing / Road Odyssey), объединяющая пеший лутинг и уход за автомобилем от 1-го лица, модульное состояние узлов без абстрактной полоски HP, надвигающийся токсичный пылевой шторм и физический монтаж навесного оборудования на 3D-сокеты кузова.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В соответствии с учебной программой дисциплины «Теория практической реализации игр» и методическими указаниями кафедры ПОИТ, в настоящем подразделе выполнен альтернативный компаративный расчет экономической эффективности проекта в форме мобильного игрового приложения с рекламной монетизацией (Free-to-Play). Данный расчет необходим для всестороннего сравнительного анализа двух полярных моделей коммерциализации: премиальной Buy-to-Play модели на ПК в Steam (рассмотренной в Части 2) и условно-бесплатной рекламной модели на мобильных платформах (Google Play, App Store).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Экономический эффект от реализации мобильного игрового приложения проявляется в получении чистой прибыли студией-разработчиком за счёт поступлений от демонстрации рекламных объявлений внутри приложения с подключением рекламной медиации (Google AdMob, Unity Ads, AppLovin). Величина данного эффекта определяется размером активной аудитории (MAU), уровнем удержания игроков (Retention), интенсивностью рекламных показов на пользователя, эффективной стоимостью тысячи показов (eCPM) и суммарными инвестициями в разработку.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Источники доходов F2P-модели: </w:t>
      </w:r>
      <w:r>
        <w:rPr>
          <w:rFonts w:ascii="Times New Roman" w:hAnsi="Times New Roman"/>
          <w:sz w:val="28"/>
        </w:rPr>
        <w:t>Для игровых приложений, распространяемых по модели Free-to-Play, ключевыми источниками формирования доходов выступают: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1) Показ рекламы: </w:t>
      </w:r>
      <w:r>
        <w:rPr>
          <w:rFonts w:ascii="Times New Roman" w:hAnsi="Times New Roman"/>
          <w:sz w:val="28"/>
        </w:rPr>
        <w:t>видеоролики за вознаграждение (Rewarded Video) для получения канистры бензина при докатке в режиме Limp Mode или мгновенной починки радиатора на обочине, а также полноэкранные межстраничные вставки (Interstitial Ads) при переходе между секторами трассы на базах СТО;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2) Внутриигровые микротранзакции: </w:t>
      </w:r>
      <w:r>
        <w:rPr>
          <w:rFonts w:ascii="Times New Roman" w:hAnsi="Times New Roman"/>
          <w:sz w:val="28"/>
        </w:rPr>
        <w:t>разовая покупка отключения межстраничной рекламы «No-Ads» и приобретение пакетов золотых жетонов для придорожного Казино «Фортуна Пустоши»;</w:t>
      </w:r>
    </w:p>
    <w:p>
      <w:pPr>
        <w:spacing w:line="360" w:lineRule="auto" w:before="0" w:after="0"/>
        <w:ind w:left="992" w:hanging="283"/>
        <w:jc w:val="both"/>
      </w:pPr>
      <w:r>
        <w:rPr>
          <w:rFonts w:ascii="Times New Roman" w:hAnsi="Times New Roman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 xml:space="preserve">3) Кросс-продвижение: </w:t>
      </w:r>
      <w:r>
        <w:rPr>
          <w:rFonts w:ascii="Times New Roman" w:hAnsi="Times New Roman"/>
          <w:sz w:val="28"/>
        </w:rPr>
        <w:t>рекламные баннеры и кросс-промоушн партнерских игровых проектов.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Средний доход от одного активного пользователя за расчётный период (1 месяц) определяется по формуле (1.7):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Д_ус = (k_рек ∙ eCPM) / 1000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(1.7)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Дус – средний доход разработчика от одного активного пользователя за месяц, долл. США;</w:t>
        <w:br/>
        <w:t>k_рек – среднее количество результативных показов рекламы на одного активного пользователя в месяц;</w:t>
        <w:br/>
        <w:t>eCPM – эффективная стоимость 1000 показов рекламы (effective Cost Per Mille), долл. США.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 основе отраслевой аналитики компаний Unity Ads и Sensor Tower для мобильных аркадных выживаний средняя рекламная активность составляет k_рек = 25 показов в месяц (15 просмотров вознаграждаемой рекламы Rewarded Video и 10 показов межстраничных вставок Interstitial на базах СТО). Средневзвешенная ставка eCPM для целевых рынков составляет $4.00 долл. США.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месячный доход с одного активного пользователя составит:</w:t>
        <w:br/>
        <w:t>Д_ус = (25 ∙ 4.00) / 1000 = 100.00 / 1000 = 0.10 долл. США (в пересчете по курсу НБ РБ составляет 0.33 руб. на пользователя в месяц).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Совокупный доход студии от рекламы за расчётный годовой период рассчитывается с учётом комиссии платформы цифровой дистрибуции (Google Play или Apple App Store) и посреднических рекламных сетей по формуле (1.8):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Д_сов = N_акт ∙ Д_ус ∙ (1 - К_платф) ∙ 12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(1.8)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Дсов – совокупный доход разработчика от рекламы за год, руб.;</w:t>
        <w:br/>
        <w:t>N_акт – прогнозируемое среднегодовое количество активных пользователей в месяц (MAU). Для достижения окупаемости принимается N_акт = 150 000 активных пользователей;</w:t>
        <w:br/>
        <w:t>Д_ус – месячный доход с одного пользователя (Дус = 0.33 руб.);</w:t>
        <w:br/>
        <w:t>К_платф – комиссия платформы распространения и рекламных сетей (30% = 0.30);</w:t>
        <w:br/>
        <w:t>12 – количество месяцев в календарном году.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Подставляя значения, получаем годовой совокупный доход разработчика:</w:t>
        <w:br/>
        <w:t>Д_сов = 150 000 ∙ 0.33 ∙ (1 - 0.30) ∙ 12 = 150 000 ∙ 0.33 ∙ 0.70 ∙ 12 = 415 800.00 руб. (~$126 000 по курсу).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Прибыль до налогообложения определяется как разница между совокупным рекламным доходом и суммарными инвестиционными затратами на разработку и маркетинговое продвижение игры по формуле (1.9):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П = Д_сов - К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(1.9)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К – совокупные затраты на разработку, рассчитанные в подразделе 1.2 (К = 324 649.44 руб.).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прибыль до уплаты налогов составит:</w:t>
        <w:br/>
        <w:t>П = 415 800.00 - 324 649.44 = 91 150.56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Совокупный прирост чистой прибыли от коммерческой реализации проекта (с учетом налога на прибыль 20%) определяется по формуле (1.10):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ЧП = П ∙ (1 - С_нп)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(1.10)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где С_нп – ставка налога на прибыль в Республике Беларусь (С_нп = 20% = 0.20).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чистая прибыль составит:</w:t>
        <w:br/>
        <w:t>ЧП = 91 150.56 ∙ (1 - 0.20) = 91 150.56 ∙ 0.80 = 72 920.45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Период окупаемости инвестиционных затрат для мобильного приложения рассчитывается по формуле (1.11):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Т_ок = К / ЧП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(1.11)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Подставляя значения, получаем срок окупаемости:</w:t>
        <w:br/>
        <w:t>Т_ок = 324 649.44 / 72 920.45 = 4.45 года (при расчете по валовому чистому доходу Т_ок = К / Д_сов = 324 649.44 / 415 800.00 = 0.781 года ≈ 9.4 месяца).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1.4 Расчёт показателей экономической эффективности разработки и реализации мобильного игрового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Оценка экономической эффективности мобильной версии приложения базируется на сопоставлении объема инвестиционных затрат и годового прироста чистой прибыли.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Расчётный коэффициент экономической эффективности инвестиций (Eр) определяется по формуле (1.12):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Е_р = ЧП / К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(1.12)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Подставляя числовые значения, получаем:</w:t>
        <w:br/>
        <w:t>Е_р = 72 920.45 / 324 649.44 = 0.225.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Полученное значение Ер = 0.225 превышает нормативный отраслевой коэффициент Ен = 0.15, что свидетельствует о формальной окупаемости и экономической приемлемости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Рентабельность инвестиций (ROI) рассчитывается по формуле (1.13):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line="360" w:lineRule="auto" w:before="120" w:after="80"/>
              <w:ind w:firstLine="709"/>
              <w:jc w:val="left"/>
            </w:pPr>
            <w:r>
              <w:rPr>
                <w:rFonts w:ascii="Times New Roman" w:hAnsi="Times New Roman"/>
                <w:i/>
                <w:sz w:val="28"/>
              </w:rPr>
              <w:t>ROI = (ЧП / К) ∙ 100% ,</w:t>
            </w:r>
          </w:p>
        </w:tc>
        <w:tc>
          <w:tcPr>
            <w:tcW w:type="dxa" w:w="4819"/>
          </w:tcPr>
          <w:p>
            <w:pPr>
              <w:spacing w:line="360" w:lineRule="auto" w:before="120" w:after="80"/>
              <w:ind w:firstLine="0"/>
              <w:jc w:val="right"/>
            </w:pPr>
            <w:r>
              <w:rPr>
                <w:rFonts w:ascii="Times New Roman" w:hAnsi="Times New Roman"/>
                <w:sz w:val="28"/>
              </w:rPr>
              <w:t>(1.13)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Таким образом, рентабельность инвестиций составит:</w:t>
        <w:br/>
        <w:t>ROI = (72 920.45 / 324 649.44) ∙ 100% = 22.46%.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Сводные экономические показатели мобильной версии с рекламной монетизацией сведены в таблицу 1.3.</w:t>
      </w:r>
    </w:p>
    <w:p>
      <w:pPr>
        <w:keepNext/>
        <w:spacing w:line="276" w:lineRule="auto" w:before="200" w:after="80"/>
        <w:ind w:firstLine="709"/>
        <w:jc w:val="left"/>
      </w:pPr>
      <w:r>
        <w:rPr>
          <w:rFonts w:ascii="Times New Roman" w:hAnsi="Times New Roman"/>
          <w:b/>
          <w:sz w:val="26"/>
        </w:rPr>
        <w:t>Таблица 1.3 – Показатели экономической эффективности мобильной версии с рекламой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Наименование показателя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Обозначение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Единица измерения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AEAEA"/>
            <w:vAlign w:val="center"/>
          </w:tcPr>
          <w:p>
            <w:pPr>
              <w:spacing w:line="240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 показателя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Среднее число показов рекламы на пользователя в месяц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k_рек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показов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25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Эффективная стоимость 1000 показов рекламы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eCPM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долл. США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4.00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Месячный доход с одного активного пользователя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Д_ус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 / USD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0.33 / $0.10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Прогнозируемое число активных пользователей (MAU)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N_акт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пользователей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150 000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Комиссия платформы и рекламных сетей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К_платф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30.0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Совокупный годовой доход от рекламы (выручка)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Д_сов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415 800.00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Суммарные инвестиции в разработку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324 649.44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Прибыль до налогообложения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91 150.56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Ставка налога на прибыль в Республике Беларусь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С_нп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20.0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Годовой прирост чистой прибыли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ЧП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руб.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72 920.45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Срок окупаемости затрат (по чистой прибыли)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Т_ок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лет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4.45 (9.4 мес. по выручке)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Коэффициент экономической эффективности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Е_р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доли единицы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0.225 (при норме 0.15)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Рентабельность инвестиций</w:t>
            </w:r>
          </w:p>
        </w:tc>
        <w:tc>
          <w:tcPr>
            <w:tcW w:type="dxa" w:w="14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ROI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%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52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</w:rPr>
              <w:t>22.46</w:t>
            </w:r>
          </w:p>
        </w:tc>
      </w:tr>
    </w:tbl>
    <w:p>
      <w:pPr>
        <w:spacing w:before="0" w:after="120"/>
        <w:ind w:firstLine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Сравнительный аналитический вывод по разделу 1.3 и сопоставление с моделью ПК (Steam): проведение альтернативного расчета мобильной F2P-версии с рекламной монетизацией позволяет сделать фундаментальный научно-практический вывод для дипломного проекта. Сопоставление финансовых показателей ПК-версии (Часть 2: чистая прибыль 90 280.45 руб., ROI = 27.81%, окупаемость 8.9 месяцев при продаже всего 30 000 копий) и мобильной версии (Часть 3: чистая прибыль 72 920.45 руб., ROI = 22.46% при необходимости удержания гигантской базы в 150 000 MAU) наглядно доказывает абсолютное преимущество модели Buy-to-Play на ПК в Steam. Для атмосферной игры с пешим исследованием от 1-го лица, уходом за узлами авто, 3D-сокетами и динамичным боем мобильная F2P-модель с рекламными вставками разрушает иммерсивный опыт выживания и сопряжена с колоссальными рисками закупки трафика (User Acquisition). Таким образом, базовым и наиболее экономически целесообразным вектором коммерциализации дипломного проекта утверждается ПК-релиз в сервисе Steam по премиум-модели Buy-to-Play.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Стандарт предприятия. Дипломные проекты (работы). Общие требования к оформлению : СТП 01-2017. – Минск : БГУИР, 2017. – 44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Экономика проектных решений: методические указания по экономическому обоснованию дипломных проектов : учеб.-метод. пособие / В. Г. Горовой [и др.]. – Минск : БГУИР, 2021. – 107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Налоговый кодекс Республики Беларусь (Особенная часть) от 29.12.2009 № 71-З (с изм. и доп.) // Национальный правовой Интернет-портал Республики Беларусь.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Unity Monetization: Ad Formats, Mediation and eCPM Benchmarks [Electronic resource] // Unity Technologies. – Mode of access: https://unity.com/solutions/monetization – Date of access: 15.09.2026.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Sensor Tower: Mobile Gaming Monetization and Advertising Report 2024–2025 [Electronic resource] // Sensor Tower. – Mode of access: https://sensortower.com/ – Date of access: 17.09.2026.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sz w:val="28"/>
        </w:rPr>
        <w:t>Шевченко, А. Основы мобильной монетизации: от рекламы до внутриигровых покупок / А. Шевченко. – М. : ДМК Пресс, 2022. – 240 с.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