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3323703" cy="8735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3703" cy="8735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7">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hd w:fill="ffffff" w:val="clea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Maestría en Inteligencia Artificial Aplicada - MNA</w:t>
      </w:r>
    </w:p>
    <w:p w:rsidR="00000000" w:rsidDel="00000000" w:rsidP="00000000" w:rsidRDefault="00000000" w:rsidRPr="00000000" w14:paraId="00000009">
      <w:pPr>
        <w:shd w:fill="ffffff" w:val="clea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hd w:fill="ffffff" w:val="clea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Proyecto Integrador</w:t>
      </w:r>
    </w:p>
    <w:p w:rsidR="00000000" w:rsidDel="00000000" w:rsidP="00000000" w:rsidRDefault="00000000" w:rsidRPr="00000000" w14:paraId="0000000B">
      <w:pPr>
        <w:shd w:fill="ffffff" w:val="clea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hd w:fill="ffffff" w:val="clea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Actividad Semana 1</w:t>
      </w:r>
    </w:p>
    <w:p w:rsidR="00000000" w:rsidDel="00000000" w:rsidP="00000000" w:rsidRDefault="00000000" w:rsidRPr="00000000" w14:paraId="0000000D">
      <w:pPr>
        <w:shd w:fill="ffffff" w:val="clea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hd w:fill="ffffff" w:val="clea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Conformación de equipos y planteamiento del proyecto</w:t>
      </w:r>
    </w:p>
    <w:p w:rsidR="00000000" w:rsidDel="00000000" w:rsidP="00000000" w:rsidRDefault="00000000" w:rsidRPr="00000000" w14:paraId="0000000F">
      <w:pPr>
        <w:shd w:fill="ffffff" w:val="clea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hd w:fill="ffffff" w:val="clea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GLOBULIVE, S.A.</w:t>
      </w:r>
    </w:p>
    <w:p w:rsidR="00000000" w:rsidDel="00000000" w:rsidP="00000000" w:rsidRDefault="00000000" w:rsidRPr="00000000" w14:paraId="00000011">
      <w:pPr>
        <w:shd w:fill="ffffff" w:val="clea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hd w:fill="ffffff" w:val="clea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hd w:fill="ffffff" w:val="clea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hd w:fill="ffffff" w:val="clea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hd w:fill="ffffff" w:val="clea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Equipo 39</w:t>
      </w:r>
    </w:p>
    <w:p w:rsidR="00000000" w:rsidDel="00000000" w:rsidP="00000000" w:rsidRDefault="00000000" w:rsidRPr="00000000" w14:paraId="00000016">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A01321600   </w:t>
        <w:tab/>
        <w:t xml:space="preserve">Ignacio Moreda Rovirosa </w:t>
      </w:r>
    </w:p>
    <w:p w:rsidR="00000000" w:rsidDel="00000000" w:rsidP="00000000" w:rsidRDefault="00000000" w:rsidRPr="00000000" w14:paraId="00000018">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A01795095</w:t>
        <w:tab/>
        <w:t xml:space="preserve">Enma Beatriz Galindo Arango</w:t>
      </w:r>
    </w:p>
    <w:p w:rsidR="00000000" w:rsidDel="00000000" w:rsidP="00000000" w:rsidRDefault="00000000" w:rsidRPr="00000000" w14:paraId="00000019">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A00826769</w:t>
        <w:tab/>
        <w:t xml:space="preserve">Gustavo Adolfo Benitez Leonés</w:t>
      </w:r>
    </w:p>
    <w:p w:rsidR="00000000" w:rsidDel="00000000" w:rsidP="00000000" w:rsidRDefault="00000000" w:rsidRPr="00000000" w14:paraId="0000001A">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hd w:fill="ffffff" w:val="clea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6">
      <w:pPr>
        <w:shd w:fill="ffffff" w:val="clea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Análisis de tendencias y sistema de recomendación de suplementos dietéticos mediante aprendizaje supervisado: aplicación de datos reales al proyecto de emprendimiento en Guatemala</w:t>
      </w:r>
    </w:p>
    <w:p w:rsidR="00000000" w:rsidDel="00000000" w:rsidP="00000000" w:rsidRDefault="00000000" w:rsidRPr="00000000" w14:paraId="00000027">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hd w:fill="ffffff" w:val="clea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Nombre de la empresa: </w:t>
      </w:r>
      <w:r w:rsidDel="00000000" w:rsidR="00000000" w:rsidRPr="00000000">
        <w:rPr>
          <w:rFonts w:ascii="Calibri" w:cs="Calibri" w:eastAsia="Calibri" w:hAnsi="Calibri"/>
          <w:rtl w:val="0"/>
        </w:rPr>
        <w:t xml:space="preserve">Distribuidora Globulive, Sociedad Anónima (Globulive, S.A.)</w:t>
      </w:r>
    </w:p>
    <w:p w:rsidR="00000000" w:rsidDel="00000000" w:rsidP="00000000" w:rsidRDefault="00000000" w:rsidRPr="00000000" w14:paraId="00000029">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hd w:fill="ffffff" w:val="clea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Sector industrial al que pertenece: </w:t>
      </w:r>
      <w:r w:rsidDel="00000000" w:rsidR="00000000" w:rsidRPr="00000000">
        <w:rPr>
          <w:rFonts w:ascii="Calibri" w:cs="Calibri" w:eastAsia="Calibri" w:hAnsi="Calibri"/>
          <w:rtl w:val="0"/>
        </w:rPr>
        <w:t xml:space="preserve">Se clasifica en el sector de comercialización y distribución de productos farmacéuticos y afines (código 46: Comercio al por mayor de productos farmacéuticos, suplementos alimenticios, vitaminas y preparados de uso sanitario).</w:t>
      </w:r>
    </w:p>
    <w:p w:rsidR="00000000" w:rsidDel="00000000" w:rsidP="00000000" w:rsidRDefault="00000000" w:rsidRPr="00000000" w14:paraId="0000002B">
      <w:pPr>
        <w:shd w:fill="ffffff" w:val="clea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hd w:fill="ffffff" w:val="clea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 de aplicación: </w:t>
      </w:r>
    </w:p>
    <w:p w:rsidR="00000000" w:rsidDel="00000000" w:rsidP="00000000" w:rsidRDefault="00000000" w:rsidRPr="00000000" w14:paraId="0000002D">
      <w:pPr>
        <w:shd w:fill="ffffff" w:val="clear"/>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Ubicación geográfica:</w:t>
      </w:r>
      <w:r w:rsidDel="00000000" w:rsidR="00000000" w:rsidRPr="00000000">
        <w:rPr>
          <w:rFonts w:ascii="Calibri" w:cs="Calibri" w:eastAsia="Calibri" w:hAnsi="Calibri"/>
          <w:rtl w:val="0"/>
        </w:rPr>
        <w:t xml:space="preserve"> Empresa guatemalteca inscrita bajo el número de registro 31454 (Expediente 113286-2022), cuya dirección es 14 Avenida 18-69, Bodega B26, Nivel 5, Ciudad de Guatemala, Guatemala. </w:t>
      </w:r>
    </w:p>
    <w:p w:rsidR="00000000" w:rsidDel="00000000" w:rsidP="00000000" w:rsidRDefault="00000000" w:rsidRPr="00000000" w14:paraId="0000002E">
      <w:pPr>
        <w:shd w:fill="ffffff" w:val="clear"/>
        <w:spacing w:line="276"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Ubicación de distribución/ comercialización principales:</w:t>
      </w:r>
    </w:p>
    <w:p w:rsidR="00000000" w:rsidDel="00000000" w:rsidP="00000000" w:rsidRDefault="00000000" w:rsidRPr="00000000" w14:paraId="0000002F">
      <w:pPr>
        <w:shd w:fill="ffffff" w:val="clea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De acuerdo con el Gobierno de la República de Guatemala: “el territorio guatemalteco está dividido administrativamente en 22 departamentos y 340 municipios, siendo la Ciudad de Guatemala su capital” </w:t>
      </w:r>
      <w:hyperlink r:id="rId7">
        <w:r w:rsidDel="00000000" w:rsidR="00000000" w:rsidRPr="00000000">
          <w:rPr>
            <w:rFonts w:ascii="Calibri" w:cs="Calibri" w:eastAsia="Calibri" w:hAnsi="Calibri"/>
            <w:rtl w:val="0"/>
          </w:rPr>
          <w:t xml:space="preserve">(Gobierno de la República de Guatemala, 2018)</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numPr>
          <w:ilvl w:val="0"/>
          <w:numId w:val="1"/>
        </w:numPr>
        <w:shd w:fill="ffffff" w:val="clea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Ciudad de Guatemala, departamento de Guatemala</w:t>
      </w:r>
    </w:p>
    <w:p w:rsidR="00000000" w:rsidDel="00000000" w:rsidP="00000000" w:rsidRDefault="00000000" w:rsidRPr="00000000" w14:paraId="00000031">
      <w:pPr>
        <w:numPr>
          <w:ilvl w:val="0"/>
          <w:numId w:val="1"/>
        </w:numPr>
        <w:shd w:fill="ffffff" w:val="clea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Municipio de Xela, ciudad de Quetzaltenango, departamento de Quetzaltenango.</w:t>
      </w:r>
    </w:p>
    <w:p w:rsidR="00000000" w:rsidDel="00000000" w:rsidP="00000000" w:rsidRDefault="00000000" w:rsidRPr="00000000" w14:paraId="00000032">
      <w:pPr>
        <w:numPr>
          <w:ilvl w:val="0"/>
          <w:numId w:val="1"/>
        </w:numPr>
        <w:shd w:fill="ffffff" w:val="clea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Antigua Guatemala, departamento de Sacatepéquez. </w:t>
      </w:r>
    </w:p>
    <w:p w:rsidR="00000000" w:rsidDel="00000000" w:rsidP="00000000" w:rsidRDefault="00000000" w:rsidRPr="00000000" w14:paraId="00000033">
      <w:pPr>
        <w:shd w:fill="ffffff" w:val="clear"/>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Área/ Departamento o División involucradas en la solución:</w:t>
      </w:r>
      <w:r w:rsidDel="00000000" w:rsidR="00000000" w:rsidRPr="00000000">
        <w:rPr>
          <w:rFonts w:ascii="Calibri" w:cs="Calibri" w:eastAsia="Calibri" w:hAnsi="Calibri"/>
          <w:rtl w:val="0"/>
        </w:rPr>
        <w:t xml:space="preserve"> Operaciones y comercialización, específicamente en los procesos de planificación de producción, distribución y ventas de la línea de suplementos nutracéuticos MICROGUD®.</w:t>
      </w:r>
    </w:p>
    <w:p w:rsidR="00000000" w:rsidDel="00000000" w:rsidP="00000000" w:rsidRDefault="00000000" w:rsidRPr="00000000" w14:paraId="00000034">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hd w:fill="ffffff" w:val="clea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Dominio de aplicación</w:t>
      </w:r>
    </w:p>
    <w:p w:rsidR="00000000" w:rsidDel="00000000" w:rsidP="00000000" w:rsidRDefault="00000000" w:rsidRPr="00000000" w14:paraId="00000036">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proyecto integrador se enmarca en el dominio de Modelos predictivos (supervisados), orientados al análisis de tendencias y la recomendación de productos en el sector de suplementos dietéticos. Dado que Globulive, S.A. es un emprendimiento en fase inicial sin datos históricos propios, se emplean como proxy los datos reales del conjunto “Amazon Customer Reviews – Health &amp; Personal Care”, que reúne reseñas verificadas de consumidores sobre suplementos y vitaminas. Estos datos permiten identificar patrones de comportamiento, preferencias de los usuarios y factores asociados a la satisfacción del cliente, los cuales pueden trasladarse a las decisiones de desarrollo y comercialización de la línea MICROGUD®.</w:t>
      </w:r>
    </w:p>
    <w:p w:rsidR="00000000" w:rsidDel="00000000" w:rsidP="00000000" w:rsidRDefault="00000000" w:rsidRPr="00000000" w14:paraId="00000037">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modelo resultante permitirá anticipar la aceptación de formulaciones específicas, orientar la estrategia de posicionamiento y guiar decisiones sobre comunicación y distribución. Así, el uso de aprendizaje supervisado no solo ofrece una base empírica sólida, sino que contribuye directamente a la planificación estratégica y al diseño de producto dentro del emprendimiento Globulive.</w:t>
      </w:r>
      <w:r w:rsidDel="00000000" w:rsidR="00000000" w:rsidRPr="00000000">
        <w:rPr>
          <w:rtl w:val="0"/>
        </w:rPr>
      </w:r>
    </w:p>
    <w:p w:rsidR="00000000" w:rsidDel="00000000" w:rsidP="00000000" w:rsidRDefault="00000000" w:rsidRPr="00000000" w14:paraId="00000038">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shd w:fill="ffffff" w:val="clea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Literatura citada: </w:t>
      </w:r>
    </w:p>
    <w:p w:rsidR="00000000" w:rsidDel="00000000" w:rsidP="00000000" w:rsidRDefault="00000000" w:rsidRPr="00000000" w14:paraId="0000003E">
      <w:pPr>
        <w:shd w:fill="ffffff" w:val="clear"/>
        <w:spacing w:after="0" w:line="480" w:lineRule="auto"/>
        <w:ind w:left="720"/>
        <w:jc w:val="both"/>
        <w:rPr>
          <w:rFonts w:ascii="Calibri" w:cs="Calibri" w:eastAsia="Calibri" w:hAnsi="Calibri"/>
        </w:rPr>
      </w:pPr>
      <w:hyperlink r:id="rId8">
        <w:r w:rsidDel="00000000" w:rsidR="00000000" w:rsidRPr="00000000">
          <w:rPr>
            <w:rFonts w:ascii="Calibri" w:cs="Calibri" w:eastAsia="Calibri" w:hAnsi="Calibri"/>
            <w:rtl w:val="0"/>
          </w:rPr>
          <w:t xml:space="preserve">Gobierno de la República de Guatemala. (2018). </w:t>
        </w:r>
      </w:hyperlink>
      <w:hyperlink r:id="rId9">
        <w:r w:rsidDel="00000000" w:rsidR="00000000" w:rsidRPr="00000000">
          <w:rPr>
            <w:rFonts w:ascii="Calibri" w:cs="Calibri" w:eastAsia="Calibri" w:hAnsi="Calibri"/>
            <w:i w:val="1"/>
            <w:rtl w:val="0"/>
          </w:rPr>
          <w:t xml:space="preserve">2. Datos Generales | Vicepresidencia de la República de Guatemala</w:t>
        </w:r>
      </w:hyperlink>
      <w:hyperlink r:id="rId10">
        <w:r w:rsidDel="00000000" w:rsidR="00000000" w:rsidRPr="00000000">
          <w:rPr>
            <w:rFonts w:ascii="Calibri" w:cs="Calibri" w:eastAsia="Calibri" w:hAnsi="Calibri"/>
            <w:rtl w:val="0"/>
          </w:rPr>
          <w:t xml:space="preserve">. https://mail.vicepresidencia.gob.gt/politica-migratoria/2-datos-generales </w:t>
        </w:r>
      </w:hyperlink>
      <w:r w:rsidDel="00000000" w:rsidR="00000000" w:rsidRPr="00000000">
        <w:rPr>
          <w:rtl w:val="0"/>
        </w:rPr>
      </w:r>
    </w:p>
    <w:p w:rsidR="00000000" w:rsidDel="00000000" w:rsidP="00000000" w:rsidRDefault="00000000" w:rsidRPr="00000000" w14:paraId="0000003F">
      <w:pP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zotero.org/google-docs/?qGgQFr" TargetMode="External"/><Relationship Id="rId9" Type="http://schemas.openxmlformats.org/officeDocument/2006/relationships/hyperlink" Target="https://www.zotero.org/google-docs/?qGgQF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zotero.org/google-docs/?wStXt4" TargetMode="External"/><Relationship Id="rId8" Type="http://schemas.openxmlformats.org/officeDocument/2006/relationships/hyperlink" Target="https://www.zotero.org/google-docs/?qGgQ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