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0B0483" w14:textId="77777777">
      <w:pPr>
        <w:pBdr/>
        <w:spacing/>
        <w:ind/>
        <w:rPr/>
      </w:pPr>
      <w:r>
        <w:t xml:space="preserve">UNIVERSIDAD DE SAN CARLOS DE GUATEMALA</w:t>
      </w:r>
      <w:r/>
    </w:p>
    <w:p w14:paraId="5DB8E071" w14:textId="77777777">
      <w:pPr>
        <w:pBdr/>
        <w:spacing/>
        <w:ind/>
        <w:rPr/>
      </w:pPr>
      <w:r>
        <w:t xml:space="preserve">FACULTAD DE INGENIERÍA</w:t>
      </w:r>
      <w:r/>
    </w:p>
    <w:p w14:paraId="18873A80" w14:textId="2C1505CD">
      <w:pPr>
        <w:pBdr/>
        <w:spacing/>
        <w:ind/>
        <w:rPr/>
      </w:pPr>
      <w:r>
        <w:rPr>
          <w:lang w:val="es-GT"/>
        </w:rPr>
        <w:t xml:space="preserve">SOFTWARE AVANZADO
</w:t>
      </w:r>
      <w:r/>
    </w:p>
    <w:p w14:paraId="16DC061C" w14:textId="225B989A">
      <w:pPr>
        <w:pBdr/>
        <w:spacing/>
        <w:ind/>
        <w:rPr/>
      </w:pPr>
      <w:r>
        <w:t xml:space="preserve">CATEDRÁTICO: ING. </w:t>
      </w:r>
      <w:r>
        <w:rPr>
          <w:lang w:val="es-GT"/>
        </w:rPr>
        <w:t xml:space="preserve">MARCO TULIO ALDANA PRILLWITZ</w:t>
      </w:r>
      <w:r/>
    </w:p>
    <w:p w14:paraId="11E33033" w14:textId="4F793D2D">
      <w:pPr>
        <w:pBdr/>
        <w:spacing/>
        <w:ind/>
        <w:rPr/>
      </w:pPr>
      <w:r>
        <w:t xml:space="preserve">TUTOR ACADÉMICO: </w:t>
      </w:r>
      <w:r>
        <w:rPr>
          <w:lang w:val="es-GT"/>
        </w:rPr>
        <w:t xml:space="preserve">KEVIN RAÚL POZUELOS ESTRADA</w:t>
      </w:r>
      <w:r/>
    </w:p>
    <w:p w14:paraId="53BCC7B4" w14:textId="77777777">
      <w:pPr>
        <w:pBdr/>
        <w:spacing/>
        <w:ind/>
        <w:rPr/>
      </w:pPr>
      <w:r/>
      <w:r/>
    </w:p>
    <w:p w14:paraId="0C46208E" w14:textId="77777777">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484350</wp:posOffset>
                </wp:positionH>
                <wp:positionV relativeFrom="paragraph">
                  <wp:posOffset>210276</wp:posOffset>
                </wp:positionV>
                <wp:extent cx="4762500" cy="47625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alphaModFix amt="19000"/>
                        </a:blip>
                        <a:stretch/>
                      </pic:blipFill>
                      <pic:spPr bwMode="auto">
                        <a:xfrm>
                          <a:off x="0" y="0"/>
                          <a:ext cx="4762500" cy="47625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38.14pt;mso-position-horizontal:absolute;mso-position-vertical-relative:text;margin-top:16.56pt;mso-position-vertical:absolute;width:375.00pt;height:375.00pt;mso-wrap-distance-left:9.00pt;mso-wrap-distance-top:9.00pt;mso-wrap-distance-right:9.00pt;mso-wrap-distance-bottom:9.00pt;z-index:1;">
                <w10:wrap type="square"/>
                <v:imagedata r:id="rId11" o:title=""/>
                <o:lock v:ext="edit" rotation="t"/>
              </v:shape>
            </w:pict>
          </mc:Fallback>
        </mc:AlternateContent>
      </w:r>
      <w:r/>
    </w:p>
    <w:p w14:paraId="795BAB18" w14:textId="77777777">
      <w:pPr>
        <w:pBdr/>
        <w:spacing/>
        <w:ind/>
        <w:rPr/>
      </w:pPr>
      <w:r/>
      <w:r/>
    </w:p>
    <w:p w14:paraId="4CBFAACF" w14:textId="77777777">
      <w:pPr>
        <w:pBdr/>
        <w:spacing/>
        <w:ind/>
        <w:rPr/>
      </w:pPr>
      <w:r/>
      <w:r/>
    </w:p>
    <w:p w14:paraId="7008A109" w14:textId="77777777">
      <w:pPr>
        <w:pBdr/>
        <w:spacing/>
        <w:ind/>
        <w:rPr/>
      </w:pPr>
      <w:r/>
      <w:r/>
    </w:p>
    <w:p w14:paraId="1616CE4F" w14:textId="77777777">
      <w:pPr>
        <w:pBdr/>
        <w:spacing/>
        <w:ind/>
        <w:rPr/>
      </w:pPr>
      <w:r/>
      <w:r/>
    </w:p>
    <w:p w14:paraId="03F55FE1" w14:textId="7397A2DF">
      <w:pPr>
        <w:pBdr/>
        <w:spacing/>
        <w:ind/>
        <w:rPr/>
      </w:pPr>
      <w:r/>
      <w:r/>
    </w:p>
    <w:p w14:paraId="776BF089" w14:textId="3A0CD474">
      <w:pPr>
        <w:pBdr/>
        <w:spacing/>
        <w:ind/>
        <w:rPr/>
      </w:pPr>
      <w:r/>
      <w:r/>
    </w:p>
    <w:p w14:paraId="02F7A1A6" w14:textId="22DAAC33">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margin">
                  <wp:posOffset>1136967</wp:posOffset>
                </wp:positionH>
                <wp:positionV relativeFrom="paragraph">
                  <wp:posOffset>178103</wp:posOffset>
                </wp:positionV>
                <wp:extent cx="3457575" cy="685972"/>
                <wp:effectExtent l="0" t="0" r="0" b="0"/>
                <wp:wrapSquare wrapText="bothSides"/>
                <wp:docPr id="2" name="Cuadro de texto 1"/>
                <wp:cNvGraphicFramePr/>
                <a:graphic xmlns:a="http://schemas.openxmlformats.org/drawingml/2006/main">
                  <a:graphicData uri="http://schemas.microsoft.com/office/word/2010/wordprocessingShape">
                    <wps:wsp>
                      <wps:cNvPr id="1755188471" name=""/>
                      <wps:cNvSpPr txBox="1"/>
                      <wps:spPr bwMode="auto">
                        <a:xfrm>
                          <a:off x="0" y="0"/>
                          <a:ext cx="3457935" cy="533700"/>
                        </a:xfrm>
                        <a:prstGeom prst="rect">
                          <a:avLst/>
                        </a:prstGeom>
                        <a:noFill/>
                        <a:ln>
                          <a:noFill/>
                        </a:ln>
                      </wps:spPr>
                      <wps:txbx>
                        <w:txbxContent>
                          <w:p w14:paraId="4F587A7A">
                            <w:pPr>
                              <w:pBdr/>
                              <w:spacing w:line="240" w:lineRule="auto"/>
                              <w:ind/>
                              <w:jc w:val="center"/>
                              <w:rPr/>
                            </w:pPr>
                            <w:r>
                              <w:rPr>
                                <w:b/>
                                <w:color w:val="000000"/>
                                <w:sz w:val="48"/>
                                <w:u w:val="single"/>
                                <w:lang w:val="es-GT"/>
                              </w:rPr>
                              <w:t xml:space="preserve">DEVOPS Y SRE</w:t>
                            </w:r>
                            <w:r/>
                          </w:p>
                        </w:txbxContent>
                      </wps:txbx>
                      <wps:bodyPr spcFirstLastPara="1" wrap="square" lIns="91423" tIns="91423" rIns="91423" bIns="91423" anchor="t" anchorCtr="0">
                        <a:spAutoFit/>
                      </wps:bodyPr>
                    </wps:wsp>
                  </a:graphicData>
                </a:graphic>
              </wp:anchor>
            </w:drawing>
          </mc:Choice>
          <mc:Fallback>
            <w:pict>
              <v:shape id="shape 1" o:spid="_x0000_s1" o:spt="202" type="#_x0000_t202" style="position:absolute;z-index:251659264;o:allowoverlap:true;o:allowincell:true;mso-position-horizontal-relative:margin;margin-left:89.52pt;mso-position-horizontal:absolute;mso-position-vertical-relative:text;margin-top:14.02pt;mso-position-vertical:absolute;width:272.25pt;height:54.01pt;mso-wrap-distance-left:9.00pt;mso-wrap-distance-top:9.00pt;mso-wrap-distance-right:9.00pt;mso-wrap-distance-bottom:9.00pt;v-text-anchor:top;visibility:visible;" filled="f" stroked="f">
                <w10:wrap type="square"/>
                <v:textbox inset="0,0,0,0">
                  <w:txbxContent>
                    <w:p w14:paraId="4F587A7A">
                      <w:pPr>
                        <w:pBdr/>
                        <w:spacing w:line="240" w:lineRule="auto"/>
                        <w:ind/>
                        <w:jc w:val="center"/>
                        <w:rPr/>
                      </w:pPr>
                      <w:r>
                        <w:rPr>
                          <w:b/>
                          <w:color w:val="000000"/>
                          <w:sz w:val="48"/>
                          <w:u w:val="single"/>
                          <w:lang w:val="es-GT"/>
                        </w:rPr>
                        <w:t xml:space="preserve">DEVOPS Y SRE</w:t>
                      </w:r>
                      <w:r/>
                    </w:p>
                  </w:txbxContent>
                </v:textbox>
              </v:shape>
            </w:pict>
          </mc:Fallback>
        </mc:AlternateContent>
      </w:r>
      <w:r/>
    </w:p>
    <w:p w14:paraId="710103BE" w14:textId="77777777">
      <w:pPr>
        <w:pBdr/>
        <w:spacing/>
        <w:ind/>
        <w:rPr/>
      </w:pPr>
      <w:r/>
      <w:r/>
    </w:p>
    <w:p w14:paraId="4EF970D5" w14:textId="77777777">
      <w:pPr>
        <w:pBdr/>
        <w:spacing/>
        <w:ind/>
        <w:rPr/>
      </w:pPr>
      <w:r/>
      <w:r/>
    </w:p>
    <w:p w14:paraId="526A8002" w14:textId="77777777">
      <w:pPr>
        <w:pBdr/>
        <w:spacing/>
        <w:ind/>
        <w:rPr/>
      </w:pPr>
      <w:r/>
      <w:r/>
    </w:p>
    <w:p w14:paraId="5ABDA464" w14:textId="77777777">
      <w:pPr>
        <w:pBdr/>
        <w:spacing/>
        <w:ind/>
        <w:rPr/>
      </w:pPr>
      <w:r/>
      <w:r/>
    </w:p>
    <w:p w14:paraId="38587E19" w14:textId="77777777">
      <w:pPr>
        <w:pBdr/>
        <w:spacing/>
        <w:ind/>
        <w:rPr/>
      </w:pPr>
      <w:r/>
      <w:r/>
    </w:p>
    <w:p w14:paraId="35EA62E5" w14:textId="77777777">
      <w:pPr>
        <w:pBdr/>
        <w:spacing/>
        <w:ind/>
        <w:rPr/>
      </w:pPr>
      <w:r/>
      <w:r/>
    </w:p>
    <w:p w14:paraId="7BE0AE8C" w14:textId="77777777">
      <w:pPr>
        <w:pBdr/>
        <w:spacing/>
        <w:ind/>
        <w:rPr/>
      </w:pPr>
      <w:r/>
      <w:r/>
    </w:p>
    <w:p w14:paraId="75953C5F" w14:textId="77777777">
      <w:pPr>
        <w:pBdr/>
        <w:spacing/>
        <w:ind/>
        <w:rPr/>
      </w:pPr>
      <w:r/>
      <w:r/>
    </w:p>
    <w:p w14:paraId="793A111A" w14:textId="77777777">
      <w:pPr>
        <w:pBdr/>
        <w:spacing/>
        <w:ind/>
        <w:rPr/>
      </w:pPr>
      <w:r/>
      <w:r/>
    </w:p>
    <w:p w14:paraId="43AF17BE" w14:textId="77777777">
      <w:pPr>
        <w:pBdr/>
        <w:spacing/>
        <w:ind/>
        <w:rPr/>
      </w:pPr>
      <w:r/>
      <w:r/>
    </w:p>
    <w:p w14:paraId="2F2EB342" w14:textId="64CBFDC0">
      <w:pPr>
        <w:pBdr/>
        <w:spacing/>
        <w:ind/>
        <w:jc w:val="right"/>
        <w:rPr/>
      </w:pPr>
      <w:r>
        <w:t xml:space="preserve">ENNER ESAÍ MENDIZABAL CASTRO</w:t>
      </w:r>
      <w:r/>
    </w:p>
    <w:p w14:paraId="2D9FBFA6" w14:textId="23B2E3FD">
      <w:pPr>
        <w:pBdr/>
        <w:spacing/>
        <w:ind/>
        <w:jc w:val="right"/>
        <w:rPr/>
      </w:pPr>
      <w:r>
        <w:t xml:space="preserve">CARNÉ: </w:t>
      </w:r>
      <w:r>
        <w:t xml:space="preserve">202302220</w:t>
      </w:r>
      <w:r/>
    </w:p>
    <w:p w14:paraId="64880085" w14:textId="7760F342">
      <w:pPr>
        <w:pBdr/>
        <w:spacing/>
        <w:ind/>
        <w:jc w:val="right"/>
        <w:rPr/>
      </w:pPr>
      <w:r>
        <w:t xml:space="preserve">SECCIÓN: B</w:t>
      </w:r>
      <w:r/>
    </w:p>
    <w:p w14:paraId="5088D784" w14:textId="77777777">
      <w:pPr>
        <w:pBdr/>
        <w:spacing/>
        <w:ind/>
        <w:jc w:val="right"/>
        <w:rPr/>
      </w:pPr>
      <w:r/>
      <w:r/>
    </w:p>
    <w:p w14:paraId="2CC0BDB1" w14:textId="5196292C">
      <w:pPr>
        <w:pBdr/>
        <w:spacing/>
        <w:ind/>
        <w:jc w:val="center"/>
        <w:rPr/>
      </w:pPr>
      <w:r>
        <w:t xml:space="preserve">GUATEMALA, </w:t>
      </w:r>
      <w:r>
        <w:rPr>
          <w:lang w:val="es-GT"/>
        </w:rPr>
        <w:t xml:space="preserve">21</w:t>
      </w:r>
      <w:r>
        <w:rPr>
          <w:lang w:val="es-GT"/>
        </w:rPr>
        <w:t xml:space="preserve"> </w:t>
      </w:r>
      <w:r>
        <w:t xml:space="preserve">DE </w:t>
      </w:r>
      <w:r>
        <w:rPr>
          <w:lang w:val="es-GT"/>
        </w:rPr>
        <w:t xml:space="preserve">JULIO </w:t>
      </w:r>
      <w:r>
        <w:t xml:space="preserve">DEL 2,02</w:t>
      </w:r>
      <w:r>
        <w:rPr>
          <w:lang w:val="es-GT"/>
        </w:rPr>
        <w:t xml:space="preserve">6</w:t>
      </w:r>
      <w:r/>
    </w:p>
    <w:p w14:paraId="424C9DF3" w14:textId="4BF48B37">
      <w:pPr>
        <w:pStyle w:val="915"/>
        <w:pBdr/>
        <w:spacing/>
        <w:ind/>
        <w:rPr/>
      </w:pPr>
      <w:r/>
      <w:bookmarkStart w:id="1" w:name="_Toc1"/>
      <w:r>
        <w:t xml:space="preserve">ÍNDICE</w:t>
      </w:r>
      <w:r/>
      <w:bookmarkEnd w:id="1"/>
      <w:r/>
      <w:r/>
    </w:p>
    <w:sdt>
      <w:sdtPr>
        <w15:appearance w15:val="boundingBox"/>
        <w:id w:val="-336772059"/>
        <w:docPartObj>
          <w:docPartGallery w:val="Table of Contents"/>
          <w:docPartUnique w:val="true"/>
        </w:docPartObj>
        <w:rPr>
          <w:rFonts w:ascii="Times New Roman" w:hAnsi="Times New Roman" w:eastAsia="Times New Roman" w:cs="Times New Roman"/>
          <w:color w:val="auto"/>
          <w:sz w:val="28"/>
          <w:szCs w:val="28"/>
          <w:lang w:val="es-MX"/>
        </w:rPr>
      </w:sdtPr>
      <w:sdtContent>
        <w:p w14:paraId="546BF6B6" w14:textId="5FD31700">
          <w:pPr>
            <w:pStyle w:val="928"/>
            <w:pBdr/>
            <w:spacing/>
            <w:ind/>
            <w:rPr>
              <w:sz w:val="2"/>
              <w:szCs w:val="2"/>
            </w:rPr>
          </w:pPr>
          <w:r>
            <w:rPr>
              <w:sz w:val="2"/>
              <w:szCs w:val="2"/>
            </w:rPr>
          </w:r>
          <w:r>
            <w:rPr>
              <w:sz w:val="2"/>
              <w:szCs w:val="2"/>
            </w:rPr>
          </w:r>
          <w:r>
            <w:rPr>
              <w:sz w:val="2"/>
              <w:szCs w:val="2"/>
            </w:rPr>
          </w:r>
        </w:p>
        <w:p w14:paraId="0CF1E4B7">
          <w:pPr>
            <w:pStyle w:val="929"/>
            <w:pBdr/>
            <w:tabs>
              <w:tab w:val="right" w:leader="dot" w:pos="9016"/>
            </w:tabs>
            <w:spacing/>
            <w:ind/>
            <w:rPr/>
          </w:pPr>
          <w:r>
            <w:fldChar w:fldCharType="begin"/>
          </w:r>
          <w:r>
            <w:instrText xml:space="preserve"> TOC \o "1-3" \h \z \u </w:instrText>
          </w:r>
          <w:r>
            <w:fldChar w:fldCharType="separate"/>
          </w:r>
          <w:r/>
          <w:hyperlink w:tooltip="#_Toc1" w:anchor="_Toc1" w:history="1">
            <w:r>
              <w:rPr>
                <w:rStyle w:val="931"/>
              </w:rPr>
            </w:r>
            <w:r>
              <w:rPr>
                <w:rStyle w:val="931"/>
              </w:rPr>
              <w:t xml:space="preserve">ÍNDICE</w:t>
            </w:r>
            <w:r>
              <w:rPr>
                <w:rStyle w:val="931"/>
              </w:rPr>
            </w:r>
            <w:r>
              <w:tab/>
            </w:r>
            <w:r>
              <w:fldChar w:fldCharType="begin"/>
              <w:instrText xml:space="preserve">PAGEREF _Toc1 \h</w:instrText>
              <w:fldChar w:fldCharType="separate"/>
              <w:t xml:space="preserve">1</w:t>
              <w:fldChar w:fldCharType="end"/>
            </w:r>
          </w:hyperlink>
          <w:r/>
        </w:p>
        <w:p w14:paraId="0EABCFD2">
          <w:pPr>
            <w:pStyle w:val="929"/>
            <w:pBdr/>
            <w:tabs>
              <w:tab w:val="right" w:leader="dot" w:pos="9016"/>
            </w:tabs>
            <w:spacing/>
            <w:ind/>
            <w:rPr/>
          </w:pPr>
          <w:hyperlink w:tooltip="#_Toc2" w:anchor="_Toc2" w:history="1">
            <w:r>
              <w:rPr>
                <w:rStyle w:val="931"/>
              </w:rPr>
            </w:r>
            <w:r>
              <w:rPr>
                <w:rStyle w:val="931"/>
              </w:rPr>
              <w:t xml:space="preserve">INTRODUCCIÓN</w:t>
            </w:r>
            <w:r>
              <w:rPr>
                <w:rStyle w:val="931"/>
              </w:rPr>
            </w:r>
            <w:r>
              <w:tab/>
            </w:r>
            <w:r>
              <w:fldChar w:fldCharType="begin"/>
              <w:instrText xml:space="preserve">PAGEREF _Toc2 \h</w:instrText>
              <w:fldChar w:fldCharType="separate"/>
              <w:t xml:space="preserve">2</w:t>
              <w:fldChar w:fldCharType="end"/>
            </w:r>
          </w:hyperlink>
          <w:r/>
        </w:p>
        <w:p w14:paraId="69D24DD7">
          <w:pPr>
            <w:pStyle w:val="929"/>
            <w:pBdr/>
            <w:tabs>
              <w:tab w:val="right" w:leader="dot" w:pos="9016"/>
            </w:tabs>
            <w:spacing/>
            <w:ind/>
            <w:rPr/>
          </w:pPr>
          <w:hyperlink w:tooltip="#_Toc3" w:anchor="_Toc3" w:history="1">
            <w:r>
              <w:rPr>
                <w:rStyle w:val="931"/>
              </w:rPr>
            </w:r>
            <w:r>
              <w:rPr>
                <w:rStyle w:val="931"/>
                <w:lang w:val="es-GT"/>
              </w:rPr>
              <w:t xml:space="preserve">DEVOPS Y SRE
</w:t>
            </w:r>
            <w:r>
              <w:rPr>
                <w:rStyle w:val="931"/>
              </w:rPr>
            </w:r>
            <w:r>
              <w:tab/>
            </w:r>
            <w:r>
              <w:fldChar w:fldCharType="begin"/>
              <w:instrText xml:space="preserve">PAGEREF _Toc3 \h</w:instrText>
              <w:fldChar w:fldCharType="separate"/>
              <w:t xml:space="preserve">4</w:t>
              <w:fldChar w:fldCharType="end"/>
            </w:r>
          </w:hyperlink>
          <w:r/>
        </w:p>
        <w:p w14:paraId="19FBECFD">
          <w:pPr>
            <w:pStyle w:val="930"/>
            <w:pBdr/>
            <w:tabs>
              <w:tab w:val="right" w:leader="dot" w:pos="9016"/>
            </w:tabs>
            <w:spacing/>
            <w:ind/>
            <w:rPr/>
          </w:pPr>
          <w:hyperlink w:tooltip="#_Toc4" w:anchor="_Toc4" w:history="1">
            <w:r>
              <w:rPr>
                <w:rStyle w:val="931"/>
              </w:rPr>
            </w:r>
            <w:r>
              <w:rPr>
                <w:rStyle w:val="931"/>
                <w:lang w:val="es-GT"/>
              </w:rPr>
              <w:t xml:space="preserve">DevOps</w:t>
            </w:r>
            <w:r>
              <w:rPr>
                <w:rStyle w:val="931"/>
              </w:rPr>
            </w:r>
            <w:r>
              <w:tab/>
            </w:r>
            <w:r>
              <w:fldChar w:fldCharType="begin"/>
              <w:instrText xml:space="preserve">PAGEREF _Toc4 \h</w:instrText>
              <w:fldChar w:fldCharType="separate"/>
              <w:t xml:space="preserve">4</w:t>
              <w:fldChar w:fldCharType="end"/>
            </w:r>
          </w:hyperlink>
          <w:r/>
        </w:p>
        <w:p w14:paraId="563CD04C">
          <w:pPr>
            <w:pStyle w:val="930"/>
            <w:pBdr/>
            <w:tabs>
              <w:tab w:val="right" w:leader="dot" w:pos="9016"/>
            </w:tabs>
            <w:spacing/>
            <w:ind/>
            <w:rPr>
              <w:highlight w:val="none"/>
            </w:rPr>
          </w:pPr>
          <w:hyperlink w:tooltip="#_Toc5" w:anchor="_Toc5" w:history="1">
            <w:r>
              <w:rPr>
                <w:rStyle w:val="931"/>
              </w:rPr>
            </w:r>
            <w:r>
              <w:rPr>
                <w:rStyle w:val="931"/>
              </w:rPr>
              <w:t xml:space="preserve">Site Reliability Engineering (SRE)</w:t>
            </w:r>
            <w:r>
              <w:rPr>
                <w:rStyle w:val="931"/>
              </w:rPr>
            </w:r>
            <w:r>
              <w:tab/>
            </w:r>
            <w:r>
              <w:fldChar w:fldCharType="begin"/>
              <w:instrText xml:space="preserve">PAGEREF _Toc5 \h</w:instrText>
              <w:fldChar w:fldCharType="separate"/>
              <w:t xml:space="preserve">7</w:t>
              <w:fldChar w:fldCharType="end"/>
            </w:r>
          </w:hyperlink>
          <w:r>
            <w:rPr>
              <w:highlight w:val="none"/>
            </w:rPr>
          </w:r>
        </w:p>
        <w:p w14:paraId="185E04AF">
          <w:pPr>
            <w:pStyle w:val="929"/>
            <w:pBdr/>
            <w:tabs>
              <w:tab w:val="right" w:leader="dot" w:pos="9016"/>
            </w:tabs>
            <w:spacing/>
            <w:ind/>
            <w:rPr/>
          </w:pPr>
          <w:hyperlink w:tooltip="#_Toc6" w:anchor="_Toc6" w:history="1">
            <w:r>
              <w:rPr>
                <w:rStyle w:val="931"/>
              </w:rPr>
            </w:r>
            <w:r>
              <w:rPr>
                <w:rStyle w:val="931"/>
                <w:highlight w:val="none"/>
                <w:lang w:val="es-GT"/>
              </w:rPr>
              <w:t xml:space="preserve">CUADRO COMPARATIVO: DEVOPS vs SRE</w:t>
            </w:r>
            <w:r>
              <w:rPr>
                <w:rStyle w:val="931"/>
                <w:highlight w:val="none"/>
                <w:lang w:val="es-GT"/>
              </w:rPr>
            </w:r>
            <w:r>
              <w:tab/>
            </w:r>
            <w:r>
              <w:fldChar w:fldCharType="begin"/>
              <w:instrText xml:space="preserve">PAGEREF _Toc6 \h</w:instrText>
              <w:fldChar w:fldCharType="separate"/>
              <w:t xml:space="preserve">10</w:t>
              <w:fldChar w:fldCharType="end"/>
            </w:r>
          </w:hyperlink>
          <w:r/>
        </w:p>
        <w:p w14:paraId="2E3B10C0">
          <w:pPr>
            <w:pStyle w:val="929"/>
            <w:pBdr/>
            <w:tabs>
              <w:tab w:val="right" w:leader="dot" w:pos="9016"/>
            </w:tabs>
            <w:spacing/>
            <w:ind/>
            <w:rPr>
              <w:highlight w:val="none"/>
            </w:rPr>
          </w:pPr>
          <w:hyperlink w:tooltip="#_Toc7" w:anchor="_Toc7" w:history="1">
            <w:r>
              <w:rPr>
                <w:rStyle w:val="931"/>
              </w:rPr>
            </w:r>
            <w:r>
              <w:rPr>
                <w:rStyle w:val="931"/>
                <w:lang w:val="es-GT"/>
              </w:rPr>
              <w:t xml:space="preserve">CONCLUSIONES
</w:t>
            </w:r>
            <w:r>
              <w:rPr>
                <w:rStyle w:val="931"/>
              </w:rPr>
            </w:r>
            <w:r>
              <w:tab/>
            </w:r>
            <w:r>
              <w:fldChar w:fldCharType="begin"/>
              <w:instrText xml:space="preserve">PAGEREF _Toc7 \h</w:instrText>
              <w:fldChar w:fldCharType="separate"/>
              <w:t xml:space="preserve">12</w:t>
              <w:fldChar w:fldCharType="end"/>
            </w:r>
          </w:hyperlink>
          <w:r>
            <w:rPr>
              <w:highlight w:val="none"/>
            </w:rPr>
          </w:r>
        </w:p>
        <w:p w14:paraId="3E554410">
          <w:pPr>
            <w:pStyle w:val="929"/>
            <w:pBdr/>
            <w:tabs>
              <w:tab w:val="right" w:leader="dot" w:pos="9016"/>
            </w:tabs>
            <w:spacing/>
            <w:ind/>
            <w:rPr/>
          </w:pPr>
          <w:hyperlink w:tooltip="#_Toc8" w:anchor="_Toc8" w:history="1">
            <w:r>
              <w:rPr>
                <w:rStyle w:val="931"/>
              </w:rPr>
            </w:r>
            <w:r>
              <w:rPr>
                <w:rStyle w:val="931"/>
                <w:lang w:val="es-GT"/>
              </w:rPr>
              <w:t xml:space="preserve">REFERENCIAS</w:t>
            </w:r>
            <w:r>
              <w:rPr>
                <w:rStyle w:val="931"/>
              </w:rPr>
            </w:r>
            <w:r>
              <w:tab/>
            </w:r>
            <w:r>
              <w:fldChar w:fldCharType="begin"/>
              <w:instrText xml:space="preserve">PAGEREF _Toc8 \h</w:instrText>
              <w:fldChar w:fldCharType="separate"/>
              <w:t xml:space="preserve">13</w:t>
              <w:fldChar w:fldCharType="end"/>
            </w:r>
          </w:hyperlink>
          <w:r/>
        </w:p>
        <w:p w14:paraId="01446622">
          <w:pPr>
            <w:pBdr/>
            <w:spacing/>
            <w:ind/>
            <w:rPr/>
          </w:pPr>
          <w:r/>
          <w:r>
            <w:rPr>
              <w:b/>
              <w:bCs/>
              <w:lang w:val="es-MX"/>
            </w:rPr>
            <w:fldChar w:fldCharType="end"/>
          </w:r>
          <w:r/>
          <w:r/>
        </w:p>
      </w:sdtContent>
    </w:sdt>
    <w:p w14:paraId="5372334B" w14:textId="77777777">
      <w:pPr>
        <w:pBdr/>
        <w:spacing/>
        <w:ind/>
        <w:rPr/>
      </w:pPr>
      <w:r/>
      <w:r/>
    </w:p>
    <w:p w14:paraId="5F26B7A3" w14:textId="77777777">
      <w:pPr>
        <w:pBdr/>
        <w:spacing/>
        <w:ind/>
        <w:rPr/>
      </w:pPr>
      <w:r/>
      <w:r/>
    </w:p>
    <w:p w14:paraId="6B5FCE91" w14:textId="77777777">
      <w:pPr>
        <w:pBdr/>
        <w:spacing/>
        <w:ind/>
        <w:rPr/>
      </w:pPr>
      <w:r/>
      <w:r/>
    </w:p>
    <w:p w14:paraId="55846F29" w14:textId="77777777">
      <w:pPr>
        <w:pBdr/>
        <w:spacing/>
        <w:ind/>
        <w:rPr/>
      </w:pPr>
      <w:r/>
      <w:r/>
    </w:p>
    <w:p w14:paraId="54A953AE" w14:textId="77777777">
      <w:pPr>
        <w:pBdr/>
        <w:spacing/>
        <w:ind/>
        <w:rPr/>
      </w:pPr>
      <w:r/>
      <w:r/>
    </w:p>
    <w:p w14:paraId="7EFC279A" w14:textId="77777777">
      <w:pPr>
        <w:pBdr/>
        <w:spacing/>
        <w:ind/>
        <w:rPr/>
      </w:pPr>
      <w:r/>
      <w:r/>
    </w:p>
    <w:p w14:paraId="2A8846A4" w14:textId="77777777">
      <w:pPr>
        <w:pBdr/>
        <w:spacing/>
        <w:ind/>
        <w:rPr/>
      </w:pPr>
      <w:r/>
      <w:r/>
    </w:p>
    <w:p w14:paraId="490AD99E" w14:textId="77777777">
      <w:pPr>
        <w:pBdr/>
        <w:spacing/>
        <w:ind/>
        <w:rPr/>
      </w:pPr>
      <w:r/>
      <w:r/>
    </w:p>
    <w:p w14:paraId="404B6CA6" w14:textId="77777777">
      <w:pPr>
        <w:pBdr/>
        <w:spacing/>
        <w:ind/>
        <w:rPr/>
      </w:pPr>
      <w:r/>
      <w:r/>
    </w:p>
    <w:p w14:paraId="2893E583" w14:textId="77777777">
      <w:pPr>
        <w:pBdr/>
        <w:spacing/>
        <w:ind/>
        <w:rPr/>
      </w:pPr>
      <w:r/>
      <w:r/>
    </w:p>
    <w:p w14:paraId="4CD897D3" w14:textId="77777777">
      <w:pPr>
        <w:pBdr/>
        <w:spacing/>
        <w:ind/>
        <w:rPr/>
      </w:pPr>
      <w:r/>
      <w:r/>
    </w:p>
    <w:p w14:paraId="76FF3B06" w14:textId="77777777">
      <w:pPr>
        <w:pBdr/>
        <w:spacing/>
        <w:ind/>
        <w:rPr/>
      </w:pPr>
      <w:r>
        <w:br/>
      </w:r>
      <w:r/>
    </w:p>
    <w:p w14:paraId="2C454D33" w14:textId="7F8D9E4F">
      <w:pPr>
        <w:pBdr/>
        <w:spacing/>
        <w:ind/>
        <w:rPr/>
      </w:pPr>
      <w:r>
        <w:br/>
      </w:r>
      <w:r/>
    </w:p>
    <w:p w14:paraId="79AF654E" w14:textId="77777777">
      <w:pPr>
        <w:pBdr/>
        <w:spacing/>
        <w:ind/>
        <w:rPr/>
      </w:pPr>
      <w:r/>
      <w:r/>
    </w:p>
    <w:p w14:paraId="6E9F20D8" w14:textId="77777777">
      <w:pPr>
        <w:pStyle w:val="915"/>
        <w:pBdr/>
        <w:spacing/>
        <w:ind/>
        <w:rPr/>
      </w:pPr>
      <w:r/>
      <w:bookmarkStart w:id="2" w:name="_Toc2"/>
      <w:r>
        <w:t xml:space="preserve">INTRODUCCIÓN</w:t>
      </w:r>
      <w:r/>
      <w:bookmarkEnd w:id="2"/>
      <w:r/>
      <w:r/>
    </w:p>
    <w:p w14:paraId="7F335F9A">
      <w:pPr>
        <w:pBdr/>
        <w:spacing/>
        <w:ind/>
        <w:jc w:val="both"/>
        <w:rPr>
          <w:highlight w:val="none"/>
          <w:lang w:val="es-GT"/>
        </w:rPr>
      </w:pPr>
      <w:r>
        <w:rPr>
          <w:lang w:val="es-GT"/>
        </w:rPr>
        <w:t xml:space="preserve">En la industria del software contemporánea, la capacidad de entregar valor a los usuarios de forma rápida y, al mismo tiempo, mantener los sistemas estables y disponibles se ha convertido en una ventaja competitiva decisiva.</w:t>
      </w:r>
      <w:r>
        <w:rPr>
          <w:highlight w:val="none"/>
          <w:lang w:val="es-GT"/>
        </w:rPr>
      </w:r>
      <w:r>
        <w:rPr>
          <w:highlight w:val="none"/>
          <w:lang w:val="es-GT" w:bidi="es-GT"/>
        </w:rPr>
      </w:r>
      <w:r>
        <w:rPr>
          <w:highlight w:val="none"/>
          <w:lang w:val="es-GT" w:bidi="es-GT"/>
        </w:rPr>
      </w:r>
      <w:r>
        <w:rPr>
          <w:highlight w:val="none"/>
          <w:lang w:val="es-GT"/>
        </w:rPr>
      </w:r>
    </w:p>
    <w:p w14:paraId="2F60A19E">
      <w:pPr>
        <w:pBdr/>
        <w:spacing/>
        <w:ind/>
        <w:jc w:val="both"/>
        <w:rPr>
          <w:highlight w:val="none"/>
          <w:lang w:val="es-GT"/>
        </w:rPr>
      </w:pPr>
      <w:r>
        <w:rPr>
          <w:lang w:val="es-GT"/>
        </w:rPr>
        <w:t xml:space="preserve">Durante décadas, las áreas de de</w:t>
      </w:r>
      <w:r>
        <w:rPr>
          <w:lang w:val="es-GT"/>
        </w:rPr>
        <w:t xml:space="preserve">sarrollo y de operaciones trabajaron como silos separados, con objetivos en apariencia opuestos: mientras desarrollo buscaba introducir cambios y nuevas funcionalidades con la mayor frecuencia posible, operaciones priorizaba la estabilidad y, por tanto, ten</w:t>
      </w:r>
      <w:r>
        <w:rPr>
          <w:lang w:val="es-GT"/>
        </w:rPr>
        <w:t xml:space="preserve">día a resistirse al cambio. </w:t>
      </w:r>
      <w:r>
        <w:rPr>
          <w:lang w:val="es-GT"/>
        </w:rPr>
      </w:r>
      <w:r>
        <w:rPr>
          <w:lang w:val="es-GT"/>
        </w:rPr>
      </w:r>
      <w:r>
        <w:rPr>
          <w:highlight w:val="none"/>
          <w:lang w:val="es-GT" w:bidi="es-GT"/>
        </w:rPr>
      </w:r>
      <w:r>
        <w:rPr>
          <w:highlight w:val="none"/>
          <w:lang w:val="es-GT" w:bidi="es-GT"/>
        </w:rPr>
      </w:r>
      <w:r>
        <w:rPr>
          <w:highlight w:val="none"/>
          <w:lang w:val="es-GT"/>
        </w:rPr>
      </w:r>
      <w:r>
        <w:rPr>
          <w:highlight w:val="none"/>
          <w:lang w:val="es-GT"/>
        </w:rPr>
      </w:r>
    </w:p>
    <w:p w14:paraId="7DC12A62">
      <w:pPr>
        <w:pBdr/>
        <w:spacing/>
        <w:ind/>
        <w:jc w:val="both"/>
        <w:rPr>
          <w:highlight w:val="none"/>
          <w:lang w:val="es-GT"/>
        </w:rPr>
      </w:pPr>
      <w:r>
        <w:rPr>
          <w:lang w:val="es-GT"/>
        </w:rPr>
        <w:t xml:space="preserve">Esta tensión generaba entregas lentas, despliegues frágiles y una cultura de culpa cuando los incidentes ocurrían (Kim et al., 2016).</w:t>
      </w:r>
      <w:r>
        <w:rPr>
          <w:lang w:val="es-GT"/>
        </w:rPr>
      </w:r>
      <w:r>
        <w:rPr>
          <w:lang w:val="es-GT"/>
        </w:rPr>
      </w:r>
      <w:r>
        <w:rPr>
          <w:highlight w:val="none"/>
          <w:lang w:val="es-GT" w:bidi="es-GT"/>
        </w:rPr>
      </w:r>
      <w:r>
        <w:rPr>
          <w:highlight w:val="none"/>
          <w:lang w:val="es-GT" w:bidi="es-GT"/>
        </w:rPr>
      </w:r>
      <w:r>
        <w:rPr>
          <w:highlight w:val="none"/>
          <w:lang w:val="es-GT"/>
        </w:rPr>
      </w:r>
      <w:r>
        <w:rPr>
          <w:highlight w:val="none"/>
          <w:lang w:val="es-GT"/>
        </w:rPr>
      </w:r>
    </w:p>
    <w:p w14:paraId="6385E02A">
      <w:pPr>
        <w:pBdr/>
        <w:spacing/>
        <w:ind/>
        <w:jc w:val="both"/>
        <w:rPr>
          <w:highlight w:val="none"/>
          <w:lang w:val="es-GT"/>
        </w:rPr>
      </w:pPr>
      <w:r>
        <w:rPr>
          <w:lang w:val="es-GT"/>
        </w:rPr>
        <w:t xml:space="preserve">Como respuesta a este problema surgieron dos enfoques que hoy estructuran la forma en que las o</w:t>
      </w:r>
      <w:r>
        <w:rPr>
          <w:lang w:val="es-GT"/>
        </w:rPr>
        <w:t xml:space="preserve">rganizaciones construyen y operan software: DevOps y Site Reliability Engineering (SRE).</w:t>
      </w:r>
      <w:r/>
      <w:r>
        <w:rPr>
          <w:lang w:val="es-GT"/>
        </w:rPr>
      </w:r>
      <w:r>
        <w:rPr>
          <w:highlight w:val="none"/>
          <w:lang w:val="es-GT" w:bidi="es-GT"/>
        </w:rPr>
      </w:r>
      <w:r>
        <w:rPr>
          <w:highlight w:val="none"/>
          <w:lang w:val="es-GT" w:bidi="es-GT"/>
        </w:rPr>
      </w:r>
      <w:r>
        <w:rPr>
          <w:highlight w:val="none"/>
          <w:lang w:val="es-GT"/>
        </w:rPr>
      </w:r>
      <w:r>
        <w:rPr>
          <w:highlight w:val="none"/>
        </w:rPr>
      </w:r>
      <w:r>
        <w:rPr>
          <w:highlight w:val="none"/>
          <w:lang w:val="es-GT"/>
        </w:rPr>
      </w:r>
      <w:r>
        <w:rPr>
          <w:highlight w:val="none"/>
          <w:lang w:val="es-GT"/>
        </w:rPr>
      </w:r>
      <w:r>
        <w:rPr>
          <w:highlight w:val="none"/>
          <w:lang w:val="es-GT"/>
        </w:rPr>
      </w:r>
      <w:r>
        <w:rPr>
          <w:highlight w:val="none"/>
          <w:lang w:val="es-GT"/>
        </w:rPr>
      </w:r>
    </w:p>
    <w:p w14:paraId="76AC14F4">
      <w:pPr>
        <w:pBdr/>
        <w:spacing/>
        <w:ind/>
        <w:jc w:val="both"/>
        <w:rPr>
          <w:lang w:val="es-GT"/>
        </w:rPr>
      </w:pPr>
      <w:r>
        <w:rPr>
          <w:lang w:val="es-GT"/>
        </w:rPr>
        <w:t xml:space="preserve">DevOps se entiende como un conjunto de principios culturales y prácticas técnicas que buscan unir a desarrollo y operaciones mediante la colaboración, la automatización y la mejora continua, con el fin de acelerar el flujo de valor desde el código hasta el </w:t>
      </w:r>
      <w:r>
        <w:rPr>
          <w:lang w:val="es-GT"/>
        </w:rPr>
        <w:t xml:space="preserve">usuario (Atlassian, s.f.; Kim et al., 2016).</w:t>
      </w:r>
      <w:r>
        <w:rPr>
          <w:lang w:val="es-GT"/>
        </w:rPr>
      </w:r>
      <w:r>
        <w:rPr>
          <w:highlight w:val="none"/>
          <w:lang w:val="es-GT"/>
        </w:rPr>
      </w:r>
      <w:r>
        <w:rPr>
          <w:highlight w:val="none"/>
          <w:lang w:val="es-GT"/>
        </w:rPr>
      </w:r>
      <w:r>
        <w:rPr>
          <w:highlight w:val="none"/>
          <w:lang w:val="es-GT"/>
        </w:rPr>
      </w:r>
      <w:r>
        <w:rPr>
          <w:lang w:val="es-GT"/>
        </w:rPr>
      </w:r>
    </w:p>
    <w:p w14:paraId="25E9330B">
      <w:pPr>
        <w:pBdr/>
        <w:spacing/>
        <w:ind/>
        <w:jc w:val="both"/>
        <w:rPr>
          <w:lang w:val="es-GT"/>
        </w:rPr>
      </w:pPr>
      <w:r>
        <w:rPr>
          <w:lang w:val="es-GT"/>
        </w:rPr>
        <w:t xml:space="preserve">Por su parte, SRE es una disciplina creada en Google que aplica principios de ingeniería de software a los problemas de operaciones, con el objetivo de crear sistemas escalables y altamente confiables (Beyer et a</w:t>
      </w:r>
      <w:r>
        <w:rPr>
          <w:lang w:val="es-GT"/>
        </w:rPr>
        <w:t xml:space="preserve">l., 2016). </w:t>
      </w:r>
      <w:r>
        <w:rPr>
          <w:highlight w:val="none"/>
          <w:lang w:val="es-GT"/>
        </w:rPr>
      </w:r>
      <w:r>
        <w:rPr>
          <w:highlight w:val="none"/>
          <w:lang w:val="es-GT"/>
        </w:rPr>
      </w:r>
      <w:r>
        <w:rPr>
          <w:highlight w:val="none"/>
          <w:lang w:val="es-GT"/>
        </w:rPr>
      </w:r>
      <w:r>
        <w:rPr>
          <w:highlight w:val="none"/>
          <w:lang w:val="es-GT"/>
        </w:rPr>
      </w:r>
      <w:r>
        <w:rPr>
          <w:lang w:val="es-GT"/>
        </w:rPr>
      </w:r>
    </w:p>
    <w:p w14:paraId="061A2072">
      <w:pPr>
        <w:pBdr/>
        <w:spacing/>
        <w:ind/>
        <w:jc w:val="both"/>
        <w:rPr>
          <w:highlight w:val="none"/>
        </w:rPr>
      </w:pPr>
      <w:r>
        <w:rPr>
          <w:lang w:val="es-GT"/>
        </w:rPr>
        <w:t xml:space="preserve">De hecho, dentro de la propia Google se ha descrito a SRE como una implementación concreta y cuantificable de la filosofía DevOps.</w:t>
      </w:r>
      <w:r/>
      <w:r>
        <w:rPr>
          <w:highlight w:val="none"/>
          <w:lang w:val="es-GT"/>
        </w:rPr>
      </w:r>
      <w:r>
        <w:rPr>
          <w:highlight w:val="none"/>
          <w:lang w:val="es-GT" w:bidi="es-GT"/>
        </w:rPr>
      </w:r>
      <w:r>
        <w:rPr>
          <w:highlight w:val="none"/>
          <w:lang w:val="es-GT" w:bidi="es-GT"/>
        </w:rPr>
      </w:r>
      <w:r>
        <w:rPr>
          <w:highlight w:val="none"/>
          <w:lang w:val="es-GT"/>
        </w:rPr>
      </w:r>
      <w:r>
        <w:rPr>
          <w:highlight w:val="none"/>
        </w:rPr>
      </w:r>
    </w:p>
    <w:p w14:paraId="523C8C12" w14:textId="77777777">
      <w:pPr>
        <w:pBdr/>
        <w:spacing/>
        <w:ind/>
        <w:jc w:val="both"/>
        <w:rPr>
          <w:highlight w:val="none"/>
          <w:lang w:val="es-GT"/>
        </w:rPr>
      </w:pPr>
      <w:r>
        <w:rPr>
          <w:lang w:val="es-GT"/>
        </w:rPr>
        <w:t xml:space="preserve">El presente tiene como propósito explicar qué es DevOps, describir su origen histórico y sus principios fundamentales —cultura colaborativa, automatización, integración y entrega continua (CI/CD), y medición con retroalimentación—</w:t>
      </w:r>
      <w:r>
        <w:rPr>
          <w:lang w:val="es-GT"/>
        </w:rPr>
        <w:t xml:space="preserve">; presentar el rol de SRE, su nacimiento en Google y sus responsabilidades clave, como los SLI, SLO y SLA, el error budget, las guardias u on-call y los post-mortems sin culpa; y, finalmente, ofrecer un cuadro comparativo que permita distinguir y relacionar</w:t>
      </w:r>
      <w:r>
        <w:rPr>
          <w:lang w:val="es-GT"/>
        </w:rPr>
        <w:t xml:space="preserve"> ambos enfoques. Con ello se busca no solo comprender los conceptos, sino reflexionar sobre su relevancia real en la industria actual del desarrollo de software.</w:t>
      </w:r>
      <w:r/>
      <w:r>
        <w:rPr>
          <w:lang w:val="es-GT"/>
        </w:rPr>
      </w:r>
      <w:r>
        <w:rPr>
          <w:highlight w:val="none"/>
          <w:lang w:val="es-GT"/>
        </w:rPr>
      </w:r>
    </w:p>
    <w:p w14:paraId="2A1E04C1">
      <w:pPr>
        <w:pBdr/>
        <w:spacing/>
        <w:ind/>
        <w:jc w:val="both"/>
        <w:rPr/>
      </w:pPr>
      <w:r/>
      <w:r/>
    </w:p>
    <w:p w14:paraId="6B607213">
      <w:pPr>
        <w:pBdr/>
        <w:spacing/>
        <w:ind/>
        <w:jc w:val="both"/>
        <w:rPr/>
      </w:pPr>
      <w:r/>
      <w:r/>
    </w:p>
    <w:p w14:paraId="02AF4F87">
      <w:pPr>
        <w:pBdr/>
        <w:spacing/>
        <w:ind/>
        <w:rPr/>
      </w:pPr>
      <w:r/>
      <w:r/>
    </w:p>
    <w:p w14:paraId="7030BB78">
      <w:pPr>
        <w:pBdr/>
        <w:spacing/>
        <w:ind/>
        <w:rPr/>
      </w:pPr>
      <w:r/>
      <w:r/>
      <w:r/>
    </w:p>
    <w:p w14:paraId="7C7D309C">
      <w:pPr>
        <w:pBdr/>
        <w:spacing/>
        <w:ind/>
        <w:rPr/>
      </w:pPr>
      <w:r/>
      <w:r/>
      <w:r/>
    </w:p>
    <w:p w14:paraId="154AE232">
      <w:pPr>
        <w:pBdr/>
        <w:spacing/>
        <w:ind/>
        <w:rPr/>
      </w:pPr>
      <w:r/>
      <w:r/>
      <w:r/>
    </w:p>
    <w:p w14:paraId="0979D9C0">
      <w:pPr>
        <w:pBdr/>
        <w:spacing/>
        <w:ind/>
        <w:rPr/>
      </w:pPr>
      <w:r/>
      <w:r/>
      <w:r/>
    </w:p>
    <w:p w14:paraId="45A7ECB3">
      <w:pPr>
        <w:pBdr/>
        <w:spacing/>
        <w:ind/>
        <w:rPr/>
      </w:pPr>
      <w:r/>
      <w:r/>
      <w:r/>
    </w:p>
    <w:p w14:paraId="6EBAC344">
      <w:pPr>
        <w:pBdr/>
        <w:spacing/>
        <w:ind/>
        <w:rPr/>
      </w:pPr>
      <w:r/>
      <w:r/>
      <w:r/>
    </w:p>
    <w:p w14:paraId="6DF9BB8D">
      <w:pPr>
        <w:pBdr/>
        <w:spacing/>
        <w:ind/>
        <w:rPr/>
      </w:pPr>
      <w:r/>
      <w:r/>
      <w:r/>
    </w:p>
    <w:p w14:paraId="39310B74">
      <w:pPr>
        <w:pBdr/>
        <w:spacing/>
        <w:ind/>
        <w:rPr/>
      </w:pPr>
      <w:r/>
      <w:r/>
      <w:r/>
    </w:p>
    <w:p w14:paraId="2B9164FE">
      <w:pPr>
        <w:pBdr/>
        <w:spacing/>
        <w:ind/>
        <w:rPr/>
      </w:pPr>
      <w:r/>
      <w:r/>
      <w:r/>
    </w:p>
    <w:p w14:paraId="1442F20D">
      <w:pPr>
        <w:pBdr/>
        <w:spacing/>
        <w:ind/>
        <w:rPr/>
      </w:pPr>
      <w:r/>
      <w:r/>
      <w:r/>
    </w:p>
    <w:p w14:paraId="38FD320E">
      <w:pPr>
        <w:pBdr/>
        <w:spacing/>
        <w:ind/>
        <w:rPr/>
      </w:pPr>
      <w:r/>
      <w:r/>
      <w:r/>
    </w:p>
    <w:p w14:paraId="0AA4434C">
      <w:pPr>
        <w:pBdr/>
        <w:spacing/>
        <w:ind/>
        <w:rPr/>
      </w:pPr>
      <w:r/>
      <w:r/>
      <w:r/>
    </w:p>
    <w:p w14:paraId="298EDD37">
      <w:pPr>
        <w:pBdr/>
        <w:spacing/>
        <w:ind/>
        <w:rPr/>
      </w:pPr>
      <w:r/>
      <w:r/>
      <w:r/>
    </w:p>
    <w:p w14:paraId="275D0508">
      <w:pPr>
        <w:pBdr/>
        <w:spacing/>
        <w:ind/>
        <w:rPr/>
      </w:pPr>
      <w:r/>
      <w:r/>
      <w:r/>
    </w:p>
    <w:p w14:paraId="55349FB7">
      <w:pPr>
        <w:pBdr/>
        <w:spacing/>
        <w:ind/>
        <w:rPr/>
      </w:pPr>
      <w:r/>
      <w:r/>
      <w:r/>
    </w:p>
    <w:p w14:paraId="0394D5E3">
      <w:pPr>
        <w:pBdr/>
        <w:spacing/>
        <w:ind/>
        <w:rPr/>
      </w:pPr>
      <w:r/>
      <w:r/>
      <w:r/>
    </w:p>
    <w:p w14:paraId="4C2E8435">
      <w:pPr>
        <w:pBdr/>
        <w:spacing/>
        <w:ind/>
        <w:rPr/>
      </w:pPr>
      <w:r/>
      <w:r/>
      <w:r/>
    </w:p>
    <w:p w14:paraId="383CB3EF">
      <w:pPr>
        <w:pBdr/>
        <w:spacing/>
        <w:ind/>
        <w:rPr/>
      </w:pPr>
      <w:r/>
      <w:r/>
      <w:r/>
    </w:p>
    <w:p w14:paraId="6A2DE7BF">
      <w:pPr>
        <w:pBdr/>
        <w:spacing/>
        <w:ind/>
        <w:rPr/>
      </w:pPr>
      <w:r/>
      <w:r/>
    </w:p>
    <w:p w14:paraId="7377986D">
      <w:pPr>
        <w:pBdr/>
        <w:spacing/>
        <w:ind/>
        <w:rPr/>
      </w:pPr>
      <w:r/>
      <w:r/>
    </w:p>
    <w:p w14:paraId="661DB4FE">
      <w:pPr>
        <w:pBdr/>
        <w:spacing/>
        <w:ind/>
        <w:rPr/>
      </w:pPr>
      <w:r/>
      <w:r/>
    </w:p>
    <w:p w14:paraId="198F3A19">
      <w:pPr>
        <w:pBdr/>
        <w:spacing/>
        <w:ind/>
        <w:rPr/>
      </w:pPr>
      <w:r/>
      <w:r/>
    </w:p>
    <w:p w14:paraId="48B61575">
      <w:pPr>
        <w:pBdr/>
        <w:spacing/>
        <w:ind/>
        <w:rPr/>
      </w:pPr>
      <w:r>
        <w:rPr>
          <w:highlight w:val="none"/>
          <w:lang w:val="es-GT"/>
        </w:rPr>
      </w:r>
      <w:r>
        <w:rPr>
          <w:highlight w:val="none"/>
          <w:lang w:val="es-GT"/>
        </w:rPr>
      </w:r>
      <w:r/>
    </w:p>
    <w:p w14:paraId="547264C3" w14:textId="77777777">
      <w:pPr>
        <w:pStyle w:val="915"/>
        <w:pBdr/>
        <w:spacing/>
        <w:ind/>
        <w:rPr/>
      </w:pPr>
      <w:r/>
      <w:bookmarkStart w:id="3" w:name="_Toc3"/>
      <w:r>
        <w:rPr>
          <w:lang w:val="es-GT"/>
        </w:rPr>
        <w:t xml:space="preserve">DEVOPS Y SRE
</w:t>
      </w:r>
      <w:r/>
      <w:bookmarkEnd w:id="3"/>
      <w:r/>
      <w:r/>
    </w:p>
    <w:p w14:paraId="150852A0" w14:textId="1B23CB12">
      <w:pPr>
        <w:pStyle w:val="916"/>
        <w:pBdr/>
        <w:spacing/>
        <w:ind/>
        <w:rPr/>
      </w:pPr>
      <w:r/>
      <w:bookmarkStart w:id="4" w:name="_Toc4"/>
      <w:r>
        <w:rPr>
          <w:lang w:val="es-GT"/>
        </w:rPr>
        <w:t xml:space="preserve">DevOps</w:t>
      </w:r>
      <w:r/>
      <w:bookmarkEnd w:id="4"/>
      <w:r/>
      <w:r/>
    </w:p>
    <w:p w14:paraId="744D4C00">
      <w:pPr>
        <w:pBdr/>
        <w:spacing/>
        <w:ind/>
        <w:rPr>
          <w:lang w:val="es-GT"/>
        </w:rPr>
      </w:pPr>
      <w:r>
        <w:rPr>
          <w:lang w:val="es-GT"/>
        </w:rPr>
      </w:r>
      <w:r>
        <w:rPr>
          <w:lang w:val="es-GT"/>
        </w:rPr>
        <w:t xml:space="preserve">DevOps es un término que combina las palabras Development (desarrollo) y Operations (operaciones) y que designa una filosofía organizacional y un conjunto de prácticas orientadas a acortar el ciclo de vida del desarrollo de software y a entregar cambios de </w:t>
      </w:r>
      <w:r>
        <w:rPr>
          <w:lang w:val="es-GT"/>
        </w:rPr>
        <w:t xml:space="preserve">alta calidad de manera continua.</w:t>
      </w:r>
      <w:r>
        <w:rPr>
          <w:lang w:val="es-GT"/>
        </w:rPr>
      </w:r>
    </w:p>
    <w:p w14:paraId="6E59EFD5">
      <w:pPr>
        <w:pBdr/>
        <w:spacing/>
        <w:ind/>
        <w:rPr>
          <w:lang w:val="es-GT"/>
        </w:rPr>
      </w:pPr>
      <w:r>
        <w:rPr>
          <w:lang w:val="es-GT"/>
        </w:rPr>
        <w:t xml:space="preserve">Más que una herramienta o un cargo específico, DevOps es una forma de trabajo que promueve la responsabilidad compartida sobre el producto a lo largo de todo su ciclo de vida, desde el diseño hasta su operación en producción</w:t>
      </w:r>
      <w:r>
        <w:rPr>
          <w:lang w:val="es-GT"/>
        </w:rPr>
        <w:t xml:space="preserve"> (Amazon Web Services, s.f.; Atlassian, s.f.).</w:t>
      </w:r>
      <w:r/>
      <w:r/>
    </w:p>
    <w:p w14:paraId="12EF7562">
      <w:pPr>
        <w:pBdr/>
        <w:spacing/>
        <w:ind/>
        <w:rPr>
          <w:highlight w:val="none"/>
        </w:rPr>
      </w:pPr>
      <w:r>
        <w:rPr>
          <w:lang w:val="es-GT"/>
        </w:rPr>
        <w:t xml:space="preserve">En este sentido, DevOps no elimina a desarrollo ni a operaciones, sino que alinea sus incentivos para que ambos equipos persigan un objetivo común: entregar valor al usuario de forma rápida, segura y confiable.</w:t>
      </w:r>
      <w:r/>
      <w:r/>
      <w:r>
        <w:rPr>
          <w:highlight w:val="none"/>
        </w:rPr>
      </w:r>
      <w:r>
        <w:rPr>
          <w:highlight w:val="none"/>
        </w:rPr>
      </w:r>
      <w:r>
        <w:rPr>
          <w:highlight w:val="none"/>
        </w:rPr>
      </w:r>
      <w:r>
        <w:rPr>
          <w:highlight w:val="none"/>
        </w:rPr>
      </w:r>
    </w:p>
    <w:p w14:paraId="0BB5FBF7" w14:textId="77777777">
      <w:pPr>
        <w:pStyle w:val="918"/>
        <w:pBdr/>
        <w:spacing/>
        <w:ind/>
        <w:rPr/>
      </w:pPr>
      <w:r>
        <w:rPr>
          <w:lang w:val="es-GT"/>
        </w:rPr>
        <w:t xml:space="preserve">BREVE HISTORIA DE DEVOPS</w:t>
      </w:r>
      <w:r/>
    </w:p>
    <w:p w14:paraId="4343ECCB">
      <w:pPr>
        <w:pBdr/>
        <w:spacing/>
        <w:ind/>
        <w:rPr/>
      </w:pPr>
      <w:r>
        <w:t xml:space="preserve">Las raíces de DevOps se encuentran en el movimiento ágil. El Manifiesto Ágil de 2001 sentó las bases de una cultura colaborativa y orientada al valor, pero originalmente se centró en el proceso de desarrollo y dejó fuera, en gran medida, la fase de operació</w:t>
      </w:r>
      <w:r>
        <w:t xml:space="preserve">n y despliegue. Con el tiempo se hizo evidente que los principios ágiles debían extenderse también a la infraestructura y a las operaciones.</w:t>
      </w:r>
      <w:r/>
    </w:p>
    <w:p w14:paraId="3B058D01">
      <w:pPr>
        <w:pBdr/>
        <w:spacing/>
        <w:ind/>
        <w:rPr>
          <w:highlight w:val="none"/>
        </w:rPr>
      </w:pPr>
      <w:r>
        <w:t xml:space="preserve">Este vacío comenzó a cerrarse hacia 2008, cuando en conferencias ágiles se empezó a discutir el concepto de “infraes</w:t>
      </w:r>
      <w:r>
        <w:t xml:space="preserve">tructura ágil”, y se consolidó en 2009 con la organización del primer evento DevOpsDays en Gante (Bélgica), impulsado por Patrick Debois, momento a partir del cual el término DevOps comenzó a popularizarse (Kim et al., 2016).</w:t>
      </w:r>
      <w:r/>
      <w:r>
        <w:rPr>
          <w:highlight w:val="none"/>
        </w:rPr>
      </w:r>
      <w:r>
        <w:rPr>
          <w:highlight w:val="none"/>
        </w:rPr>
      </w:r>
      <w:r>
        <w:rPr>
          <w:highlight w:val="none"/>
        </w:rPr>
      </w:r>
      <w:r>
        <w:rPr>
          <w:highlight w:val="none"/>
        </w:rPr>
      </w:r>
    </w:p>
    <w:p w14:paraId="48DE5E68">
      <w:pPr>
        <w:pBdr/>
        <w:spacing/>
        <w:ind/>
        <w:rPr/>
      </w:pPr>
      <w:r>
        <w:t xml:space="preserve">Posteriormente, la difusión de obras como The Phoenix Project y The DevOps Handbook ayudó a sistematizar sus prácticas y a llevarlas más allá de las empresas tecnológicas nativas, hacia organizaciones tradicionales que necesitaban modernizar su forma de ent</w:t>
      </w:r>
      <w:r>
        <w:t xml:space="preserve">regar software (Kim et al., 2016).</w:t>
      </w:r>
      <w:r/>
    </w:p>
    <w:p w14:paraId="472F7A9A">
      <w:pPr>
        <w:pBdr/>
        <w:spacing/>
        <w:ind/>
        <w:rPr/>
      </w:pPr>
      <w:r>
        <w:t xml:space="preserve">En paralelo, la maduración de herramientas de automatización, contenedores y orquestación —como Git, Jenkins, Docker, Kubernetes, Terraform, Ansible, Prometheus o Grafana— hizo que los principios DevOps fueran técnicamente</w:t>
      </w:r>
      <w:r>
        <w:t xml:space="preserve"> viables a gran escala.</w:t>
      </w:r>
      <w:r/>
      <w:r/>
      <w:r/>
      <w:r/>
      <w:r/>
    </w:p>
    <w:p w14:paraId="15F9704D" w14:textId="0D2D9B55">
      <w:pPr>
        <w:pStyle w:val="918"/>
        <w:pBdr/>
        <w:spacing/>
        <w:ind/>
        <w:rPr/>
      </w:pPr>
      <w:r>
        <w:rPr>
          <w:lang w:val="es-GT"/>
        </w:rPr>
        <w:t xml:space="preserve">PRINCIPIOS DE DEVOPS</w:t>
      </w:r>
      <w:r/>
    </w:p>
    <w:p w14:paraId="10380CB7">
      <w:pPr>
        <w:pBdr/>
        <w:spacing/>
        <w:ind/>
        <w:rPr/>
      </w:pPr>
      <w:r/>
      <w:r>
        <w:t xml:space="preserve">Aunque existen distintos marcos para describirlo, los principios de DevOps pueden agruparse en cuatro grandes pilare</w:t>
      </w:r>
      <w:r>
        <w:rPr>
          <w:lang w:val="es-GT"/>
        </w:rPr>
        <w:t xml:space="preserve">s</w:t>
      </w:r>
      <w:r>
        <w:t xml:space="preserve">:</w:t>
      </w:r>
      <w:r/>
      <w:r/>
    </w:p>
    <w:p w14:paraId="5788E24D">
      <w:pPr>
        <w:pStyle w:val="927"/>
        <w:numPr>
          <w:ilvl w:val="0"/>
          <w:numId w:val="6"/>
        </w:numPr>
        <w:pBdr/>
        <w:spacing/>
        <w:ind/>
        <w:rPr/>
      </w:pPr>
      <w:r>
        <w:rPr>
          <w:b/>
          <w:bCs/>
        </w:rPr>
        <w:t xml:space="preserve">Cultura colaborativa</w:t>
      </w:r>
      <w:r>
        <w:rPr>
          <w:b/>
          <w:bCs/>
          <w:lang w:val="es-GT"/>
        </w:rPr>
        <w:t xml:space="preserve">:</w:t>
      </w:r>
      <w:r>
        <w:rPr>
          <w:b/>
          <w:bCs/>
        </w:rPr>
        <w:t xml:space="preserve"> </w:t>
      </w:r>
      <w:r>
        <w:t xml:space="preserve">Es el pilar más importante. DevOps propone romper los silos entre equipos y fomentar la confianza, la comunicación y la responsabilidad compartida. En lugar de “lanzar el código por encima del muro” hacia operaciones, los equipos colab</w:t>
      </w:r>
      <w:r>
        <w:t xml:space="preserve">oran desde el inicio y comparten tanto el éxito como los incidentes (Kim et al., 2016). Esta cultura se apoya en valores resumidos en modelos como CALMS (Culture, Automation, Lean, Measurement, Sharing), donde la cultura aparece como el elemento que habilit</w:t>
      </w:r>
      <w:r>
        <w:t xml:space="preserve">a a todos los demás.</w:t>
      </w:r>
      <w:r/>
    </w:p>
    <w:p w14:paraId="41869AA0">
      <w:pPr>
        <w:pBdr/>
        <w:spacing/>
        <w:ind/>
        <w:jc w:val="center"/>
        <w:rPr/>
      </w:pPr>
      <w:r/>
      <w:r/>
      <w:r/>
      <w:r>
        <mc:AlternateContent>
          <mc:Choice Requires="wpg">
            <w:drawing>
              <wp:inline xmlns:wp="http://schemas.openxmlformats.org/drawingml/2006/wordprocessingDrawing" distT="0" distB="0" distL="0" distR="0">
                <wp:extent cx="5309991" cy="196783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3673" name=""/>
                        <pic:cNvPicPr>
                          <a:picLocks noChangeAspect="1"/>
                        </pic:cNvPicPr>
                        <pic:nvPr/>
                      </pic:nvPicPr>
                      <pic:blipFill rotWithShape="1">
                        <a:blip r:embed="rId12"/>
                        <a:stretch/>
                      </pic:blipFill>
                      <pic:spPr bwMode="auto">
                        <a:xfrm flipH="0" flipV="0">
                          <a:off x="0" y="0"/>
                          <a:ext cx="5309990" cy="1967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8.11pt;height:154.95pt;mso-wrap-distance-left:0.00pt;mso-wrap-distance-top:0.00pt;mso-wrap-distance-right:0.00pt;mso-wrap-distance-bottom:0.00pt;z-index:1;" stroked="false">
                <v:imagedata r:id="rId12" o:title=""/>
                <o:lock v:ext="edit" rotation="t"/>
              </v:shape>
            </w:pict>
          </mc:Fallback>
        </mc:AlternateContent>
      </w:r>
      <w:r/>
      <w:r/>
      <w:r/>
      <w:r/>
      <w:r/>
    </w:p>
    <w:p w14:paraId="01AA7308">
      <w:pPr>
        <w:pStyle w:val="897"/>
        <w:pBdr/>
        <w:spacing/>
        <w:ind/>
        <w:jc w:val="center"/>
        <w:rPr>
          <w:color w:val="000000" w:themeColor="text1"/>
        </w:rPr>
      </w:pPr>
      <w:r>
        <w:rPr>
          <w:color w:val="000000" w:themeColor="text1"/>
        </w:rPr>
        <w:t xml:space="preserve">Figura </w:t>
      </w:r>
      <w:r>
        <w:rPr>
          <w:color w:val="000000" w:themeColor="text1"/>
        </w:rPr>
        <w:fldChar w:fldCharType="begin"/>
        <w:instrText xml:space="preserve"> SEQ Figura \* Arabic </w:instrText>
        <w:fldChar w:fldCharType="separate"/>
      </w:r>
      <w:r>
        <w:rPr>
          <w:color w:val="000000" w:themeColor="text1"/>
        </w:rPr>
        <w:t xml:space="preserve">1</w:t>
      </w:r>
      <w:r>
        <w:rPr>
          <w:color w:val="000000" w:themeColor="text1"/>
        </w:rPr>
      </w:r>
      <w:r>
        <w:rPr>
          <w:color w:val="000000" w:themeColor="text1"/>
        </w:rPr>
        <w:fldChar w:fldCharType="end"/>
      </w:r>
      <w:r>
        <w:rPr>
          <w:color w:val="000000" w:themeColor="text1"/>
        </w:rPr>
        <w:t xml:space="preserve">. Pipeline de integración y entrega continua (CI/CD) con ciclo de retroalimentación. Elaboración propia. </w:t>
      </w:r>
      <w:r>
        <w:rPr>
          <w:color w:val="000000" w:themeColor="text1"/>
        </w:rPr>
      </w:r>
    </w:p>
    <w:p w14:paraId="535A8596">
      <w:pPr>
        <w:pBdr/>
        <w:spacing/>
        <w:ind/>
        <w:rPr/>
      </w:pPr>
      <w:r>
        <w:rPr>
          <w:highlight w:val="none"/>
        </w:rPr>
      </w:r>
      <w:r>
        <w:rPr>
          <w:highlight w:val="none"/>
        </w:rPr>
      </w:r>
      <w:r>
        <w:rPr>
          <w:highlight w:val="none"/>
        </w:rPr>
      </w:r>
    </w:p>
    <w:p w14:paraId="2B2DE1EC">
      <w:pPr>
        <w:pStyle w:val="927"/>
        <w:numPr>
          <w:ilvl w:val="0"/>
          <w:numId w:val="6"/>
        </w:numPr>
        <w:pBdr/>
        <w:spacing/>
        <w:ind/>
        <w:rPr/>
      </w:pPr>
      <w:r>
        <w:rPr>
          <w:b/>
          <w:bCs/>
        </w:rPr>
        <w:t xml:space="preserve">Automatización. </w:t>
      </w:r>
      <w:r>
        <w:t xml:space="preserve">DevOps busca automatizar todo aquello que sea repetitivo y propenso a error humano: la compilación del código, las pruebas, el aprovisionamiento de infraestructura, los despliegues y las tareas operativas rutinarias. La automatización no sol</w:t>
      </w:r>
      <w:r>
        <w:t xml:space="preserve">o aumenta la velocidad, sino que mejora la consistencia y la confiabilidad, y permite tratar la infraestructura como código (IaC), versionándola y revisándola igual que el software (Amazon Web Services, s.f.).</w:t>
      </w:r>
      <w:r/>
    </w:p>
    <w:p w14:paraId="2D1DBBA3">
      <w:pPr>
        <w:pStyle w:val="927"/>
        <w:numPr>
          <w:ilvl w:val="0"/>
          <w:numId w:val="6"/>
        </w:numPr>
        <w:pBdr/>
        <w:spacing/>
        <w:ind/>
        <w:rPr/>
      </w:pPr>
      <w:r>
        <w:rPr>
          <w:b/>
          <w:bCs/>
        </w:rPr>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3710441</wp:posOffset>
                </wp:positionH>
                <wp:positionV relativeFrom="paragraph">
                  <wp:posOffset>-55165</wp:posOffset>
                </wp:positionV>
                <wp:extent cx="2021069" cy="3734177"/>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5916" name=""/>
                        <pic:cNvPicPr>
                          <a:picLocks noChangeAspect="1"/>
                        </pic:cNvPicPr>
                        <pic:nvPr/>
                      </pic:nvPicPr>
                      <pic:blipFill rotWithShape="1">
                        <a:blip r:embed="rId13"/>
                        <a:stretch/>
                      </pic:blipFill>
                      <pic:spPr bwMode="auto">
                        <a:xfrm flipH="0" flipV="0">
                          <a:off x="0" y="0"/>
                          <a:ext cx="2021068" cy="37341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text;margin-left:292.16pt;mso-position-horizontal:absolute;mso-position-vertical-relative:text;margin-top:-4.34pt;mso-position-vertical:absolute;width:159.14pt;height:294.03pt;mso-wrap-distance-left:9.07pt;mso-wrap-distance-top:0.00pt;mso-wrap-distance-right:9.07pt;mso-wrap-distance-bottom:0.00pt;z-index:1;" stroked="false">
                <w10:wrap type="square"/>
                <v:imagedata r:id="rId13" o:title=""/>
                <o:lock v:ext="edit" rotation="t"/>
              </v:shape>
            </w:pict>
          </mc:Fallback>
        </mc:AlternateContent>
      </w:r>
      <w:r>
        <w:rPr>
          <w:b/>
          <w:bCs/>
        </w:rPr>
        <w:t xml:space="preserve">Integración y entrega continua (CI/CD). </w:t>
      </w:r>
      <w:r/>
      <w:r>
        <mc:AlternateContent>
          <mc:Choice Requires="wpg">
            <w:drawing>
              <wp:anchor xmlns:wp="http://schemas.openxmlformats.org/drawingml/2006/wordprocessingDrawing" xmlns:wp14="http://schemas.microsoft.com/office/word/2010/wordprocessingDrawing" distT="0" distB="0" distL="115200" distR="115200" simplePos="0" relativeHeight="251667456" behindDoc="0" locked="0" layoutInCell="1" allowOverlap="1">
                <wp:simplePos x="0" y="0"/>
                <wp:positionH relativeFrom="column">
                  <wp:posOffset>3710441</wp:posOffset>
                </wp:positionH>
                <wp:positionV relativeFrom="paragraph">
                  <wp:posOffset>3736612</wp:posOffset>
                </wp:positionV>
                <wp:extent cx="2021069" cy="457200"/>
                <wp:effectExtent l="0" t="0" r="0" b="0"/>
                <wp:wrapSquare wrapText="bothSides"/>
                <wp:docPr id="5" name=""/>
                <wp:cNvGraphicFramePr/>
                <a:graphic xmlns:a="http://schemas.openxmlformats.org/drawingml/2006/main">
                  <a:graphicData uri="http://schemas.microsoft.com/office/word/2010/wordprocessingShape">
                    <wps:wsp>
                      <wps:cNvPr id="0" name=""/>
                      <wps:cNvSpPr/>
                      <wps:spPr bwMode="auto">
                        <a:xfrm>
                          <a:off x="0" y="0"/>
                          <a:ext cx="2021428" cy="521661"/>
                        </a:xfrm>
                        <a:prstGeom prst="rect">
                          <a:avLst/>
                        </a:prstGeom>
                        <a:noFill/>
                        <a:ln>
                          <a:noFill/>
                        </a:ln>
                      </wps:spPr>
                      <wps:txbx>
                        <w:txbxContent>
                          <w:p w14:paraId="4ABFF5B4">
                            <w:pPr>
                              <w:pStyle w:val="897"/>
                              <w:pBdr/>
                              <w:spacing/>
                              <w:ind/>
                              <w:jc w:val="center"/>
                              <w:rPr>
                                <w:rFonts w:ascii="Cambria Math" w:hAnsi="Cambria Math" w:eastAsia="Cambria Math" w:cs="Cambria Math"/>
                              </w:rPr>
                            </w:pPr>
                            <w:r>
                              <w:rPr>
                                <w:color w:val="000000" w:themeColor="text1"/>
                              </w:rPr>
                              <w:t xml:space="preserve">Figura </w:t>
                            </w:r>
                            <w:r>
                              <w:rPr>
                                <w:color w:val="000000" w:themeColor="text1"/>
                              </w:rPr>
                              <w:fldChar w:fldCharType="begin"/>
                              <w:instrText xml:space="preserve"> SEQ Figura \* Arabic </w:instrText>
                              <w:fldChar w:fldCharType="separate"/>
                            </w:r>
                            <w:r>
                              <w:rPr>
                                <w:color w:val="000000" w:themeColor="text1"/>
                              </w:rPr>
                              <w:t xml:space="preserve">2</w:t>
                            </w:r>
                            <w:r>
                              <w:rPr>
                                <w:color w:val="000000" w:themeColor="text1"/>
                              </w:rPr>
                            </w:r>
                            <w:r>
                              <w:rPr>
                                <w:color w:val="000000" w:themeColor="text1"/>
                              </w:rPr>
                              <w:fldChar w:fldCharType="end"/>
                            </w:r>
                            <w:r>
                              <w:rPr>
                                <w:color w:val="000000" w:themeColor="text1"/>
                              </w:rPr>
                              <w:t xml:space="preserve">. Pilares del modelo CALMS y su relación con la entrega de valor. Nota. Elaboración propia.</w:t>
                            </w:r>
                            <w:r>
                              <w:t xml:space="preserve"> </w:t>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4" o:spid="_x0000_s4" o:spt="1" type="#_x0000_t1" style="position:absolute;z-index:251667456;o:allowoverlap:true;o:allowincell:true;mso-position-horizontal-relative:text;margin-left:292.16pt;mso-position-horizontal:absolute;mso-position-vertical-relative:text;margin-top:294.22pt;mso-position-vertical:absolute;width:159.14pt;height:36.00pt;mso-wrap-distance-left:9.07pt;mso-wrap-distance-top:0.00pt;mso-wrap-distance-right:9.07pt;mso-wrap-distance-bottom:0.00pt;v-text-anchor:top;visibility:visible;" filled="f" stroked="f">
                <w10:wrap type="square"/>
                <v:textbox inset="0,0,0,0">
                  <w:txbxContent>
                    <w:p w14:paraId="4ABFF5B4">
                      <w:pPr>
                        <w:pStyle w:val="897"/>
                        <w:pBdr/>
                        <w:spacing/>
                        <w:ind/>
                        <w:jc w:val="center"/>
                        <w:rPr>
                          <w:rFonts w:ascii="Cambria Math" w:hAnsi="Cambria Math" w:eastAsia="Cambria Math" w:cs="Cambria Math"/>
                        </w:rPr>
                      </w:pPr>
                      <w:r>
                        <w:rPr>
                          <w:color w:val="000000" w:themeColor="text1"/>
                        </w:rPr>
                        <w:t xml:space="preserve">Figura </w:t>
                      </w:r>
                      <w:r>
                        <w:rPr>
                          <w:color w:val="000000" w:themeColor="text1"/>
                        </w:rPr>
                        <w:fldChar w:fldCharType="begin"/>
                        <w:instrText xml:space="preserve"> SEQ Figura \* Arabic </w:instrText>
                        <w:fldChar w:fldCharType="separate"/>
                      </w:r>
                      <w:r>
                        <w:rPr>
                          <w:color w:val="000000" w:themeColor="text1"/>
                        </w:rPr>
                        <w:t xml:space="preserve">2</w:t>
                      </w:r>
                      <w:r>
                        <w:rPr>
                          <w:color w:val="000000" w:themeColor="text1"/>
                        </w:rPr>
                      </w:r>
                      <w:r>
                        <w:rPr>
                          <w:color w:val="000000" w:themeColor="text1"/>
                        </w:rPr>
                        <w:fldChar w:fldCharType="end"/>
                      </w:r>
                      <w:r>
                        <w:rPr>
                          <w:color w:val="000000" w:themeColor="text1"/>
                        </w:rPr>
                        <w:t xml:space="preserve">. Pilares del modelo CALMS y su relación con la entrega de valor. Nota. Elaboración propia.</w:t>
                      </w:r>
                      <w:r>
                        <w:t xml:space="preserve"> </w:t>
                      </w:r>
                      <w:r>
                        <w:rPr>
                          <w:rFonts w:ascii="Cambria Math" w:hAnsi="Cambria Math" w:eastAsia="Cambria Math" w:cs="Cambria Math"/>
                        </w:rPr>
                      </w:r>
                    </w:p>
                  </w:txbxContent>
                </v:textbox>
              </v:shape>
            </w:pict>
          </mc:Fallback>
        </mc:AlternateContent>
      </w:r>
      <w:r>
        <w:t xml:space="preserve">La integración continua (CI) consiste en que los desarrolladores integren sus cambios en un repositorio compartido con frecuencia, validándolos mediante compilaciones y pruebas automáticas para detectar errores lo ant</w:t>
      </w:r>
      <w:r>
        <w:t xml:space="preserve">es posible. La entrega y el despliegue continuo (CD) extienden este proceso hasta poner los cambios en producción de forma automática o con mínima intervención manual. Juntas, CI/CD reducen el tamaño de cada cambio, disminuyen el riesgo de los despliegues y</w:t>
      </w:r>
      <w:r>
        <w:t xml:space="preserve"> acortan el tiempo entre una idea y su llegada al usuario (Atlassian, s.f.).</w:t>
      </w:r>
      <w:r/>
    </w:p>
    <w:p w14:paraId="56926BA2">
      <w:pPr>
        <w:pBdr/>
        <w:spacing/>
        <w:ind/>
        <w:jc w:val="center"/>
        <w:rPr/>
      </w:pPr>
      <w:r/>
      <w:r/>
      <w:r/>
    </w:p>
    <w:p w14:paraId="64B93E23">
      <w:pPr>
        <w:pBdr/>
        <w:spacing/>
        <w:ind/>
        <w:rPr/>
      </w:pPr>
      <w:r>
        <w:rPr>
          <w:highlight w:val="none"/>
        </w:rPr>
      </w:r>
      <w:r>
        <w:rPr>
          <w:highlight w:val="none"/>
        </w:rPr>
      </w:r>
      <w:r>
        <w:rPr>
          <w:highlight w:val="none"/>
        </w:rPr>
      </w:r>
    </w:p>
    <w:p w14:paraId="4769A2B7">
      <w:pPr>
        <w:pStyle w:val="927"/>
        <w:numPr>
          <w:ilvl w:val="0"/>
          <w:numId w:val="6"/>
        </w:numPr>
        <w:pBdr/>
        <w:spacing/>
        <w:ind/>
        <w:rPr/>
      </w:pPr>
      <w:r>
        <w:rPr>
          <w:b/>
          <w:bCs/>
        </w:rPr>
        <w:t xml:space="preserve">Medición y retroalimentación. </w:t>
      </w:r>
      <w:r>
        <w:t xml:space="preserve">DevOps promueve medir el comportamiento del sistema y del proceso de entrega para aprender de forma continua. La monitorización, los registros (logs) y las métricas permiten obtener retroalimentación rápi</w:t>
        <w:tab/>
        <w:t xml:space="preserve">da desde producción hac</w:t>
      </w:r>
      <w:r>
        <w:t xml:space="preserve">ia desarrollo, de modo que los problemas se detecten y corrijan pronto. Este principio se relaciona con la idea de los “tres caminos” de DevOps: optimizar el flujo de trabajo, acortar los ciclos de retroalimentación y fomentar una cultura de aprendizaje y e</w:t>
      </w:r>
      <w:r>
        <w:t xml:space="preserve">xperimentación continua (Kim et al., 2016).</w:t>
      </w:r>
      <w:r/>
      <w:r/>
      <w:r/>
      <w:r/>
    </w:p>
    <w:p w14:paraId="428C6C2B">
      <w:pPr>
        <w:pBdr/>
        <w:spacing/>
        <w:ind/>
        <w:jc w:val="center"/>
        <w:rPr/>
      </w:pPr>
      <w:r>
        <mc:AlternateContent>
          <mc:Choice Requires="wpg">
            <w:drawing>
              <wp:inline xmlns:wp="http://schemas.openxmlformats.org/drawingml/2006/wordprocessingDrawing" distT="0" distB="0" distL="0" distR="0">
                <wp:extent cx="5731510" cy="146938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1841" name=""/>
                        <pic:cNvPicPr>
                          <a:picLocks noChangeAspect="1"/>
                        </pic:cNvPicPr>
                        <pic:nvPr/>
                      </pic:nvPicPr>
                      <pic:blipFill rotWithShape="1">
                        <a:blip r:embed="rId14"/>
                        <a:stretch/>
                      </pic:blipFill>
                      <pic:spPr bwMode="auto">
                        <a:xfrm>
                          <a:off x="0" y="0"/>
                          <a:ext cx="5731509" cy="14693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115.70pt;mso-wrap-distance-left:0.00pt;mso-wrap-distance-top:0.00pt;mso-wrap-distance-right:0.00pt;mso-wrap-distance-bottom:0.00pt;z-index:1;" stroked="false">
                <v:imagedata r:id="rId14" o:title=""/>
                <o:lock v:ext="edit" rotation="t"/>
              </v:shape>
            </w:pict>
          </mc:Fallback>
        </mc:AlternateContent>
      </w:r>
      <w:r/>
      <w:r/>
    </w:p>
    <w:p w14:paraId="5A833D00">
      <w:pPr>
        <w:pStyle w:val="897"/>
        <w:pBdr/>
        <w:spacing/>
        <w:ind/>
        <w:jc w:val="center"/>
        <w:rPr>
          <w:color w:val="000000" w:themeColor="text1"/>
        </w:rPr>
      </w:pPr>
      <w:r>
        <w:rPr>
          <w:color w:val="000000" w:themeColor="text1"/>
        </w:rPr>
        <w:t xml:space="preserve">Figura </w:t>
      </w:r>
      <w:r>
        <w:rPr>
          <w:color w:val="000000" w:themeColor="text1"/>
        </w:rPr>
        <w:fldChar w:fldCharType="begin"/>
        <w:instrText xml:space="preserve"> SEQ Figura \* Arabic </w:instrText>
        <w:fldChar w:fldCharType="separate"/>
      </w:r>
      <w:r>
        <w:rPr>
          <w:color w:val="000000" w:themeColor="text1"/>
        </w:rPr>
        <w:t xml:space="preserve">3</w:t>
      </w:r>
      <w:r>
        <w:rPr>
          <w:color w:val="000000" w:themeColor="text1"/>
        </w:rPr>
      </w:r>
      <w:r>
        <w:rPr>
          <w:color w:val="000000" w:themeColor="text1"/>
        </w:rPr>
        <w:fldChar w:fldCharType="end"/>
      </w:r>
      <w:r>
        <w:rPr>
          <w:color w:val="000000" w:themeColor="text1"/>
        </w:rPr>
        <w:t xml:space="preserve">. Los tres caminos de DevOps: flujo, retroalimentación y aprendizaje continuo. Nota. Elaboración propia, a partir de Kim et al. (2016). </w:t>
      </w:r>
      <w:r>
        <w:rPr>
          <w:color w:val="000000" w:themeColor="text1"/>
        </w:rPr>
      </w:r>
    </w:p>
    <w:p w14:paraId="0471336D">
      <w:pPr>
        <w:pStyle w:val="916"/>
        <w:pBdr/>
        <w:spacing/>
        <w:ind/>
        <w:rPr/>
      </w:pPr>
      <w:r>
        <w:rPr>
          <w:highlight w:val="none"/>
        </w:rPr>
      </w:r>
      <w:r>
        <w:rPr>
          <w:highlight w:val="none"/>
        </w:rPr>
      </w:r>
      <w:r>
        <w:rPr>
          <w:highlight w:val="none"/>
        </w:rPr>
      </w:r>
    </w:p>
    <w:p w14:paraId="2C4B6F53">
      <w:pPr>
        <w:pStyle w:val="916"/>
        <w:pBdr/>
        <w:spacing/>
        <w:ind/>
        <w:rPr>
          <w:highlight w:val="none"/>
        </w:rPr>
      </w:pPr>
      <w:r/>
      <w:bookmarkStart w:id="5" w:name="_Toc5"/>
      <w:r/>
      <w:r>
        <w:t xml:space="preserve">Site Reliability Engineering (SRE)</w:t>
      </w:r>
      <w:r/>
      <w:bookmarkEnd w:id="5"/>
      <w:r/>
      <w:r/>
    </w:p>
    <w:p w14:paraId="175CB664">
      <w:pPr>
        <w:pBdr/>
        <w:spacing/>
        <w:ind/>
        <w:rPr>
          <w:highlight w:val="none"/>
        </w:rPr>
      </w:pPr>
      <w:r>
        <w:t xml:space="preserve">Site Reliability Engineering (SRE) es una disciplina de ingeniería que aplica principios y prácticas de desarrollo de software a los problemas de operaciones de infraestructura y de confiabilidad de los sistemas. Su objetivo es garantizar que los servicios </w:t>
      </w:r>
      <w:r>
        <w:t xml:space="preserve">sean escalables, confiables y eficientes, automatizando las tareas operativas repetitivas y gestionando la confiabilidad de forma cuantitativa (Beyer et al., 2016).</w:t>
      </w:r>
      <w:r/>
      <w:r>
        <w:rPr>
          <w:highlight w:val="none"/>
        </w:rPr>
      </w:r>
      <w:r>
        <w:rPr>
          <w:highlight w:val="none"/>
        </w:rPr>
      </w:r>
      <w:r>
        <w:rPr>
          <w:highlight w:val="none"/>
        </w:rPr>
      </w:r>
      <w:r>
        <w:rPr>
          <w:highlight w:val="none"/>
        </w:rPr>
      </w:r>
    </w:p>
    <w:p w14:paraId="55801F76">
      <w:pPr>
        <w:pBdr/>
        <w:spacing/>
        <w:ind/>
        <w:rPr/>
      </w:pPr>
      <w:r>
        <w:t xml:space="preserve">SRE nació en Google alrededor de 2003, de la mano de Ben Treynor Sloss, quien al formar el primer equipo de confiabilidad lo definió con una idea que se volvió célebre: SRE es, en esencia, lo que resulta cuando se trata a las operaciones como si fueran un p</w:t>
      </w:r>
      <w:r>
        <w:t xml:space="preserve">roblema de software, es decir, cuando en lugar de resolver los problemas operativos de forma manual y repetitiva, se escriben programas que los resuelvan automáticamente (Beyer et al., 2016). Por esta razón, dentro de Google se considera que SRE es una form</w:t>
      </w:r>
      <w:r>
        <w:t xml:space="preserve">a específica de implementar DevOps: mientras DevOps describe el “qué” y el “por qué” cultural, SRE aporta un conjunto concreto de prácticas e ingeniería para lograrlo (Beyer et al., 2018).</w:t>
      </w:r>
      <w:r/>
      <w:r/>
      <w:r/>
      <w:r/>
    </w:p>
    <w:p w14:paraId="63FB6E3E">
      <w:pPr>
        <w:pStyle w:val="918"/>
        <w:pBdr/>
        <w:spacing/>
        <w:ind/>
        <w:rPr/>
      </w:pPr>
      <w:r/>
      <w:r>
        <w:rPr>
          <w:lang w:val="es-GT"/>
        </w:rPr>
        <w:t xml:space="preserve">RESPONSABILIDADES Y PRÁCTICAS CLAVE DE SRE</w:t>
      </w:r>
      <w:r/>
    </w:p>
    <w:p w14:paraId="555B89BA">
      <w:pPr>
        <w:pBdr/>
        <w:spacing/>
        <w:ind/>
        <w:rPr/>
      </w:pPr>
      <w:r>
        <w:rPr>
          <w:lang w:val="es-GT"/>
        </w:rPr>
        <w:t xml:space="preserve">El </w:t>
      </w:r>
      <w:r/>
      <w:r>
        <w:rPr>
          <w:lang w:val="es-GT"/>
        </w:rPr>
        <w:t xml:space="preserve"> trabajo de un ingeniero de confiabilidad de sitio se articula en torno a varias prácticas y conceptos fundamentales:</w:t>
      </w:r>
      <w:r/>
    </w:p>
    <w:p w14:paraId="38EF8DF0">
      <w:pPr>
        <w:pStyle w:val="927"/>
        <w:numPr>
          <w:ilvl w:val="0"/>
          <w:numId w:val="7"/>
        </w:numPr>
        <w:pBdr/>
        <w:spacing/>
        <w:ind/>
        <w:rPr/>
      </w:pPr>
      <w:r>
        <w:rPr>
          <w:b/>
          <w:bCs/>
          <w:lang w:val="es-GT"/>
        </w:rPr>
        <w:t xml:space="preserve">SLI (Service Level Indicators).</w:t>
      </w:r>
      <w:r>
        <w:rPr>
          <w:lang w:val="es-GT"/>
        </w:rPr>
        <w:t xml:space="preserve"> Son los indicadores de nivel de servicio, es decir, las métricas cuantitativas que miden algún aspecto concreto del comportamiento de un servicio tal como lo percibe el usuario, por ejemplo la latencia, la tasa de errores o l</w:t>
      </w:r>
      <w:r>
        <w:rPr>
          <w:lang w:val="es-GT"/>
        </w:rPr>
        <w:t xml:space="preserve">a disponibilidad. Los SLI son la base objetiva sobre la que se construye todo lo demás (Beyer et al., 2018).</w:t>
      </w:r>
      <w:r/>
    </w:p>
    <w:p w14:paraId="6844DE0B">
      <w:pPr>
        <w:pStyle w:val="927"/>
        <w:numPr>
          <w:ilvl w:val="0"/>
          <w:numId w:val="7"/>
        </w:numPr>
        <w:pBdr/>
        <w:spacing/>
        <w:ind/>
        <w:rPr/>
      </w:pPr>
      <w:r>
        <w:rPr>
          <w:b/>
          <w:bCs/>
          <w:lang w:val="es-GT"/>
        </w:rPr>
      </w:r>
      <w:r>
        <mc:AlternateContent>
          <mc:Choice Requires="wpg">
            <w:drawing>
              <wp:anchor xmlns:wp="http://schemas.openxmlformats.org/drawingml/2006/wordprocessingDrawing" xmlns:wp14="http://schemas.microsoft.com/office/word/2010/wordprocessingDrawing" distT="0" distB="0" distL="115200" distR="115200" simplePos="0" relativeHeight="251670528" behindDoc="0" locked="0" layoutInCell="1" allowOverlap="1">
                <wp:simplePos x="0" y="0"/>
                <wp:positionH relativeFrom="column">
                  <wp:posOffset>3530891</wp:posOffset>
                </wp:positionH>
                <wp:positionV relativeFrom="paragraph">
                  <wp:posOffset>1354935</wp:posOffset>
                </wp:positionV>
                <wp:extent cx="2163735" cy="3123348"/>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4813" name=""/>
                        <pic:cNvPicPr>
                          <a:picLocks noChangeAspect="1"/>
                        </pic:cNvPicPr>
                        <pic:nvPr/>
                      </pic:nvPicPr>
                      <pic:blipFill rotWithShape="1">
                        <a:blip r:embed="rId15"/>
                        <a:stretch/>
                      </pic:blipFill>
                      <pic:spPr bwMode="auto">
                        <a:xfrm flipH="0" flipV="0">
                          <a:off x="0" y="0"/>
                          <a:ext cx="2163735" cy="31233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70528;o:allowoverlap:true;o:allowincell:true;mso-position-horizontal-relative:text;margin-left:278.02pt;mso-position-horizontal:absolute;mso-position-vertical-relative:text;margin-top:106.69pt;mso-position-vertical:absolute;width:170.37pt;height:245.93pt;mso-wrap-distance-left:9.07pt;mso-wrap-distance-top:0.00pt;mso-wrap-distance-right:9.07pt;mso-wrap-distance-bottom:0.00pt;z-index:1;" stroked="false">
                <w10:wrap type="square"/>
                <v:imagedata r:id="rId15" o:title=""/>
                <o:lock v:ext="edit" rotation="t"/>
              </v:shape>
            </w:pict>
          </mc:Fallback>
        </mc:AlternateContent>
      </w:r>
      <w:r>
        <w:rPr>
          <w:b/>
          <w:bCs/>
          <w:lang w:val="es-GT"/>
        </w:rPr>
      </w:r>
      <w:r/>
      <w:r>
        <w:rPr>
          <w:b/>
          <w:bCs/>
          <w:lang w:val="es-GT"/>
        </w:rPr>
        <w:t xml:space="preserve">SLO (Service Level Objectives). </w:t>
      </w:r>
      <w:r>
        <w:rPr>
          <w:lang w:val="es-GT"/>
        </w:rPr>
        <w:t xml:space="preserve">Son los objetivos de nivel de servicio: las metas internas que el equipo se compromete a cumplir respecto a uno o varios SLI durante un periodo determinado, por ejemplo “el 99,9 % de las peticiones serán exitosas en un mes”. </w:t>
      </w:r>
      <w:r>
        <w:rPr>
          <w:lang w:val="es-GT"/>
        </w:rPr>
        <w:t xml:space="preserve">Los SLO permiten al equipo tomar decisiones basadas en datos y definen qué nivel de confiabilidad es “suficientemente bueno” para el usuario (Beyer et al., 2016; Beyer et al., 2018).</w:t>
      </w:r>
      <w:r/>
    </w:p>
    <w:p w14:paraId="48AC8A30">
      <w:pPr>
        <w:pStyle w:val="927"/>
        <w:numPr>
          <w:ilvl w:val="0"/>
          <w:numId w:val="7"/>
        </w:numPr>
        <w:pBdr/>
        <w:spacing/>
        <w:ind/>
        <w:rPr/>
      </w:pPr>
      <w:r>
        <w:rPr>
          <w:b/>
          <w:bCs/>
          <w:lang w:val="es-GT"/>
        </w:rPr>
      </w:r>
      <w:r>
        <mc:AlternateContent>
          <mc:Choice Requires="wpg">
            <w:drawing>
              <wp:anchor xmlns:wp="http://schemas.openxmlformats.org/drawingml/2006/wordprocessingDrawing" xmlns:wp14="http://schemas.microsoft.com/office/word/2010/wordprocessingDrawing" distT="0" distB="0" distL="115200" distR="115200" simplePos="0" relativeHeight="251678720" behindDoc="0" locked="0" layoutInCell="1" allowOverlap="1">
                <wp:simplePos x="0" y="0"/>
                <wp:positionH relativeFrom="column">
                  <wp:posOffset>3494007</wp:posOffset>
                </wp:positionH>
                <wp:positionV relativeFrom="paragraph">
                  <wp:posOffset>2012089</wp:posOffset>
                </wp:positionV>
                <wp:extent cx="2237503" cy="457200"/>
                <wp:effectExtent l="0" t="0" r="0" b="0"/>
                <wp:wrapSquare wrapText="bothSides"/>
                <wp:docPr id="8" name=""/>
                <wp:cNvGraphicFramePr/>
                <a:graphic xmlns:a="http://schemas.openxmlformats.org/drawingml/2006/main">
                  <a:graphicData uri="http://schemas.microsoft.com/office/word/2010/wordprocessingShape">
                    <wps:wsp>
                      <wps:cNvPr id="0" name=""/>
                      <wps:cNvSpPr/>
                      <wps:spPr bwMode="auto">
                        <a:xfrm>
                          <a:off x="0" y="0"/>
                          <a:ext cx="2237862" cy="652735"/>
                        </a:xfrm>
                        <a:prstGeom prst="rect">
                          <a:avLst/>
                        </a:prstGeom>
                        <a:noFill/>
                        <a:ln>
                          <a:noFill/>
                        </a:ln>
                      </wps:spPr>
                      <wps:txbx>
                        <w:txbxContent>
                          <w:p w14:paraId="43BA6814">
                            <w:pPr>
                              <w:pStyle w:val="897"/>
                              <w:pBdr/>
                              <w:spacing/>
                              <w:ind/>
                              <w:jc w:val="center"/>
                              <w:rPr>
                                <w:rFonts w:ascii="Cambria Math" w:hAnsi="Cambria Math" w:eastAsia="Cambria Math" w:cs="Cambria Math"/>
                              </w:rPr>
                            </w:pPr>
                            <w:r>
                              <w:t xml:space="preserve">Fi</w:t>
                            </w:r>
                            <w:r>
                              <w:rPr>
                                <w:color w:val="000000" w:themeColor="text1"/>
                              </w:rPr>
                              <w:t xml:space="preserve">gura </w:t>
                            </w:r>
                            <w:r>
                              <w:rPr>
                                <w:color w:val="000000" w:themeColor="text1"/>
                              </w:rPr>
                              <w:fldChar w:fldCharType="begin"/>
                              <w:instrText xml:space="preserve"> SEQ Figura \* Arabic </w:instrText>
                              <w:fldChar w:fldCharType="separate"/>
                            </w:r>
                            <w:r>
                              <w:rPr>
                                <w:color w:val="000000" w:themeColor="text1"/>
                              </w:rPr>
                              <w:t xml:space="preserve">4</w:t>
                            </w:r>
                            <w:r>
                              <w:rPr>
                                <w:color w:val="000000" w:themeColor="text1"/>
                              </w:rPr>
                            </w:r>
                            <w:r>
                              <w:rPr>
                                <w:color w:val="000000" w:themeColor="text1"/>
                              </w:rPr>
                              <w:fldChar w:fldCharType="end"/>
                            </w:r>
                            <w:r>
                              <w:rPr>
                                <w:color w:val="000000" w:themeColor="text1"/>
                              </w:rPr>
                              <w:t xml:space="preserve">. Relación entre SLI, SLO, SLA y el error budget como mecanismo de decisión. Nota. Elaboración propia, a partir de Beyer et al. (2016, 2018).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7" o:spid="_x0000_s7" o:spt="1" type="#_x0000_t1" style="position:absolute;z-index:251678720;o:allowoverlap:true;o:allowincell:true;mso-position-horizontal-relative:text;margin-left:275.12pt;mso-position-horizontal:absolute;mso-position-vertical-relative:text;margin-top:158.43pt;mso-position-vertical:absolute;width:176.18pt;height:36.00pt;mso-wrap-distance-left:9.07pt;mso-wrap-distance-top:0.00pt;mso-wrap-distance-right:9.07pt;mso-wrap-distance-bottom:0.00pt;v-text-anchor:top;visibility:visible;" filled="f" stroked="f">
                <w10:wrap type="square"/>
                <v:textbox inset="0,0,0,0">
                  <w:txbxContent>
                    <w:p w14:paraId="43BA6814">
                      <w:pPr>
                        <w:pStyle w:val="897"/>
                        <w:pBdr/>
                        <w:spacing/>
                        <w:ind/>
                        <w:jc w:val="center"/>
                        <w:rPr>
                          <w:rFonts w:ascii="Cambria Math" w:hAnsi="Cambria Math" w:eastAsia="Cambria Math" w:cs="Cambria Math"/>
                        </w:rPr>
                      </w:pPr>
                      <w:r>
                        <w:t xml:space="preserve">Fi</w:t>
                      </w:r>
                      <w:r>
                        <w:rPr>
                          <w:color w:val="000000" w:themeColor="text1"/>
                        </w:rPr>
                        <w:t xml:space="preserve">gura </w:t>
                      </w:r>
                      <w:r>
                        <w:rPr>
                          <w:color w:val="000000" w:themeColor="text1"/>
                        </w:rPr>
                        <w:fldChar w:fldCharType="begin"/>
                        <w:instrText xml:space="preserve"> SEQ Figura \* Arabic </w:instrText>
                        <w:fldChar w:fldCharType="separate"/>
                      </w:r>
                      <w:r>
                        <w:rPr>
                          <w:color w:val="000000" w:themeColor="text1"/>
                        </w:rPr>
                        <w:t xml:space="preserve">4</w:t>
                      </w:r>
                      <w:r>
                        <w:rPr>
                          <w:color w:val="000000" w:themeColor="text1"/>
                        </w:rPr>
                      </w:r>
                      <w:r>
                        <w:rPr>
                          <w:color w:val="000000" w:themeColor="text1"/>
                        </w:rPr>
                        <w:fldChar w:fldCharType="end"/>
                      </w:r>
                      <w:r>
                        <w:rPr>
                          <w:color w:val="000000" w:themeColor="text1"/>
                        </w:rPr>
                        <w:t xml:space="preserve">. Relación entre SLI, SLO, SLA y el error budget como mecanismo de decisión. Nota. Elaboración propia, a partir de Beyer et al. (2016, 2018).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b/>
          <w:bCs/>
          <w:lang w:val="es-GT"/>
        </w:rPr>
      </w:r>
      <w:r/>
      <w:r>
        <w:rPr>
          <w:b/>
          <w:bCs/>
          <w:lang w:val="es-GT"/>
        </w:rPr>
      </w:r>
      <w:r/>
      <w:r>
        <w:rPr>
          <w:b/>
          <w:bCs/>
          <w:lang w:val="es-GT"/>
        </w:rPr>
      </w:r>
      <w:r/>
      <w:r>
        <w:rPr>
          <w:b/>
          <w:bCs/>
          <w:lang w:val="es-GT"/>
        </w:rPr>
      </w:r>
      <w:r/>
      <w:r>
        <w:rPr>
          <w:b/>
          <w:bCs/>
          <w:lang w:val="es-GT"/>
        </w:rPr>
        <w:t xml:space="preserve">SLA (Service Level Agreements).</w:t>
      </w:r>
      <w:r>
        <w:rPr>
          <w:lang w:val="es-GT"/>
        </w:rPr>
        <w:t xml:space="preserve"> Son los acuerdos de nivel de servicio, es decir, compromisos formales, generalmente con consecuencias contractuales o de negocio, que se establecen con los usuarios o clientes respecto al nivel de servicio esperado. Un SLA su</w:t>
      </w:r>
      <w:r>
        <w:rPr>
          <w:lang w:val="es-GT"/>
        </w:rPr>
        <w:t xml:space="preserve">ele derivarse de los SLO, pero con márgenes más conservadores y con penalizaciones asociadas en caso de incumplimiento (Beyer et al., 2016</w:t>
      </w:r>
      <w:r/>
      <w:r>
        <w:rPr>
          <w:lang w:val="es-GT"/>
        </w:rPr>
        <w:t xml:space="preserve">).</w:t>
      </w:r>
      <w:r/>
    </w:p>
    <w:p w14:paraId="191B1773">
      <w:pPr>
        <w:pStyle w:val="927"/>
        <w:numPr>
          <w:ilvl w:val="0"/>
          <w:numId w:val="7"/>
        </w:numPr>
        <w:pBdr/>
        <w:spacing/>
        <w:ind/>
        <w:rPr/>
      </w:pPr>
      <w:r>
        <w:rPr>
          <w:b/>
          <w:bCs/>
          <w:lang w:val="es-GT"/>
        </w:rPr>
      </w:r>
      <w:r/>
      <w:r>
        <w:rPr>
          <w:b/>
          <w:bCs/>
          <w:lang w:val="es-GT"/>
        </w:rPr>
      </w:r>
      <w:r/>
      <w:r>
        <w:rPr>
          <w:b/>
          <w:bCs/>
          <w:lang w:val="es-GT"/>
        </w:rPr>
        <w:t xml:space="preserve">Error budget (presupuesto de error).</w:t>
      </w:r>
      <w:r>
        <w:rPr>
          <w:lang w:val="es-GT"/>
        </w:rPr>
        <w:t xml:space="preserve"> Es uno de los conceptos más potentes de SRE. Dado que ningún sistema puede ser 100 % confiable sin un costo prohibitivo, el SLO define implícitamente un margen de error aceptable: si e</w:t>
      </w:r>
      <w:r/>
      <w:r>
        <w:rPr>
          <w:lang w:val="es-GT"/>
        </w:rPr>
        <w:t xml:space="preserve">l SLO es 99,9 %, el error budget es </w:t>
      </w:r>
      <w:r>
        <w:rPr>
          <w:lang w:val="es-GT"/>
        </w:rPr>
        <w:t xml:space="preserve">ese 0,1 % de “fallos permitidos”. Este presupuesto se utiliza para equilibrar innovación y estabilidad: mientras quede presupuesto de error, el equipo puede arriesgarse a despl</w:t>
      </w:r>
      <w:r/>
      <w:r>
        <w:rPr>
          <w:lang w:val="es-GT"/>
        </w:rPr>
        <w:t xml:space="preserve">egar cambios rápido; cuando el presupuesto se agota, se frena la innovación y se </w:t>
      </w:r>
      <w:r>
        <w:rPr>
          <w:lang w:val="es-GT"/>
        </w:rPr>
        <w:t xml:space="preserve">prioriza la confiabilidad hasta recuperarlo (Beyer et al., 2016; Beyer et al., 2018).</w:t>
      </w:r>
      <w:r>
        <w:rPr>
          <w:lang w:val="es-GT"/>
        </w:rPr>
      </w:r>
      <w:r>
        <w:rPr>
          <w:highlight w:val="none"/>
          <w:lang w:val="es-GT" w:bidi="es-GT"/>
        </w:rPr>
      </w:r>
      <w:r>
        <w:rPr>
          <w:highlight w:val="none"/>
          <w:lang w:val="es-GT" w:bidi="es-GT"/>
        </w:rPr>
      </w:r>
      <w:r>
        <w:rPr>
          <w:highlight w:val="none"/>
          <w:lang w:val="es-GT" w:bidi="es-GT"/>
        </w:rPr>
      </w:r>
      <w:r>
        <w:rPr>
          <w:highlight w:val="none"/>
          <w:lang w:val="es-GT" w:bidi="es-GT"/>
        </w:rPr>
      </w:r>
      <w:r>
        <w:rPr>
          <w:highlight w:val="none"/>
          <w:lang w:val="es-GT"/>
        </w:rPr>
      </w:r>
      <w:r>
        <w:rPr>
          <w:lang w:val="es-GT"/>
        </w:rPr>
      </w:r>
    </w:p>
    <w:p w14:paraId="62085A67">
      <w:pPr>
        <w:pStyle w:val="927"/>
        <w:numPr>
          <w:ilvl w:val="0"/>
          <w:numId w:val="7"/>
        </w:numPr>
        <w:pBdr/>
        <w:spacing/>
        <w:ind/>
        <w:rPr/>
      </w:pPr>
      <w:r>
        <w:rPr>
          <w:b/>
          <w:bCs/>
          <w:lang w:val="es-GT"/>
        </w:rPr>
      </w:r>
      <w:r>
        <mc:AlternateContent>
          <mc:Choice Requires="wpg">
            <w:drawing>
              <wp:anchor xmlns:wp="http://schemas.openxmlformats.org/drawingml/2006/wordprocessingDrawing" xmlns:wp14="http://schemas.microsoft.com/office/word/2010/wordprocessingDrawing" distT="0" distB="0" distL="115200" distR="115200" simplePos="0" relativeHeight="251689984" behindDoc="0" locked="0" layoutInCell="1" allowOverlap="1">
                <wp:simplePos x="0" y="0"/>
                <wp:positionH relativeFrom="column">
                  <wp:posOffset>3798204</wp:posOffset>
                </wp:positionH>
                <wp:positionV relativeFrom="paragraph">
                  <wp:posOffset>1026449</wp:posOffset>
                </wp:positionV>
                <wp:extent cx="1933306" cy="3500785"/>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46250" name=""/>
                        <pic:cNvPicPr>
                          <a:picLocks noChangeAspect="1"/>
                        </pic:cNvPicPr>
                        <pic:nvPr/>
                      </pic:nvPicPr>
                      <pic:blipFill rotWithShape="1">
                        <a:blip r:embed="rId16"/>
                        <a:stretch/>
                      </pic:blipFill>
                      <pic:spPr bwMode="auto">
                        <a:xfrm flipH="0" flipV="0">
                          <a:off x="0" y="0"/>
                          <a:ext cx="1933305" cy="35007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89984;o:allowoverlap:true;o:allowincell:true;mso-position-horizontal-relative:text;margin-left:299.07pt;mso-position-horizontal:absolute;mso-position-vertical-relative:text;margin-top:80.82pt;mso-position-vertical:absolute;width:152.23pt;height:275.65pt;mso-wrap-distance-left:9.07pt;mso-wrap-distance-top:0.00pt;mso-wrap-distance-right:9.07pt;mso-wrap-distance-bottom:0.00pt;z-index:1;" stroked="false">
                <w10:wrap type="square"/>
                <v:imagedata r:id="rId16" o:title=""/>
                <o:lock v:ext="edit" rotation="t"/>
              </v:shape>
            </w:pict>
          </mc:Fallback>
        </mc:AlternateContent>
      </w:r>
      <w:r>
        <w:rPr>
          <w:b/>
          <w:bCs/>
          <w:lang w:val="es-GT"/>
        </w:rPr>
      </w:r>
      <w:r/>
      <w:r>
        <w:rPr>
          <w:b/>
          <w:bCs/>
          <w:lang w:val="es-GT"/>
        </w:rPr>
      </w:r>
      <w:r/>
      <w:r>
        <w:rPr>
          <w:b/>
          <w:bCs/>
          <w:lang w:val="es-GT"/>
        </w:rPr>
      </w:r>
      <w:r/>
      <w:r>
        <w:rPr>
          <w:b/>
          <w:bCs/>
          <w:lang w:val="es-GT"/>
        </w:rPr>
        <w:t xml:space="preserve">Guardias u on-call.</w:t>
      </w:r>
      <w:r>
        <w:rPr>
          <w:lang w:val="es-GT"/>
        </w:rPr>
        <w:t xml:space="preserve"> Los equipos SRE organizan turnos de guardia para responder a incidentes fuera del horario laboral y garantizar que siempre haya alguien capaz de atender una emergencia. Un buen diseño de on-call busca que las alertas sean accionables y n</w:t>
      </w:r>
      <w:r>
        <w:rPr>
          <w:lang w:val="es-GT"/>
        </w:rPr>
        <w:t xml:space="preserve">o </w:t>
      </w:r>
      <w:r>
        <mc:AlternateContent>
          <mc:Choice Requires="wpg">
            <w:drawing>
              <wp:anchor xmlns:wp="http://schemas.openxmlformats.org/drawingml/2006/wordprocessingDrawing" xmlns:wp14="http://schemas.microsoft.com/office/word/2010/wordprocessingDrawing" distT="0" distB="0" distL="115200" distR="115200" simplePos="0" relativeHeight="251696128" behindDoc="0" locked="0" layoutInCell="1" allowOverlap="1">
                <wp:simplePos x="0" y="0"/>
                <wp:positionH relativeFrom="column">
                  <wp:posOffset>3798204</wp:posOffset>
                </wp:positionH>
                <wp:positionV relativeFrom="paragraph">
                  <wp:posOffset>4584835</wp:posOffset>
                </wp:positionV>
                <wp:extent cx="1933306" cy="457200"/>
                <wp:effectExtent l="0" t="0" r="0" b="0"/>
                <wp:wrapSquare wrapText="bothSides"/>
                <wp:docPr id="10" name=""/>
                <wp:cNvGraphicFramePr/>
                <a:graphic xmlns:a="http://schemas.openxmlformats.org/drawingml/2006/main">
                  <a:graphicData uri="http://schemas.microsoft.com/office/word/2010/wordprocessingShape">
                    <wps:wsp>
                      <wps:cNvPr id="0" name=""/>
                      <wps:cNvSpPr/>
                      <wps:spPr bwMode="auto">
                        <a:xfrm>
                          <a:off x="0" y="0"/>
                          <a:ext cx="1933665" cy="653095"/>
                        </a:xfrm>
                        <a:prstGeom prst="rect">
                          <a:avLst/>
                        </a:prstGeom>
                        <a:noFill/>
                        <a:ln>
                          <a:noFill/>
                        </a:ln>
                      </wps:spPr>
                      <wps:txbx>
                        <w:txbxContent>
                          <w:p w14:paraId="756E446B">
                            <w:pPr>
                              <w:pStyle w:val="897"/>
                              <w:pBdr/>
                              <w:spacing/>
                              <w:ind/>
                              <w:jc w:val="center"/>
                              <w:rPr>
                                <w:rFonts w:ascii="Cambria Math" w:hAnsi="Cambria Math" w:eastAsia="Cambria Math" w:cs="Cambria Math"/>
                                <w:color w:val="auto"/>
                              </w:rPr>
                            </w:pPr>
                            <w:r>
                              <w:rPr>
                                <w:color w:val="auto"/>
                              </w:rPr>
                              <w:t xml:space="preserve">Figura </w:t>
                            </w:r>
                            <w:r>
                              <w:rPr>
                                <w:color w:val="auto"/>
                              </w:rPr>
                              <w:fldChar w:fldCharType="begin"/>
                              <w:instrText xml:space="preserve"> SEQ Figura \* Arabic </w:instrText>
                              <w:fldChar w:fldCharType="separate"/>
                            </w:r>
                            <w:r>
                              <w:rPr>
                                <w:color w:val="auto"/>
                              </w:rPr>
                              <w:t xml:space="preserve">5</w:t>
                            </w:r>
                            <w:r>
                              <w:rPr>
                                <w:color w:val="auto"/>
                              </w:rPr>
                            </w:r>
                            <w:r>
                              <w:rPr>
                                <w:color w:val="auto"/>
                              </w:rPr>
                              <w:fldChar w:fldCharType="end"/>
                            </w:r>
                            <w:r>
                              <w:rPr>
                                <w:color w:val="auto"/>
                              </w:rPr>
                              <w:t xml:space="preserve">. Ciclo de gestión de incidentes y mejora continua mediante post-mortems sin culpa. Nota. Elaboración propia, a partir de Beyer et al. (2016). </w:t>
                            </w:r>
                            <w:r>
                              <w:rPr>
                                <w:color w:val="auto"/>
                              </w:rPr>
                            </w:r>
                            <w:r>
                              <w:rPr>
                                <w:rFonts w:ascii="Cambria Math" w:hAnsi="Cambria Math" w:eastAsia="Cambria Math" w:cs="Cambria Math"/>
                                <w:color w:val="auto"/>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9" o:spid="_x0000_s9" o:spt="1" type="#_x0000_t1" style="position:absolute;z-index:251696128;o:allowoverlap:true;o:allowincell:true;mso-position-horizontal-relative:text;margin-left:299.07pt;mso-position-horizontal:absolute;mso-position-vertical-relative:text;margin-top:361.01pt;mso-position-vertical:absolute;width:152.23pt;height:36.00pt;mso-wrap-distance-left:9.07pt;mso-wrap-distance-top:0.00pt;mso-wrap-distance-right:9.07pt;mso-wrap-distance-bottom:0.00pt;v-text-anchor:top;visibility:visible;" filled="f" stroked="f">
                <w10:wrap type="square"/>
                <v:textbox inset="0,0,0,0">
                  <w:txbxContent>
                    <w:p w14:paraId="756E446B">
                      <w:pPr>
                        <w:pStyle w:val="897"/>
                        <w:pBdr/>
                        <w:spacing/>
                        <w:ind/>
                        <w:jc w:val="center"/>
                        <w:rPr>
                          <w:rFonts w:ascii="Cambria Math" w:hAnsi="Cambria Math" w:eastAsia="Cambria Math" w:cs="Cambria Math"/>
                          <w:color w:val="auto"/>
                        </w:rPr>
                      </w:pPr>
                      <w:r>
                        <w:rPr>
                          <w:color w:val="auto"/>
                        </w:rPr>
                        <w:t xml:space="preserve">Figura </w:t>
                      </w:r>
                      <w:r>
                        <w:rPr>
                          <w:color w:val="auto"/>
                        </w:rPr>
                        <w:fldChar w:fldCharType="begin"/>
                        <w:instrText xml:space="preserve"> SEQ Figura \* Arabic </w:instrText>
                        <w:fldChar w:fldCharType="separate"/>
                      </w:r>
                      <w:r>
                        <w:rPr>
                          <w:color w:val="auto"/>
                        </w:rPr>
                        <w:t xml:space="preserve">5</w:t>
                      </w:r>
                      <w:r>
                        <w:rPr>
                          <w:color w:val="auto"/>
                        </w:rPr>
                      </w:r>
                      <w:r>
                        <w:rPr>
                          <w:color w:val="auto"/>
                        </w:rPr>
                        <w:fldChar w:fldCharType="end"/>
                      </w:r>
                      <w:r>
                        <w:rPr>
                          <w:color w:val="auto"/>
                        </w:rPr>
                        <w:t xml:space="preserve">. Ciclo de gestión de incidentes y mejora continua mediante post-mortems sin culpa. Nota. Elaboración propia, a partir de Beyer et al. (2016). </w:t>
                      </w:r>
                      <w:r>
                        <w:rPr>
                          <w:color w:val="auto"/>
                        </w:rPr>
                      </w:r>
                      <w:r>
                        <w:rPr>
                          <w:rFonts w:ascii="Cambria Math" w:hAnsi="Cambria Math" w:eastAsia="Cambria Math" w:cs="Cambria Math"/>
                          <w:color w:val="auto"/>
                        </w:rPr>
                      </w:r>
                    </w:p>
                  </w:txbxContent>
                </v:textbox>
              </v:shape>
            </w:pict>
          </mc:Fallback>
        </mc:AlternateContent>
      </w:r>
      <w:r>
        <w:rPr>
          <w:lang w:val="es-GT"/>
        </w:rPr>
        <w:t xml:space="preserve">generen fatiga, de modo que responder a una alerta implique siempre una acción humana necesaria (Beyer et al., 2016).</w:t>
      </w:r>
      <w:r/>
    </w:p>
    <w:p w14:paraId="4445267E">
      <w:pPr>
        <w:pStyle w:val="927"/>
        <w:numPr>
          <w:ilvl w:val="0"/>
          <w:numId w:val="7"/>
        </w:numPr>
        <w:pBdr/>
        <w:spacing/>
        <w:ind/>
        <w:rPr/>
      </w:pPr>
      <w:r>
        <w:rPr>
          <w:b/>
          <w:bCs/>
          <w:lang w:val="es-GT"/>
        </w:rPr>
      </w:r>
      <w:r/>
      <w:r>
        <w:rPr>
          <w:b/>
          <w:bCs/>
          <w:lang w:val="es-GT"/>
        </w:rPr>
      </w:r>
      <w:r/>
      <w:r>
        <w:rPr>
          <w:b/>
          <w:bCs/>
          <w:lang w:val="es-GT"/>
        </w:rPr>
        <w:t xml:space="preserve">Post-mortems sin culpa (blameless postmortems). </w:t>
      </w:r>
      <w:r>
        <w:rPr>
          <w:lang w:val="es-GT"/>
        </w:rPr>
        <w:t xml:space="preserve">Tras un incidente significativo, SRE realiza un análisis estructurado llamado post-mortem, cuyo objetivo es entender qué ocurrió, por qué ocurrió y cómo evitar que se repita, sin buscar culpables individuales.</w:t>
      </w:r>
      <w:r>
        <w:rPr>
          <w:lang w:val="es-GT"/>
        </w:rPr>
        <w:t xml:space="preserve"> Esta práctica de “post-mortem sin culpa” es esencial para la cultura de aprendizaje continuo, ya que asume que los fallos son consecuencia de procesos y sistemas, no de personas, y fomenta que los incidentes se reporten con transparencia (Beyer et al., 201</w:t>
      </w:r>
      <w:r>
        <w:rPr>
          <w:lang w:val="es-GT"/>
        </w:rPr>
        <w:t xml:space="preserve">6).</w:t>
      </w:r>
      <w:r/>
    </w:p>
    <w:p w14:paraId="645DC739">
      <w:pPr>
        <w:pBdr/>
        <w:spacing/>
        <w:ind/>
        <w:rPr/>
      </w:pPr>
      <w:r>
        <w:rPr>
          <w:lang w:val="es-GT"/>
        </w:rPr>
        <w:t xml:space="preserve">A estas prácticas se suma una responsabilidad transversal: la eliminación del trabajo manual repetitivo (toil) mediante automatización, de modo que el equipo dedique su tiempo a ingeniería de valor en lugar de a tareas operativas que no escalan (Beyer et al</w:t>
      </w:r>
      <w:r>
        <w:rPr>
          <w:lang w:val="es-GT"/>
        </w:rPr>
        <w:t xml:space="preserve">., 2016).</w:t>
      </w:r>
      <w:r/>
      <w:r>
        <w:rPr>
          <w:lang w:val="es-GT"/>
        </w:rPr>
      </w:r>
      <w:r/>
      <w:r/>
    </w:p>
    <w:p w14:paraId="0C8878F5">
      <w:pPr>
        <w:pBdr/>
        <w:spacing/>
        <w:ind/>
        <w:rPr/>
      </w:pPr>
      <w:r/>
      <w:r/>
    </w:p>
    <w:p w14:paraId="5A2C54EC">
      <w:pPr>
        <w:pStyle w:val="915"/>
        <w:pBdr/>
        <w:spacing/>
        <w:ind/>
        <w:rPr/>
      </w:pPr>
      <w:r/>
      <w:bookmarkStart w:id="6" w:name="_Toc6"/>
      <w:r>
        <w:rPr>
          <w:highlight w:val="none"/>
          <w:lang w:val="es-GT"/>
        </w:rPr>
        <w:t xml:space="preserve">CUADRO COMPARATIVO: DEVOPS vs SRE</w:t>
      </w:r>
      <w:r/>
      <w:bookmarkEnd w:id="6"/>
      <w:r/>
      <w:r>
        <w:rPr>
          <w:highlight w:val="none"/>
          <w:lang w:val="es-GT"/>
        </w:rPr>
      </w:r>
    </w:p>
    <w:p w14:paraId="10F0C76C">
      <w:pPr>
        <w:pBdr/>
        <w:spacing/>
        <w:ind/>
        <w:rPr>
          <w:highlight w:val="none"/>
          <w:lang w:val="es-GT"/>
        </w:rPr>
      </w:pPr>
      <w:r>
        <w:rPr>
          <w:highlight w:val="none"/>
          <w:lang w:val="es-GT"/>
        </w:rPr>
      </w:r>
      <w:r>
        <w:rPr>
          <w:highlight w:val="none"/>
          <w:lang w:val="es-GT"/>
        </w:rPr>
        <w:t xml:space="preserve">Aunque DevOps y SRE comparten objetivos y valores, no son lo mismo: DevOps es una filosofía y cultura transversal, mientras que SRE es una disciplina de ingeniería con prácticas concretas que operacionaliza esos principios.</w:t>
      </w:r>
      <w:r>
        <w:rPr>
          <w:highlight w:val="none"/>
          <w:lang w:val="es-GT"/>
        </w:rPr>
      </w:r>
      <w:r>
        <w:rPr>
          <w:highlight w:val="none"/>
          <w:lang w:val="es-GT"/>
        </w:rPr>
      </w:r>
    </w:p>
    <w:p w14:paraId="6B8696F8">
      <w:pPr>
        <w:pBdr/>
        <w:spacing/>
        <w:ind/>
        <w:rPr>
          <w:highlight w:val="none"/>
          <w:lang w:val="es-GT"/>
        </w:rPr>
      </w:pPr>
      <w:r>
        <w:rPr>
          <w:highlight w:val="none"/>
          <w:lang w:val="es-GT" w:bidi="es-GT"/>
        </w:rPr>
      </w:r>
      <w:r>
        <w:rPr>
          <w:highlight w:val="none"/>
          <w:lang w:val="es-GT" w:bidi="es-GT"/>
        </w:rPr>
      </w:r>
      <w:r>
        <w:rPr>
          <w:highlight w:val="none"/>
          <w:lang w:val="es-GT"/>
        </w:rPr>
      </w:r>
    </w:p>
    <w:tbl>
      <w:tblPr>
        <w:tblStyle w:val="741"/>
        <w:tblW w:w="0" w:type="auto"/>
        <w:tblBorders/>
        <w:tblLayout w:type="autofit"/>
        <w:tblLook w:val="04A0" w:firstRow="1" w:lastRow="0" w:firstColumn="1" w:lastColumn="0" w:noHBand="0" w:noVBand="1"/>
      </w:tblPr>
      <w:tblGrid>
        <w:gridCol w:w="1702"/>
        <w:gridCol w:w="3537"/>
        <w:gridCol w:w="3786"/>
      </w:tblGrid>
      <w:tr>
        <w:trPr/>
        <w:tc>
          <w:tcPr>
            <w:tcBorders/>
            <w:tcW w:w="1702" w:type="dxa"/>
            <w:vAlign w:val="center"/>
          </w:tcPr>
          <w:p w14:paraId="04AA7282">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Dimensión</w:t>
            </w:r>
            <w:r/>
          </w:p>
        </w:tc>
        <w:tc>
          <w:tcPr>
            <w:tcBorders/>
            <w:tcW w:w="3537" w:type="dxa"/>
            <w:vAlign w:val="center"/>
          </w:tcPr>
          <w:p w14:paraId="234C178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DevOps</w:t>
            </w:r>
            <w:r/>
          </w:p>
        </w:tc>
        <w:tc>
          <w:tcPr>
            <w:tcBorders/>
            <w:tcW w:w="3786" w:type="dxa"/>
            <w:vAlign w:val="center"/>
          </w:tcPr>
          <w:p w14:paraId="74FE3C78">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SRE</w:t>
            </w:r>
            <w:r/>
          </w:p>
        </w:tc>
      </w:tr>
      <w:tr>
        <w:trPr/>
        <w:tc>
          <w:tcPr>
            <w:tcBorders/>
            <w:tcW w:w="1702" w:type="dxa"/>
            <w:vAlign w:val="center"/>
          </w:tcPr>
          <w:p w14:paraId="4ACF0A0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Naturaleza</w:t>
            </w:r>
            <w:r/>
          </w:p>
        </w:tc>
        <w:tc>
          <w:tcPr>
            <w:tcBorders/>
            <w:tcW w:w="3537" w:type="dxa"/>
            <w:vAlign w:val="center"/>
          </w:tcPr>
          <w:p w14:paraId="090AB53D">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Filosofía, cultura y conjunto de prácticas organizacionales.</w:t>
            </w:r>
            <w:r/>
          </w:p>
        </w:tc>
        <w:tc>
          <w:tcPr>
            <w:tcBorders/>
            <w:tcW w:w="3786" w:type="dxa"/>
            <w:vAlign w:val="center"/>
          </w:tcPr>
          <w:p w14:paraId="487D1A81">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Disciplina/rol de ingeniería con prácticas cuantificables.</w:t>
            </w:r>
            <w:r/>
          </w:p>
        </w:tc>
      </w:tr>
      <w:tr>
        <w:trPr/>
        <w:tc>
          <w:tcPr>
            <w:tcBorders/>
            <w:tcW w:w="1702" w:type="dxa"/>
            <w:vAlign w:val="center"/>
          </w:tcPr>
          <w:p w14:paraId="783CDD9D">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Origen</w:t>
            </w:r>
            <w:r/>
          </w:p>
        </w:tc>
        <w:tc>
          <w:tcPr>
            <w:tcBorders/>
            <w:tcW w:w="3537" w:type="dxa"/>
            <w:vAlign w:val="center"/>
          </w:tcPr>
          <w:p w14:paraId="33052029">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Comunidad ágil; popularizado desde 2009 (DevOpsDays, P. Debois).</w:t>
            </w:r>
            <w:r/>
          </w:p>
        </w:tc>
        <w:tc>
          <w:tcPr>
            <w:tcBorders/>
            <w:tcW w:w="3786" w:type="dxa"/>
            <w:vAlign w:val="center"/>
          </w:tcPr>
          <w:p w14:paraId="3C587692">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Creado en Google hacia 2003 por Ben Treynor Sloss.</w:t>
            </w:r>
            <w:r/>
          </w:p>
        </w:tc>
      </w:tr>
      <w:tr>
        <w:trPr/>
        <w:tc>
          <w:tcPr>
            <w:tcBorders/>
            <w:tcW w:w="1702" w:type="dxa"/>
            <w:vAlign w:val="center"/>
          </w:tcPr>
          <w:p w14:paraId="1D79F776">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Objetivo principal</w:t>
            </w:r>
            <w:r/>
          </w:p>
        </w:tc>
        <w:tc>
          <w:tcPr>
            <w:tcBorders/>
            <w:tcW w:w="3537" w:type="dxa"/>
            <w:vAlign w:val="center"/>
          </w:tcPr>
          <w:p w14:paraId="04FEEB21">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Acelerar el flujo de valor uniendo desarrollo y operaciones.</w:t>
            </w:r>
            <w:r/>
          </w:p>
        </w:tc>
        <w:tc>
          <w:tcPr>
            <w:tcBorders/>
            <w:tcW w:w="3786" w:type="dxa"/>
            <w:vAlign w:val="center"/>
          </w:tcPr>
          <w:p w14:paraId="7415A0D4">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Garantizar confiabilidad, escalabilidad y eficiencia de los servicios.</w:t>
            </w:r>
            <w:r/>
          </w:p>
        </w:tc>
      </w:tr>
      <w:tr>
        <w:trPr/>
        <w:tc>
          <w:tcPr>
            <w:tcBorders/>
            <w:tcW w:w="1702" w:type="dxa"/>
            <w:vAlign w:val="center"/>
          </w:tcPr>
          <w:p w14:paraId="065F0A4C">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Enfoque</w:t>
            </w:r>
            <w:r/>
          </w:p>
        </w:tc>
        <w:tc>
          <w:tcPr>
            <w:tcBorders/>
            <w:tcW w:w="3537" w:type="dxa"/>
            <w:vAlign w:val="center"/>
          </w:tcPr>
          <w:p w14:paraId="669A787F">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Cultural y de procesos: colaboración, automatización, CI/CD, medición.</w:t>
            </w:r>
            <w:r/>
          </w:p>
        </w:tc>
        <w:tc>
          <w:tcPr>
            <w:tcBorders/>
            <w:tcW w:w="3786" w:type="dxa"/>
            <w:vAlign w:val="center"/>
          </w:tcPr>
          <w:p w14:paraId="0042DE0D">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Ingeniería aplicada a operaciones: automatización y gestión cuantitativa de la confiabilidad.</w:t>
            </w:r>
            <w:r/>
          </w:p>
        </w:tc>
      </w:tr>
      <w:tr>
        <w:trPr/>
        <w:tc>
          <w:tcPr>
            <w:tcBorders/>
            <w:tcW w:w="1702" w:type="dxa"/>
            <w:vAlign w:val="center"/>
          </w:tcPr>
          <w:p w14:paraId="3F366CF8">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Métricas típicas</w:t>
            </w:r>
            <w:r/>
          </w:p>
        </w:tc>
        <w:tc>
          <w:tcPr>
            <w:tcBorders/>
            <w:tcW w:w="3537" w:type="dxa"/>
            <w:vAlign w:val="center"/>
          </w:tcPr>
          <w:p w14:paraId="10C6E38F">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Métricas de flujo y entrega (p. ej., frecuencia de despliegue, tiempo de recuperación).</w:t>
            </w:r>
            <w:r/>
          </w:p>
        </w:tc>
        <w:tc>
          <w:tcPr>
            <w:tcBorders/>
            <w:tcW w:w="3786" w:type="dxa"/>
            <w:vAlign w:val="center"/>
          </w:tcPr>
          <w:p w14:paraId="434D825C">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SLI, SLO, SLA y </w:t>
            </w:r>
            <w:r>
              <w:rPr>
                <w:rFonts w:ascii="Arial" w:hAnsi="Arial" w:eastAsia="Arial" w:cs="Arial"/>
                <w:i/>
                <w:color w:val="1d1d1f"/>
                <w:sz w:val="21"/>
              </w:rPr>
              <w:t xml:space="preserve">error budget</w:t>
            </w:r>
            <w:r>
              <w:rPr>
                <w:rFonts w:ascii="Arial" w:hAnsi="Arial" w:eastAsia="Arial" w:cs="Arial"/>
                <w:color w:val="1d1d1f"/>
                <w:sz w:val="21"/>
              </w:rPr>
              <w:t xml:space="preserve">.</w:t>
            </w:r>
            <w:r/>
          </w:p>
        </w:tc>
      </w:tr>
      <w:tr>
        <w:trPr/>
        <w:tc>
          <w:tcPr>
            <w:tcBorders/>
            <w:tcW w:w="1702" w:type="dxa"/>
            <w:vAlign w:val="center"/>
          </w:tcPr>
          <w:p w14:paraId="5DD0E202">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Gestión del riesgo</w:t>
            </w:r>
            <w:r/>
          </w:p>
        </w:tc>
        <w:tc>
          <w:tcPr>
            <w:tcBorders/>
            <w:tcW w:w="3537" w:type="dxa"/>
            <w:vAlign w:val="center"/>
          </w:tcPr>
          <w:p w14:paraId="5044D18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Implícita, mediante cultura y retroalimentación continua.</w:t>
            </w:r>
            <w:r/>
          </w:p>
        </w:tc>
        <w:tc>
          <w:tcPr>
            <w:tcBorders/>
            <w:tcW w:w="3786" w:type="dxa"/>
            <w:vAlign w:val="center"/>
          </w:tcPr>
          <w:p w14:paraId="2EE846C1">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Explícita y matemática, mediante el </w:t>
            </w:r>
            <w:r>
              <w:rPr>
                <w:rFonts w:ascii="Arial" w:hAnsi="Arial" w:eastAsia="Arial" w:cs="Arial"/>
                <w:i/>
                <w:color w:val="1d1d1f"/>
                <w:sz w:val="21"/>
              </w:rPr>
              <w:t xml:space="preserve">error budget</w:t>
            </w:r>
            <w:r>
              <w:rPr>
                <w:rFonts w:ascii="Arial" w:hAnsi="Arial" w:eastAsia="Arial" w:cs="Arial"/>
                <w:color w:val="1d1d1f"/>
                <w:sz w:val="21"/>
              </w:rPr>
              <w:t xml:space="preserve">.</w:t>
            </w:r>
            <w:r/>
          </w:p>
        </w:tc>
      </w:tr>
      <w:tr>
        <w:trPr/>
        <w:tc>
          <w:tcPr>
            <w:tcBorders/>
            <w:tcW w:w="1702" w:type="dxa"/>
            <w:vAlign w:val="center"/>
          </w:tcPr>
          <w:p w14:paraId="4A2280A2">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Incidentes</w:t>
            </w:r>
            <w:r/>
          </w:p>
        </w:tc>
        <w:tc>
          <w:tcPr>
            <w:tcBorders/>
            <w:tcW w:w="3537" w:type="dxa"/>
            <w:vAlign w:val="center"/>
          </w:tcPr>
          <w:p w14:paraId="2D4F3E3B">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Cultura de responsabilidad compartida y mejora continua.</w:t>
            </w:r>
            <w:r/>
          </w:p>
        </w:tc>
        <w:tc>
          <w:tcPr>
            <w:tcBorders/>
            <w:tcW w:w="3786" w:type="dxa"/>
            <w:vAlign w:val="center"/>
          </w:tcPr>
          <w:p w14:paraId="6C63AB30">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Guardias/</w:t>
            </w:r>
            <w:r>
              <w:rPr>
                <w:rFonts w:ascii="Arial" w:hAnsi="Arial" w:eastAsia="Arial" w:cs="Arial"/>
                <w:i/>
                <w:color w:val="1d1d1f"/>
                <w:sz w:val="21"/>
              </w:rPr>
              <w:t xml:space="preserve">on-call</w:t>
            </w:r>
            <w:r>
              <w:rPr>
                <w:rFonts w:ascii="Arial" w:hAnsi="Arial" w:eastAsia="Arial" w:cs="Arial"/>
                <w:color w:val="1d1d1f"/>
                <w:sz w:val="21"/>
              </w:rPr>
              <w:t xml:space="preserve"> estructuradas y </w:t>
            </w:r>
            <w:r>
              <w:rPr>
                <w:rFonts w:ascii="Arial" w:hAnsi="Arial" w:eastAsia="Arial" w:cs="Arial"/>
                <w:i/>
                <w:color w:val="1d1d1f"/>
                <w:sz w:val="21"/>
              </w:rPr>
              <w:t xml:space="preserve">post-mortems</w:t>
            </w:r>
            <w:r>
              <w:rPr>
                <w:rFonts w:ascii="Arial" w:hAnsi="Arial" w:eastAsia="Arial" w:cs="Arial"/>
                <w:color w:val="1d1d1f"/>
                <w:sz w:val="21"/>
              </w:rPr>
              <w:t xml:space="preserve"> sin culpa.</w:t>
            </w:r>
            <w:r/>
          </w:p>
        </w:tc>
      </w:tr>
      <w:tr>
        <w:trPr/>
        <w:tc>
          <w:tcPr>
            <w:tcBorders/>
            <w:tcW w:w="1702" w:type="dxa"/>
            <w:vAlign w:val="center"/>
          </w:tcPr>
          <w:p w14:paraId="4B35559A">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Rol / personas</w:t>
            </w:r>
            <w:r/>
          </w:p>
        </w:tc>
        <w:tc>
          <w:tcPr>
            <w:tcBorders/>
            <w:tcW w:w="3537" w:type="dxa"/>
            <w:vAlign w:val="center"/>
          </w:tcPr>
          <w:p w14:paraId="5F8DED1A">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No es un cargo: involucra a toda la organización.</w:t>
            </w:r>
            <w:r/>
          </w:p>
        </w:tc>
        <w:tc>
          <w:tcPr>
            <w:tcBorders/>
            <w:tcW w:w="3786" w:type="dxa"/>
            <w:vAlign w:val="center"/>
          </w:tcPr>
          <w:p w14:paraId="033C2F7A">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Rol concreto: ingeniero/a de confiabilidad de sitio.</w:t>
            </w:r>
            <w:r/>
          </w:p>
        </w:tc>
      </w:tr>
      <w:tr>
        <w:trPr/>
        <w:tc>
          <w:tcPr>
            <w:tcBorders/>
            <w:tcW w:w="1702" w:type="dxa"/>
            <w:vAlign w:val="center"/>
          </w:tcPr>
          <w:p w14:paraId="0414789A">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1d1d1f"/>
                <w:sz w:val="21"/>
              </w:rPr>
              <w:t xml:space="preserve">Relación entre ambos</w:t>
            </w:r>
            <w:r/>
          </w:p>
        </w:tc>
        <w:tc>
          <w:tcPr>
            <w:tcBorders/>
            <w:tcW w:w="3537" w:type="dxa"/>
            <w:vAlign w:val="center"/>
          </w:tcPr>
          <w:p w14:paraId="02CAD398">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Define el “qué” y el “por qué”.</w:t>
            </w:r>
            <w:r/>
          </w:p>
        </w:tc>
        <w:tc>
          <w:tcPr>
            <w:tcBorders/>
            <w:tcW w:w="3786" w:type="dxa"/>
            <w:vAlign w:val="center"/>
          </w:tcPr>
          <w:p w14:paraId="15DA3BCF">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1d1d1f"/>
                <w:sz w:val="21"/>
              </w:rPr>
              <w:t xml:space="preserve">Es una implementación concreta del “cómo” (SRE ≈ DevOps aplicado con ingeniería).</w:t>
            </w:r>
            <w:r/>
          </w:p>
        </w:tc>
      </w:tr>
    </w:tbl>
    <w:p w14:paraId="0DE3FF85">
      <w:pPr>
        <w:pStyle w:val="897"/>
        <w:pBdr/>
        <w:spacing/>
        <w:ind/>
        <w:jc w:val="center"/>
        <w:rPr>
          <w:color w:val="auto"/>
        </w:rPr>
      </w:pPr>
      <w:r>
        <w:rPr>
          <w:highlight w:val="none"/>
        </w:rPr>
      </w:r>
      <w:r>
        <w:rPr>
          <w:highlight w:val="none"/>
        </w:rPr>
      </w: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5352542" cy="510939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7751" name=""/>
                        <pic:cNvPicPr>
                          <a:picLocks noChangeAspect="1"/>
                        </pic:cNvPicPr>
                        <pic:nvPr/>
                      </pic:nvPicPr>
                      <pic:blipFill rotWithShape="1">
                        <a:blip r:embed="rId17"/>
                        <a:stretch/>
                      </pic:blipFill>
                      <pic:spPr bwMode="auto">
                        <a:xfrm flipH="0" flipV="0">
                          <a:off x="0" y="0"/>
                          <a:ext cx="5352542" cy="5109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1.46pt;height:402.31pt;mso-wrap-distance-left:0.00pt;mso-wrap-distance-top:0.00pt;mso-wrap-distance-right:0.00pt;mso-wrap-distance-bottom:0.00pt;z-index:1;" stroked="false">
                <v:imagedata r:id="rId17" o:title=""/>
                <o:lock v:ext="edit" rotation="t"/>
              </v:shape>
            </w:pict>
          </mc:Fallback>
        </mc:AlternateContent>
      </w:r>
      <w:r>
        <w:rPr>
          <w:highlight w:val="none"/>
        </w:rPr>
        <w:br/>
      </w:r>
      <w:r>
        <w:rPr>
          <w:highlight w:val="none"/>
        </w:rPr>
      </w:r>
      <w:r>
        <w:rPr>
          <w:color w:val="auto"/>
        </w:rPr>
        <w:t xml:space="preserve">Figura </w:t>
      </w:r>
      <w:r>
        <w:rPr>
          <w:color w:val="auto"/>
        </w:rPr>
        <w:fldChar w:fldCharType="begin"/>
        <w:instrText xml:space="preserve"> SEQ Figura \* Arabic </w:instrText>
        <w:fldChar w:fldCharType="separate"/>
      </w:r>
      <w:r>
        <w:rPr>
          <w:color w:val="auto"/>
        </w:rPr>
        <w:t xml:space="preserve">6</w:t>
      </w:r>
      <w:r>
        <w:rPr>
          <w:color w:val="auto"/>
        </w:rPr>
        <w:fldChar w:fldCharType="end"/>
      </w:r>
      <w:r>
        <w:rPr>
          <w:color w:val="auto"/>
        </w:rPr>
        <w:t xml:space="preserve">. DevOps como filosofía y SRE como su implementación mediante ingeniería. Nota. Elaboración propia, a partir de Beyer et al. (2016, 2018). </w:t>
      </w:r>
      <w:r>
        <w:rPr>
          <w:color w:val="auto"/>
        </w:rPr>
      </w:r>
      <w:r>
        <w:rPr>
          <w:color w:val="auto"/>
        </w:rPr>
      </w:r>
    </w:p>
    <w:p w14:paraId="5520542B">
      <w:pPr>
        <w:pBdr/>
        <w:shd w:val="nil" w:color="000000"/>
        <w:spacing/>
        <w:ind/>
        <w:rPr>
          <w:highlight w:val="none"/>
        </w:rPr>
      </w:pPr>
      <w:r>
        <w:rPr>
          <w:highlight w:val="none"/>
        </w:rPr>
      </w:r>
      <w:r>
        <w:rPr>
          <w:highlight w:val="none"/>
        </w:rPr>
      </w:r>
      <w:r/>
    </w:p>
    <w:p w14:paraId="7BDE8FAC">
      <w:pPr>
        <w:pBdr/>
        <w:shd w:val="nil" w:color="000000"/>
        <w:spacing/>
        <w:ind/>
        <w:rPr>
          <w:highlight w:val="none"/>
        </w:rPr>
      </w:pPr>
      <w:r>
        <w:rPr>
          <w:highlight w:val="none"/>
        </w:rPr>
      </w:r>
      <w:r>
        <w:rPr>
          <w:highlight w:val="none"/>
        </w:rPr>
      </w:r>
      <w:r>
        <w:rPr>
          <w:highlight w:val="none"/>
        </w:rPr>
      </w:r>
    </w:p>
    <w:p w14:paraId="20DAFA8D">
      <w:pPr>
        <w:pBdr/>
        <w:shd w:val="nil" w:color="000000"/>
        <w:spacing/>
        <w:ind/>
        <w:rPr>
          <w:highlight w:val="none"/>
        </w:rPr>
      </w:pPr>
      <w:r>
        <w:rPr>
          <w:highlight w:val="none"/>
        </w:rPr>
      </w:r>
      <w:r>
        <w:rPr>
          <w:highlight w:val="none"/>
        </w:rPr>
      </w:r>
      <w:r>
        <w:rPr>
          <w:highlight w:val="none"/>
        </w:rPr>
      </w:r>
    </w:p>
    <w:p w14:paraId="277A63F8">
      <w:pPr>
        <w:pBdr/>
        <w:shd w:val="nil" w:color="000000"/>
        <w:spacing/>
        <w:ind/>
        <w:rPr>
          <w:highlight w:val="none"/>
        </w:rPr>
      </w:pPr>
      <w:r>
        <w:rPr>
          <w:highlight w:val="none"/>
        </w:rPr>
      </w:r>
      <w:r>
        <w:rPr>
          <w:highlight w:val="none"/>
        </w:rPr>
      </w:r>
      <w:r>
        <w:rPr>
          <w:highlight w:val="none"/>
        </w:rPr>
      </w:r>
    </w:p>
    <w:p w14:paraId="058B5404">
      <w:pPr>
        <w:pBdr/>
        <w:shd w:val="nil" w:color="000000"/>
        <w:spacing/>
        <w:ind/>
        <w:rPr>
          <w:highlight w:val="none"/>
        </w:rPr>
      </w:pPr>
      <w:r>
        <w:rPr>
          <w:highlight w:val="none"/>
        </w:rPr>
      </w:r>
      <w:r>
        <w:rPr>
          <w:highlight w:val="none"/>
        </w:rPr>
      </w:r>
      <w:r>
        <w:rPr>
          <w:highlight w:val="none"/>
        </w:rPr>
      </w:r>
    </w:p>
    <w:p w14:paraId="43F3B450">
      <w:pPr>
        <w:pBdr/>
        <w:shd w:val="nil" w:color="000000"/>
        <w:spacing/>
        <w:ind/>
        <w:rPr>
          <w:highlight w:val="none"/>
        </w:rPr>
      </w:pPr>
      <w:r>
        <w:rPr>
          <w:highlight w:val="none"/>
        </w:rPr>
      </w:r>
      <w:r>
        <w:rPr>
          <w:highlight w:val="none"/>
        </w:rPr>
      </w:r>
      <w:r>
        <w:rPr>
          <w:highlight w:val="none"/>
        </w:rPr>
      </w:r>
    </w:p>
    <w:p w14:paraId="7E52DB7B">
      <w:pPr>
        <w:pBdr/>
        <w:shd w:val="nil" w:color="000000"/>
        <w:spacing/>
        <w:ind/>
        <w:rPr>
          <w:highlight w:val="none"/>
        </w:rPr>
      </w:pPr>
      <w:r>
        <w:rPr>
          <w:highlight w:val="none"/>
        </w:rPr>
      </w:r>
      <w:r>
        <w:rPr>
          <w:highlight w:val="none"/>
        </w:rPr>
      </w:r>
      <w:r>
        <w:rPr>
          <w:highlight w:val="none"/>
        </w:rPr>
      </w:r>
    </w:p>
    <w:p w14:paraId="0288827E">
      <w:pPr>
        <w:pBdr/>
        <w:shd w:val="nil" w:color="000000"/>
        <w:spacing/>
        <w:ind/>
        <w:rPr>
          <w:highlight w:val="none"/>
        </w:rPr>
      </w:pPr>
      <w:r>
        <w:rPr>
          <w:highlight w:val="none"/>
        </w:rPr>
      </w:r>
      <w:r>
        <w:rPr>
          <w:highlight w:val="none"/>
        </w:rPr>
      </w:r>
      <w:r>
        <w:rPr>
          <w:highlight w:val="none"/>
        </w:rPr>
      </w:r>
    </w:p>
    <w:p w14:paraId="4D933162">
      <w:pPr>
        <w:pBdr/>
        <w:shd w:val="nil" w:color="000000"/>
        <w:spacing/>
        <w:ind/>
        <w:rPr>
          <w:highlight w:val="none"/>
        </w:rPr>
      </w:pPr>
      <w:r>
        <w:rPr>
          <w:highlight w:val="none"/>
        </w:rPr>
      </w:r>
      <w:r>
        <w:rPr>
          <w:highlight w:val="none"/>
        </w:rPr>
      </w:r>
      <w:r>
        <w:rPr>
          <w:highlight w:val="none"/>
        </w:rPr>
      </w:r>
    </w:p>
    <w:p w14:paraId="1DDB54AD">
      <w:pPr>
        <w:pBdr/>
        <w:shd w:val="nil" w:color="000000"/>
        <w:spacing/>
        <w:ind/>
        <w:rPr>
          <w:highlight w:val="none"/>
        </w:rPr>
      </w:pPr>
      <w:r>
        <w:rPr>
          <w:highlight w:val="none"/>
        </w:rPr>
      </w:r>
      <w:r>
        <w:rPr>
          <w:highlight w:val="none"/>
        </w:rPr>
        <w:br w:type="page" w:clear="all"/>
      </w:r>
      <w:r>
        <w:rPr>
          <w:highlight w:val="none"/>
        </w:rPr>
      </w:r>
      <w:r/>
    </w:p>
    <w:p w14:paraId="1D55E74F" w14:textId="77777777">
      <w:pPr>
        <w:pStyle w:val="915"/>
        <w:pBdr/>
        <w:spacing/>
        <w:ind/>
        <w:rPr>
          <w:highlight w:val="none"/>
        </w:rPr>
      </w:pPr>
      <w:r/>
      <w:bookmarkStart w:id="7" w:name="_Toc7"/>
      <w:r/>
      <w:r>
        <w:rPr>
          <w:lang w:val="es-GT"/>
        </w:rPr>
        <w:t xml:space="preserve">CONCLUSIONES
</w:t>
      </w:r>
      <w:r/>
      <w:bookmarkEnd w:id="7"/>
      <w:r/>
      <w:r/>
    </w:p>
    <w:p w14:paraId="44CD89CD">
      <w:pPr>
        <w:pBdr/>
        <w:spacing/>
        <w:ind/>
        <w:rPr>
          <w:lang w:val="es-GT"/>
        </w:rPr>
      </w:pPr>
      <w:r>
        <w:rPr>
          <w:lang w:val="es-GT"/>
        </w:rPr>
        <w:t xml:space="preserve">A lo largo de este documento se ha podido comprobar que DevOps y SRE no son modas pasajeras ni simples conjuntos de herramientas, sino respuestas profundas a un problema real de la industria: la dificultad de entregar software rápido sin sacrificar su confiabi</w:t>
      </w:r>
      <w:r>
        <w:rPr>
          <w:lang w:val="es-GT"/>
        </w:rPr>
        <w:t xml:space="preserve">lidad.</w:t>
      </w:r>
      <w:r>
        <w:rPr>
          <w:lang w:val="es-GT"/>
        </w:rPr>
      </w:r>
    </w:p>
    <w:p w14:paraId="6895D729">
      <w:pPr>
        <w:pBdr/>
        <w:spacing/>
        <w:ind/>
        <w:rPr>
          <w:lang w:val="es-GT"/>
        </w:rPr>
      </w:pPr>
      <w:r>
        <w:rPr>
          <w:lang w:val="es-GT"/>
        </w:rPr>
        <w:t xml:space="preserve">El aporte más valioso de DevOps es de carácter cultural, ya que demuestra que la velocidad y la estabilidad dejan de estar peleadas cuando los equipos comparten objetivos, automatizan lo repetitivo y aprenden de forma continua a</w:t>
      </w:r>
      <w:r>
        <w:rPr>
          <w:lang w:val="es-GT"/>
        </w:rPr>
        <w:t xml:space="preserve"> partir de la retroalimentación. Por su parte, SRE es especialmente potente porque convierte esa filosofía en ingeniería medible: al expresar la confiabilidad mediante SLI, SLO y error budget, los equipos dejan de discutir opiniones y pasan a tomar d</w:t>
      </w:r>
      <w:r>
        <w:rPr>
          <w:lang w:val="es-GT"/>
        </w:rPr>
        <w:t xml:space="preserve">ecisiones basadas en datos, equilibrando de forma consciente la innovación y la estabilidad.</w:t>
      </w:r>
      <w:r/>
      <w:r/>
    </w:p>
    <w:p w14:paraId="44BC8B82">
      <w:pPr>
        <w:pBdr/>
        <w:spacing/>
        <w:ind/>
        <w:rPr>
          <w:lang w:val="es-GT"/>
        </w:rPr>
      </w:pPr>
      <w:r>
        <w:rPr>
          <w:lang w:val="es-GT"/>
        </w:rPr>
        <w:t xml:space="preserve">La importancia de ambos enfoques en la industria actual es enorme, porque los usuarios de hoy esperan servicios disponibles todo el tiempo y con actualizaciones constantes, y las organizaciones que no logran ese equilibrio pierden competitivid</w:t>
      </w:r>
      <w:r>
        <w:rPr>
          <w:lang w:val="es-GT"/>
        </w:rPr>
        <w:t xml:space="preserve">ad, confianza y dinero. Además, prácticas como los post-mortems sin culpa y la reducción del trabajo manual no solo mejoran los sistemas, sino también la calidad de vida de las personas que los mantienen, al reducir la fatiga de guardias y el miedo a equivo</w:t>
      </w:r>
      <w:r>
        <w:rPr>
          <w:lang w:val="es-GT"/>
        </w:rPr>
        <w:t xml:space="preserve">carse.</w:t>
      </w:r>
      <w:r/>
    </w:p>
    <w:p w14:paraId="765A0A9A">
      <w:pPr>
        <w:pBdr/>
        <w:spacing/>
        <w:ind/>
        <w:rPr/>
      </w:pPr>
      <w:r>
        <w:rPr>
          <w:lang w:val="es-GT"/>
        </w:rPr>
        <w:t xml:space="preserve">En conclusión, DevOps y SRE son dos caras de una misma moneda: DevOps aporta la cultura y los principios, y SRE aporta el método de ingeniería para llevarlos a la práctica. Por ello, dominar ambos enfoques es hoy una competencia im</w:t>
      </w:r>
      <w:r>
        <w:rPr>
          <w:lang w:val="es-GT"/>
        </w:rPr>
        <w:t xml:space="preserve">prescindible para cualquier profesional del desarrollo y las operaciones, y una condición necesaria para construir software confiable en un mundo cada vez más dependiente de los sistemas digitales.</w:t>
      </w:r>
      <w:r/>
      <w:r/>
    </w:p>
    <w:p w14:paraId="070679BF">
      <w:pPr>
        <w:pBdr/>
        <w:spacing/>
        <w:ind/>
        <w:rPr/>
      </w:pPr>
      <w:r/>
      <w:r/>
    </w:p>
    <w:p w14:paraId="1F7B41B9">
      <w:pPr>
        <w:pBdr/>
        <w:spacing/>
        <w:ind/>
        <w:rPr/>
      </w:pPr>
      <w:r/>
      <w:r/>
    </w:p>
    <w:p w14:paraId="1C00CFC7">
      <w:pPr>
        <w:pBdr/>
        <w:spacing/>
        <w:ind/>
        <w:rPr/>
      </w:pPr>
      <w:r>
        <w:rPr>
          <w:highlight w:val="none"/>
        </w:rPr>
      </w:r>
      <w:r>
        <w:rPr>
          <w:highlight w:val="none"/>
        </w:rPr>
      </w:r>
      <w:r/>
    </w:p>
    <w:p w14:paraId="64409C66" w14:textId="77777777">
      <w:pPr>
        <w:pStyle w:val="915"/>
        <w:pBdr/>
        <w:spacing/>
        <w:ind w:left="720"/>
        <w:rPr/>
      </w:pPr>
      <w:r/>
      <w:bookmarkStart w:id="8" w:name="_Toc8"/>
      <w:r>
        <w:rPr>
          <w:lang w:val="es-GT"/>
        </w:rPr>
        <w:t xml:space="preserve">REFERENCIAS</w:t>
      </w:r>
      <w:r/>
      <w:bookmarkEnd w:id="8"/>
      <w:r/>
      <w:r/>
    </w:p>
    <w:p w14:paraId="08BC7DF3">
      <w:pPr>
        <w:pStyle w:val="927"/>
        <w:numPr>
          <w:ilvl w:val="0"/>
          <w:numId w:val="8"/>
        </w:numPr>
        <w:pBdr/>
        <w:spacing/>
        <w:ind/>
        <w:rPr/>
      </w:pPr>
      <w:r>
        <w:t xml:space="preserve">Amazon Web Services. (s.f.). ¿Qué es DevOps? https://aws.amazon.com/devops/</w:t>
      </w:r>
      <w:r/>
    </w:p>
    <w:p w14:paraId="35F3FBED">
      <w:pPr>
        <w:pStyle w:val="927"/>
        <w:numPr>
          <w:ilvl w:val="0"/>
          <w:numId w:val="8"/>
        </w:numPr>
        <w:pBdr/>
        <w:spacing/>
        <w:ind/>
        <w:rPr/>
      </w:pPr>
      <w:r>
        <w:t xml:space="preserve">Atlassian. (s.f.). DevOps: guía completa. https://www.atlassian.com/devops</w:t>
      </w:r>
      <w:r/>
    </w:p>
    <w:p w14:paraId="01538178">
      <w:pPr>
        <w:pStyle w:val="927"/>
        <w:numPr>
          <w:ilvl w:val="0"/>
          <w:numId w:val="8"/>
        </w:numPr>
        <w:pBdr/>
        <w:spacing/>
        <w:ind/>
        <w:rPr/>
      </w:pPr>
      <w:r>
        <w:t xml:space="preserve">Beyer, B., Jones, C., Petoff, J., &amp; Murphy, N. R. (Eds.). (2016). Site Reliability Engineering: How Google Runs Production Systems. O’Reilly Media. https://sre.google/sre-book/table-of-contents/</w:t>
      </w:r>
      <w:r/>
    </w:p>
    <w:p w14:paraId="7B00869F">
      <w:pPr>
        <w:pStyle w:val="927"/>
        <w:numPr>
          <w:ilvl w:val="0"/>
          <w:numId w:val="8"/>
        </w:numPr>
        <w:pBdr/>
        <w:spacing/>
        <w:ind/>
        <w:rPr/>
      </w:pPr>
      <w:r>
        <w:t xml:space="preserve">Beyer, B., Murphy, N. R., Rensin, D., Kawahara, K., &amp; Thorne, S. (Eds.). (2018). The Site Reliability Workbook: Practical Ways to Implement SRE. O’Reilly Media. https://sre.google/workbook/table-of-contents/</w:t>
      </w:r>
      <w:r/>
    </w:p>
    <w:p w14:paraId="580F8499">
      <w:pPr>
        <w:pStyle w:val="927"/>
        <w:numPr>
          <w:ilvl w:val="0"/>
          <w:numId w:val="8"/>
        </w:numPr>
        <w:pBdr/>
        <w:spacing/>
        <w:ind/>
        <w:rPr/>
      </w:pPr>
      <w:r>
        <w:t xml:space="preserve">Kim, G., Humble, J., Debois, P., &amp; Willis, J. (2016). The DevOps Handbook: How to Create World-Class Agility, Reliability, and Security in Technology Organizations. IT Revolution Press.</w:t>
      </w:r>
      <w:r/>
      <w:r/>
      <w:r/>
    </w:p>
    <w:p w14:paraId="6114DBD9">
      <w:pPr>
        <w:pBdr/>
        <w:spacing/>
        <w:ind/>
        <w:rPr/>
      </w:pPr>
      <w:r/>
      <w:r/>
    </w:p>
    <w:p w14:paraId="5590DC5F">
      <w:pPr>
        <w:pBdr/>
        <w:spacing/>
        <w:ind/>
        <w:rPr/>
      </w:pPr>
      <w:r>
        <w:rPr>
          <w:lang w:val="es-GT"/>
        </w:rPr>
      </w:r>
      <w:r/>
    </w:p>
    <w:sectPr>
      <w:footerReference w:type="default" r:id="rId9"/>
      <w:footerReference w:type="first" r:id="rId10"/>
      <w:footnotePr/>
      <w:endnotePr/>
      <w:type w:val="nextPage"/>
      <w:pgSz w:h="16838" w:orient="portrait" w:w="11906"/>
      <w:pgMar w:top="1440" w:right="1440" w:bottom="1440" w:left="1440" w:header="72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996D367" w14:textId="77777777">
      <w:pPr>
        <w:pBdr/>
        <w:spacing w:line="240" w:lineRule="auto"/>
        <w:ind/>
        <w:rPr/>
      </w:pPr>
      <w:r>
        <w:separator/>
      </w:r>
      <w:r/>
    </w:p>
  </w:endnote>
  <w:endnote w:type="continuationSeparator" w:id="0">
    <w:p w14:paraId="67E40903"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D6D9C0" w14:textId="77777777">
    <w:pPr>
      <w:pBdr/>
      <w:spacing/>
      <w:ind/>
      <w:jc w:val="center"/>
      <w:rPr/>
    </w:pPr>
    <w:r>
      <w:t xml:space="preserve">(</w:t>
    </w:r>
    <w:r>
      <w:fldChar w:fldCharType="begin"/>
    </w:r>
    <w:r>
      <w:instrText xml:space="preserve">PAGE</w:instrText>
    </w:r>
    <w:r>
      <w:fldChar w:fldCharType="separate"/>
    </w:r>
    <w:r>
      <w:t xml:space="preserve">1</w:t>
    </w:r>
    <w:r>
      <w:fldChar w:fldCharType="end"/>
    </w:r>
    <w:r>
      <w:t xml:space="preserve">)</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45A512"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BBEF008" w14:textId="77777777">
      <w:pPr>
        <w:pBdr/>
        <w:spacing w:line="240" w:lineRule="auto"/>
        <w:ind/>
        <w:rPr/>
      </w:pPr>
      <w:r>
        <w:separator/>
      </w:r>
      <w:r/>
    </w:p>
  </w:footnote>
  <w:footnote w:type="continuationSeparator" w:id="0">
    <w:p w14:paraId="05291CEF"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74F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6AA1E93"/>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2">
    <w:nsid w:val="2AFD58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3B0317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483DA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E79C3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5E03D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39B769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s" w:eastAsia="es-GT" w:bidi="ar-SA"/>
      </w:rPr>
    </w:rPrDefault>
    <w:pPrDefault>
      <w:pPr>
        <w:pBdr/>
        <w:spacing w:after="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9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2">
    <w:name w:val="List Table 7 Colorful - Accent 3"/>
    <w:basedOn w:val="9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3">
    <w:name w:val="List Table 7 Colorful - Accent 4"/>
    <w:basedOn w:val="9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4">
    <w:name w:val="List Table 7 Colorful - Accent 5"/>
    <w:basedOn w:val="9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5">
    <w:name w:val="List Table 7 Colorful - Accent 6"/>
    <w:basedOn w:val="9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6">
    <w:name w:val="Lined - Accent"/>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7"/>
    <w:basedOn w:val="914"/>
    <w:next w:val="914"/>
    <w:link w:val="8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14"/>
    <w:next w:val="914"/>
    <w:link w:val="8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14"/>
    <w:next w:val="914"/>
    <w:link w:val="8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name w:val="Heading 1 Char"/>
    <w:basedOn w:val="921"/>
    <w:link w:val="915"/>
    <w:uiPriority w:val="9"/>
    <w:pPr>
      <w:pBdr/>
      <w:spacing/>
      <w:ind/>
    </w:pPr>
    <w:rPr>
      <w:rFonts w:ascii="Arial" w:hAnsi="Arial" w:eastAsia="Arial" w:cs="Arial"/>
      <w:color w:val="0f4761" w:themeColor="accent1" w:themeShade="BF"/>
      <w:sz w:val="40"/>
      <w:szCs w:val="40"/>
    </w:rPr>
  </w:style>
  <w:style w:type="character" w:styleId="871">
    <w:name w:val="Heading 2 Char"/>
    <w:basedOn w:val="921"/>
    <w:link w:val="916"/>
    <w:uiPriority w:val="9"/>
    <w:pPr>
      <w:pBdr/>
      <w:spacing/>
      <w:ind/>
    </w:pPr>
    <w:rPr>
      <w:rFonts w:ascii="Arial" w:hAnsi="Arial" w:eastAsia="Arial" w:cs="Arial"/>
      <w:color w:val="0f4761" w:themeColor="accent1" w:themeShade="BF"/>
      <w:sz w:val="32"/>
      <w:szCs w:val="32"/>
    </w:rPr>
  </w:style>
  <w:style w:type="character" w:styleId="872">
    <w:name w:val="Heading 3 Char"/>
    <w:basedOn w:val="921"/>
    <w:link w:val="917"/>
    <w:uiPriority w:val="9"/>
    <w:pPr>
      <w:pBdr/>
      <w:spacing/>
      <w:ind/>
    </w:pPr>
    <w:rPr>
      <w:rFonts w:ascii="Arial" w:hAnsi="Arial" w:eastAsia="Arial" w:cs="Arial"/>
      <w:color w:val="0f4761" w:themeColor="accent1" w:themeShade="BF"/>
      <w:sz w:val="28"/>
      <w:szCs w:val="28"/>
    </w:rPr>
  </w:style>
  <w:style w:type="character" w:styleId="873">
    <w:name w:val="Heading 4 Char"/>
    <w:basedOn w:val="921"/>
    <w:link w:val="918"/>
    <w:uiPriority w:val="9"/>
    <w:pPr>
      <w:pBdr/>
      <w:spacing/>
      <w:ind/>
    </w:pPr>
    <w:rPr>
      <w:rFonts w:ascii="Arial" w:hAnsi="Arial" w:eastAsia="Arial" w:cs="Arial"/>
      <w:i/>
      <w:iCs/>
      <w:color w:val="0f4761" w:themeColor="accent1" w:themeShade="BF"/>
    </w:rPr>
  </w:style>
  <w:style w:type="character" w:styleId="874">
    <w:name w:val="Heading 5 Char"/>
    <w:basedOn w:val="921"/>
    <w:link w:val="919"/>
    <w:uiPriority w:val="9"/>
    <w:pPr>
      <w:pBdr/>
      <w:spacing/>
      <w:ind/>
    </w:pPr>
    <w:rPr>
      <w:rFonts w:ascii="Arial" w:hAnsi="Arial" w:eastAsia="Arial" w:cs="Arial"/>
      <w:color w:val="0f4761" w:themeColor="accent1" w:themeShade="BF"/>
    </w:rPr>
  </w:style>
  <w:style w:type="character" w:styleId="875">
    <w:name w:val="Heading 6 Char"/>
    <w:basedOn w:val="921"/>
    <w:link w:val="920"/>
    <w:uiPriority w:val="9"/>
    <w:pPr>
      <w:pBdr/>
      <w:spacing/>
      <w:ind/>
    </w:pPr>
    <w:rPr>
      <w:rFonts w:ascii="Arial" w:hAnsi="Arial" w:eastAsia="Arial" w:cs="Arial"/>
      <w:i/>
      <w:iCs/>
      <w:color w:val="595959" w:themeColor="text1" w:themeTint="A6"/>
    </w:rPr>
  </w:style>
  <w:style w:type="character" w:styleId="876">
    <w:name w:val="Heading 7 Char"/>
    <w:basedOn w:val="921"/>
    <w:link w:val="867"/>
    <w:uiPriority w:val="9"/>
    <w:pPr>
      <w:pBdr/>
      <w:spacing/>
      <w:ind/>
    </w:pPr>
    <w:rPr>
      <w:rFonts w:ascii="Arial" w:hAnsi="Arial" w:eastAsia="Arial" w:cs="Arial"/>
      <w:color w:val="595959" w:themeColor="text1" w:themeTint="A6"/>
    </w:rPr>
  </w:style>
  <w:style w:type="character" w:styleId="877">
    <w:name w:val="Heading 8 Char"/>
    <w:basedOn w:val="921"/>
    <w:link w:val="868"/>
    <w:uiPriority w:val="9"/>
    <w:pPr>
      <w:pBdr/>
      <w:spacing/>
      <w:ind/>
    </w:pPr>
    <w:rPr>
      <w:rFonts w:ascii="Arial" w:hAnsi="Arial" w:eastAsia="Arial" w:cs="Arial"/>
      <w:i/>
      <w:iCs/>
      <w:color w:val="272727" w:themeColor="text1" w:themeTint="D8"/>
    </w:rPr>
  </w:style>
  <w:style w:type="character" w:styleId="878">
    <w:name w:val="Heading 9 Char"/>
    <w:basedOn w:val="921"/>
    <w:link w:val="869"/>
    <w:uiPriority w:val="9"/>
    <w:pPr>
      <w:pBdr/>
      <w:spacing/>
      <w:ind/>
    </w:pPr>
    <w:rPr>
      <w:rFonts w:ascii="Arial" w:hAnsi="Arial" w:eastAsia="Arial" w:cs="Arial"/>
      <w:i/>
      <w:iCs/>
      <w:color w:val="272727" w:themeColor="text1" w:themeTint="D8"/>
    </w:rPr>
  </w:style>
  <w:style w:type="character" w:styleId="879">
    <w:name w:val="Title Char"/>
    <w:basedOn w:val="921"/>
    <w:link w:val="925"/>
    <w:uiPriority w:val="10"/>
    <w:pPr>
      <w:pBdr/>
      <w:spacing/>
      <w:ind/>
    </w:pPr>
    <w:rPr>
      <w:rFonts w:ascii="Arial" w:hAnsi="Arial" w:eastAsia="Arial" w:cs="Arial"/>
      <w:spacing w:val="-10"/>
      <w:sz w:val="56"/>
      <w:szCs w:val="56"/>
    </w:rPr>
  </w:style>
  <w:style w:type="character" w:styleId="880">
    <w:name w:val="Subtitle Char"/>
    <w:basedOn w:val="921"/>
    <w:link w:val="926"/>
    <w:uiPriority w:val="11"/>
    <w:pPr>
      <w:pBdr/>
      <w:spacing/>
      <w:ind/>
    </w:pPr>
    <w:rPr>
      <w:color w:val="595959" w:themeColor="text1" w:themeTint="A6"/>
      <w:spacing w:val="15"/>
      <w:sz w:val="28"/>
      <w:szCs w:val="28"/>
    </w:rPr>
  </w:style>
  <w:style w:type="paragraph" w:styleId="881">
    <w:name w:val="Quote"/>
    <w:basedOn w:val="914"/>
    <w:next w:val="914"/>
    <w:link w:val="882"/>
    <w:uiPriority w:val="29"/>
    <w:qFormat/>
    <w:pPr>
      <w:pBdr/>
      <w:spacing w:before="160"/>
      <w:ind/>
      <w:jc w:val="center"/>
    </w:pPr>
    <w:rPr>
      <w:i/>
      <w:iCs/>
      <w:color w:val="404040" w:themeColor="text1" w:themeTint="BF"/>
    </w:rPr>
  </w:style>
  <w:style w:type="character" w:styleId="882">
    <w:name w:val="Quote Char"/>
    <w:basedOn w:val="921"/>
    <w:link w:val="881"/>
    <w:uiPriority w:val="29"/>
    <w:pPr>
      <w:pBdr/>
      <w:spacing/>
      <w:ind/>
    </w:pPr>
    <w:rPr>
      <w:i/>
      <w:iCs/>
      <w:color w:val="404040" w:themeColor="text1" w:themeTint="BF"/>
    </w:rPr>
  </w:style>
  <w:style w:type="character" w:styleId="883">
    <w:name w:val="Intense Emphasis"/>
    <w:basedOn w:val="921"/>
    <w:uiPriority w:val="21"/>
    <w:qFormat/>
    <w:pPr>
      <w:pBdr/>
      <w:spacing/>
      <w:ind/>
    </w:pPr>
    <w:rPr>
      <w:i/>
      <w:iCs/>
      <w:color w:val="0f4761" w:themeColor="accent1" w:themeShade="BF"/>
    </w:rPr>
  </w:style>
  <w:style w:type="paragraph" w:styleId="884">
    <w:name w:val="Intense Quote"/>
    <w:basedOn w:val="914"/>
    <w:next w:val="914"/>
    <w:link w:val="8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5">
    <w:name w:val="Intense Quote Char"/>
    <w:basedOn w:val="921"/>
    <w:link w:val="884"/>
    <w:uiPriority w:val="30"/>
    <w:pPr>
      <w:pBdr/>
      <w:spacing/>
      <w:ind/>
    </w:pPr>
    <w:rPr>
      <w:i/>
      <w:iCs/>
      <w:color w:val="0f4761" w:themeColor="accent1" w:themeShade="BF"/>
    </w:rPr>
  </w:style>
  <w:style w:type="character" w:styleId="886">
    <w:name w:val="Intense Reference"/>
    <w:basedOn w:val="921"/>
    <w:uiPriority w:val="32"/>
    <w:qFormat/>
    <w:pPr>
      <w:pBdr/>
      <w:spacing/>
      <w:ind/>
    </w:pPr>
    <w:rPr>
      <w:b/>
      <w:bCs/>
      <w:smallCaps/>
      <w:color w:val="0f4761" w:themeColor="accent1" w:themeShade="BF"/>
      <w:spacing w:val="5"/>
    </w:rPr>
  </w:style>
  <w:style w:type="paragraph" w:styleId="887">
    <w:name w:val="No Spacing"/>
    <w:basedOn w:val="914"/>
    <w:uiPriority w:val="1"/>
    <w:qFormat/>
    <w:pPr>
      <w:pBdr/>
      <w:spacing w:after="0" w:line="240" w:lineRule="auto"/>
      <w:ind/>
    </w:pPr>
  </w:style>
  <w:style w:type="character" w:styleId="888">
    <w:name w:val="Subtle Emphasis"/>
    <w:basedOn w:val="921"/>
    <w:uiPriority w:val="19"/>
    <w:qFormat/>
    <w:pPr>
      <w:pBdr/>
      <w:spacing/>
      <w:ind/>
    </w:pPr>
    <w:rPr>
      <w:i/>
      <w:iCs/>
      <w:color w:val="404040" w:themeColor="text1" w:themeTint="BF"/>
    </w:rPr>
  </w:style>
  <w:style w:type="character" w:styleId="889">
    <w:name w:val="Emphasis"/>
    <w:basedOn w:val="921"/>
    <w:uiPriority w:val="20"/>
    <w:qFormat/>
    <w:pPr>
      <w:pBdr/>
      <w:spacing/>
      <w:ind/>
    </w:pPr>
    <w:rPr>
      <w:i/>
      <w:iCs/>
    </w:rPr>
  </w:style>
  <w:style w:type="character" w:styleId="890">
    <w:name w:val="Strong"/>
    <w:basedOn w:val="921"/>
    <w:uiPriority w:val="22"/>
    <w:qFormat/>
    <w:pPr>
      <w:pBdr/>
      <w:spacing/>
      <w:ind/>
    </w:pPr>
    <w:rPr>
      <w:b/>
      <w:bCs/>
    </w:rPr>
  </w:style>
  <w:style w:type="character" w:styleId="891">
    <w:name w:val="Subtle Reference"/>
    <w:basedOn w:val="921"/>
    <w:uiPriority w:val="31"/>
    <w:qFormat/>
    <w:pPr>
      <w:pBdr/>
      <w:spacing/>
      <w:ind/>
    </w:pPr>
    <w:rPr>
      <w:smallCaps/>
      <w:color w:val="5a5a5a" w:themeColor="text1" w:themeTint="A5"/>
    </w:rPr>
  </w:style>
  <w:style w:type="character" w:styleId="892">
    <w:name w:val="Book Title"/>
    <w:basedOn w:val="921"/>
    <w:uiPriority w:val="33"/>
    <w:qFormat/>
    <w:pPr>
      <w:pBdr/>
      <w:spacing/>
      <w:ind/>
    </w:pPr>
    <w:rPr>
      <w:b/>
      <w:bCs/>
      <w:i/>
      <w:iCs/>
      <w:spacing w:val="5"/>
    </w:rPr>
  </w:style>
  <w:style w:type="paragraph" w:styleId="893">
    <w:name w:val="Header"/>
    <w:basedOn w:val="914"/>
    <w:link w:val="894"/>
    <w:uiPriority w:val="99"/>
    <w:unhideWhenUsed/>
    <w:pPr>
      <w:pBdr/>
      <w:tabs>
        <w:tab w:val="center" w:leader="none" w:pos="4844"/>
        <w:tab w:val="right" w:leader="none" w:pos="9689"/>
      </w:tabs>
      <w:spacing w:after="0" w:line="240" w:lineRule="auto"/>
      <w:ind/>
    </w:pPr>
  </w:style>
  <w:style w:type="character" w:styleId="894">
    <w:name w:val="Header Char"/>
    <w:basedOn w:val="921"/>
    <w:link w:val="893"/>
    <w:uiPriority w:val="99"/>
    <w:pPr>
      <w:pBdr/>
      <w:spacing/>
      <w:ind/>
    </w:pPr>
  </w:style>
  <w:style w:type="paragraph" w:styleId="895">
    <w:name w:val="Footer"/>
    <w:basedOn w:val="914"/>
    <w:link w:val="896"/>
    <w:uiPriority w:val="99"/>
    <w:unhideWhenUsed/>
    <w:pPr>
      <w:pBdr/>
      <w:tabs>
        <w:tab w:val="center" w:leader="none" w:pos="4844"/>
        <w:tab w:val="right" w:leader="none" w:pos="9689"/>
      </w:tabs>
      <w:spacing w:after="0" w:line="240" w:lineRule="auto"/>
      <w:ind/>
    </w:pPr>
  </w:style>
  <w:style w:type="character" w:styleId="896">
    <w:name w:val="Footer Char"/>
    <w:basedOn w:val="921"/>
    <w:link w:val="895"/>
    <w:uiPriority w:val="99"/>
    <w:pPr>
      <w:pBdr/>
      <w:spacing/>
      <w:ind/>
    </w:pPr>
  </w:style>
  <w:style w:type="paragraph" w:styleId="897">
    <w:name w:val="Caption"/>
    <w:basedOn w:val="914"/>
    <w:next w:val="914"/>
    <w:uiPriority w:val="35"/>
    <w:unhideWhenUsed/>
    <w:qFormat/>
    <w:pPr>
      <w:pBdr/>
      <w:spacing w:after="200" w:line="240" w:lineRule="auto"/>
      <w:ind/>
    </w:pPr>
    <w:rPr>
      <w:i/>
      <w:iCs/>
      <w:color w:val="0e2841" w:themeColor="text2"/>
      <w:sz w:val="18"/>
      <w:szCs w:val="18"/>
    </w:rPr>
  </w:style>
  <w:style w:type="paragraph" w:styleId="898">
    <w:name w:val="footnote text"/>
    <w:basedOn w:val="914"/>
    <w:link w:val="899"/>
    <w:uiPriority w:val="99"/>
    <w:semiHidden/>
    <w:unhideWhenUsed/>
    <w:pPr>
      <w:pBdr/>
      <w:spacing w:after="0" w:line="240" w:lineRule="auto"/>
      <w:ind/>
    </w:pPr>
    <w:rPr>
      <w:sz w:val="20"/>
      <w:szCs w:val="20"/>
    </w:rPr>
  </w:style>
  <w:style w:type="character" w:styleId="899">
    <w:name w:val="Footnote Text Char"/>
    <w:basedOn w:val="921"/>
    <w:link w:val="898"/>
    <w:uiPriority w:val="99"/>
    <w:semiHidden/>
    <w:pPr>
      <w:pBdr/>
      <w:spacing/>
      <w:ind/>
    </w:pPr>
    <w:rPr>
      <w:sz w:val="20"/>
      <w:szCs w:val="20"/>
    </w:rPr>
  </w:style>
  <w:style w:type="character" w:styleId="900">
    <w:name w:val="footnote reference"/>
    <w:basedOn w:val="921"/>
    <w:uiPriority w:val="99"/>
    <w:semiHidden/>
    <w:unhideWhenUsed/>
    <w:pPr>
      <w:pBdr/>
      <w:spacing/>
      <w:ind/>
    </w:pPr>
    <w:rPr>
      <w:vertAlign w:val="superscript"/>
    </w:rPr>
  </w:style>
  <w:style w:type="paragraph" w:styleId="901">
    <w:name w:val="endnote text"/>
    <w:basedOn w:val="914"/>
    <w:link w:val="902"/>
    <w:uiPriority w:val="99"/>
    <w:semiHidden/>
    <w:unhideWhenUsed/>
    <w:pPr>
      <w:pBdr/>
      <w:spacing w:after="0" w:line="240" w:lineRule="auto"/>
      <w:ind/>
    </w:pPr>
    <w:rPr>
      <w:sz w:val="20"/>
      <w:szCs w:val="20"/>
    </w:rPr>
  </w:style>
  <w:style w:type="character" w:styleId="902">
    <w:name w:val="Endnote Text Char"/>
    <w:basedOn w:val="921"/>
    <w:link w:val="901"/>
    <w:uiPriority w:val="99"/>
    <w:semiHidden/>
    <w:pPr>
      <w:pBdr/>
      <w:spacing/>
      <w:ind/>
    </w:pPr>
    <w:rPr>
      <w:sz w:val="20"/>
      <w:szCs w:val="20"/>
    </w:rPr>
  </w:style>
  <w:style w:type="character" w:styleId="903">
    <w:name w:val="endnote reference"/>
    <w:basedOn w:val="921"/>
    <w:uiPriority w:val="99"/>
    <w:semiHidden/>
    <w:unhideWhenUsed/>
    <w:pPr>
      <w:pBdr/>
      <w:spacing/>
      <w:ind/>
    </w:pPr>
    <w:rPr>
      <w:vertAlign w:val="superscript"/>
    </w:rPr>
  </w:style>
  <w:style w:type="character" w:styleId="904">
    <w:name w:val="FollowedHyperlink"/>
    <w:basedOn w:val="921"/>
    <w:uiPriority w:val="99"/>
    <w:semiHidden/>
    <w:unhideWhenUsed/>
    <w:pPr>
      <w:pBdr/>
      <w:spacing/>
      <w:ind/>
    </w:pPr>
    <w:rPr>
      <w:color w:val="954f72" w:themeColor="followedHyperlink"/>
      <w:u w:val="single"/>
    </w:rPr>
  </w:style>
  <w:style w:type="paragraph" w:styleId="905">
    <w:name w:val="toc 3"/>
    <w:basedOn w:val="914"/>
    <w:next w:val="914"/>
    <w:uiPriority w:val="39"/>
    <w:unhideWhenUsed/>
    <w:pPr>
      <w:pBdr/>
      <w:spacing w:after="100"/>
      <w:ind w:left="440"/>
    </w:pPr>
  </w:style>
  <w:style w:type="paragraph" w:styleId="906">
    <w:name w:val="toc 4"/>
    <w:basedOn w:val="914"/>
    <w:next w:val="914"/>
    <w:uiPriority w:val="39"/>
    <w:unhideWhenUsed/>
    <w:pPr>
      <w:pBdr/>
      <w:spacing w:after="100"/>
      <w:ind w:left="660"/>
    </w:pPr>
  </w:style>
  <w:style w:type="paragraph" w:styleId="907">
    <w:name w:val="toc 5"/>
    <w:basedOn w:val="914"/>
    <w:next w:val="914"/>
    <w:uiPriority w:val="39"/>
    <w:unhideWhenUsed/>
    <w:pPr>
      <w:pBdr/>
      <w:spacing w:after="100"/>
      <w:ind w:left="880"/>
    </w:pPr>
  </w:style>
  <w:style w:type="paragraph" w:styleId="908">
    <w:name w:val="toc 6"/>
    <w:basedOn w:val="914"/>
    <w:next w:val="914"/>
    <w:uiPriority w:val="39"/>
    <w:unhideWhenUsed/>
    <w:pPr>
      <w:pBdr/>
      <w:spacing w:after="100"/>
      <w:ind w:left="1100"/>
    </w:pPr>
  </w:style>
  <w:style w:type="paragraph" w:styleId="909">
    <w:name w:val="toc 7"/>
    <w:basedOn w:val="914"/>
    <w:next w:val="914"/>
    <w:uiPriority w:val="39"/>
    <w:unhideWhenUsed/>
    <w:pPr>
      <w:pBdr/>
      <w:spacing w:after="100"/>
      <w:ind w:left="1320"/>
    </w:pPr>
  </w:style>
  <w:style w:type="paragraph" w:styleId="910">
    <w:name w:val="toc 8"/>
    <w:basedOn w:val="914"/>
    <w:next w:val="914"/>
    <w:uiPriority w:val="39"/>
    <w:unhideWhenUsed/>
    <w:pPr>
      <w:pBdr/>
      <w:spacing w:after="100"/>
      <w:ind w:left="1540"/>
    </w:pPr>
  </w:style>
  <w:style w:type="paragraph" w:styleId="911">
    <w:name w:val="toc 9"/>
    <w:basedOn w:val="914"/>
    <w:next w:val="914"/>
    <w:uiPriority w:val="39"/>
    <w:unhideWhenUsed/>
    <w:pPr>
      <w:pBdr/>
      <w:spacing w:after="100"/>
      <w:ind w:left="1760"/>
    </w:pPr>
  </w:style>
  <w:style w:type="character" w:styleId="912">
    <w:name w:val="Placeholder Text"/>
    <w:basedOn w:val="921"/>
    <w:uiPriority w:val="99"/>
    <w:semiHidden/>
    <w:pPr>
      <w:pBdr/>
      <w:spacing/>
      <w:ind/>
    </w:pPr>
    <w:rPr>
      <w:color w:val="666666"/>
    </w:rPr>
  </w:style>
  <w:style w:type="paragraph" w:styleId="913">
    <w:name w:val="table of figures"/>
    <w:basedOn w:val="914"/>
    <w:next w:val="914"/>
    <w:uiPriority w:val="99"/>
    <w:unhideWhenUsed/>
    <w:pPr>
      <w:pBdr/>
      <w:spacing w:after="0" w:afterAutospacing="0"/>
      <w:ind/>
    </w:pPr>
  </w:style>
  <w:style w:type="paragraph" w:styleId="914" w:default="1">
    <w:name w:val="Normal"/>
    <w:qFormat/>
    <w:pPr>
      <w:pBdr/>
      <w:spacing/>
      <w:ind/>
    </w:pPr>
  </w:style>
  <w:style w:type="paragraph" w:styleId="915">
    <w:name w:val="Heading 1"/>
    <w:basedOn w:val="914"/>
    <w:next w:val="914"/>
    <w:uiPriority w:val="9"/>
    <w:qFormat/>
    <w:pPr>
      <w:keepNext w:val="true"/>
      <w:keepLines w:val="true"/>
      <w:pBdr/>
      <w:spacing/>
      <w:ind/>
      <w:jc w:val="center"/>
      <w:outlineLvl w:val="0"/>
    </w:pPr>
    <w:rPr>
      <w:b/>
      <w:sz w:val="32"/>
      <w:szCs w:val="32"/>
    </w:rPr>
  </w:style>
  <w:style w:type="paragraph" w:styleId="916">
    <w:name w:val="Heading 2"/>
    <w:basedOn w:val="914"/>
    <w:next w:val="914"/>
    <w:uiPriority w:val="9"/>
    <w:unhideWhenUsed/>
    <w:qFormat/>
    <w:pPr>
      <w:keepNext w:val="true"/>
      <w:keepLines w:val="true"/>
      <w:pBdr/>
      <w:spacing/>
      <w:ind/>
      <w:jc w:val="center"/>
      <w:outlineLvl w:val="1"/>
    </w:pPr>
    <w:rPr>
      <w:b/>
    </w:rPr>
  </w:style>
  <w:style w:type="paragraph" w:styleId="917">
    <w:name w:val="Heading 3"/>
    <w:basedOn w:val="914"/>
    <w:next w:val="914"/>
    <w:uiPriority w:val="9"/>
    <w:semiHidden/>
    <w:unhideWhenUsed/>
    <w:qFormat/>
    <w:pPr>
      <w:keepNext w:val="true"/>
      <w:keepLines w:val="true"/>
      <w:pBdr/>
      <w:spacing/>
      <w:ind/>
      <w:jc w:val="center"/>
      <w:outlineLvl w:val="2"/>
    </w:pPr>
    <w:rPr>
      <w:b/>
    </w:rPr>
  </w:style>
  <w:style w:type="paragraph" w:styleId="918">
    <w:name w:val="Heading 4"/>
    <w:basedOn w:val="914"/>
    <w:next w:val="914"/>
    <w:uiPriority w:val="9"/>
    <w:semiHidden/>
    <w:unhideWhenUsed/>
    <w:qFormat/>
    <w:pPr>
      <w:keepNext w:val="true"/>
      <w:keepLines w:val="true"/>
      <w:pBdr/>
      <w:spacing w:after="80" w:before="280"/>
      <w:ind/>
      <w:outlineLvl w:val="3"/>
    </w:pPr>
    <w:rPr>
      <w:color w:val="666666"/>
      <w:sz w:val="24"/>
      <w:szCs w:val="24"/>
    </w:rPr>
  </w:style>
  <w:style w:type="paragraph" w:styleId="919">
    <w:name w:val="Heading 5"/>
    <w:basedOn w:val="914"/>
    <w:next w:val="914"/>
    <w:uiPriority w:val="9"/>
    <w:semiHidden/>
    <w:unhideWhenUsed/>
    <w:qFormat/>
    <w:pPr>
      <w:keepNext w:val="true"/>
      <w:keepLines w:val="true"/>
      <w:pBdr/>
      <w:spacing w:after="80" w:before="240"/>
      <w:ind/>
      <w:outlineLvl w:val="4"/>
    </w:pPr>
    <w:rPr>
      <w:color w:val="666666"/>
      <w:sz w:val="22"/>
      <w:szCs w:val="22"/>
    </w:rPr>
  </w:style>
  <w:style w:type="paragraph" w:styleId="920">
    <w:name w:val="Heading 6"/>
    <w:basedOn w:val="914"/>
    <w:next w:val="914"/>
    <w:uiPriority w:val="9"/>
    <w:semiHidden/>
    <w:unhideWhenUsed/>
    <w:qFormat/>
    <w:pPr>
      <w:keepNext w:val="true"/>
      <w:keepLines w:val="true"/>
      <w:pBdr/>
      <w:spacing w:after="80" w:before="240"/>
      <w:ind/>
      <w:outlineLvl w:val="5"/>
    </w:pPr>
    <w:rPr>
      <w:i/>
      <w:color w:val="666666"/>
      <w:sz w:val="22"/>
      <w:szCs w:val="22"/>
    </w:rPr>
  </w:style>
  <w:style w:type="character" w:styleId="921" w:default="1">
    <w:name w:val="Default Paragraph Font"/>
    <w:uiPriority w:val="1"/>
    <w:semiHidden/>
    <w:unhideWhenUsed/>
    <w:pPr>
      <w:pBdr/>
      <w:spacing/>
      <w:ind/>
    </w:pPr>
  </w:style>
  <w:style w:type="table" w:styleId="9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3" w:default="1">
    <w:name w:val="No List"/>
    <w:uiPriority w:val="99"/>
    <w:semiHidden/>
    <w:unhideWhenUsed/>
    <w:pPr>
      <w:pBdr/>
      <w:spacing/>
      <w:ind/>
    </w:pPr>
  </w:style>
  <w:style w:type="table" w:styleId="924"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name w:val="Title"/>
    <w:basedOn w:val="914"/>
    <w:next w:val="914"/>
    <w:uiPriority w:val="10"/>
    <w:qFormat/>
    <w:pPr>
      <w:keepNext w:val="true"/>
      <w:keepLines w:val="true"/>
      <w:pBdr/>
      <w:spacing w:after="60"/>
      <w:ind/>
    </w:pPr>
    <w:rPr>
      <w:sz w:val="52"/>
      <w:szCs w:val="52"/>
    </w:rPr>
  </w:style>
  <w:style w:type="paragraph" w:styleId="926">
    <w:name w:val="Subtitle"/>
    <w:basedOn w:val="914"/>
    <w:next w:val="914"/>
    <w:uiPriority w:val="11"/>
    <w:qFormat/>
    <w:pPr>
      <w:keepNext w:val="true"/>
      <w:keepLines w:val="true"/>
      <w:pBdr/>
      <w:spacing w:after="320"/>
      <w:ind/>
    </w:pPr>
    <w:rPr>
      <w:rFonts w:ascii="Arial" w:hAnsi="Arial" w:eastAsia="Arial" w:cs="Arial"/>
      <w:color w:val="666666"/>
      <w:sz w:val="30"/>
      <w:szCs w:val="30"/>
    </w:rPr>
  </w:style>
  <w:style w:type="paragraph" w:styleId="927">
    <w:name w:val="List Paragraph"/>
    <w:basedOn w:val="914"/>
    <w:uiPriority w:val="34"/>
    <w:qFormat/>
    <w:pPr>
      <w:pBdr/>
      <w:spacing/>
      <w:ind w:left="720"/>
      <w:contextualSpacing w:val="true"/>
    </w:pPr>
  </w:style>
  <w:style w:type="paragraph" w:styleId="928">
    <w:name w:val="TOC Heading"/>
    <w:basedOn w:val="915"/>
    <w:next w:val="914"/>
    <w:uiPriority w:val="39"/>
    <w:unhideWhenUsed/>
    <w:qFormat/>
    <w:pPr>
      <w:pBdr/>
      <w:spacing w:before="240" w:line="259" w:lineRule="auto"/>
      <w:ind/>
      <w:jc w:val="left"/>
      <w:outlineLvl w:val="9"/>
    </w:pPr>
    <w:rPr>
      <w:rFonts w:asciiTheme="majorHAnsi" w:hAnsiTheme="majorHAnsi" w:eastAsiaTheme="majorEastAsia" w:cstheme="majorBidi"/>
      <w:b w:val="0"/>
      <w:color w:val="365f91" w:themeColor="accent1" w:themeShade="BF"/>
      <w:lang w:val="es-GT"/>
    </w:rPr>
  </w:style>
  <w:style w:type="paragraph" w:styleId="929">
    <w:name w:val="toc 1"/>
    <w:basedOn w:val="914"/>
    <w:next w:val="914"/>
    <w:uiPriority w:val="39"/>
    <w:unhideWhenUsed/>
    <w:pPr>
      <w:pBdr/>
      <w:spacing w:after="100"/>
      <w:ind/>
    </w:pPr>
  </w:style>
  <w:style w:type="paragraph" w:styleId="930">
    <w:name w:val="toc 2"/>
    <w:basedOn w:val="914"/>
    <w:next w:val="914"/>
    <w:uiPriority w:val="39"/>
    <w:unhideWhenUsed/>
    <w:pPr>
      <w:pBdr/>
      <w:spacing w:after="100"/>
      <w:ind w:left="280"/>
    </w:pPr>
  </w:style>
  <w:style w:type="character" w:styleId="931">
    <w:name w:val="Hyperlink"/>
    <w:basedOn w:val="921"/>
    <w:uiPriority w:val="99"/>
    <w:unhideWhenUsed/>
    <w:pPr>
      <w:pBdr/>
      <w:spacing/>
      <w:ind/>
    </w:pPr>
    <w:rPr>
      <w:color w:val="0000ff"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created xsi:type="dcterms:W3CDTF">2024-08-13T15:55:00Z</dcterms:created>
  <dcterms:modified xsi:type="dcterms:W3CDTF">2026-07-22T02:12:44Z</dcterms:modified>
</cp:coreProperties>
</file>