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jc w:val="center"/>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ATTENTION FACTORY: WEEKLY CONTENT STRATEGY</w:t>
      </w:r>
    </w:p>
    <w:p w:rsidR="00000000" w:rsidDel="00000000" w:rsidP="00000000" w:rsidRDefault="00000000" w:rsidRPr="00000000" w14:paraId="00000002">
      <w:pPr>
        <w:rPr>
          <w:sz w:val="24"/>
          <w:szCs w:val="24"/>
        </w:rPr>
      </w:pPr>
      <w:r w:rsidDel="00000000" w:rsidR="00000000" w:rsidRPr="00000000">
        <w:rPr>
          <w:rtl w:val="0"/>
        </w:rPr>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1. Executive Summary &amp; Strategic Narrative</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300" w:lineRule="auto"/>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To successfully navigate high-frequency digital publishing windows without triggering audience fatigue, this operational framework enforces a strict narrative balance. The daily 4-post sequence splits attention evenly between immediate commercial drivers (Bootcamps) and long-term brand equity engines (The Attention Factory Ecosystem).</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25" w:line="300" w:lineRule="auto"/>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The central strategic mechanism hinges on presenting Attention Factory not merely as an educational firm but as an elite </w:t>
      </w:r>
      <w:r w:rsidDel="00000000" w:rsidR="00000000" w:rsidRPr="00000000">
        <w:rPr>
          <w:rFonts w:ascii="Verdana" w:cs="Verdana" w:eastAsia="Verdana" w:hAnsi="Verdana"/>
          <w:sz w:val="24"/>
          <w:szCs w:val="24"/>
          <w:rtl w:val="0"/>
        </w:rPr>
        <w:t xml:space="preserve">AI ecosystem</w:t>
      </w:r>
      <w:r w:rsidDel="00000000" w:rsidR="00000000" w:rsidRPr="00000000">
        <w:rPr>
          <w:rFonts w:ascii="Verdana" w:cs="Verdana" w:eastAsia="Verdana" w:hAnsi="Verdana"/>
          <w:sz w:val="24"/>
          <w:szCs w:val="24"/>
          <w:rtl w:val="0"/>
        </w:rPr>
        <w:t xml:space="preserve"> powered entirely by active, real-world practitioners. By continuously highlighting our cross-functional capabilities in engineering, institutional data analysis, and enterprise transformation, we fundamentally elevate the authority of our educational syllabus. We do not simply summarise artificial intelligence trends; we actively build, research, and deploy solutions at the frontier daily.</w:t>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before="0" w:lineRule="auto"/>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2. The Four Pillars of Attention Factory</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300" w:lineRule="auto"/>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Every ecosystem-focused slot must map transparently to one of these four foundational operating quadrants to preserve absolute brand clarity:</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spacing w:line="300" w:lineRule="auto"/>
        <w:ind w:left="600" w:hanging="360"/>
        <w:rPr>
          <w:sz w:val="24"/>
          <w:szCs w:val="24"/>
        </w:rPr>
      </w:pPr>
      <w:r w:rsidDel="00000000" w:rsidR="00000000" w:rsidRPr="00000000">
        <w:rPr>
          <w:rFonts w:ascii="Verdana" w:cs="Verdana" w:eastAsia="Verdana" w:hAnsi="Verdana"/>
          <w:b w:val="1"/>
          <w:bCs w:val="1"/>
          <w:sz w:val="24"/>
          <w:szCs w:val="24"/>
          <w:rtl w:val="0"/>
        </w:rPr>
        <w:t xml:space="preserve">Pillar 1: Education &amp; Training</w:t>
      </w:r>
      <w:r w:rsidDel="00000000" w:rsidR="00000000" w:rsidRPr="00000000">
        <w:rPr>
          <w:rFonts w:ascii="Verdana" w:cs="Verdana" w:eastAsia="Verdana" w:hAnsi="Verdana"/>
          <w:sz w:val="24"/>
          <w:szCs w:val="24"/>
          <w:rtl w:val="0"/>
        </w:rPr>
        <w:t xml:space="preserve"> – The bootcamps, executive masterclasses, and customised corporate training tracks that systematically transition teams and individuals from ground zero to active AI builders.</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spacing w:line="300" w:lineRule="auto"/>
        <w:ind w:left="600" w:hanging="360"/>
        <w:rPr>
          <w:sz w:val="24"/>
          <w:szCs w:val="24"/>
        </w:rPr>
      </w:pPr>
      <w:r w:rsidDel="00000000" w:rsidR="00000000" w:rsidRPr="00000000">
        <w:rPr>
          <w:rFonts w:ascii="Verdana" w:cs="Verdana" w:eastAsia="Verdana" w:hAnsi="Verdana"/>
          <w:b w:val="1"/>
          <w:bCs w:val="1"/>
          <w:sz w:val="24"/>
          <w:szCs w:val="24"/>
          <w:rtl w:val="0"/>
        </w:rPr>
        <w:t xml:space="preserve">Pillar 2: Consulting</w:t>
      </w:r>
      <w:r w:rsidDel="00000000" w:rsidR="00000000" w:rsidRPr="00000000">
        <w:rPr>
          <w:rFonts w:ascii="Verdana" w:cs="Verdana" w:eastAsia="Verdana" w:hAnsi="Verdana"/>
          <w:sz w:val="24"/>
          <w:szCs w:val="24"/>
          <w:rtl w:val="0"/>
        </w:rPr>
        <w:t xml:space="preserve"> – High-stakes organisational strategy, enterprise-level AI transformations, and infrastructure architecture work engineered directly for corporate clients.</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spacing w:line="300" w:lineRule="auto"/>
        <w:ind w:left="600" w:hanging="360"/>
        <w:rPr>
          <w:sz w:val="24"/>
          <w:szCs w:val="24"/>
        </w:rPr>
      </w:pPr>
      <w:r w:rsidDel="00000000" w:rsidR="00000000" w:rsidRPr="00000000">
        <w:rPr>
          <w:rFonts w:ascii="Verdana" w:cs="Verdana" w:eastAsia="Verdana" w:hAnsi="Verdana"/>
          <w:b w:val="1"/>
          <w:bCs w:val="1"/>
          <w:sz w:val="24"/>
          <w:szCs w:val="24"/>
          <w:rtl w:val="0"/>
        </w:rPr>
        <w:t xml:space="preserve">Pillar 3: Research &amp; Intelligence</w:t>
      </w:r>
      <w:r w:rsidDel="00000000" w:rsidR="00000000" w:rsidRPr="00000000">
        <w:rPr>
          <w:rFonts w:ascii="Verdana" w:cs="Verdana" w:eastAsia="Verdana" w:hAnsi="Verdana"/>
          <w:sz w:val="24"/>
          <w:szCs w:val="24"/>
          <w:rtl w:val="0"/>
        </w:rPr>
        <w:t xml:space="preserve"> – AFI, our dedicated bi-weekly research and intelligence publication, alongside deep proprietary technical analysis that informs all corporate operations.</w:t>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shd w:fill="auto" w:val="clear"/>
        <w:spacing w:line="300" w:lineRule="auto"/>
        <w:ind w:left="600" w:hanging="360"/>
        <w:rPr>
          <w:sz w:val="24"/>
          <w:szCs w:val="24"/>
        </w:rPr>
      </w:pPr>
      <w:r w:rsidDel="00000000" w:rsidR="00000000" w:rsidRPr="00000000">
        <w:rPr>
          <w:rFonts w:ascii="Verdana" w:cs="Verdana" w:eastAsia="Verdana" w:hAnsi="Verdana"/>
          <w:b w:val="1"/>
          <w:bCs w:val="1"/>
          <w:sz w:val="24"/>
          <w:szCs w:val="24"/>
          <w:rtl w:val="0"/>
        </w:rPr>
        <w:t xml:space="preserve">Pillar 4: Product Development</w:t>
      </w:r>
      <w:r w:rsidDel="00000000" w:rsidR="00000000" w:rsidRPr="00000000">
        <w:rPr>
          <w:rFonts w:ascii="Verdana" w:cs="Verdana" w:eastAsia="Verdana" w:hAnsi="Verdana"/>
          <w:sz w:val="24"/>
          <w:szCs w:val="24"/>
          <w:rtl w:val="0"/>
        </w:rPr>
        <w:t xml:space="preserve"> – Our engineering core focused on constructing custom-built internal generative tools, bespoke automation engines, and localised business agents to erase operational friction.</w:t>
      </w:r>
    </w:p>
    <w:p w:rsidR="00000000" w:rsidDel="00000000" w:rsidP="00000000" w:rsidRDefault="00000000" w:rsidRPr="00000000" w14:paraId="0000000C">
      <w:pPr>
        <w:pStyle w:val="Heading2"/>
        <w:pBdr>
          <w:top w:space="0" w:sz="0" w:val="nil"/>
          <w:left w:space="0" w:sz="0" w:val="nil"/>
          <w:bottom w:space="0" w:sz="0" w:val="nil"/>
          <w:right w:space="0" w:sz="0" w:val="nil"/>
          <w:between w:space="0" w:sz="0" w:val="nil"/>
        </w:pBdr>
        <w:shd w:fill="auto" w:val="clear"/>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00D">
      <w:pPr>
        <w:pStyle w:val="Heading2"/>
        <w:pBdr>
          <w:top w:space="0" w:sz="0" w:val="nil"/>
          <w:left w:space="0" w:sz="0" w:val="nil"/>
          <w:bottom w:space="0" w:sz="0" w:val="nil"/>
          <w:right w:space="0" w:sz="0" w:val="nil"/>
          <w:between w:space="0" w:sz="0" w:val="nil"/>
        </w:pBdr>
        <w:shd w:fill="auto" w:val="clear"/>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3. The Architecture of the Daily 4-Post Grid</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line="300" w:lineRule="auto"/>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To preserve chronological flow and strategically capture behavioural shifts across digital channels throughout the day, content is pinned to a non-negotiable matrix structure:</w:t>
      </w:r>
    </w:p>
    <w:p w:rsidR="00000000" w:rsidDel="00000000" w:rsidP="00000000" w:rsidRDefault="00000000" w:rsidRPr="00000000" w14:paraId="0000000F">
      <w:pPr>
        <w:rPr>
          <w:sz w:val="24"/>
          <w:szCs w:val="24"/>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p w:rsidR="00000000" w:rsidDel="00000000" w:rsidP="00000000" w:rsidRDefault="00000000" w:rsidRPr="00000000" w14:paraId="00000010">
            <w:pPr>
              <w:rPr>
                <w:sz w:val="24"/>
                <w:szCs w:val="24"/>
              </w:rPr>
            </w:pPr>
            <w:r w:rsidDel="00000000" w:rsidR="00000000" w:rsidRPr="00000000">
              <w:rPr>
                <w:rFonts w:ascii="Verdana" w:cs="Verdana" w:eastAsia="Verdana" w:hAnsi="Verdana"/>
                <w:b w:val="1"/>
                <w:bCs w:val="1"/>
                <w:sz w:val="24"/>
                <w:szCs w:val="24"/>
                <w:rtl w:val="0"/>
              </w:rPr>
              <w:t xml:space="preserve">Time Slot</w:t>
            </w:r>
            <w:r w:rsidDel="00000000" w:rsidR="00000000" w:rsidRPr="00000000">
              <w:rPr>
                <w:rtl w:val="0"/>
              </w:rPr>
            </w:r>
          </w:p>
        </w:tc>
        <w:tc>
          <w:tcPr/>
          <w:p w:rsidR="00000000" w:rsidDel="00000000" w:rsidP="00000000" w:rsidRDefault="00000000" w:rsidRPr="00000000" w14:paraId="00000011">
            <w:pPr>
              <w:rPr>
                <w:sz w:val="24"/>
                <w:szCs w:val="24"/>
              </w:rPr>
            </w:pPr>
            <w:r w:rsidDel="00000000" w:rsidR="00000000" w:rsidRPr="00000000">
              <w:rPr>
                <w:rFonts w:ascii="Verdana" w:cs="Verdana" w:eastAsia="Verdana" w:hAnsi="Verdana"/>
                <w:b w:val="1"/>
                <w:bCs w:val="1"/>
                <w:sz w:val="24"/>
                <w:szCs w:val="24"/>
                <w:rtl w:val="0"/>
              </w:rPr>
              <w:t xml:space="preserve">Focus Area</w:t>
            </w:r>
            <w:r w:rsidDel="00000000" w:rsidR="00000000" w:rsidRPr="00000000">
              <w:rPr>
                <w:rtl w:val="0"/>
              </w:rPr>
            </w:r>
          </w:p>
        </w:tc>
        <w:tc>
          <w:tcPr/>
          <w:p w:rsidR="00000000" w:rsidDel="00000000" w:rsidP="00000000" w:rsidRDefault="00000000" w:rsidRPr="00000000" w14:paraId="00000012">
            <w:pPr>
              <w:rPr>
                <w:sz w:val="24"/>
                <w:szCs w:val="24"/>
              </w:rPr>
            </w:pPr>
            <w:r w:rsidDel="00000000" w:rsidR="00000000" w:rsidRPr="00000000">
              <w:rPr>
                <w:rFonts w:ascii="Verdana" w:cs="Verdana" w:eastAsia="Verdana" w:hAnsi="Verdana"/>
                <w:b w:val="1"/>
                <w:bCs w:val="1"/>
                <w:sz w:val="24"/>
                <w:szCs w:val="24"/>
                <w:rtl w:val="0"/>
              </w:rPr>
              <w:t xml:space="preserve">Core Objective</w:t>
            </w:r>
            <w:r w:rsidDel="00000000" w:rsidR="00000000" w:rsidRPr="00000000">
              <w:rPr>
                <w:rtl w:val="0"/>
              </w:rPr>
            </w:r>
          </w:p>
        </w:tc>
        <w:tc>
          <w:tcPr/>
          <w:p w:rsidR="00000000" w:rsidDel="00000000" w:rsidP="00000000" w:rsidRDefault="00000000" w:rsidRPr="00000000" w14:paraId="00000013">
            <w:pPr>
              <w:rPr>
                <w:sz w:val="24"/>
                <w:szCs w:val="24"/>
              </w:rPr>
            </w:pPr>
            <w:r w:rsidDel="00000000" w:rsidR="00000000" w:rsidRPr="00000000">
              <w:rPr>
                <w:rFonts w:ascii="Verdana" w:cs="Verdana" w:eastAsia="Verdana" w:hAnsi="Verdana"/>
                <w:b w:val="1"/>
                <w:bCs w:val="1"/>
                <w:sz w:val="24"/>
                <w:szCs w:val="24"/>
                <w:rtl w:val="0"/>
              </w:rPr>
              <w:t xml:space="preserve">Tone Accent</w:t>
            </w:r>
            <w:r w:rsidDel="00000000" w:rsidR="00000000" w:rsidRPr="00000000">
              <w:rPr>
                <w:rtl w:val="0"/>
              </w:rPr>
            </w:r>
          </w:p>
        </w:tc>
      </w:tr>
      <w:tr>
        <w:trPr>
          <w:cantSplit w:val="0"/>
          <w:tblHeader w:val="0"/>
        </w:trPr>
        <w:tc>
          <w:tcPr/>
          <w:p w:rsidR="00000000" w:rsidDel="00000000" w:rsidP="00000000" w:rsidRDefault="00000000" w:rsidRPr="00000000" w14:paraId="00000014">
            <w:pPr>
              <w:rPr>
                <w:sz w:val="24"/>
                <w:szCs w:val="24"/>
              </w:rPr>
            </w:pPr>
            <w:r w:rsidDel="00000000" w:rsidR="00000000" w:rsidRPr="00000000">
              <w:rPr>
                <w:rFonts w:ascii="Verdana" w:cs="Verdana" w:eastAsia="Verdana" w:hAnsi="Verdana"/>
                <w:b w:val="1"/>
                <w:bCs w:val="1"/>
                <w:sz w:val="24"/>
                <w:szCs w:val="24"/>
                <w:rtl w:val="0"/>
              </w:rPr>
              <w:t xml:space="preserve">01. Morning</w:t>
            </w:r>
            <w:r w:rsidDel="00000000" w:rsidR="00000000" w:rsidRPr="00000000">
              <w:rPr>
                <w:rtl w:val="0"/>
              </w:rPr>
            </w:r>
          </w:p>
        </w:tc>
        <w:tc>
          <w:tcPr/>
          <w:p w:rsidR="00000000" w:rsidDel="00000000" w:rsidP="00000000" w:rsidRDefault="00000000" w:rsidRPr="00000000" w14:paraId="00000015">
            <w:pPr>
              <w:rPr>
                <w:sz w:val="24"/>
                <w:szCs w:val="24"/>
              </w:rPr>
            </w:pPr>
            <w:r w:rsidDel="00000000" w:rsidR="00000000" w:rsidRPr="00000000">
              <w:rPr>
                <w:rFonts w:ascii="Verdana" w:cs="Verdana" w:eastAsia="Verdana" w:hAnsi="Verdana"/>
                <w:sz w:val="24"/>
                <w:szCs w:val="24"/>
                <w:rtl w:val="0"/>
              </w:rPr>
              <w:t xml:space="preserve">Bootcamp Review</w:t>
            </w:r>
            <w:r w:rsidDel="00000000" w:rsidR="00000000" w:rsidRPr="00000000">
              <w:rPr>
                <w:rtl w:val="0"/>
              </w:rPr>
            </w:r>
          </w:p>
        </w:tc>
        <w:tc>
          <w:tcPr/>
          <w:p w:rsidR="00000000" w:rsidDel="00000000" w:rsidP="00000000" w:rsidRDefault="00000000" w:rsidRPr="00000000" w14:paraId="00000016">
            <w:pPr>
              <w:rPr>
                <w:sz w:val="24"/>
                <w:szCs w:val="24"/>
              </w:rPr>
            </w:pPr>
            <w:r w:rsidDel="00000000" w:rsidR="00000000" w:rsidRPr="00000000">
              <w:rPr>
                <w:rFonts w:ascii="Verdana" w:cs="Verdana" w:eastAsia="Verdana" w:hAnsi="Verdana"/>
                <w:sz w:val="24"/>
                <w:szCs w:val="24"/>
                <w:rtl w:val="0"/>
              </w:rPr>
              <w:t xml:space="preserve">Educative deep dive focusing on a single critical topic reviewed by a student from the just-concluded cohort. Deliver high-value, ungatekept insights.</w:t>
            </w:r>
            <w:r w:rsidDel="00000000" w:rsidR="00000000" w:rsidRPr="00000000">
              <w:rPr>
                <w:rtl w:val="0"/>
              </w:rPr>
            </w:r>
          </w:p>
        </w:tc>
        <w:tc>
          <w:tcPr/>
          <w:p w:rsidR="00000000" w:rsidDel="00000000" w:rsidP="00000000" w:rsidRDefault="00000000" w:rsidRPr="00000000" w14:paraId="00000017">
            <w:pPr>
              <w:rPr>
                <w:sz w:val="24"/>
                <w:szCs w:val="24"/>
              </w:rPr>
            </w:pPr>
            <w:r w:rsidDel="00000000" w:rsidR="00000000" w:rsidRPr="00000000">
              <w:rPr>
                <w:rFonts w:ascii="Verdana" w:cs="Verdana" w:eastAsia="Verdana" w:hAnsi="Verdana"/>
                <w:sz w:val="24"/>
                <w:szCs w:val="24"/>
                <w:rtl w:val="0"/>
              </w:rPr>
              <w:t xml:space="preserve">Insightful, Authoritative</w:t>
            </w:r>
            <w:r w:rsidDel="00000000" w:rsidR="00000000" w:rsidRPr="00000000">
              <w:rPr>
                <w:rtl w:val="0"/>
              </w:rPr>
            </w:r>
          </w:p>
        </w:tc>
      </w:tr>
      <w:tr>
        <w:trPr>
          <w:cantSplit w:val="0"/>
          <w:tblHeader w:val="0"/>
        </w:trPr>
        <w:tc>
          <w:tcPr/>
          <w:p w:rsidR="00000000" w:rsidDel="00000000" w:rsidP="00000000" w:rsidRDefault="00000000" w:rsidRPr="00000000" w14:paraId="00000018">
            <w:pPr>
              <w:rPr>
                <w:sz w:val="24"/>
                <w:szCs w:val="24"/>
              </w:rPr>
            </w:pPr>
            <w:r w:rsidDel="00000000" w:rsidR="00000000" w:rsidRPr="00000000">
              <w:rPr>
                <w:rFonts w:ascii="Verdana" w:cs="Verdana" w:eastAsia="Verdana" w:hAnsi="Verdana"/>
                <w:b w:val="1"/>
                <w:bCs w:val="1"/>
                <w:sz w:val="24"/>
                <w:szCs w:val="24"/>
                <w:rtl w:val="0"/>
              </w:rPr>
              <w:t xml:space="preserve">02. Mid-Day</w:t>
            </w:r>
            <w:r w:rsidDel="00000000" w:rsidR="00000000" w:rsidRPr="00000000">
              <w:rPr>
                <w:rtl w:val="0"/>
              </w:rPr>
            </w:r>
          </w:p>
        </w:tc>
        <w:tc>
          <w:tcPr/>
          <w:p w:rsidR="00000000" w:rsidDel="00000000" w:rsidP="00000000" w:rsidRDefault="00000000" w:rsidRPr="00000000" w14:paraId="00000019">
            <w:pPr>
              <w:rPr>
                <w:sz w:val="24"/>
                <w:szCs w:val="24"/>
              </w:rPr>
            </w:pPr>
            <w:r w:rsidDel="00000000" w:rsidR="00000000" w:rsidRPr="00000000">
              <w:rPr>
                <w:rFonts w:ascii="Verdana" w:cs="Verdana" w:eastAsia="Verdana" w:hAnsi="Verdana"/>
                <w:sz w:val="24"/>
                <w:szCs w:val="24"/>
                <w:rtl w:val="0"/>
              </w:rPr>
              <w:t xml:space="preserve">AF: Core Blueprint</w:t>
            </w:r>
            <w:r w:rsidDel="00000000" w:rsidR="00000000" w:rsidRPr="00000000">
              <w:rPr>
                <w:rtl w:val="0"/>
              </w:rPr>
            </w:r>
          </w:p>
        </w:tc>
        <w:tc>
          <w:tcPr/>
          <w:p w:rsidR="00000000" w:rsidDel="00000000" w:rsidP="00000000" w:rsidRDefault="00000000" w:rsidRPr="00000000" w14:paraId="0000001A">
            <w:pPr>
              <w:rPr>
                <w:sz w:val="24"/>
                <w:szCs w:val="24"/>
              </w:rPr>
            </w:pPr>
            <w:r w:rsidDel="00000000" w:rsidR="00000000" w:rsidRPr="00000000">
              <w:rPr>
                <w:rFonts w:ascii="Verdana" w:cs="Verdana" w:eastAsia="Verdana" w:hAnsi="Verdana"/>
                <w:sz w:val="24"/>
                <w:szCs w:val="24"/>
                <w:rtl w:val="0"/>
              </w:rPr>
              <w:t xml:space="preserve">Clear introduction to Attention Factory’s structural purpose, core mission, or specific operational quadrants (Pillars 1–4).</w:t>
            </w:r>
            <w:r w:rsidDel="00000000" w:rsidR="00000000" w:rsidRPr="00000000">
              <w:rPr>
                <w:rtl w:val="0"/>
              </w:rPr>
            </w:r>
          </w:p>
        </w:tc>
        <w:tc>
          <w:tcPr/>
          <w:p w:rsidR="00000000" w:rsidDel="00000000" w:rsidP="00000000" w:rsidRDefault="00000000" w:rsidRPr="00000000" w14:paraId="0000001B">
            <w:pPr>
              <w:rPr>
                <w:sz w:val="24"/>
                <w:szCs w:val="24"/>
              </w:rPr>
            </w:pPr>
            <w:r w:rsidDel="00000000" w:rsidR="00000000" w:rsidRPr="00000000">
              <w:rPr>
                <w:rFonts w:ascii="Verdana" w:cs="Verdana" w:eastAsia="Verdana" w:hAnsi="Verdana"/>
                <w:sz w:val="24"/>
                <w:szCs w:val="24"/>
                <w:rtl w:val="0"/>
              </w:rPr>
              <w:t xml:space="preserve">Thought-provoking, Clear</w:t>
            </w:r>
            <w:r w:rsidDel="00000000" w:rsidR="00000000" w:rsidRPr="00000000">
              <w:rPr>
                <w:rtl w:val="0"/>
              </w:rPr>
            </w:r>
          </w:p>
        </w:tc>
      </w:tr>
      <w:tr>
        <w:trPr>
          <w:cantSplit w:val="0"/>
          <w:tblHeader w:val="0"/>
        </w:trPr>
        <w:tc>
          <w:tcPr/>
          <w:p w:rsidR="00000000" w:rsidDel="00000000" w:rsidP="00000000" w:rsidRDefault="00000000" w:rsidRPr="00000000" w14:paraId="0000001C">
            <w:pPr>
              <w:rPr>
                <w:sz w:val="24"/>
                <w:szCs w:val="24"/>
              </w:rPr>
            </w:pPr>
            <w:r w:rsidDel="00000000" w:rsidR="00000000" w:rsidRPr="00000000">
              <w:rPr>
                <w:rFonts w:ascii="Verdana" w:cs="Verdana" w:eastAsia="Verdana" w:hAnsi="Verdana"/>
                <w:b w:val="1"/>
                <w:bCs w:val="1"/>
                <w:sz w:val="24"/>
                <w:szCs w:val="24"/>
                <w:rtl w:val="0"/>
              </w:rPr>
              <w:t xml:space="preserve">03. Afternoon</w:t>
            </w:r>
            <w:r w:rsidDel="00000000" w:rsidR="00000000" w:rsidRPr="00000000">
              <w:rPr>
                <w:rtl w:val="0"/>
              </w:rPr>
            </w:r>
          </w:p>
        </w:tc>
        <w:tc>
          <w:tcPr/>
          <w:p w:rsidR="00000000" w:rsidDel="00000000" w:rsidP="00000000" w:rsidRDefault="00000000" w:rsidRPr="00000000" w14:paraId="0000001D">
            <w:pPr>
              <w:rPr>
                <w:sz w:val="24"/>
                <w:szCs w:val="24"/>
              </w:rPr>
            </w:pPr>
            <w:r w:rsidDel="00000000" w:rsidR="00000000" w:rsidRPr="00000000">
              <w:rPr>
                <w:rFonts w:ascii="Verdana" w:cs="Verdana" w:eastAsia="Verdana" w:hAnsi="Verdana"/>
                <w:sz w:val="24"/>
                <w:szCs w:val="24"/>
                <w:rtl w:val="0"/>
              </w:rPr>
              <w:t xml:space="preserve">AF: Technical Proof</w:t>
            </w:r>
            <w:r w:rsidDel="00000000" w:rsidR="00000000" w:rsidRPr="00000000">
              <w:rPr>
                <w:rtl w:val="0"/>
              </w:rPr>
            </w:r>
          </w:p>
        </w:tc>
        <w:tc>
          <w:tcPr/>
          <w:p w:rsidR="00000000" w:rsidDel="00000000" w:rsidP="00000000" w:rsidRDefault="00000000" w:rsidRPr="00000000" w14:paraId="0000001E">
            <w:pPr>
              <w:rPr>
                <w:sz w:val="24"/>
                <w:szCs w:val="24"/>
              </w:rPr>
            </w:pPr>
            <w:r w:rsidDel="00000000" w:rsidR="00000000" w:rsidRPr="00000000">
              <w:rPr>
                <w:rFonts w:ascii="Verdana" w:cs="Verdana" w:eastAsia="Verdana" w:hAnsi="Verdana"/>
                <w:sz w:val="24"/>
                <w:szCs w:val="24"/>
                <w:rtl w:val="0"/>
              </w:rPr>
              <w:t xml:space="preserve">Tangible validation of system capabilities via custom automated workflow theories, agent engineering, or macro insights pulled from AFI.</w:t>
            </w:r>
            <w:r w:rsidDel="00000000" w:rsidR="00000000" w:rsidRPr="00000000">
              <w:rPr>
                <w:rtl w:val="0"/>
              </w:rPr>
            </w:r>
          </w:p>
        </w:tc>
        <w:tc>
          <w:tcPr/>
          <w:p w:rsidR="00000000" w:rsidDel="00000000" w:rsidP="00000000" w:rsidRDefault="00000000" w:rsidRPr="00000000" w14:paraId="0000001F">
            <w:pPr>
              <w:rPr>
                <w:sz w:val="24"/>
                <w:szCs w:val="24"/>
              </w:rPr>
            </w:pPr>
            <w:r w:rsidDel="00000000" w:rsidR="00000000" w:rsidRPr="00000000">
              <w:rPr>
                <w:rFonts w:ascii="Verdana" w:cs="Verdana" w:eastAsia="Verdana" w:hAnsi="Verdana"/>
                <w:sz w:val="24"/>
                <w:szCs w:val="24"/>
                <w:rtl w:val="0"/>
              </w:rPr>
              <w:t xml:space="preserve">Professional, Expert</w:t>
            </w:r>
            <w:r w:rsidDel="00000000" w:rsidR="00000000" w:rsidRPr="00000000">
              <w:rPr>
                <w:rtl w:val="0"/>
              </w:rPr>
            </w:r>
          </w:p>
        </w:tc>
      </w:tr>
      <w:tr>
        <w:trPr>
          <w:cantSplit w:val="0"/>
          <w:tblHeader w:val="0"/>
        </w:trPr>
        <w:tc>
          <w:tcPr/>
          <w:p w:rsidR="00000000" w:rsidDel="00000000" w:rsidP="00000000" w:rsidRDefault="00000000" w:rsidRPr="00000000" w14:paraId="00000020">
            <w:pPr>
              <w:rPr>
                <w:sz w:val="24"/>
                <w:szCs w:val="24"/>
              </w:rPr>
            </w:pPr>
            <w:r w:rsidDel="00000000" w:rsidR="00000000" w:rsidRPr="00000000">
              <w:rPr>
                <w:rFonts w:ascii="Verdana" w:cs="Verdana" w:eastAsia="Verdana" w:hAnsi="Verdana"/>
                <w:b w:val="1"/>
                <w:bCs w:val="1"/>
                <w:sz w:val="24"/>
                <w:szCs w:val="24"/>
                <w:rtl w:val="0"/>
              </w:rPr>
              <w:t xml:space="preserve">04. Evening</w:t>
            </w:r>
            <w:r w:rsidDel="00000000" w:rsidR="00000000" w:rsidRPr="00000000">
              <w:rPr>
                <w:rtl w:val="0"/>
              </w:rPr>
            </w:r>
          </w:p>
        </w:tc>
        <w:tc>
          <w:tcPr/>
          <w:p w:rsidR="00000000" w:rsidDel="00000000" w:rsidP="00000000" w:rsidRDefault="00000000" w:rsidRPr="00000000" w14:paraId="00000021">
            <w:pPr>
              <w:rPr>
                <w:sz w:val="24"/>
                <w:szCs w:val="24"/>
              </w:rPr>
            </w:pPr>
            <w:r w:rsidDel="00000000" w:rsidR="00000000" w:rsidRPr="00000000">
              <w:rPr>
                <w:rFonts w:ascii="Verdana" w:cs="Verdana" w:eastAsia="Verdana" w:hAnsi="Verdana"/>
                <w:sz w:val="24"/>
                <w:szCs w:val="24"/>
                <w:rtl w:val="0"/>
              </w:rPr>
              <w:t xml:space="preserve">Upcoming Bootcamp</w:t>
            </w:r>
            <w:r w:rsidDel="00000000" w:rsidR="00000000" w:rsidRPr="00000000">
              <w:rPr>
                <w:rtl w:val="0"/>
              </w:rPr>
            </w:r>
          </w:p>
        </w:tc>
        <w:tc>
          <w:tcPr/>
          <w:p w:rsidR="00000000" w:rsidDel="00000000" w:rsidP="00000000" w:rsidRDefault="00000000" w:rsidRPr="00000000" w14:paraId="00000022">
            <w:pPr>
              <w:rPr>
                <w:sz w:val="24"/>
                <w:szCs w:val="24"/>
              </w:rPr>
            </w:pPr>
            <w:r w:rsidDel="00000000" w:rsidR="00000000" w:rsidRPr="00000000">
              <w:rPr>
                <w:rFonts w:ascii="Verdana" w:cs="Verdana" w:eastAsia="Verdana" w:hAnsi="Verdana"/>
                <w:sz w:val="24"/>
                <w:szCs w:val="24"/>
                <w:rtl w:val="0"/>
              </w:rPr>
              <w:t xml:space="preserve">Direct conversion-focused push for the upcoming bootcamp cohort. Bridged heavily via the technical authority established earlier in the day.</w:t>
            </w:r>
            <w:r w:rsidDel="00000000" w:rsidR="00000000" w:rsidRPr="00000000">
              <w:rPr>
                <w:rtl w:val="0"/>
              </w:rPr>
            </w:r>
          </w:p>
        </w:tc>
        <w:tc>
          <w:tcPr/>
          <w:p w:rsidR="00000000" w:rsidDel="00000000" w:rsidP="00000000" w:rsidRDefault="00000000" w:rsidRPr="00000000" w14:paraId="00000023">
            <w:pPr>
              <w:rPr>
                <w:sz w:val="24"/>
                <w:szCs w:val="24"/>
              </w:rPr>
            </w:pPr>
            <w:r w:rsidDel="00000000" w:rsidR="00000000" w:rsidRPr="00000000">
              <w:rPr>
                <w:rFonts w:ascii="Verdana" w:cs="Verdana" w:eastAsia="Verdana" w:hAnsi="Verdana"/>
                <w:sz w:val="24"/>
                <w:szCs w:val="24"/>
                <w:rtl w:val="0"/>
              </w:rPr>
              <w:t xml:space="preserve">Urgent, community-focused</w:t>
            </w:r>
            <w:r w:rsidDel="00000000" w:rsidR="00000000" w:rsidRPr="00000000">
              <w:rPr>
                <w:rtl w:val="0"/>
              </w:rPr>
            </w:r>
          </w:p>
        </w:tc>
      </w:tr>
    </w:tbl>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225" w:line="300" w:lineRule="auto"/>
        <w:rPr>
          <w:rFonts w:ascii="Verdana" w:cs="Verdana" w:eastAsia="Verdana" w:hAnsi="Verdana"/>
          <w:b w:val="1"/>
          <w:bCs w:val="1"/>
          <w:sz w:val="24"/>
          <w:szCs w:val="24"/>
        </w:rPr>
      </w:pPr>
      <w:r w:rsidDel="00000000" w:rsidR="00000000" w:rsidRPr="00000000">
        <w:rPr>
          <w:rtl w:val="0"/>
        </w:rPr>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225" w:line="300" w:lineRule="auto"/>
        <w:rPr>
          <w:rFonts w:ascii="Verdana" w:cs="Verdana" w:eastAsia="Verdana" w:hAnsi="Verdana"/>
          <w:sz w:val="24"/>
          <w:szCs w:val="24"/>
        </w:rPr>
      </w:pPr>
      <w:r w:rsidDel="00000000" w:rsidR="00000000" w:rsidRPr="00000000">
        <w:rPr>
          <w:rFonts w:ascii="Verdana" w:cs="Verdana" w:eastAsia="Verdana" w:hAnsi="Verdana"/>
          <w:b w:val="1"/>
          <w:bCs w:val="1"/>
          <w:sz w:val="24"/>
          <w:szCs w:val="24"/>
          <w:rtl w:val="0"/>
        </w:rPr>
        <w:t xml:space="preserve">The Golden Thread Rule:</w:t>
      </w:r>
      <w:r w:rsidDel="00000000" w:rsidR="00000000" w:rsidRPr="00000000">
        <w:rPr>
          <w:rFonts w:ascii="Verdana" w:cs="Verdana" w:eastAsia="Verdana" w:hAnsi="Verdana"/>
          <w:sz w:val="24"/>
          <w:szCs w:val="24"/>
          <w:rtl w:val="0"/>
        </w:rPr>
        <w:t xml:space="preserve"> Every educational or promotional post covering our bootcamps must reinforce that the curriculum is designed, vetted, and taught by active builders who engineer products and advise organisations daily.</w:t>
      </w:r>
    </w:p>
    <w:p w:rsidR="00000000" w:rsidDel="00000000" w:rsidP="00000000" w:rsidRDefault="00000000" w:rsidRPr="00000000" w14:paraId="00000026">
      <w:pPr>
        <w:pStyle w:val="Heading2"/>
        <w:pBdr>
          <w:top w:space="0" w:sz="0" w:val="nil"/>
          <w:left w:space="0" w:sz="0" w:val="nil"/>
          <w:bottom w:space="0" w:sz="0" w:val="nil"/>
          <w:right w:space="0" w:sz="0" w:val="nil"/>
          <w:between w:space="0" w:sz="0" w:val="nil"/>
        </w:pBdr>
        <w:shd w:fill="auto" w:val="clear"/>
        <w:spacing w:after="240" w:before="0" w:lineRule="auto"/>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4. Tactical Execution Framework (Remaining Days)</w:t>
      </w:r>
    </w:p>
    <w:p w:rsidR="00000000" w:rsidDel="00000000" w:rsidP="00000000" w:rsidRDefault="00000000" w:rsidRPr="00000000" w14:paraId="00000027">
      <w:pPr>
        <w:pStyle w:val="Heading3"/>
        <w:pBdr>
          <w:top w:space="0" w:sz="0" w:val="nil"/>
          <w:left w:space="0" w:sz="0" w:val="nil"/>
          <w:bottom w:space="0" w:sz="0" w:val="nil"/>
          <w:right w:space="0" w:sz="0" w:val="nil"/>
          <w:between w:space="0" w:sz="0" w:val="nil"/>
        </w:pBdr>
        <w:shd w:fill="auto" w:val="clear"/>
        <w:spacing w:before="0" w:lineRule="auto"/>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Day 1: Demystifying the Ecosystem &amp; Custom Automation</w:t>
      </w:r>
    </w:p>
    <w:p w:rsidR="00000000" w:rsidDel="00000000" w:rsidP="00000000" w:rsidRDefault="00000000" w:rsidRPr="00000000" w14:paraId="00000028">
      <w:pPr>
        <w:numPr>
          <w:ilvl w:val="0"/>
          <w:numId w:val="2"/>
        </w:numPr>
        <w:pBdr>
          <w:top w:space="0" w:sz="0" w:val="nil"/>
          <w:left w:space="0" w:sz="0" w:val="nil"/>
          <w:bottom w:space="0" w:sz="0" w:val="nil"/>
          <w:right w:space="0" w:sz="0" w:val="nil"/>
          <w:between w:space="0" w:sz="0" w:val="nil"/>
        </w:pBdr>
        <w:shd w:fill="auto" w:val="clear"/>
        <w:spacing w:line="300" w:lineRule="auto"/>
        <w:ind w:left="600" w:hanging="360"/>
        <w:rPr>
          <w:sz w:val="24"/>
          <w:szCs w:val="24"/>
        </w:rPr>
      </w:pPr>
      <w:r w:rsidDel="00000000" w:rsidR="00000000" w:rsidRPr="00000000">
        <w:rPr>
          <w:rFonts w:ascii="Verdana" w:cs="Verdana" w:eastAsia="Verdana" w:hAnsi="Verdana"/>
          <w:b w:val="1"/>
          <w:bCs w:val="1"/>
          <w:sz w:val="24"/>
          <w:szCs w:val="24"/>
          <w:rtl w:val="0"/>
        </w:rPr>
        <w:t xml:space="preserve">Post 1 (Morning): Bootcamp Review (The Missing Skill)</w:t>
      </w:r>
      <w:r w:rsidDel="00000000" w:rsidR="00000000" w:rsidRPr="00000000">
        <w:rPr>
          <w:rFonts w:ascii="Verdana" w:cs="Verdana" w:eastAsia="Verdana" w:hAnsi="Verdana"/>
          <w:smallCaps w:val="0"/>
          <w:strike w:val="0"/>
          <w:color w:val="000000"/>
          <w:sz w:val="24"/>
          <w:szCs w:val="24"/>
          <w:u w:val="none"/>
          <w:shd w:fill="auto" w:val="clear"/>
          <w:vertAlign w:val="baseline"/>
          <w:rtl w:val="0"/>
        </w:rPr>
        <w:br w:type="textWrapping"/>
      </w:r>
      <w:r w:rsidDel="00000000" w:rsidR="00000000" w:rsidRPr="00000000">
        <w:rPr>
          <w:rFonts w:ascii="Verdana" w:cs="Verdana" w:eastAsia="Verdana" w:hAnsi="Verdana"/>
          <w:sz w:val="24"/>
          <w:szCs w:val="24"/>
          <w:rtl w:val="0"/>
        </w:rPr>
        <w:t xml:space="preserve">Select a foundational topic evaluated in the last cohort (e.g., proper structural layout or prompting pipelines). Explain the supreme importance of mastering this concept and hand over immediate practical value. Break down exactly why skipping this core step causes real-world production workflows to break.</w:t>
      </w:r>
    </w:p>
    <w:p w:rsidR="00000000" w:rsidDel="00000000" w:rsidP="00000000" w:rsidRDefault="00000000" w:rsidRPr="00000000" w14:paraId="00000029">
      <w:pPr>
        <w:numPr>
          <w:ilvl w:val="0"/>
          <w:numId w:val="2"/>
        </w:numPr>
        <w:pBdr>
          <w:top w:space="0" w:sz="0" w:val="nil"/>
          <w:left w:space="0" w:sz="0" w:val="nil"/>
          <w:bottom w:space="0" w:sz="0" w:val="nil"/>
          <w:right w:space="0" w:sz="0" w:val="nil"/>
          <w:between w:space="0" w:sz="0" w:val="nil"/>
        </w:pBdr>
        <w:shd w:fill="auto" w:val="clear"/>
        <w:spacing w:line="300" w:lineRule="auto"/>
        <w:ind w:left="600" w:hanging="360"/>
        <w:rPr>
          <w:sz w:val="24"/>
          <w:szCs w:val="24"/>
        </w:rPr>
      </w:pPr>
      <w:r w:rsidDel="00000000" w:rsidR="00000000" w:rsidRPr="00000000">
        <w:rPr>
          <w:rFonts w:ascii="Verdana" w:cs="Verdana" w:eastAsia="Verdana" w:hAnsi="Verdana"/>
          <w:b w:val="1"/>
          <w:bCs w:val="1"/>
          <w:sz w:val="24"/>
          <w:szCs w:val="24"/>
          <w:rtl w:val="0"/>
        </w:rPr>
        <w:t xml:space="preserve">Post 2 (Mid-Day): Attention Factory Core (The 4-Quadrant Ecosystem)</w:t>
      </w:r>
      <w:r w:rsidDel="00000000" w:rsidR="00000000" w:rsidRPr="00000000">
        <w:rPr>
          <w:rFonts w:ascii="Verdana" w:cs="Verdana" w:eastAsia="Verdana" w:hAnsi="Verdana"/>
          <w:smallCaps w:val="0"/>
          <w:strike w:val="0"/>
          <w:color w:val="000000"/>
          <w:sz w:val="24"/>
          <w:szCs w:val="24"/>
          <w:u w:val="none"/>
          <w:shd w:fill="auto" w:val="clear"/>
          <w:vertAlign w:val="baseline"/>
          <w:rtl w:val="0"/>
        </w:rPr>
        <w:br w:type="textWrapping"/>
      </w:r>
      <w:r w:rsidDel="00000000" w:rsidR="00000000" w:rsidRPr="00000000">
        <w:rPr>
          <w:rFonts w:ascii="Verdana" w:cs="Verdana" w:eastAsia="Verdana" w:hAnsi="Verdana"/>
          <w:sz w:val="24"/>
          <w:szCs w:val="24"/>
          <w:rtl w:val="0"/>
        </w:rPr>
        <w:t xml:space="preserve">Explicitly break down what Attention Factory is. Shift public perception away from being categorized as just a school or just a consulting agency. Walk through the holistic model where research feeds product design, and consulting informs student training.</w:t>
      </w:r>
    </w:p>
    <w:p w:rsidR="00000000" w:rsidDel="00000000" w:rsidP="00000000" w:rsidRDefault="00000000" w:rsidRPr="00000000" w14:paraId="0000002A">
      <w:pPr>
        <w:numPr>
          <w:ilvl w:val="0"/>
          <w:numId w:val="2"/>
        </w:numPr>
        <w:pBdr>
          <w:top w:space="0" w:sz="0" w:val="nil"/>
          <w:left w:space="0" w:sz="0" w:val="nil"/>
          <w:bottom w:space="0" w:sz="0" w:val="nil"/>
          <w:right w:space="0" w:sz="0" w:val="nil"/>
          <w:between w:space="0" w:sz="0" w:val="nil"/>
        </w:pBdr>
        <w:shd w:fill="auto" w:val="clear"/>
        <w:spacing w:line="300" w:lineRule="auto"/>
        <w:ind w:left="600" w:hanging="360"/>
        <w:rPr>
          <w:sz w:val="24"/>
          <w:szCs w:val="24"/>
        </w:rPr>
      </w:pPr>
      <w:r w:rsidDel="00000000" w:rsidR="00000000" w:rsidRPr="00000000">
        <w:rPr>
          <w:rFonts w:ascii="Verdana" w:cs="Verdana" w:eastAsia="Verdana" w:hAnsi="Verdana"/>
          <w:b w:val="1"/>
          <w:bCs w:val="1"/>
          <w:sz w:val="24"/>
          <w:szCs w:val="24"/>
          <w:rtl w:val="0"/>
        </w:rPr>
        <w:t xml:space="preserve">Post 3 (Afternoon): Attention Factory Proof (Product Engineering Focus)</w:t>
      </w:r>
      <w:r w:rsidDel="00000000" w:rsidR="00000000" w:rsidRPr="00000000">
        <w:rPr>
          <w:rFonts w:ascii="Verdana" w:cs="Verdana" w:eastAsia="Verdana" w:hAnsi="Verdana"/>
          <w:smallCaps w:val="0"/>
          <w:strike w:val="0"/>
          <w:color w:val="000000"/>
          <w:sz w:val="24"/>
          <w:szCs w:val="24"/>
          <w:u w:val="none"/>
          <w:shd w:fill="auto" w:val="clear"/>
          <w:vertAlign w:val="baseline"/>
          <w:rtl w:val="0"/>
        </w:rPr>
        <w:br w:type="textWrapping"/>
      </w:r>
      <w:r w:rsidDel="00000000" w:rsidR="00000000" w:rsidRPr="00000000">
        <w:rPr>
          <w:rFonts w:ascii="Verdana" w:cs="Verdana" w:eastAsia="Verdana" w:hAnsi="Verdana"/>
          <w:sz w:val="24"/>
          <w:szCs w:val="24"/>
          <w:rtl w:val="0"/>
        </w:rPr>
        <w:t xml:space="preserve">Spotlight our custom product capabilities. Discuss why generic, out-of-the-box AI wrappers consistently fail modern businesses, and explain how our team builds custom-engineered business agents and robust workflow automations to completely erase manual operational friction.</w:t>
      </w:r>
    </w:p>
    <w:p w:rsidR="00000000" w:rsidDel="00000000" w:rsidP="00000000" w:rsidRDefault="00000000" w:rsidRPr="00000000" w14:paraId="0000002B">
      <w:pPr>
        <w:numPr>
          <w:ilvl w:val="0"/>
          <w:numId w:val="2"/>
        </w:numPr>
        <w:pBdr>
          <w:top w:space="0" w:sz="0" w:val="nil"/>
          <w:left w:space="0" w:sz="0" w:val="nil"/>
          <w:bottom w:space="0" w:sz="0" w:val="nil"/>
          <w:right w:space="0" w:sz="0" w:val="nil"/>
          <w:between w:space="0" w:sz="0" w:val="nil"/>
        </w:pBdr>
        <w:shd w:fill="auto" w:val="clear"/>
        <w:spacing w:line="300" w:lineRule="auto"/>
        <w:ind w:left="600" w:hanging="360"/>
        <w:rPr>
          <w:sz w:val="24"/>
          <w:szCs w:val="24"/>
        </w:rPr>
      </w:pPr>
      <w:r w:rsidDel="00000000" w:rsidR="00000000" w:rsidRPr="00000000">
        <w:rPr>
          <w:rFonts w:ascii="Verdana" w:cs="Verdana" w:eastAsia="Verdana" w:hAnsi="Verdana"/>
          <w:b w:val="1"/>
          <w:bCs w:val="1"/>
          <w:sz w:val="24"/>
          <w:szCs w:val="24"/>
          <w:rtl w:val="0"/>
        </w:rPr>
        <w:t xml:space="preserve">Post 4 (Evening): Upcoming Bootcamp Promotion (Build What You Learn)</w:t>
      </w:r>
      <w:r w:rsidDel="00000000" w:rsidR="00000000" w:rsidRPr="00000000">
        <w:rPr>
          <w:rFonts w:ascii="Verdana" w:cs="Verdana" w:eastAsia="Verdana" w:hAnsi="Verdana"/>
          <w:smallCaps w:val="0"/>
          <w:strike w:val="0"/>
          <w:color w:val="000000"/>
          <w:sz w:val="24"/>
          <w:szCs w:val="24"/>
          <w:u w:val="none"/>
          <w:shd w:fill="auto" w:val="clear"/>
          <w:vertAlign w:val="baseline"/>
          <w:rtl w:val="0"/>
        </w:rPr>
        <w:br w:type="textWrapping"/>
      </w:r>
      <w:r w:rsidDel="00000000" w:rsidR="00000000" w:rsidRPr="00000000">
        <w:rPr>
          <w:rFonts w:ascii="Verdana" w:cs="Verdana" w:eastAsia="Verdana" w:hAnsi="Verdana"/>
          <w:sz w:val="24"/>
          <w:szCs w:val="24"/>
          <w:rtl w:val="0"/>
        </w:rPr>
        <w:t xml:space="preserve">The transition call-to-action. Connect directly to the afternoon’s engineering value: "We engineer custom automations and tools for companies globally. In our upcoming bootcamp, you learn the exact production frameworks our internal product team relies on." Provide immediate registration triggers.</w:t>
      </w:r>
    </w:p>
    <w:p w:rsidR="00000000" w:rsidDel="00000000" w:rsidP="00000000" w:rsidRDefault="00000000" w:rsidRPr="00000000" w14:paraId="0000002C">
      <w:pPr>
        <w:pStyle w:val="Heading3"/>
        <w:pBdr>
          <w:top w:space="0" w:sz="0" w:val="nil"/>
          <w:left w:space="0" w:sz="0" w:val="nil"/>
          <w:bottom w:space="0" w:sz="0" w:val="nil"/>
          <w:right w:space="0" w:sz="0" w:val="nil"/>
          <w:between w:space="0" w:sz="0" w:val="nil"/>
        </w:pBdr>
        <w:shd w:fill="auto" w:val="clear"/>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Day 2: Structural Transformation &amp; Frontier Intelligence</w:t>
      </w:r>
    </w:p>
    <w:p w:rsidR="00000000" w:rsidDel="00000000" w:rsidP="00000000" w:rsidRDefault="00000000" w:rsidRPr="00000000" w14:paraId="0000002D">
      <w:pPr>
        <w:numPr>
          <w:ilvl w:val="0"/>
          <w:numId w:val="3"/>
        </w:numPr>
        <w:pBdr>
          <w:top w:space="0" w:sz="0" w:val="nil"/>
          <w:left w:space="0" w:sz="0" w:val="nil"/>
          <w:bottom w:space="0" w:sz="0" w:val="nil"/>
          <w:right w:space="0" w:sz="0" w:val="nil"/>
          <w:between w:space="0" w:sz="0" w:val="nil"/>
        </w:pBdr>
        <w:shd w:fill="auto" w:val="clear"/>
        <w:spacing w:line="300" w:lineRule="auto"/>
        <w:ind w:left="600" w:hanging="360"/>
        <w:rPr>
          <w:sz w:val="24"/>
          <w:szCs w:val="24"/>
        </w:rPr>
      </w:pPr>
      <w:r w:rsidDel="00000000" w:rsidR="00000000" w:rsidRPr="00000000">
        <w:rPr>
          <w:rFonts w:ascii="Verdana" w:cs="Verdana" w:eastAsia="Verdana" w:hAnsi="Verdana"/>
          <w:b w:val="1"/>
          <w:bCs w:val="1"/>
          <w:sz w:val="24"/>
          <w:szCs w:val="24"/>
          <w:rtl w:val="0"/>
        </w:rPr>
        <w:t xml:space="preserve">Post 1 (Morning): Bootcamp Review (The Student's Breakthrough)</w:t>
      </w:r>
      <w:r w:rsidDel="00000000" w:rsidR="00000000" w:rsidRPr="00000000">
        <w:rPr>
          <w:rFonts w:ascii="Verdana" w:cs="Verdana" w:eastAsia="Verdana" w:hAnsi="Verdana"/>
          <w:smallCaps w:val="0"/>
          <w:strike w:val="0"/>
          <w:color w:val="000000"/>
          <w:sz w:val="24"/>
          <w:szCs w:val="24"/>
          <w:u w:val="none"/>
          <w:shd w:fill="auto" w:val="clear"/>
          <w:vertAlign w:val="baseline"/>
          <w:rtl w:val="0"/>
        </w:rPr>
        <w:br w:type="textWrapping"/>
      </w:r>
      <w:r w:rsidDel="00000000" w:rsidR="00000000" w:rsidRPr="00000000">
        <w:rPr>
          <w:rFonts w:ascii="Verdana" w:cs="Verdana" w:eastAsia="Verdana" w:hAnsi="Verdana"/>
          <w:sz w:val="24"/>
          <w:szCs w:val="24"/>
          <w:rtl w:val="0"/>
        </w:rPr>
        <w:t xml:space="preserve">Frame the education around an explicit "aha!" moment reported by a real student during the recent reviews. Use an approachable narrative style: "During our post-bootcamp review, a student highlighted how adjusting [Topic X] saved them hours of development errors. Here is the operational breakdown of that exact mechanism..."</w:t>
      </w:r>
    </w:p>
    <w:p w:rsidR="00000000" w:rsidDel="00000000" w:rsidP="00000000" w:rsidRDefault="00000000" w:rsidRPr="00000000" w14:paraId="0000002E">
      <w:pPr>
        <w:numPr>
          <w:ilvl w:val="0"/>
          <w:numId w:val="3"/>
        </w:numPr>
        <w:pBdr>
          <w:top w:space="0" w:sz="0" w:val="nil"/>
          <w:left w:space="0" w:sz="0" w:val="nil"/>
          <w:bottom w:space="0" w:sz="0" w:val="nil"/>
          <w:right w:space="0" w:sz="0" w:val="nil"/>
          <w:between w:space="0" w:sz="0" w:val="nil"/>
        </w:pBdr>
        <w:shd w:fill="auto" w:val="clear"/>
        <w:spacing w:line="300" w:lineRule="auto"/>
        <w:ind w:left="600" w:hanging="360"/>
        <w:rPr>
          <w:sz w:val="24"/>
          <w:szCs w:val="24"/>
        </w:rPr>
      </w:pPr>
      <w:r w:rsidDel="00000000" w:rsidR="00000000" w:rsidRPr="00000000">
        <w:rPr>
          <w:rFonts w:ascii="Verdana" w:cs="Verdana" w:eastAsia="Verdana" w:hAnsi="Verdana"/>
          <w:b w:val="1"/>
          <w:bCs w:val="1"/>
          <w:sz w:val="24"/>
          <w:szCs w:val="24"/>
          <w:rtl w:val="0"/>
        </w:rPr>
        <w:t xml:space="preserve">Post 2 (Mid-Day): Attention Factory Core (Organizational Consulting)</w:t>
      </w:r>
      <w:r w:rsidDel="00000000" w:rsidR="00000000" w:rsidRPr="00000000">
        <w:rPr>
          <w:rFonts w:ascii="Verdana" w:cs="Verdana" w:eastAsia="Verdana" w:hAnsi="Verdana"/>
          <w:smallCaps w:val="0"/>
          <w:strike w:val="0"/>
          <w:color w:val="000000"/>
          <w:sz w:val="24"/>
          <w:szCs w:val="24"/>
          <w:u w:val="none"/>
          <w:shd w:fill="auto" w:val="clear"/>
          <w:vertAlign w:val="baseline"/>
          <w:rtl w:val="0"/>
        </w:rPr>
        <w:br w:type="textWrapping"/>
      </w:r>
      <w:r w:rsidDel="00000000" w:rsidR="00000000" w:rsidRPr="00000000">
        <w:rPr>
          <w:rFonts w:ascii="Verdana" w:cs="Verdana" w:eastAsia="Verdana" w:hAnsi="Verdana"/>
          <w:sz w:val="24"/>
          <w:szCs w:val="24"/>
          <w:rtl w:val="0"/>
        </w:rPr>
        <w:t xml:space="preserve">Demystify Pillar 2 (Consulting). Discuss what authentic, high-level AI transformation looks like for an enterprise client trying to move beyond basic third-party web apps into true proprietary strategy.</w:t>
      </w:r>
    </w:p>
    <w:p w:rsidR="00000000" w:rsidDel="00000000" w:rsidP="00000000" w:rsidRDefault="00000000" w:rsidRPr="00000000" w14:paraId="0000002F">
      <w:pPr>
        <w:numPr>
          <w:ilvl w:val="0"/>
          <w:numId w:val="3"/>
        </w:numPr>
        <w:pBdr>
          <w:top w:space="0" w:sz="0" w:val="nil"/>
          <w:left w:space="0" w:sz="0" w:val="nil"/>
          <w:bottom w:space="0" w:sz="0" w:val="nil"/>
          <w:right w:space="0" w:sz="0" w:val="nil"/>
          <w:between w:space="0" w:sz="0" w:val="nil"/>
        </w:pBdr>
        <w:shd w:fill="auto" w:val="clear"/>
        <w:spacing w:line="300" w:lineRule="auto"/>
        <w:ind w:left="600" w:hanging="360"/>
        <w:rPr>
          <w:sz w:val="24"/>
          <w:szCs w:val="24"/>
        </w:rPr>
      </w:pPr>
      <w:r w:rsidDel="00000000" w:rsidR="00000000" w:rsidRPr="00000000">
        <w:rPr>
          <w:rFonts w:ascii="Verdana" w:cs="Verdana" w:eastAsia="Verdana" w:hAnsi="Verdana"/>
          <w:b w:val="1"/>
          <w:bCs w:val="1"/>
          <w:sz w:val="24"/>
          <w:szCs w:val="24"/>
          <w:rtl w:val="0"/>
        </w:rPr>
        <w:t xml:space="preserve">Post 3 (Afternoon): Attention Factory Proof (AFI Research Spotlight)</w:t>
      </w:r>
      <w:r w:rsidDel="00000000" w:rsidR="00000000" w:rsidRPr="00000000">
        <w:rPr>
          <w:rFonts w:ascii="Verdana" w:cs="Verdana" w:eastAsia="Verdana" w:hAnsi="Verdana"/>
          <w:smallCaps w:val="0"/>
          <w:strike w:val="0"/>
          <w:color w:val="000000"/>
          <w:sz w:val="24"/>
          <w:szCs w:val="24"/>
          <w:u w:val="none"/>
          <w:shd w:fill="auto" w:val="clear"/>
          <w:vertAlign w:val="baseline"/>
          <w:rtl w:val="0"/>
        </w:rPr>
        <w:br w:type="textWrapping"/>
      </w:r>
      <w:r w:rsidDel="00000000" w:rsidR="00000000" w:rsidRPr="00000000">
        <w:rPr>
          <w:rFonts w:ascii="Verdana" w:cs="Verdana" w:eastAsia="Verdana" w:hAnsi="Verdana"/>
          <w:sz w:val="24"/>
          <w:szCs w:val="24"/>
          <w:rtl w:val="0"/>
        </w:rPr>
        <w:t xml:space="preserve">Extract a single high-value, highly practical trend or statistical analytical insight from a recent issue of </w:t>
      </w:r>
      <w:r w:rsidDel="00000000" w:rsidR="00000000" w:rsidRPr="00000000">
        <w:rPr>
          <w:rFonts w:ascii="Verdana" w:cs="Verdana" w:eastAsia="Verdana" w:hAnsi="Verdana"/>
          <w:b w:val="1"/>
          <w:bCs w:val="1"/>
          <w:sz w:val="24"/>
          <w:szCs w:val="24"/>
          <w:rtl w:val="0"/>
        </w:rPr>
        <w:t xml:space="preserve">AFI (the bi-weekly research and intelligence publication)</w:t>
      </w:r>
      <w:r w:rsidDel="00000000" w:rsidR="00000000" w:rsidRPr="00000000">
        <w:rPr>
          <w:rFonts w:ascii="Verdana" w:cs="Verdana" w:eastAsia="Verdana" w:hAnsi="Verdana"/>
          <w:sz w:val="24"/>
          <w:szCs w:val="24"/>
          <w:rtl w:val="0"/>
        </w:rPr>
        <w:t xml:space="preserve">. Provide un-gatekept intelligence to prove current alignment with the frontier.</w:t>
      </w:r>
    </w:p>
    <w:p w:rsidR="00000000" w:rsidDel="00000000" w:rsidP="00000000" w:rsidRDefault="00000000" w:rsidRPr="00000000" w14:paraId="00000030">
      <w:pPr>
        <w:numPr>
          <w:ilvl w:val="0"/>
          <w:numId w:val="3"/>
        </w:numPr>
        <w:pBdr>
          <w:top w:space="0" w:sz="0" w:val="nil"/>
          <w:left w:space="0" w:sz="0" w:val="nil"/>
          <w:bottom w:space="0" w:sz="0" w:val="nil"/>
          <w:right w:space="0" w:sz="0" w:val="nil"/>
          <w:between w:space="0" w:sz="0" w:val="nil"/>
        </w:pBdr>
        <w:shd w:fill="auto" w:val="clear"/>
        <w:spacing w:line="300" w:lineRule="auto"/>
        <w:ind w:left="600" w:hanging="360"/>
        <w:rPr>
          <w:sz w:val="24"/>
          <w:szCs w:val="24"/>
        </w:rPr>
      </w:pPr>
      <w:r w:rsidDel="00000000" w:rsidR="00000000" w:rsidRPr="00000000">
        <w:rPr>
          <w:rFonts w:ascii="Verdana" w:cs="Verdana" w:eastAsia="Verdana" w:hAnsi="Verdana"/>
          <w:b w:val="1"/>
          <w:bCs w:val="1"/>
          <w:sz w:val="24"/>
          <w:szCs w:val="24"/>
          <w:rtl w:val="0"/>
        </w:rPr>
        <w:t xml:space="preserve">Post 4 (Evening): Upcoming Bootcamp Promotion (Stop Consuming, Start Building)</w:t>
      </w:r>
      <w:r w:rsidDel="00000000" w:rsidR="00000000" w:rsidRPr="00000000">
        <w:rPr>
          <w:rFonts w:ascii="Verdana" w:cs="Verdana" w:eastAsia="Verdana" w:hAnsi="Verdana"/>
          <w:smallCaps w:val="0"/>
          <w:strike w:val="0"/>
          <w:color w:val="000000"/>
          <w:sz w:val="24"/>
          <w:szCs w:val="24"/>
          <w:u w:val="none"/>
          <w:shd w:fill="auto" w:val="clear"/>
          <w:vertAlign w:val="baseline"/>
          <w:rtl w:val="0"/>
        </w:rPr>
        <w:br w:type="textWrapping"/>
      </w:r>
      <w:r w:rsidDel="00000000" w:rsidR="00000000" w:rsidRPr="00000000">
        <w:rPr>
          <w:rFonts w:ascii="Verdana" w:cs="Verdana" w:eastAsia="Verdana" w:hAnsi="Verdana"/>
          <w:sz w:val="24"/>
          <w:szCs w:val="24"/>
          <w:rtl w:val="0"/>
        </w:rPr>
        <w:t xml:space="preserve">Drive a definitive psychological shift. Challenge your audience to cross the line from being a mere consumer of AI hype into becoming an active builder inside our upcoming cohort, backed directly by AFI-grade intelligence.</w:t>
      </w:r>
    </w:p>
    <w:p w:rsidR="00000000" w:rsidDel="00000000" w:rsidP="00000000" w:rsidRDefault="00000000" w:rsidRPr="00000000" w14:paraId="00000031">
      <w:pPr>
        <w:pStyle w:val="Heading3"/>
        <w:pBdr>
          <w:top w:space="0" w:sz="0" w:val="nil"/>
          <w:left w:space="0" w:sz="0" w:val="nil"/>
          <w:bottom w:space="0" w:sz="0" w:val="nil"/>
          <w:right w:space="0" w:sz="0" w:val="nil"/>
          <w:between w:space="0" w:sz="0" w:val="nil"/>
        </w:pBdr>
        <w:shd w:fill="auto" w:val="clear"/>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Day 3: The Synergy Blueprint &amp; Definitive Scarcity</w:t>
      </w:r>
    </w:p>
    <w:p w:rsidR="00000000" w:rsidDel="00000000" w:rsidP="00000000" w:rsidRDefault="00000000" w:rsidRPr="00000000" w14:paraId="00000032">
      <w:pPr>
        <w:numPr>
          <w:ilvl w:val="0"/>
          <w:numId w:val="4"/>
        </w:numPr>
        <w:pBdr>
          <w:top w:space="0" w:sz="0" w:val="nil"/>
          <w:left w:space="0" w:sz="0" w:val="nil"/>
          <w:bottom w:space="0" w:sz="0" w:val="nil"/>
          <w:right w:space="0" w:sz="0" w:val="nil"/>
          <w:between w:space="0" w:sz="0" w:val="nil"/>
        </w:pBdr>
        <w:shd w:fill="auto" w:val="clear"/>
        <w:spacing w:line="300" w:lineRule="auto"/>
        <w:ind w:left="600" w:hanging="360"/>
        <w:rPr>
          <w:sz w:val="24"/>
          <w:szCs w:val="24"/>
        </w:rPr>
      </w:pPr>
      <w:r w:rsidDel="00000000" w:rsidR="00000000" w:rsidRPr="00000000">
        <w:rPr>
          <w:rFonts w:ascii="Verdana" w:cs="Verdana" w:eastAsia="Verdana" w:hAnsi="Verdana"/>
          <w:b w:val="1"/>
          <w:bCs w:val="1"/>
          <w:sz w:val="24"/>
          <w:szCs w:val="24"/>
          <w:rtl w:val="0"/>
        </w:rPr>
        <w:t xml:space="preserve">Post 1 (Morning): Bootcamp Review (The Advanced Tactic)</w:t>
      </w:r>
      <w:r w:rsidDel="00000000" w:rsidR="00000000" w:rsidRPr="00000000">
        <w:rPr>
          <w:rFonts w:ascii="Verdana" w:cs="Verdana" w:eastAsia="Verdana" w:hAnsi="Verdana"/>
          <w:smallCaps w:val="0"/>
          <w:strike w:val="0"/>
          <w:color w:val="000000"/>
          <w:sz w:val="24"/>
          <w:szCs w:val="24"/>
          <w:u w:val="none"/>
          <w:shd w:fill="auto" w:val="clear"/>
          <w:vertAlign w:val="baseline"/>
          <w:rtl w:val="0"/>
        </w:rPr>
        <w:br w:type="textWrapping"/>
      </w:r>
      <w:r w:rsidDel="00000000" w:rsidR="00000000" w:rsidRPr="00000000">
        <w:rPr>
          <w:rFonts w:ascii="Verdana" w:cs="Verdana" w:eastAsia="Verdana" w:hAnsi="Verdana"/>
          <w:sz w:val="24"/>
          <w:szCs w:val="24"/>
          <w:rtl w:val="0"/>
        </w:rPr>
        <w:t xml:space="preserve">Deliver a highly technical, deep-dive breakdown into a complex layer of a student-reviewed topic. Give away pure, high-tier clarity that unseals your academic authority early in the morning.</w:t>
      </w:r>
    </w:p>
    <w:p w:rsidR="00000000" w:rsidDel="00000000" w:rsidP="00000000" w:rsidRDefault="00000000" w:rsidRPr="00000000" w14:paraId="00000033">
      <w:pPr>
        <w:numPr>
          <w:ilvl w:val="0"/>
          <w:numId w:val="4"/>
        </w:numPr>
        <w:pBdr>
          <w:top w:space="0" w:sz="0" w:val="nil"/>
          <w:left w:space="0" w:sz="0" w:val="nil"/>
          <w:bottom w:space="0" w:sz="0" w:val="nil"/>
          <w:right w:space="0" w:sz="0" w:val="nil"/>
          <w:between w:space="0" w:sz="0" w:val="nil"/>
        </w:pBdr>
        <w:shd w:fill="auto" w:val="clear"/>
        <w:spacing w:line="300" w:lineRule="auto"/>
        <w:ind w:left="600" w:hanging="360"/>
        <w:rPr>
          <w:sz w:val="24"/>
          <w:szCs w:val="24"/>
        </w:rPr>
      </w:pPr>
      <w:r w:rsidDel="00000000" w:rsidR="00000000" w:rsidRPr="00000000">
        <w:rPr>
          <w:rFonts w:ascii="Verdana" w:cs="Verdana" w:eastAsia="Verdana" w:hAnsi="Verdana"/>
          <w:b w:val="1"/>
          <w:bCs w:val="1"/>
          <w:sz w:val="24"/>
          <w:szCs w:val="24"/>
          <w:rtl w:val="0"/>
        </w:rPr>
        <w:t xml:space="preserve">Post 2 (Mid-Day): Attention Factory Core (The Ecosystem Manifesto)</w:t>
      </w:r>
      <w:r w:rsidDel="00000000" w:rsidR="00000000" w:rsidRPr="00000000">
        <w:rPr>
          <w:rFonts w:ascii="Verdana" w:cs="Verdana" w:eastAsia="Verdana" w:hAnsi="Verdana"/>
          <w:smallCaps w:val="0"/>
          <w:strike w:val="0"/>
          <w:color w:val="000000"/>
          <w:sz w:val="24"/>
          <w:szCs w:val="24"/>
          <w:u w:val="none"/>
          <w:shd w:fill="auto" w:val="clear"/>
          <w:vertAlign w:val="baseline"/>
          <w:rtl w:val="0"/>
        </w:rPr>
        <w:br w:type="textWrapping"/>
      </w:r>
      <w:r w:rsidDel="00000000" w:rsidR="00000000" w:rsidRPr="00000000">
        <w:rPr>
          <w:rFonts w:ascii="Verdana" w:cs="Verdana" w:eastAsia="Verdana" w:hAnsi="Verdana"/>
          <w:sz w:val="24"/>
          <w:szCs w:val="24"/>
          <w:rtl w:val="0"/>
        </w:rPr>
        <w:t xml:space="preserve">Publish a bold, text-centric manifesto highlighting exactly what Attention Factory stands for, what shortcuts or industry illusions it explicitly rejects, and why merging deep product design with rigorous training is the only viable path forward.</w:t>
      </w:r>
    </w:p>
    <w:p w:rsidR="00000000" w:rsidDel="00000000" w:rsidP="00000000" w:rsidRDefault="00000000" w:rsidRPr="00000000" w14:paraId="00000034">
      <w:pPr>
        <w:numPr>
          <w:ilvl w:val="0"/>
          <w:numId w:val="4"/>
        </w:numPr>
        <w:pBdr>
          <w:top w:space="0" w:sz="0" w:val="nil"/>
          <w:left w:space="0" w:sz="0" w:val="nil"/>
          <w:bottom w:space="0" w:sz="0" w:val="nil"/>
          <w:right w:space="0" w:sz="0" w:val="nil"/>
          <w:between w:space="0" w:sz="0" w:val="nil"/>
        </w:pBdr>
        <w:shd w:fill="auto" w:val="clear"/>
        <w:spacing w:line="300" w:lineRule="auto"/>
        <w:ind w:left="600" w:hanging="360"/>
        <w:rPr>
          <w:sz w:val="24"/>
          <w:szCs w:val="24"/>
        </w:rPr>
      </w:pPr>
      <w:r w:rsidDel="00000000" w:rsidR="00000000" w:rsidRPr="00000000">
        <w:rPr>
          <w:rFonts w:ascii="Verdana" w:cs="Verdana" w:eastAsia="Verdana" w:hAnsi="Verdana"/>
          <w:b w:val="1"/>
          <w:bCs w:val="1"/>
          <w:sz w:val="24"/>
          <w:szCs w:val="24"/>
          <w:rtl w:val="0"/>
        </w:rPr>
        <w:t xml:space="preserve">Post 3 (Afternoon): Attention Factory Proof (Training Philosophy)</w:t>
      </w:r>
      <w:r w:rsidDel="00000000" w:rsidR="00000000" w:rsidRPr="00000000">
        <w:rPr>
          <w:rFonts w:ascii="Verdana" w:cs="Verdana" w:eastAsia="Verdana" w:hAnsi="Verdana"/>
          <w:smallCaps w:val="0"/>
          <w:strike w:val="0"/>
          <w:color w:val="000000"/>
          <w:sz w:val="24"/>
          <w:szCs w:val="24"/>
          <w:u w:val="none"/>
          <w:shd w:fill="auto" w:val="clear"/>
          <w:vertAlign w:val="baseline"/>
          <w:rtl w:val="0"/>
        </w:rPr>
        <w:br w:type="textWrapping"/>
      </w:r>
      <w:r w:rsidDel="00000000" w:rsidR="00000000" w:rsidRPr="00000000">
        <w:rPr>
          <w:rFonts w:ascii="Verdana" w:cs="Verdana" w:eastAsia="Verdana" w:hAnsi="Verdana"/>
          <w:sz w:val="24"/>
          <w:szCs w:val="24"/>
          <w:rtl w:val="0"/>
        </w:rPr>
        <w:t xml:space="preserve">Highlight the strict professional standard of the corporate training pipelines and masterclasses executed by the brand. Showcase the professional calibre expected from an institution operating at this tier.</w:t>
      </w:r>
    </w:p>
    <w:p w:rsidR="00000000" w:rsidDel="00000000" w:rsidP="00000000" w:rsidRDefault="00000000" w:rsidRPr="00000000" w14:paraId="00000035">
      <w:pPr>
        <w:numPr>
          <w:ilvl w:val="0"/>
          <w:numId w:val="4"/>
        </w:numPr>
        <w:pBdr>
          <w:top w:space="0" w:sz="0" w:val="nil"/>
          <w:left w:space="0" w:sz="0" w:val="nil"/>
          <w:bottom w:space="0" w:sz="0" w:val="nil"/>
          <w:right w:space="0" w:sz="0" w:val="nil"/>
          <w:between w:space="0" w:sz="0" w:val="nil"/>
        </w:pBdr>
        <w:shd w:fill="auto" w:val="clear"/>
        <w:spacing w:line="300" w:lineRule="auto"/>
        <w:ind w:left="600" w:hanging="360"/>
        <w:rPr>
          <w:sz w:val="24"/>
          <w:szCs w:val="24"/>
        </w:rPr>
      </w:pPr>
      <w:r w:rsidDel="00000000" w:rsidR="00000000" w:rsidRPr="00000000">
        <w:rPr>
          <w:rFonts w:ascii="Verdana" w:cs="Verdana" w:eastAsia="Verdana" w:hAnsi="Verdana"/>
          <w:b w:val="1"/>
          <w:bCs w:val="1"/>
          <w:sz w:val="24"/>
          <w:szCs w:val="24"/>
          <w:rtl w:val="0"/>
        </w:rPr>
        <w:t xml:space="preserve">Post 4 (Evening): Upcoming Bootcamp Promotion (Final Call to Action)</w:t>
      </w:r>
      <w:r w:rsidDel="00000000" w:rsidR="00000000" w:rsidRPr="00000000">
        <w:rPr>
          <w:rFonts w:ascii="Verdana" w:cs="Verdana" w:eastAsia="Verdana" w:hAnsi="Verdana"/>
          <w:smallCaps w:val="0"/>
          <w:strike w:val="0"/>
          <w:color w:val="000000"/>
          <w:sz w:val="24"/>
          <w:szCs w:val="24"/>
          <w:u w:val="none"/>
          <w:shd w:fill="auto" w:val="clear"/>
          <w:vertAlign w:val="baseline"/>
          <w:rtl w:val="0"/>
        </w:rPr>
        <w:br w:type="textWrapping"/>
      </w:r>
      <w:r w:rsidDel="00000000" w:rsidR="00000000" w:rsidRPr="00000000">
        <w:rPr>
          <w:rFonts w:ascii="Verdana" w:cs="Verdana" w:eastAsia="Verdana" w:hAnsi="Verdana"/>
          <w:sz w:val="24"/>
          <w:szCs w:val="24"/>
          <w:rtl w:val="0"/>
        </w:rPr>
        <w:t xml:space="preserve">Introduce absolute scarcity and cohort urgency. The previous cohort's reviews are fully finalised, and registration windows for the upcoming cohort are actively shutting down. Provide direct instructions for final seat allocation.</w:t>
      </w:r>
    </w:p>
    <w:p w:rsidR="00000000" w:rsidDel="00000000" w:rsidP="00000000" w:rsidRDefault="00000000" w:rsidRPr="00000000" w14:paraId="00000036">
      <w:pPr>
        <w:pStyle w:val="Heading2"/>
        <w:pBdr>
          <w:top w:space="0" w:sz="0" w:val="nil"/>
          <w:left w:space="0" w:sz="0" w:val="nil"/>
          <w:bottom w:space="0" w:sz="0" w:val="nil"/>
          <w:right w:space="0" w:sz="0" w:val="nil"/>
          <w:between w:space="0" w:sz="0" w:val="nil"/>
        </w:pBdr>
        <w:shd w:fill="auto" w:val="clear"/>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5. Visual Format Distribution Strategy</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300" w:lineRule="auto"/>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To maximise impact and keep visual delivery fresh across four daily drops, alternate your media asset formats strictly across each time slot:</w:t>
      </w:r>
    </w:p>
    <w:p w:rsidR="00000000" w:rsidDel="00000000" w:rsidP="00000000" w:rsidRDefault="00000000" w:rsidRPr="00000000" w14:paraId="00000038">
      <w:pPr>
        <w:numPr>
          <w:ilvl w:val="0"/>
          <w:numId w:val="5"/>
        </w:numPr>
        <w:pBdr>
          <w:top w:space="0" w:sz="0" w:val="nil"/>
          <w:left w:space="0" w:sz="0" w:val="nil"/>
          <w:bottom w:space="0" w:sz="0" w:val="nil"/>
          <w:right w:space="0" w:sz="0" w:val="nil"/>
          <w:between w:space="0" w:sz="0" w:val="nil"/>
        </w:pBdr>
        <w:shd w:fill="auto" w:val="clear"/>
        <w:spacing w:line="300" w:lineRule="auto"/>
        <w:ind w:left="600" w:hanging="360"/>
        <w:rPr>
          <w:sz w:val="24"/>
          <w:szCs w:val="24"/>
        </w:rPr>
      </w:pPr>
      <w:r w:rsidDel="00000000" w:rsidR="00000000" w:rsidRPr="00000000">
        <w:rPr>
          <w:rFonts w:ascii="Verdana" w:cs="Verdana" w:eastAsia="Verdana" w:hAnsi="Verdana"/>
          <w:b w:val="1"/>
          <w:bCs w:val="1"/>
          <w:sz w:val="24"/>
          <w:szCs w:val="24"/>
          <w:rtl w:val="0"/>
        </w:rPr>
        <w:t xml:space="preserve">01. Morning Slot:</w:t>
      </w:r>
      <w:r w:rsidDel="00000000" w:rsidR="00000000" w:rsidRPr="00000000">
        <w:rPr>
          <w:rFonts w:ascii="Verdana" w:cs="Verdana" w:eastAsia="Verdana" w:hAnsi="Verdana"/>
          <w:sz w:val="24"/>
          <w:szCs w:val="24"/>
          <w:rtl w:val="0"/>
        </w:rPr>
        <w:t xml:space="preserve"> Long-form native text post paired with a multi-slide value-add carousel graphic.</w:t>
      </w:r>
    </w:p>
    <w:p w:rsidR="00000000" w:rsidDel="00000000" w:rsidP="00000000" w:rsidRDefault="00000000" w:rsidRPr="00000000" w14:paraId="00000039">
      <w:pPr>
        <w:numPr>
          <w:ilvl w:val="0"/>
          <w:numId w:val="5"/>
        </w:numPr>
        <w:pBdr>
          <w:top w:space="0" w:sz="0" w:val="nil"/>
          <w:left w:space="0" w:sz="0" w:val="nil"/>
          <w:bottom w:space="0" w:sz="0" w:val="nil"/>
          <w:right w:space="0" w:sz="0" w:val="nil"/>
          <w:between w:space="0" w:sz="0" w:val="nil"/>
        </w:pBdr>
        <w:shd w:fill="auto" w:val="clear"/>
        <w:spacing w:line="300" w:lineRule="auto"/>
        <w:ind w:left="600" w:hanging="360"/>
        <w:rPr>
          <w:sz w:val="24"/>
          <w:szCs w:val="24"/>
        </w:rPr>
      </w:pPr>
      <w:r w:rsidDel="00000000" w:rsidR="00000000" w:rsidRPr="00000000">
        <w:rPr>
          <w:rFonts w:ascii="Verdana" w:cs="Verdana" w:eastAsia="Verdana" w:hAnsi="Verdana"/>
          <w:b w:val="1"/>
          <w:bCs w:val="1"/>
          <w:sz w:val="24"/>
          <w:szCs w:val="24"/>
          <w:rtl w:val="0"/>
        </w:rPr>
        <w:t xml:space="preserve">02. Mid-Day Slot:</w:t>
      </w:r>
      <w:r w:rsidDel="00000000" w:rsidR="00000000" w:rsidRPr="00000000">
        <w:rPr>
          <w:rFonts w:ascii="Verdana" w:cs="Verdana" w:eastAsia="Verdana" w:hAnsi="Verdana"/>
          <w:sz w:val="24"/>
          <w:szCs w:val="24"/>
          <w:rtl w:val="0"/>
        </w:rPr>
        <w:t xml:space="preserve"> Minimalist, high-contrast typographic layout or a clean, single-page structural matrix chart.</w:t>
      </w:r>
    </w:p>
    <w:p w:rsidR="00000000" w:rsidDel="00000000" w:rsidP="00000000" w:rsidRDefault="00000000" w:rsidRPr="00000000" w14:paraId="0000003A">
      <w:pPr>
        <w:numPr>
          <w:ilvl w:val="0"/>
          <w:numId w:val="5"/>
        </w:numPr>
        <w:pBdr>
          <w:top w:space="0" w:sz="0" w:val="nil"/>
          <w:left w:space="0" w:sz="0" w:val="nil"/>
          <w:bottom w:space="0" w:sz="0" w:val="nil"/>
          <w:right w:space="0" w:sz="0" w:val="nil"/>
          <w:between w:space="0" w:sz="0" w:val="nil"/>
        </w:pBdr>
        <w:shd w:fill="auto" w:val="clear"/>
        <w:spacing w:line="300" w:lineRule="auto"/>
        <w:ind w:left="600" w:hanging="360"/>
        <w:rPr>
          <w:sz w:val="24"/>
          <w:szCs w:val="24"/>
        </w:rPr>
      </w:pPr>
      <w:r w:rsidDel="00000000" w:rsidR="00000000" w:rsidRPr="00000000">
        <w:rPr>
          <w:rFonts w:ascii="Verdana" w:cs="Verdana" w:eastAsia="Verdana" w:hAnsi="Verdana"/>
          <w:b w:val="1"/>
          <w:bCs w:val="1"/>
          <w:sz w:val="24"/>
          <w:szCs w:val="24"/>
          <w:rtl w:val="0"/>
        </w:rPr>
        <w:t xml:space="preserve">03. Afternoon Slot:</w:t>
      </w:r>
      <w:r w:rsidDel="00000000" w:rsidR="00000000" w:rsidRPr="00000000">
        <w:rPr>
          <w:rFonts w:ascii="Verdana" w:cs="Verdana" w:eastAsia="Verdana" w:hAnsi="Verdana"/>
          <w:sz w:val="24"/>
          <w:szCs w:val="24"/>
          <w:rtl w:val="0"/>
        </w:rPr>
        <w:t xml:space="preserve"> Conversational pull quotes, high-level code blocks or automation workflow screenshots, or clean text overlays on relevant B-roll video.</w:t>
      </w:r>
    </w:p>
    <w:p w:rsidR="00000000" w:rsidDel="00000000" w:rsidP="00000000" w:rsidRDefault="00000000" w:rsidRPr="00000000" w14:paraId="0000003B">
      <w:pPr>
        <w:numPr>
          <w:ilvl w:val="0"/>
          <w:numId w:val="5"/>
        </w:numPr>
        <w:pBdr>
          <w:top w:space="0" w:sz="0" w:val="nil"/>
          <w:left w:space="0" w:sz="0" w:val="nil"/>
          <w:bottom w:space="0" w:sz="0" w:val="nil"/>
          <w:right w:space="0" w:sz="0" w:val="nil"/>
          <w:between w:space="0" w:sz="0" w:val="nil"/>
        </w:pBdr>
        <w:shd w:fill="auto" w:val="clear"/>
        <w:spacing w:line="300" w:lineRule="auto"/>
        <w:ind w:left="600" w:hanging="360"/>
        <w:rPr>
          <w:sz w:val="24"/>
          <w:szCs w:val="24"/>
        </w:rPr>
      </w:pPr>
      <w:r w:rsidDel="00000000" w:rsidR="00000000" w:rsidRPr="00000000">
        <w:rPr>
          <w:rFonts w:ascii="Verdana" w:cs="Verdana" w:eastAsia="Verdana" w:hAnsi="Verdana"/>
          <w:b w:val="1"/>
          <w:bCs w:val="1"/>
          <w:sz w:val="24"/>
          <w:szCs w:val="24"/>
          <w:rtl w:val="0"/>
        </w:rPr>
        <w:t xml:space="preserve">04. Evening Slot:</w:t>
      </w:r>
      <w:r w:rsidDel="00000000" w:rsidR="00000000" w:rsidRPr="00000000">
        <w:rPr>
          <w:rFonts w:ascii="Verdana" w:cs="Verdana" w:eastAsia="Verdana" w:hAnsi="Verdana"/>
          <w:sz w:val="24"/>
          <w:szCs w:val="24"/>
          <w:rtl w:val="0"/>
        </w:rPr>
        <w:t xml:space="preserve"> high-impact, conversion-optimised promotional flyer displaying cohort start dates, curriculum modules, and clear registration triggers.</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Verdan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