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/>
          <w:b w:val="0"/>
          <w:sz w:val="18"/>
        </w:rPr>
        <w:t>post_id: POST-20260620-010 | post_date: 2026-06-20</w:t>
      </w:r>
    </w:p>
    <w:p>
      <w:r>
        <w:rPr>
          <w:rFonts w:ascii="PingFang SC" w:hAnsi="PingFang SC"/>
          <w:b w:val="0"/>
          <w:sz w:val="18"/>
        </w:rPr>
        <w:t>source: reports/20260620/英伟达Rubin平台深挖.md | topic: 英伟达Rubin | tags: 英伟达, Rubin, AI算力, 半导体 | image_count: 4</w:t>
      </w:r>
    </w:p>
    <w:p/>
    <w:p>
      <w:r>
        <w:rPr>
          <w:rFonts w:ascii="PingFang SC" w:hAnsi="PingFang SC"/>
          <w:b/>
          <w:sz w:val="32"/>
        </w:rPr>
        <w:t>英伟达Rubin全面投产：系统级革命，不止GPU</w:t>
      </w:r>
    </w:p>
    <w:p/>
    <w:p>
      <w:r>
        <w:rPr>
          <w:rFonts w:ascii="PingFang SC" w:hAnsi="PingFang SC"/>
          <w:b w:val="0"/>
          <w:sz w:val="24"/>
        </w:rPr>
        <w:t>2026年6月1日，英伟达Vera Rubin全面投产。首批NVL72已交付CoreWeave和Oracle。</w:t>
      </w:r>
    </w:p>
    <w:p/>
    <w:p>
      <w:r>
        <w:rPr>
          <w:rFonts w:ascii="PingFang SC" w:hAnsi="PingFang SC"/>
          <w:b w:val="0"/>
          <w:sz w:val="24"/>
        </w:rPr>
        <w:t>这不是一次GPU常规升级——Rubin实现3.6 EFLOPS FP4推理，token成本降至Blackwell的1/10。更关键：英伟达首次推出自研数据中心CPU。</w:t>
      </w:r>
    </w:p>
    <w:p/>
    <w:p>
      <w:r>
        <w:rPr>
          <w:rFonts w:ascii="PingFang SC" w:hAnsi="PingFang SC"/>
          <w:b/>
          <w:sz w:val="28"/>
        </w:rPr>
        <w:t>【已确认事实】</w:t>
      </w:r>
    </w:p>
    <w:p>
      <w:r>
        <w:rPr>
          <w:rFonts w:ascii="PingFang SC" w:hAnsi="PingFang SC"/>
          <w:b w:val="0"/>
          <w:sz w:val="24"/>
        </w:rPr>
        <w:t>Rubin搭载Vera CPU——88核Arm v9.2架构，1.2TB/s LPDDR5X带宽，700GB/s NVLink-C2C互连。已出货超250万颗，CPU相关年收入约2000亿美元。</w:t>
      </w:r>
    </w:p>
    <w:p/>
    <w:p>
      <w:r>
        <w:rPr>
          <w:rFonts w:ascii="PingFang SC" w:hAnsi="PingFang SC"/>
          <w:b w:val="0"/>
          <w:sz w:val="24"/>
        </w:rPr>
        <w:t>在Agentic AI场景中，CPU处理70-90%的延迟任务：工具调用、分支逻辑、KV-cache卸载。美银预测2030年CPU TAM达1.7万亿美元，其中Agentic AI CPU需求约7000亿美元。</w:t>
      </w:r>
    </w:p>
    <w:p/>
    <w:p>
      <w:r>
        <w:rPr>
          <w:rFonts w:ascii="PingFang SC" w:hAnsi="PingFang SC"/>
          <w:b w:val="0"/>
          <w:sz w:val="24"/>
        </w:rPr>
        <w:t>Rubin升级重新定义了机柜全部组件价值量：PCB +233%（3.5万→11.7万/柜）、MLCC +182%（约18万/柜）、ABF +82%、液冷+12%。NVL72单柜约780万美元，近乎Blackwell的2倍。</w:t>
      </w:r>
    </w:p>
    <w:p/>
    <w:p>
      <w:r>
        <w:rPr>
          <w:rFonts w:ascii="PingFang SC" w:hAnsi="PingFang SC"/>
          <w:b w:val="0"/>
          <w:sz w:val="24"/>
        </w:rPr>
        <w:t>100%全液冷无风扇，液冷从“可选配置”变为“AI基建标配”。</w:t>
      </w:r>
    </w:p>
    <w:p/>
    <w:p>
      <w:r>
        <w:rPr>
          <w:rFonts w:ascii="PingFang SC" w:hAnsi="PingFang SC"/>
          <w:b/>
          <w:sz w:val="28"/>
        </w:rPr>
        <w:t>【A股映射】</w:t>
      </w:r>
    </w:p>
    <w:p>
      <w:r>
        <w:rPr>
          <w:rFonts w:ascii="PingFang SC" w:hAnsi="PingFang SC"/>
          <w:b w:val="0"/>
          <w:sz w:val="24"/>
        </w:rPr>
        <w:t>胜宏科技（300476）：Rubin PCB独家供应商（计算板+交换板），份额50-55%。单柜PCB价值量从3.5万升至11.7万美元。年内涨幅已超100%，部分预期已定价。PE较高，若出货不及预期，估值回调空间较大。</w:t>
      </w:r>
    </w:p>
    <w:p/>
    <w:p>
      <w:r>
        <w:rPr>
          <w:rFonts w:ascii="PingFang SC" w:hAnsi="PingFang SC"/>
          <w:b w:val="0"/>
          <w:sz w:val="24"/>
        </w:rPr>
        <w:t>工业富联（601138）：独家代工HGX NOL8，承接80-90%整机柜订单。大摩预计出货1-1.8万台Rubin服务器，AI服务器营收指引上调至4500亿元。年内涨幅超50%。</w:t>
      </w:r>
    </w:p>
    <w:p/>
    <w:p>
      <w:r>
        <w:rPr>
          <w:rFonts w:ascii="PingFang SC" w:hAnsi="PingFang SC"/>
          <w:b/>
          <w:sz w:val="28"/>
        </w:rPr>
        <w:t>【下一步验证与失效条件】</w:t>
      </w:r>
    </w:p>
    <w:p>
      <w:r>
        <w:rPr>
          <w:rFonts w:ascii="PingFang SC" w:hAnsi="PingFang SC"/>
          <w:b w:val="0"/>
          <w:sz w:val="24"/>
        </w:rPr>
        <w:t>核心验证窗口：7-8月中报季。关注胜宏营收增速能否超50%、工业富联AI营收能否接近4500亿指引。</w:t>
      </w:r>
    </w:p>
    <w:p/>
    <w:p>
      <w:r>
        <w:rPr>
          <w:rFonts w:ascii="PingFang SC" w:hAnsi="PingFang SC"/>
          <w:b w:val="0"/>
          <w:sz w:val="24"/>
        </w:rPr>
        <w:t>关键失效条件：1）超大规模云厂商削减AI Capex（微软/谷歌/亚马逊/Meta指引同比转负）；2）Rubin出货连续两季低于预期；3）HBM4供应持续紧张——SK海力士60-70%份额，黄仁勋已被曝催产能。</w:t>
      </w:r>
    </w:p>
    <w:p/>
    <w:p>
      <w:r>
        <w:rPr>
          <w:rFonts w:ascii="PingFang SC" w:hAnsi="PingFang SC"/>
          <w:b w:val="0"/>
          <w:sz w:val="22"/>
        </w:rPr>
        <w:t>#英伟达 #Rubin #AI算力 #半导体 #PCB #液冷 #数据中心 #A股</w:t>
      </w:r>
    </w:p>
    <w:p/>
    <w:p>
      <w:r>
        <w:rPr>
          <w:rFonts w:ascii="PingFang SC" w:hAnsi="PingFang SC"/>
          <w:b w:val="0"/>
          <w:sz w:val="20"/>
        </w:rPr>
        <w:t>⚠️ 本内容仅供信息分享与逻辑交流，不构成任何投资建议。股市有风险，决策需谨慎。</w:t>
      </w:r>
    </w:p>
    <w:p/>
    <w:p/>
    <w:p>
      <w:r>
        <w:rPr>
          <w:rFonts w:ascii="PingFang SC" w:hAnsi="PingFang SC"/>
          <w:b/>
          <w:sz w:val="20"/>
        </w:rPr>
        <w:t>参考资料：</w:t>
      </w:r>
      <w:r>
        <w:rPr>
          <w:rFonts w:ascii="PingFang SC" w:hAnsi="PingFang SC"/>
          <w:sz w:val="18"/>
        </w:rPr>
        <w:t>NVIDIA官方技术博客（2026-01-06）</w:t>
      </w:r>
      <w:r>
        <w:rPr>
          <w:rFonts w:ascii="PingFang SC" w:hAnsi="PingFang SC"/>
          <w:sz w:val="18"/>
        </w:rPr>
        <w:t>；</w:t>
      </w:r>
      <w:r>
        <w:rPr>
          <w:rFonts w:ascii="PingFang SC" w:hAnsi="PingFang SC"/>
          <w:sz w:val="18"/>
        </w:rPr>
        <w:t>IT之家/多家媒体（2026-06-01）</w:t>
      </w:r>
      <w:r>
        <w:rPr>
          <w:rFonts w:ascii="PingFang SC" w:hAnsi="PingFang SC"/>
          <w:sz w:val="18"/>
        </w:rPr>
        <w:t>；</w:t>
      </w:r>
      <w:r>
        <w:rPr>
          <w:rFonts w:ascii="PingFang SC" w:hAnsi="PingFang SC"/>
          <w:sz w:val="18"/>
        </w:rPr>
        <w:t>EET China（2026-06-01）</w:t>
      </w:r>
      <w:r>
        <w:rPr>
          <w:rFonts w:ascii="PingFang SC" w:hAnsi="PingFang SC"/>
          <w:sz w:val="18"/>
        </w:rPr>
        <w:t>；</w:t>
      </w:r>
      <w:r>
        <w:rPr>
          <w:rFonts w:ascii="PingFang SC" w:hAnsi="PingFang SC"/>
          <w:sz w:val="18"/>
        </w:rPr>
        <w:t>Bloomberg（2026-06-05）</w:t>
      </w:r>
      <w:r>
        <w:rPr>
          <w:rFonts w:ascii="PingFang SC" w:hAnsi="PingFang SC"/>
          <w:sz w:val="18"/>
        </w:rPr>
        <w:t>；</w:t>
      </w:r>
      <w:r>
        <w:rPr>
          <w:rFonts w:ascii="PingFang SC" w:hAnsi="PingFang SC"/>
          <w:sz w:val="18"/>
        </w:rPr>
        <w:t>经济观察报（2026-06-19）</w:t>
      </w:r>
      <w:r>
        <w:rPr>
          <w:rFonts w:ascii="PingFang SC" w:hAnsi="PingFang SC"/>
          <w:sz w:val="18"/>
        </w:rPr>
        <w:t>；</w:t>
      </w:r>
      <w:r>
        <w:rPr>
          <w:rFonts w:ascii="PingFang SC" w:hAnsi="PingFang SC"/>
          <w:sz w:val="18"/>
        </w:rPr>
        <w:t>Korea Herald（2026-06-05）</w:t>
      </w:r>
      <w:r>
        <w:rPr>
          <w:rFonts w:ascii="PingFang SC" w:hAnsi="PingFang SC"/>
          <w:sz w:val="18"/>
        </w:rPr>
        <w:t>；</w:t>
      </w:r>
      <w:r>
        <w:rPr>
          <w:rFonts w:ascii="PingFang SC" w:hAnsi="PingFang SC"/>
          <w:sz w:val="18"/>
        </w:rPr>
        <w:t>Sammobile（2026-06-05）</w:t>
      </w:r>
      <w:r>
        <w:rPr>
          <w:rFonts w:ascii="PingFang SC" w:hAnsi="PingFang SC"/>
          <w:sz w:val="18"/>
        </w:rPr>
        <w:t>；</w:t>
      </w:r>
      <w:r>
        <w:rPr>
          <w:rFonts w:ascii="PingFang SC" w:hAnsi="PingFang SC"/>
          <w:sz w:val="18"/>
        </w:rPr>
        <w:t>国联民生证券（2026-06-18）</w:t>
      </w:r>
      <w:r>
        <w:rPr>
          <w:rFonts w:ascii="PingFang SC" w:hAnsi="PingFang SC"/>
          <w:sz w:val="18"/>
        </w:rPr>
        <w:t>；</w:t>
      </w:r>
      <w:r>
        <w:rPr>
          <w:rFonts w:ascii="PingFang SC" w:hAnsi="PingFang SC"/>
          <w:sz w:val="18"/>
        </w:rPr>
        <w:t>中信证券（2026-06-18）</w:t>
      </w:r>
      <w:r>
        <w:rPr>
          <w:rFonts w:ascii="PingFang SC" w:hAnsi="PingFang SC"/>
          <w:sz w:val="18"/>
        </w:rPr>
        <w:t>；</w:t>
      </w:r>
      <w:r>
        <w:rPr>
          <w:rFonts w:ascii="PingFang SC" w:hAnsi="PingFang SC"/>
          <w:sz w:val="18"/>
        </w:rPr>
        <w:t>东莞证券（2026-06-18）</w:t>
      </w:r>
      <w:r>
        <w:rPr>
          <w:rFonts w:ascii="PingFang SC" w:hAnsi="PingFang SC"/>
          <w:sz w:val="18"/>
        </w:rPr>
        <w:t>；</w:t>
      </w:r>
      <w:r>
        <w:rPr>
          <w:rFonts w:ascii="PingFang SC" w:hAnsi="PingFang SC"/>
          <w:sz w:val="18"/>
        </w:rPr>
        <w:t>StorageReview（2026-01-06）</w:t>
      </w:r>
      <w:r>
        <w:rPr>
          <w:rFonts w:ascii="PingFang SC" w:hAnsi="PingFang SC"/>
          <w:sz w:val="18"/>
        </w:rPr>
        <w:t>；</w:t>
      </w:r>
      <w:r>
        <w:rPr>
          <w:rFonts w:ascii="PingFang SC" w:hAnsi="PingFang SC"/>
          <w:sz w:val="18"/>
        </w:rPr>
        <w:t>NVIDIA Q1财报（2026-05-01）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