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61A68">
      <w:r>
        <w:rPr>
          <w:sz w:val="18"/>
        </w:rPr>
        <w:t>post_id: POST-20260621-002 | 2026-06-21</w:t>
      </w:r>
    </w:p>
    <w:p w14:paraId="27AB7DB4">
      <w:r>
        <w:rPr>
          <w:sz w:val="18"/>
        </w:rPr>
        <w:t>source: reports/20260621/AI端侧芯片与终端设备换机周期深挖.md</w:t>
      </w:r>
    </w:p>
    <w:p w14:paraId="495A5BD6">
      <w:r>
        <w:rPr>
          <w:sz w:val="18"/>
        </w:rPr>
        <w:t>topic: AI端侧芯片量跌价升 | tags: AI芯片, 端侧智能, 消费电子, 半导体, 存储芯片</w:t>
      </w:r>
    </w:p>
    <w:p w14:paraId="1A4282D8">
      <w:r>
        <w:rPr>
          <w:sz w:val="18"/>
        </w:rPr>
        <w:t>image_count: 5</w:t>
      </w:r>
    </w:p>
    <w:p w14:paraId="7B80B3D5"/>
    <w:p w14:paraId="0609059E">
      <w:r>
        <w:rPr>
          <w:b/>
          <w:sz w:val="32"/>
        </w:rPr>
        <w:t>AI端侧芯片：终端出货下滑，芯片公司业绩却创了新高</w:t>
      </w:r>
    </w:p>
    <w:p w14:paraId="463DD7C3"/>
    <w:p w14:paraId="602AF074">
      <w:r>
        <w:rPr>
          <w:sz w:val="22"/>
        </w:rPr>
        <w:t>今天看到一组矛盾的数据：Gartner和IDC同步下修2026年PC和手机出货预期——PC -10.4%、手机 -8.4%，AI PC渗透率达50%的时间点从2026年推迟至2028年。但与此同时，两家端侧AI芯片公司交出了历史最好成绩单。</w:t>
      </w:r>
    </w:p>
    <w:p w14:paraId="225BAA1E">
      <w:r>
        <w:rPr>
          <w:sz w:val="22"/>
        </w:rPr>
        <w:t>这看起来矛盾，但逻辑链条是清晰的——</w:t>
      </w:r>
    </w:p>
    <w:p w14:paraId="62B0692D">
      <w:r>
        <w:rPr>
          <w:sz w:val="22"/>
        </w:rPr>
        <w:t>先看已经确认的事实。Gartner和IDC的数据表明，2026年消费电子正经历十多年来最大的出货量下滑，核心原因不是需求消失，而是"存储通胀"。AI数据中心对HBM的爆发式需求挤占了消费级存储产能（摩根士丹利：短缺至少持续至2028年），DDR5价格一年内再涨130%，一台AI PC的BOM成本中存储占比从16%升至23%。16GB RAM是AI PC的门槛配置，但DDR5价格翻倍后，入门级AI PC的性价比优势消失了，消费者自然推迟换机。</w:t>
      </w:r>
    </w:p>
    <w:p w14:paraId="4D64D7DD">
      <w:r>
        <w:rPr>
          <w:sz w:val="22"/>
        </w:rPr>
        <w:t>但产业链中有一个环节正在结构性受益：端侧AI SoC芯片。即便终端出货量下降，单台设备的芯片价值量在快速提升——AI终端需要更强的NPU（从10 TOPS迈向40+ TOPS）、更先进的制程（6nm→4nm）和更多的芯片内容。瑞芯微2025年营收44亿（+40%）、净利10.4亿（+75%），晶晨股份AI算力芯片出货超2000万颗（+160%），均创历史新高。与直觉相反："量跌价升"——芯片环节的利润跑赢了整机环节。</w:t>
      </w:r>
    </w:p>
    <w:p w14:paraId="7E2AD186">
      <w:r>
        <w:rPr>
          <w:sz w:val="22"/>
        </w:rPr>
        <w:t>我的判断是：2026年消费电子呈现"总量收缩、结构升级"格局。终端出货量下降是真实压力，但AI驱动的芯片升级周期独立于终端出货周期，SoC公司（瑞芯微PE 66x/ROE 26%、晶晨PE 48x）的业绩弹性仍在。AI眼镜等新品类也在萌芽，提供不依赖存量换机的增量逻辑。</w:t>
      </w:r>
    </w:p>
    <w:p w14:paraId="32480352">
      <w:r>
        <w:rPr>
          <w:sz w:val="22"/>
        </w:rPr>
        <w:t>核心风险在于：当前AI SoC的高增长中，部分来自2024-2025年补库和产品升级的延续。一旦补库结束，增速可能回落至10-15%的正常水平。8月中报是第一个关键验证节点——瑞芯微和晶晨的营收增速能否维持30%以上，将决定"量跌价升"的逻辑能否延续。</w:t>
      </w:r>
    </w:p>
    <w:p w14:paraId="3588B93E"/>
    <w:p w14:paraId="23F3AC1C">
      <w:r>
        <w:rPr>
          <w:b/>
          <w:sz w:val="22"/>
        </w:rPr>
        <w:t>Information &amp; Data Sources：</w:t>
      </w:r>
    </w:p>
    <w:p w14:paraId="0565E47E">
      <w:r>
        <w:rPr>
          <w:sz w:val="20"/>
        </w:rPr>
        <w:t>[1] 2026-02-27｜Gartner/IDC｜行业调研</w:t>
      </w:r>
    </w:p>
    <w:p w14:paraId="32E83AFC">
      <w:r>
        <w:rPr>
          <w:sz w:val="20"/>
        </w:rPr>
        <w:t>[2] 2026-04-14｜瑞芯微年报｜公司公告</w:t>
      </w:r>
    </w:p>
    <w:p w14:paraId="683A264A">
      <w:r>
        <w:rPr>
          <w:sz w:val="20"/>
        </w:rPr>
        <w:t>[3] 2026-03-30｜晶晨股份年报｜公司公告</w:t>
      </w:r>
    </w:p>
    <w:p w14:paraId="715DEA1B">
      <w:r>
        <w:rPr>
          <w:sz w:val="20"/>
        </w:rPr>
        <w:t>[4] 2026-05-28｜摩根士丹利研报｜市场报告</w:t>
      </w:r>
    </w:p>
    <w:p w14:paraId="02DA2040">
      <w:r>
        <w:rPr>
          <w:sz w:val="20"/>
        </w:rPr>
        <w:t>[5] 2026-06-16｜高通/IDC｜行业调研</w:t>
      </w:r>
    </w:p>
    <w:p w14:paraId="4289BC4B"/>
    <w:p w14:paraId="571F37B6">
      <w:r>
        <w:rPr>
          <w:sz w:val="22"/>
        </w:rPr>
        <w:t>#A股 #投资 #资本市场 #AI芯片 #端侧智能 #半导体 #消费电子 #存储芯片</w:t>
      </w:r>
    </w:p>
    <w:p w14:paraId="35CB14CE">
      <w:bookmarkStart w:id="0" w:name="_GoBack"/>
      <w:bookmarkEnd w:id="0"/>
    </w:p>
    <w:p w14:paraId="7B35737F">
      <w:r>
        <w:rPr>
          <w:b/>
          <w:sz w:val="20"/>
        </w:rPr>
        <w:t>⚠️ 本内容仅供信息分享与逻辑交流，不构成任何投资建议。股市有风险，决策需谨慎。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97F7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PingFang SC" w:hAnsi="PingFang SC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ENNIO LEE</cp:lastModifiedBy>
  <dcterms:modified xsi:type="dcterms:W3CDTF">2026-06-21T15:45:08Z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2052-12.1.25897.25897</vt:lpwstr>
  </property>
  <property fmtid="{D5CDD505-2E9C-101B-9397-08002B2CF9AE}" pid="3" name="ICV">
    <vt:lpwstr>1A2950A85F13EAE28496376A3943948A_42</vt:lpwstr>
  </property>
</Properties>
</file>