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  <w:sz w:val="18"/>
        </w:rPr>
        <w:t>post_id: POST-20260621-003 | post_date: 2026-06-21</w:t>
        <w:br/>
        <w:t>source: reports/20260621/半导体设备国产化深挖.md</w:t>
        <w:br/>
        <w:t>topic: 半导体设备国产化 | tags: 半导体设备, 国产替代, 刻蚀, 薄膜沉积, CMP | image_count: 5</w:t>
      </w:r>
    </w:p>
    <w:p/>
    <w:p/>
    <w:p/>
    <w:p>
      <w:pPr>
        <w:spacing w:after="200"/>
      </w:pPr>
      <w:r>
        <w:rPr>
          <w:rFonts w:ascii="微软雅黑" w:hAnsi="微软雅黑"/>
          <w:b/>
          <w:sz w:val="36"/>
        </w:rPr>
        <w:t>半导体设备，订单排到2027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半导体设备板块60日涨幅50-143%，龙头PE 94-126x——这是市场已经在定价的部分。但真正值得关注的结构性变化，不在价格里，在订单里。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三个不可逆的产业事实：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第一，国内三大晶圆厂同步进入大规模扩产周期。长鑫2026年设备采购需求50-60亿美元，长江存储产能翻倍，中芯新增4万片/月。三家的共同点：优先采购国产设备。仅此一项，2026-2028年年均为国产设备贡献60-130亿美元的营收增量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第二，国产化率正经历斜率拐点。从2024年的25%跃升至2025年的35%，2026年预计突破45%。在长鑫和长存的招标中，国产设备占比已从两年前不到20%升至40-50%。前十大国产设备商招标中标占比达63.5%。这是一个斜率拐点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第三，大基金三期3,440亿元约70%直接投向设备和材料，聚焦刻蚀机、薄膜沉积设备、核心零部件和EDA。对比前两期以芯片设计和制造为主，三期的设备导向是明确的结构性增量。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A股映射清晰。北方华创在手订单超650亿元，排产至2027年Q1；中微公司Q1营收同比+124.9%，5nm刻蚀验证覆盖95%以上刻蚀工艺；拓荆科技长存PECVD市占率约55%，在手订单约110亿元；华海清科CMP国内唯一量产12英寸机型。四家龙头设备收入占比均超过85%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但板块当前的主要问题是估值拥挤。60日涨幅：拓荆科技+111%、富创精密+143%、北方华创+54%、芯源微+78%。龙头PE 94-126x已隐含2-3年的增长预期。北方华创合同负债从62.2亿降至42.9亿（-31%），可能暗示客户付款条件变化，值得持续跟踪。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方向确定，但追高的性价比在降低。这也是深挖报告中给出market_attractiveness=watch的原因——fundamental和mapping均为high，但短期价格已计入较多乐观预期。</w:t>
      </w:r>
    </w:p>
    <w:p/>
    <w:p>
      <w:pPr>
        <w:spacing w:after="80"/>
      </w:pPr>
      <w:r>
        <w:rPr>
          <w:rFonts w:ascii="微软雅黑" w:hAnsi="微软雅黑"/>
          <w:b w:val="0"/>
          <w:sz w:val="22"/>
        </w:rPr>
        <w:t>下一步看什么：8月中报验证Q2订单增速是否维持30-50%；长鑫/长存IPO注册进展（6-8月）是板块估值锚事件；大基金三期具体投向披露提供情绪溢价。失效条件：中报增速低于20%，或晶圆厂资本开支下调超30%。</w:t>
      </w:r>
    </w:p>
    <w:p/>
    <w:p>
      <w:r>
        <w:rPr>
          <w:rFonts w:ascii="微软雅黑" w:hAnsi="微软雅黑"/>
          <w:sz w:val="22"/>
        </w:rPr>
        <w:t>Information &amp; Data Sources：</w:t>
      </w:r>
    </w:p>
    <w:p>
      <w:r>
        <w:rPr>
          <w:rFonts w:ascii="微软雅黑" w:hAnsi="微软雅黑"/>
          <w:sz w:val="20"/>
        </w:rPr>
        <w:t>[1] 2026-06｜CLSA/国元证券｜行业调研</w:t>
      </w:r>
    </w:p>
    <w:p>
      <w:r>
        <w:rPr>
          <w:rFonts w:ascii="微软雅黑" w:hAnsi="微软雅黑"/>
          <w:sz w:val="20"/>
        </w:rPr>
        <w:t>[2] 2026-06-09｜多家财经媒体｜市场报告</w:t>
      </w:r>
    </w:p>
    <w:p>
      <w:r>
        <w:rPr>
          <w:rFonts w:ascii="微软雅黑" w:hAnsi="微软雅黑"/>
          <w:sz w:val="20"/>
        </w:rPr>
        <w:t>[3] 2026-06｜招商证券/大基金三期｜政策文件</w:t>
      </w:r>
    </w:p>
    <w:p>
      <w:r>
        <w:rPr>
          <w:rFonts w:ascii="微软雅黑" w:hAnsi="微软雅黑"/>
          <w:sz w:val="20"/>
        </w:rPr>
        <w:t>[4] 2026-06-18｜Tushare行情数据｜市场数据</w:t>
      </w:r>
    </w:p>
    <w:p>
      <w:r>
        <w:rPr>
          <w:rFonts w:ascii="微软雅黑" w:hAnsi="微软雅黑"/>
          <w:sz w:val="20"/>
        </w:rPr>
        <w:t>[5] 2026-06｜东吴证券/瑞银/华兴证券｜行业调研</w:t>
      </w:r>
    </w:p>
    <w:p>
      <w:r>
        <w:rPr>
          <w:rFonts w:ascii="微软雅黑" w:hAnsi="微软雅黑"/>
          <w:sz w:val="20"/>
        </w:rPr>
        <w:t>[6] 2026-06｜长鑫/长存招标公告/券商研报｜公司公告</w:t>
      </w:r>
    </w:p>
    <w:p>
      <w:r>
        <w:rPr>
          <w:rFonts w:ascii="微软雅黑" w:hAnsi="微软雅黑"/>
          <w:sz w:val="20"/>
        </w:rPr>
        <w:t>[7] 2026-04｜美国商务部｜政府公告</w:t>
      </w:r>
    </w:p>
    <w:p>
      <w:r>
        <w:rPr>
          <w:rFonts w:ascii="微软雅黑" w:hAnsi="微软雅黑"/>
          <w:sz w:val="20"/>
        </w:rPr>
        <w:t>[8] 2026｜应用材料/LAM Research财报｜公司公告</w:t>
      </w:r>
    </w:p>
    <w:p>
      <w:r>
        <w:rPr>
          <w:rFonts w:ascii="微软雅黑" w:hAnsi="微软雅黑"/>
          <w:sz w:val="20"/>
        </w:rPr>
        <w:t>[9] 2026-04｜北方华创2025年报/财联社｜公司公告</w:t>
      </w:r>
    </w:p>
    <w:p>
      <w:r>
        <w:rPr>
          <w:rFonts w:ascii="微软雅黑" w:hAnsi="微软雅黑"/>
          <w:sz w:val="20"/>
        </w:rPr>
        <w:t>[10] 2026-05｜东吴证券/华兴证券｜行业调研</w:t>
      </w:r>
    </w:p>
    <w:p>
      <w:r>
        <w:rPr>
          <w:rFonts w:ascii="微软雅黑" w:hAnsi="微软雅黑"/>
          <w:sz w:val="20"/>
        </w:rPr>
        <w:t>[11] 2026｜华兴证券/伯恩斯坦｜行业调研</w:t>
      </w:r>
    </w:p>
    <w:p>
      <w:r>
        <w:rPr>
          <w:rFonts w:ascii="微软雅黑" w:hAnsi="微软雅黑"/>
          <w:sz w:val="20"/>
        </w:rPr>
        <w:t>[12] 2026｜东吴证券/公开报道｜行业调研</w:t>
      </w:r>
    </w:p>
    <w:p>
      <w:r>
        <w:rPr>
          <w:rFonts w:ascii="微软雅黑" w:hAnsi="微软雅黑"/>
          <w:sz w:val="20"/>
        </w:rPr>
        <w:t>[13] 2026｜券商研报/公司公告｜公司公告</w:t>
      </w:r>
    </w:p>
    <w:p>
      <w:r>
        <w:rPr>
          <w:rFonts w:ascii="微软雅黑" w:hAnsi="微软雅黑"/>
          <w:sz w:val="20"/>
        </w:rPr>
        <w:t>[14] 2026-04｜北方华创年报｜公司公告</w:t>
      </w:r>
    </w:p>
    <w:p/>
    <w:p>
      <w:r>
        <w:rPr>
          <w:rFonts w:ascii="微软雅黑" w:hAnsi="微软雅黑"/>
          <w:b w:val="0"/>
          <w:sz w:val="20"/>
        </w:rPr>
        <w:t>#A股 #半导体设备 #国产替代 #北方华创 #中微公司 #拓荆科技 #华海清科 #资本市场</w:t>
      </w:r>
    </w:p>
    <w:p/>
    <w:p>
      <w:r>
        <w:rPr>
          <w:rFonts w:ascii="微软雅黑" w:hAnsi="微软雅黑"/>
          <w:sz w:val="18"/>
        </w:rPr>
        <w:t>⚠️ 本内容仅供信息分享与逻辑交流，不构成任何投资建议。股市有风险，决策需谨慎。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