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color w:val="999999"/>
          <w:sz w:val="18"/>
        </w:rPr>
        <w:t>post_id: POST-20260620-001 | 2026-06-20</w:t>
      </w:r>
    </w:p>
    <w:p>
      <w:pPr>
        <w:spacing w:before="0" w:after="0" w:line="220" w:lineRule="exact"/>
      </w:pPr>
    </w:p>
    <w:p>
      <w:pPr>
        <w:pStyle w:val="Heading1"/>
        <w:spacing w:before="0" w:after="0"/>
      </w:pPr>
      <w:r>
        <w:t>人形机器人，订单第一次从 PPT 走进合同</w:t>
      </w:r>
    </w:p>
    <w:p>
      <w:pPr>
        <w:spacing w:before="0" w:after="0" w:line="220" w:lineRule="exact"/>
      </w:pPr>
    </w:p>
    <w:p>
      <w:pPr>
        <w:spacing w:before="0" w:after="0"/>
      </w:pPr>
      <w:r>
        <w:t>本周最值得关注的变化，不是哪个大模型又刷榜了，而是人形机器人的订单，第一次从"展示"走进了"合同"。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</w:rPr>
        <w:t>第一，量产从表态变成排产。天工 3.0 宣布下半年规模化量产，优必选 2025 年出货已超千台、全年订单突破 14 亿元。这不是实验室样机，是真在排产、真在交付。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</w:rPr>
        <w:t>第二，产业巨头开始认真投入。英伟达与宇树推出 GR00T 参考设计，把半导体行业成熟的"参考设计"模式引入机器人。这意味着芯片、算法和传感器方案开始收敛，供应链规模化的门槛正在下降。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</w:rPr>
        <w:t>第三，钱在真金白银地进入。国家电网规划采购约 8500 台具身智能设备，总投资约 68 亿元；智平方与惠科签下 3 年 1000 台、近 5 亿元订单。变化不只在订单数字，更在采购开始从意向走向合同。</w:t>
      </w:r>
    </w:p>
    <w:p>
      <w:pPr>
        <w:spacing w:before="0" w:after="0" w:line="220" w:lineRule="exact"/>
      </w:pPr>
    </w:p>
    <w:p>
      <w:pPr>
        <w:spacing w:before="0" w:after="0"/>
      </w:pPr>
      <w:r>
        <w:t>订单落地只是起点。需求要先传到减速器、执行器和传感器，再经过产能爬坡、单位成本下降，才可能转化为利润。当前最明确的受益环节是核心零部件，但也是产能规划最激进、预期最容易提前透支的地方。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</w:rPr>
        <w:t>有几个问题不能回避。当前订单集中于政府和央企采购，商业端的规模化需求尚未验证。高盛调研警示过"10–100 万台产能规划"与"2026 年全球约 5 万台需求预测"之间的落差。续航 1–4 小时、作业效率不及人工一半，技术瓶颈仍然具体。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</w:rPr>
        <w:t>下一步看什么？6 月 30 日先看各省行动计划是否出现量化采购目标；7–8 月看 Optimus Gen3 的产能爬坡和供应链批量订单；三季度看国家电网中标公告；8 月中报则要验证机器人业务营收、毛利率和订单增速。</w:t>
      </w:r>
    </w:p>
    <w:p>
      <w:pPr>
        <w:spacing w:before="0" w:after="0" w:line="220" w:lineRule="exact"/>
      </w:pPr>
    </w:p>
    <w:p>
      <w:pPr>
        <w:spacing w:before="0" w:after="0"/>
      </w:pPr>
      <w:r>
        <w:t>板块内的分化也很极端：绿的谐波 PE 已达 547 倍、近 60 日上涨约 119%，而汇川技术、三花智控、拓普集团近 20 日均出现不同程度回调。同一方向内，价格已经在表达完全不同的预期。</w:t>
      </w:r>
    </w:p>
    <w:p>
      <w:pPr>
        <w:spacing w:before="0" w:after="0" w:line="220" w:lineRule="exact"/>
      </w:pPr>
    </w:p>
    <w:p>
      <w:pPr>
        <w:spacing w:before="0" w:after="0"/>
      </w:pPr>
      <w:r>
        <w:t>————————————————————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color w:val="888888"/>
          <w:sz w:val="18"/>
        </w:rPr>
        <w:t>#人形机器人 #具身智能 #A股 #机器人 #产业链 #科技 #投资 #Circe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color w:val="993333"/>
          <w:sz w:val="18"/>
        </w:rPr>
        <w:t>⚠️ 本内容仅供信息分享与逻辑交流，不构成任何投资建议。股市有风险，决策需谨慎。</w:t>
      </w:r>
    </w:p>
    <w:p>
      <w:pPr>
        <w:spacing w:before="0" w:after="0" w:line="220" w:lineRule="exact"/>
      </w:pP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  <w:sz w:val="20"/>
        </w:rPr>
        <w:t>数据来源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  <w:color w:val="666666"/>
          <w:sz w:val="20"/>
        </w:rPr>
        <w:t>发布日期：</w:t>
      </w:r>
      <w:r>
        <w:rPr>
          <w:color w:val="888888"/>
          <w:sz w:val="20"/>
        </w:rPr>
        <w:t>2026-06-20</w:t>
      </w:r>
    </w:p>
    <w:p>
      <w:pPr>
        <w:spacing w:before="0" w:after="0" w:line="220" w:lineRule="exact"/>
      </w:pPr>
    </w:p>
    <w:p>
      <w:pPr>
        <w:spacing w:before="0" w:after="0"/>
      </w:pPr>
      <w:r>
        <w:rPr>
          <w:b/>
          <w:color w:val="666666"/>
          <w:sz w:val="20"/>
        </w:rPr>
        <w:t>参考资料：</w:t>
      </w:r>
      <w:r>
        <w:rPr>
          <w:color w:val="888888"/>
          <w:sz w:val="20"/>
        </w:rPr>
        <w:t>工信部、国资委"实景实训"专项行动（6/8）；北京人形机器人创新中心·天工 3.0 量产（6/10）；国家电网具身智能设备规划（4月）；智平方与惠科 3 年 1000 台订单；英伟达与宇树 GR00T 参考设计（6/1）；绿的谐波调研及机构跟踪；三花智控旋转执行器定点公告；高盛供应链调研；美国国会 GUARD 法案（6/3）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  <w:rFonts w:eastAsia="PingFang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