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color w:val="999999"/>
          <w:sz w:val="18"/>
        </w:rPr>
        <w:t>post_id: POST-20260620-003 | 2026-06-20</w:t>
      </w:r>
    </w:p>
    <w:p>
      <w:pPr>
        <w:spacing w:before="0" w:after="0" w:line="220" w:lineRule="exact"/>
      </w:pPr>
    </w:p>
    <w:p>
      <w:pPr>
        <w:pStyle w:val="Heading1"/>
        <w:spacing w:before="0" w:after="0"/>
      </w:pPr>
      <w:r>
        <w:t>AI 的下一个瓶颈不是芯片，是电</w:t>
      </w:r>
    </w:p>
    <w:p>
      <w:pPr>
        <w:spacing w:before="0" w:after="0" w:line="220" w:lineRule="exact"/>
      </w:pPr>
    </w:p>
    <w:p>
      <w:pPr>
        <w:spacing w:before="0" w:after="0"/>
      </w:pPr>
      <w:r>
        <w:rPr>
          <w:b/>
        </w:rPr>
        <w:t>过去两年市场一直在问一个问题：算力够不够。但从今年开始，更紧迫的问题变成了：电够不够，散热跟不跟得上。</w:t>
      </w:r>
    </w:p>
    <w:p>
      <w:pPr>
        <w:spacing w:before="0" w:after="0" w:line="220" w:lineRule="exact"/>
      </w:pPr>
    </w:p>
    <w:p>
      <w:pPr>
        <w:spacing w:before="0" w:after="0"/>
      </w:pPr>
      <w:r>
        <w:t>中国电力企业联合会预测，2030 年算力中心用电量将达 8000 亿 kWh，占全社会用电的 6%——接近一个江苏省全年的用电规模。每增长一个百分点，背后都是数千亿的电力基础设施投入。</w:t>
      </w:r>
    </w:p>
    <w:p>
      <w:pPr>
        <w:spacing w:before="0" w:after="0" w:line="220" w:lineRule="exact"/>
      </w:pPr>
    </w:p>
    <w:p>
      <w:pPr>
        <w:spacing w:before="0" w:after="0"/>
      </w:pPr>
      <w:r>
        <w:rPr>
          <w:b/>
        </w:rPr>
        <w:t>2026 年 4 月，国家发改委等四部门联合发布《关于促进人工智能与能源双向赋能的行动方案》，设定 2027 年初步构建、2030 年世界领先的两阶段目标。"算电协同"正式从行业概念上升为国家战略。</w:t>
      </w:r>
    </w:p>
    <w:p>
      <w:pPr>
        <w:spacing w:before="0" w:after="0" w:line="220" w:lineRule="exact"/>
      </w:pPr>
    </w:p>
    <w:p>
      <w:pPr>
        <w:spacing w:before="0" w:after="0"/>
      </w:pPr>
      <w:r>
        <w:t>产业驱动力的变化同样具体：AI 数据中心单机柜功率从过去的 6-8kW 跃升至 50-100kW+，传统风冷和 240V UPS 供电架构不堪重负。一条清晰的产业链传导正在展开：</w:t>
      </w:r>
    </w:p>
    <w:p>
      <w:pPr>
        <w:spacing w:before="0" w:after="0" w:line="220" w:lineRule="exact"/>
      </w:pPr>
    </w:p>
    <w:p>
      <w:pPr>
        <w:spacing w:before="0" w:after="0"/>
      </w:pPr>
      <w:r>
        <w:rPr>
          <w:b/>
        </w:rPr>
        <w:t>供电侧：从 UPS 到 HVDC 再到 SST（固态变压器）。800V HVDC 预计 2026Q3 小批量出货，这是十年一遇的供电架构升级周期。</w:t>
      </w:r>
    </w:p>
    <w:p>
      <w:pPr>
        <w:spacing w:before="0" w:after="0" w:line="220" w:lineRule="exact"/>
      </w:pPr>
    </w:p>
    <w:p>
      <w:pPr>
        <w:spacing w:before="0" w:after="0"/>
      </w:pPr>
      <w:r>
        <w:rPr>
          <w:b/>
        </w:rPr>
        <w:t>散热侧：从风冷到冷板液冷再到浸没液冷。英伟达下一代 Vera Rubin 平台已确定 100% 全液冷架构，液冷渗透率将从 2024 年的 14% 向 60%+ 演进。</w:t>
      </w:r>
    </w:p>
    <w:p>
      <w:pPr>
        <w:spacing w:before="0" w:after="0" w:line="220" w:lineRule="exact"/>
      </w:pPr>
    </w:p>
    <w:p>
      <w:pPr>
        <w:spacing w:before="0" w:after="0"/>
      </w:pPr>
      <w:r>
        <w:rPr>
          <w:b/>
        </w:rPr>
        <w:t>运营侧：AIDC 运营商直接受益于需求爆发和定价权提升。润泽科技 2025 年 AIDC 收入 25.1 亿元（同比 +73%），廊坊 200MW 已售罄。</w:t>
      </w:r>
    </w:p>
    <w:p>
      <w:pPr>
        <w:spacing w:before="0" w:after="0" w:line="220" w:lineRule="exact"/>
      </w:pPr>
    </w:p>
    <w:p>
      <w:pPr>
        <w:spacing w:before="0" w:after="0"/>
      </w:pPr>
      <w:r>
        <w:rPr>
          <w:b/>
        </w:rPr>
        <w:t>但硬币的另一面同样需要看到：</w:t>
      </w:r>
    </w:p>
    <w:p>
      <w:pPr>
        <w:spacing w:before="0" w:after="0" w:line="220" w:lineRule="exact"/>
      </w:pPr>
    </w:p>
    <w:p>
      <w:pPr>
        <w:spacing w:before="0" w:after="0"/>
      </w:pPr>
      <w:r>
        <w:t>液冷龙头企业英维克 2026Q1 净利润暴跌 82%，毛利率降至 24.3%。头部液冷企业普遍增收不增利——行业处于"跑马圈地"阶段，价格竞争激烈，规模效应尚未体现。赛迪顾问判断液冷真正的业绩爆发点或在 2027-2028 年。</w:t>
      </w:r>
    </w:p>
    <w:p>
      <w:pPr>
        <w:spacing w:before="0" w:after="0" w:line="220" w:lineRule="exact"/>
      </w:pPr>
    </w:p>
    <w:p>
      <w:pPr>
        <w:spacing w:before="0" w:after="0"/>
      </w:pPr>
      <w:r>
        <w:t>HVDC 方向的中恒电气和麦格米特近 60 日已分别上涨 52% 和 36%，PE 分别达到 233x 和 682x，部分透支了未来 2-3 年的订单预期。</w:t>
      </w:r>
    </w:p>
    <w:p>
      <w:pPr>
        <w:spacing w:before="0" w:after="0" w:line="220" w:lineRule="exact"/>
      </w:pPr>
    </w:p>
    <w:p>
      <w:pPr>
        <w:spacing w:before="0" w:after="0"/>
      </w:pPr>
      <w:r>
        <w:t>与此同时，2026 年以来已有 10 家以上公司跨界布局液冷，冷板液冷技术壁垒偏低，产能规划激增，竞争格局在快速恶化。</w:t>
      </w:r>
    </w:p>
    <w:p>
      <w:pPr>
        <w:spacing w:before="0" w:after="0" w:line="220" w:lineRule="exact"/>
      </w:pPr>
    </w:p>
    <w:p>
      <w:pPr>
        <w:spacing w:before="0" w:after="0"/>
      </w:pPr>
      <w:r>
        <w:rPr>
          <w:b/>
        </w:rPr>
        <w:t>怎么看这个方向？</w:t>
      </w:r>
    </w:p>
    <w:p>
      <w:pPr>
        <w:spacing w:before="0" w:after="0" w:line="220" w:lineRule="exact"/>
      </w:pPr>
    </w:p>
    <w:p>
      <w:pPr>
        <w:spacing w:before="0" w:after="0"/>
      </w:pPr>
      <w:r>
        <w:t>产业趋势确定性强，但 A 股映射普遍处于"强预期、弱兑现"阶段。当前整体判断为可跟踪、待买点——核心等待两个信号：液冷毛利率企稳（证明竞争格局改善）、HVDC 北美订单落地（验证出海逻辑）。</w:t>
      </w:r>
    </w:p>
    <w:p>
      <w:pPr>
        <w:spacing w:before="0" w:after="0" w:line="220" w:lineRule="exact"/>
      </w:pPr>
    </w:p>
    <w:p>
      <w:pPr>
        <w:spacing w:before="0" w:after="0"/>
      </w:pPr>
      <w:r>
        <w:t>在估值没有消化充分之前，趋势再确定的产业方向，也不等于可以无保留地买入。</w:t>
      </w:r>
    </w:p>
    <w:p>
      <w:pPr>
        <w:spacing w:before="0" w:after="0" w:line="220" w:lineRule="exact"/>
      </w:pPr>
    </w:p>
    <w:p>
      <w:pPr>
        <w:spacing w:before="0" w:after="0"/>
      </w:pPr>
      <w:r>
        <w:t>————————————————————</w:t>
      </w:r>
    </w:p>
    <w:p>
      <w:pPr>
        <w:spacing w:before="0" w:after="0" w:line="220" w:lineRule="exact"/>
      </w:pPr>
    </w:p>
    <w:p>
      <w:pPr>
        <w:spacing w:before="0" w:after="0"/>
      </w:pPr>
      <w:r>
        <w:rPr>
          <w:color w:val="888888"/>
          <w:sz w:val="18"/>
        </w:rPr>
        <w:t>#算电协同 #AI数据中心 #液冷 #HVDC #A股 #电力设备 #投资 #Circe</w:t>
      </w:r>
    </w:p>
    <w:p>
      <w:pPr>
        <w:spacing w:before="0" w:after="0" w:line="220" w:lineRule="exact"/>
      </w:pPr>
    </w:p>
    <w:p>
      <w:pPr>
        <w:spacing w:before="0" w:after="0"/>
      </w:pPr>
      <w:r>
        <w:rPr>
          <w:color w:val="993333"/>
          <w:sz w:val="18"/>
        </w:rPr>
        <w:t>⚠️ 本内容仅供信息分享与逻辑交流，不构成任何投资建议。股市有风险，决策需谨慎。</w:t>
      </w:r>
    </w:p>
    <w:p>
      <w:pPr>
        <w:spacing w:before="0" w:after="0" w:line="220" w:lineRule="exact"/>
      </w:pPr>
    </w:p>
    <w:p>
      <w:pPr>
        <w:spacing w:before="0" w:after="0" w:line="220" w:lineRule="exact"/>
      </w:pPr>
    </w:p>
    <w:p>
      <w:pPr>
        <w:spacing w:before="0" w:after="0"/>
      </w:pPr>
      <w:r>
        <w:rPr>
          <w:b/>
          <w:sz w:val="20"/>
        </w:rPr>
        <w:t>数据来源</w:t>
      </w:r>
    </w:p>
    <w:p>
      <w:pPr>
        <w:spacing w:before="0" w:after="0" w:line="220" w:lineRule="exact"/>
      </w:pPr>
    </w:p>
    <w:p>
      <w:pPr>
        <w:spacing w:before="0" w:after="0"/>
      </w:pPr>
      <w:r>
        <w:rPr>
          <w:b/>
          <w:color w:val="666666"/>
          <w:sz w:val="20"/>
        </w:rPr>
        <w:t>发布日期：</w:t>
      </w:r>
      <w:r>
        <w:rPr>
          <w:color w:val="888888"/>
          <w:sz w:val="20"/>
        </w:rPr>
        <w:t>2026-06-20</w:t>
      </w:r>
    </w:p>
    <w:p>
      <w:pPr>
        <w:spacing w:before="0" w:after="0" w:line="220" w:lineRule="exact"/>
      </w:pPr>
    </w:p>
    <w:p>
      <w:pPr>
        <w:spacing w:before="0" w:after="0"/>
      </w:pPr>
      <w:r>
        <w:rPr>
          <w:b/>
          <w:color w:val="666666"/>
          <w:sz w:val="20"/>
        </w:rPr>
        <w:t>参考资料：</w:t>
      </w:r>
      <w:r>
        <w:rPr>
          <w:color w:val="888888"/>
          <w:sz w:val="20"/>
        </w:rPr>
        <w:t>国家发改委等四部门《关于促进人工智能与能源双向赋能的行动方案》（2026-04-08）；中国电力企业联合会·算力用电数据（2026-05）；英维克 2026Q1 季报（4月）；长城证券、国金证券 HVDC 产业链研报（6月）；赛迪顾问·液冷产业发展分析（6月）</w:t>
      </w:r>
    </w:p>
    <w:p>
      <w:pPr>
        <w:spacing w:before="0" w:after="0" w:line="220" w:lineRule="exact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2"/>
      <w:rFonts w:eastAsia="PingFang S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