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6"/>
        </w:rPr>
        <w:t>post_id: POST-20260620-004 | post_date: 2026-06-20</w:t>
        <w:br/>
        <w:t>source: reports/20260619/半导体存储与 AI 算力硬件深挖.md</w:t>
        <w:br/>
        <w:t>topic: 半导体存储 | tags: AI, 存储芯片, 半导体 | image_count: 4</w:t>
      </w:r>
    </w:p>
    <w:p>
      <w:pPr>
        <w:spacing w:after="0" w:before="0"/>
      </w:pPr>
    </w:p>
    <w:p>
      <w:r>
        <w:rPr>
          <w:b/>
          <w:sz w:val="40"/>
        </w:rPr>
        <w:t>存储周期，被AI重构</w:t>
      </w:r>
    </w:p>
    <w:p>
      <w:pPr>
        <w:spacing w:after="0" w:before="0"/>
      </w:pPr>
    </w:p>
    <w:p>
      <w:r>
        <w:rPr>
          <w:sz w:val="26"/>
        </w:rPr>
        <w:t>存储周期，传统上跟着消费电子走——手机卖得好，存储涨价；手机卖不动，存储跌价。</w:t>
      </w:r>
    </w:p>
    <w:p>
      <w:pPr>
        <w:spacing w:after="0" w:before="0"/>
      </w:pPr>
    </w:p>
    <w:p>
      <w:r>
        <w:rPr>
          <w:sz w:val="26"/>
        </w:rPr>
        <w:t>但这次不一样。</w:t>
      </w:r>
    </w:p>
    <w:p>
      <w:pPr>
        <w:spacing w:after="0" w:before="0"/>
      </w:pPr>
    </w:p>
    <w:p>
      <w:r>
        <w:rPr>
          <w:sz w:val="26"/>
        </w:rPr>
        <w:t>2026年上半年，DRAM合约价累计涨幅超150%，NAND合约价超过120%。这不是消费电子拉动的——手机Q1出货降4%，PC仅增2.5%。真正的原因是：AI数据中心正在吃掉存储产能。</w:t>
      </w:r>
    </w:p>
    <w:p>
      <w:pPr>
        <w:spacing w:after="0" w:before="0"/>
      </w:pPr>
    </w:p>
    <w:p>
      <w:r>
        <w:rPr>
          <w:sz w:val="26"/>
        </w:rPr>
        <w:t>三大原厂（三星、SK海力士、美光）70%以上的先进产能已转向HBM和Server DRAM，消费级供给被系统性挤占。2026年DRAM缺口约8%，NAND缺口约5%，涨价贯穿全年已是产业链共识。</w:t>
      </w:r>
    </w:p>
    <w:p>
      <w:pPr>
        <w:spacing w:after="0" w:before="0"/>
      </w:pPr>
    </w:p>
    <w:p>
      <w:r>
        <w:rPr>
          <w:sz w:val="26"/>
        </w:rPr>
        <w:t>传递到这个环节的A股公司，利润爆发是实打实的：</w:t>
      </w:r>
    </w:p>
    <w:p>
      <w:pPr>
        <w:spacing w:after="0" w:before="0"/>
      </w:pPr>
    </w:p>
    <w:p>
      <w:r>
        <w:rPr>
          <w:sz w:val="26"/>
        </w:rPr>
        <w:t>江波龙：Q1营收99亿（+133%），毛利率从10%跃升至56%</w:t>
        <w:br/>
        <w:t>佰维存储：Q1营收68亿（+342%），AI端侧收入同比增长496%</w:t>
        <w:br/>
        <w:t>沪电股份：Q1净利12.4亿（+63%），AI服务器PCB价值量是普通服务器的5-6倍</w:t>
      </w:r>
    </w:p>
    <w:p>
      <w:pPr>
        <w:spacing w:after="0" w:before="0"/>
      </w:pPr>
    </w:p>
    <w:p>
      <w:r>
        <w:rPr>
          <w:sz w:val="26"/>
        </w:rPr>
        <w:t>存储模组PE在45-46倍，有利润高增长支撑，性价比尚可。但沪电20日+43%、深南+32%、鼎龙60日+102%，部分环节已出现短线过热。设备端中微公司20日-24%，与板块基本面形成背离，值得关注。</w:t>
      </w:r>
    </w:p>
    <w:p>
      <w:pPr>
        <w:spacing w:after="0" w:before="0"/>
      </w:pPr>
    </w:p>
    <w:p>
      <w:r>
        <w:rPr>
          <w:sz w:val="26"/>
        </w:rPr>
        <w:t>下一步看什么：7月的TrendForce Q3合约价预测，验证涨价斜率能否维持；以及存储模企Q2业绩预告，验证毛利率的持续性。</w:t>
      </w:r>
    </w:p>
    <w:p>
      <w:pPr>
        <w:spacing w:after="0" w:before="0"/>
      </w:pPr>
    </w:p>
    <w:p>
      <w:r>
        <w:rPr>
          <w:sz w:val="26"/>
        </w:rPr>
        <w:t>关键风险：模组企业当前55%+的超高毛利率来自2025年低位备货，低价库存消耗完后Q3毛利率大概率回落——这不是逻辑证伪，但会是短期扰动。此外，设备端PE普遍偏高（北方华创94倍、中微124倍），已隐含了较高的国产替代预期。</w:t>
      </w:r>
    </w:p>
    <w:p>
      <w:pPr>
        <w:spacing w:after="0" w:before="0"/>
      </w:pPr>
    </w:p>
    <w:p>
      <w:r>
        <w:rPr>
          <w:color w:val="505050"/>
          <w:sz w:val="24"/>
        </w:rPr>
        <w:t>#A股 #投资 #资本市场 #半导体 #存储芯片 #AI算力 #AI数据中心 #国产替代</w:t>
      </w:r>
    </w:p>
    <w:p>
      <w:pPr>
        <w:spacing w:after="0" w:before="0"/>
      </w:pPr>
    </w:p>
    <w:p>
      <w:r>
        <w:rPr>
          <w:b/>
          <w:color w:val="B45050"/>
          <w:sz w:val="22"/>
        </w:rPr>
        <w:t>⚠️ 本内容仅供信息分享与逻辑交流，不构成任何投资建议。股市有风险，决策需谨慎。</w:t>
      </w:r>
    </w:p>
    <w:p>
      <w:pPr>
        <w:spacing w:after="0" w:before="0"/>
      </w:pPr>
    </w:p>
    <w:p>
      <w:pPr>
        <w:spacing w:after="0" w:before="0"/>
      </w:pPr>
    </w:p>
    <w:p>
      <w:r>
        <w:rPr>
          <w:color w:val="808080"/>
          <w:sz w:val="22"/>
        </w:rPr>
        <w:t>参考资料：TrendForce合约价（2026年6月）；江波龙2026一季报（20260428）；佰维存储2026一季报（20260429）；瑞银/行业调研（2026年6月）；Tushare daily数据（20260618）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PingFang SC" w:hAnsi="PingFang SC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