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16"/>
        </w:rPr>
        <w:t>post_id: POST-20260620-005 | post_date: 2026-06-20</w:t>
        <w:br/>
      </w:r>
      <w:r>
        <w:rPr>
          <w:sz w:val="16"/>
        </w:rPr>
        <w:t>source: reports/20260620/MLCC陶瓷粉体深挖.md | topic: MLCC陶瓷粉体供需缺口 | tags: MLCC, 陶瓷粉体, AI硬件, 国产替代 | image_count: 4</w:t>
      </w:r>
    </w:p>
    <w:p>
      <w:r>
        <w:rPr>
          <w:sz w:val="22"/>
        </w:rPr>
        <w:t>AI 服务器对 MLCC 的需求，正在从一颗螺丝钉变成一台发动机。</w:t>
      </w:r>
    </w:p>
    <w:p>
      <w:r>
        <w:rPr>
          <w:sz w:val="22"/>
        </w:rPr>
        <w:t>传统服务器单台大约需要 2,000 颗 MLCC；英伟达 Rubin 平台单板就用到 12,000 颗，整机逼近 28,000 颗——14 倍的差异。</w:t>
      </w:r>
    </w:p>
    <w:p>
      <w:r>
        <w:rPr>
          <w:sz w:val="22"/>
        </w:rPr>
        <w:t>这不是量的线性增长，而是对 MLCC 上游材料体系的根本性重塑。MLCC 要向高容、小尺寸、超薄介质层演进，核心卡在一种材料上：纳米级钛酸钡陶瓷粉体。</w:t>
      </w:r>
    </w:p>
    <w:p/>
    <w:p>
      <w:r>
        <w:rPr>
          <w:sz w:val="22"/>
        </w:rPr>
        <w:t>全球高端纳米钛酸钡粉体（≤120nm，纯度 99.99%）的年供给只有 5,000–6,000 吨。</w:t>
      </w:r>
    </w:p>
    <w:p>
      <w:r>
        <w:rPr>
          <w:sz w:val="22"/>
        </w:rPr>
        <w:t>这 5,000 吨的产能，65% 掌握在五家日系厂商手里——堺化学、日本化学、富士钛、共立、东邦。而 AI 服务器对高端粉体的需求正以每年 53.4% 的复合增速在增长。2029 年起就会出现系统性供给缺口，2030 年缺口扩大至约 1.3 万吨。</w:t>
      </w:r>
    </w:p>
    <w:p/>
    <w:p>
      <w:r>
        <w:rPr>
          <w:sz w:val="22"/>
        </w:rPr>
        <w:t>关键的结构性变量在稀土。</w:t>
      </w:r>
    </w:p>
    <w:p>
      <w:r>
        <w:rPr>
          <w:sz w:val="22"/>
        </w:rPr>
        <w:t>中国对日稀土出口管制持续，镝、铽、钇等关键原料对日归零。日系 MLCC 厂商的高端粉体全部在日本本土生产，原料断供意味着扩产受阻。这不是周期性波动——只要管制不放松，海外供给就上不来。而村田 2026 年 3 月已经对 AI 服务器和车规 MLCC 全面涨价 15–35%，上游高端钛酸钡粉体 2026 年也已涨了 20–30%，目前约 220 万元/吨。</w:t>
      </w:r>
    </w:p>
    <w:p/>
    <w:p>
      <w:r>
        <w:rPr>
          <w:sz w:val="22"/>
        </w:rPr>
        <w:t>订单正在向国内转移。</w:t>
      </w:r>
    </w:p>
    <w:p>
      <w:r>
        <w:rPr>
          <w:sz w:val="22"/>
        </w:rPr>
        <w:t>国瓷材料是国内唯一实现规模化量产高端粉体的企业，国内市占率 80–85%，订单排期已达 4–6 个月。三星电机将于 2026Q3 开始大批量出货，这意味着国产粉体正式切入全球最大 MLCC 厂商的供应链。三环集团则走全链自给路线，粉体 100% 内部自供，成本比外购同行低 20–30%，MLCC 产能正扩产 50%。</w:t>
      </w:r>
    </w:p>
    <w:p/>
    <w:p>
      <w:r>
        <w:rPr>
          <w:sz w:val="22"/>
        </w:rPr>
        <w:t>但需要保持清醒。</w:t>
      </w:r>
    </w:p>
    <w:p>
      <w:r>
        <w:rPr>
          <w:sz w:val="22"/>
        </w:rPr>
        <w:t>国瓷材料 PE TTM 约 145 倍，三环集团约 90 倍，卖方目标价已低于现价。涨价逻辑正在兑现，但 2026Q1 营收增速仍然温和，大量预期在更远的未来。</w:t>
      </w:r>
    </w:p>
    <w:p>
      <w:r>
        <w:rPr>
          <w:sz w:val="22"/>
        </w:rPr>
        <w:t>下一个关键验证点是 6–7 月的中报预告。如果国瓷 Q2 营收增速突破 15%、三环净利润增速超过 35%，涨价传导才算真正落地。如果不及预期，当前估值的安全边际并不宽裕。</w:t>
      </w:r>
    </w:p>
    <w:p/>
    <w:p>
      <w:r>
        <w:rPr>
          <w:sz w:val="22"/>
        </w:rPr>
        <w:t>当前 MLCC 板块拥挤度偏高，6 月第二周三环集团主力资金净流出约 26.6 亿元。如果 AI 资本开支出现全局性放缓，或稀土管制政策出现松动，整个逻辑链条都会受到冲击。</w:t>
      </w:r>
    </w:p>
    <w:p/>
    <w:p>
      <w:pPr>
        <w:jc w:val="left"/>
      </w:pPr>
      <w:r>
        <w:rPr>
          <w:sz w:val="20"/>
        </w:rPr>
        <w:t>#MLCC #陶瓷粉体 #AI硬件 #国产替代 #A股 #上游材料 #半导体 #投资逻辑</w:t>
      </w:r>
    </w:p>
    <w:p/>
    <w:p>
      <w:r>
        <w:rPr>
          <w:sz w:val="18"/>
        </w:rPr>
        <w:t>⚠️ 本内容仅供信息分享与逻辑交流，不构成任何投资建议。股市有风险，决策需谨慎。</w:t>
      </w:r>
    </w:p>
    <w:p/>
    <w:p/>
    <w:p>
      <w:r>
        <w:rPr>
          <w:sz w:val="18"/>
        </w:rPr>
        <w:t>参考资料：摩根大通研报（2026-06-09）；中国外交部稀土出口管制公告（2026-06-10）；村田 MLCC 涨价通知（2026-03）；上市公司公告风华高科英伟达认证（2026-06-17）；瑞银 MLCC 行业研报（2026-06-10）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