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31" w:name="firstheader"/>
    <w:p>
      <w:pPr>
        <w:pStyle w:val="Heading1"/>
      </w:pPr>
      <w:r>
        <w:t xml:space="preserve">Was uns am Laufen hält: Vorhersagen von Bewegungsadhärenz durch Affekt und Attributionsstile</w:t>
      </w:r>
    </w:p>
    <w:tbl>
      <w:tblPr>
        <w:tblStyle w:val="FigureTable"/>
        <w:tblW w:type="auto" w:w="0"/>
        <w:jc w:val="center"/>
        <w:tblLook w:firstRow="0" w:lastRow="0" w:firstColumn="0" w:lastColumn="0"/>
      </w:tblPr>
      <w:tblGrid>
        <w:gridCol w:w="7920"/>
      </w:tblGrid>
      <w:tr>
        <w:tc>
          <w:tcPr/>
          <w:p>
            <w:pPr>
              <w:pStyle w:val="Compact"/>
              <w:jc w:val="center"/>
            </w:pPr>
            <w:hyperlink r:id="rId30">
              <w:r>
                <w:drawing>
                  <wp:inline>
                    <wp:extent cx="1038225" cy="190500"/>
                    <wp:effectExtent b="0" l="0" r="0" t="0"/>
                    <wp:docPr descr="Binder" title="" id="28" name="Picture"/>
                    <a:graphic>
                      <a:graphicData uri="http://schemas.openxmlformats.org/drawingml/2006/picture">
                        <pic:pic>
                          <pic:nvPicPr>
                            <pic:cNvPr descr="https://mybinder.org/badge_logo.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038225" cy="190500"/>
                            </a:xfrm>
                            <a:prstGeom prst="rect">
                              <a:avLst/>
                            </a:prstGeom>
                            <a:noFill/>
                            <a:ln w="9525">
                              <a:noFill/>
                              <a:headEnd/>
                              <a:tailEnd/>
                            </a:ln>
                          </pic:spPr>
                        </pic:pic>
                      </a:graphicData>
                    </a:graphic>
                  </wp:inline>
                </w:drawing>
              </w:r>
            </w:hyperlink>
          </w:p>
        </w:tc>
      </w:tr>
    </w:tbl>
    <w:p>
      <w:pPr>
        <w:pStyle w:val="ImageCaption"/>
      </w:pPr>
      <w:r>
        <w:t xml:space="preserve">Binder</w:t>
      </w:r>
    </w:p>
    <w:bookmarkEnd w:id="31"/>
    <w:bookmarkStart w:id="36" w:name="method"/>
    <w:p>
      <w:pPr>
        <w:pStyle w:val="Heading1"/>
      </w:pPr>
      <w:r>
        <w:t xml:space="preserve">Method</w:t>
      </w:r>
    </w:p>
    <w:bookmarkStart w:id="32"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b/>
          <w:b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bookmarkEnd w:id="32"/>
    <w:bookmarkStart w:id="33"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33"/>
    <w:bookmarkStart w:id="34"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4"/>
    <w:bookmarkStart w:id="35"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5"/>
    <w:bookmarkEnd w:id="36"/>
    <w:bookmarkStart w:id="37" w:name="methode"/>
    <w:p>
      <w:pPr>
        <w:pStyle w:val="Heading1"/>
      </w:pPr>
      <w:r>
        <w:t xml:space="preserve">Methode</w:t>
      </w:r>
    </w:p>
    <w:p>
      <w:pPr>
        <w:pStyle w:val="FirstParagraph"/>
      </w:pPr>
      <w:r>
        <w:t xml:space="preserve">Instrumente: Session RPE, Attributionsstil, PANAS</w:t>
      </w:r>
    </w:p>
    <w:bookmarkEnd w:id="37"/>
    <w:bookmarkStart w:id="38" w:name="ergebnisse"/>
    <w:p>
      <w:pPr>
        <w:pStyle w:val="Heading1"/>
      </w:pPr>
      <w:r>
        <w:t xml:space="preserve">Ergebnisse</w:t>
      </w:r>
    </w:p>
    <w:p>
      <w:pPr>
        <w:pStyle w:val="FirstParagraph"/>
      </w:pPr>
      <w:r>
        <w:t xml:space="preserve">die leute waren 34.69 alt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8"/>
    <w:bookmarkStart w:id="39" w:name="diskussion"/>
    <w:p>
      <w:pPr>
        <w:pStyle w:val="Heading1"/>
      </w:pPr>
      <w:r>
        <w:t xml:space="preserve">Diskussion</w:t>
      </w:r>
    </w:p>
    <w:bookmarkEnd w:id="39"/>
    <w:bookmarkStart w:id="55" w:name="literaturverzeichnis"/>
    <w:p>
      <w:pPr>
        <w:pStyle w:val="Heading1"/>
      </w:pPr>
      <w:r>
        <w:t xml:space="preserve">Literaturverzeichnis</w:t>
      </w:r>
    </w:p>
    <w:bookmarkStart w:id="54" w:name="refs"/>
    <w:bookmarkStart w:id="41"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0">
        <w:r>
          <w:rPr>
            <w:rStyle w:val="Hyperlink"/>
          </w:rPr>
          <w:t xml:space="preserve">https://doi.org/10.1080/17437199.2012.701060</w:t>
        </w:r>
      </w:hyperlink>
    </w:p>
    <w:bookmarkEnd w:id="41"/>
    <w:bookmarkStart w:id="42"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2"/>
    <w:bookmarkStart w:id="4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3">
        <w:r>
          <w:rPr>
            <w:rStyle w:val="Hyperlink"/>
          </w:rPr>
          <w:t xml:space="preserve">https://doi.org/10.1123/ijspp.2020-0599</w:t>
        </w:r>
      </w:hyperlink>
    </w:p>
    <w:bookmarkEnd w:id="44"/>
    <w:bookmarkStart w:id="45"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45"/>
    <w:bookmarkStart w:id="47"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46">
        <w:r>
          <w:rPr>
            <w:rStyle w:val="Hyperlink"/>
          </w:rPr>
          <w:t xml:space="preserve">https://doi.org/10.1007/s00103-012-1661-6</w:t>
        </w:r>
      </w:hyperlink>
    </w:p>
    <w:bookmarkEnd w:id="47"/>
    <w:bookmarkStart w:id="49"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48">
        <w:r>
          <w:rPr>
            <w:rStyle w:val="Hyperlink"/>
          </w:rPr>
          <w:t xml:space="preserve">https://doi.org/10.1007/bf01173577</w:t>
        </w:r>
      </w:hyperlink>
    </w:p>
    <w:bookmarkEnd w:id="49"/>
    <w:bookmarkStart w:id="51"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50">
        <w:r>
          <w:rPr>
            <w:rStyle w:val="Hyperlink"/>
          </w:rPr>
          <w:t xml:space="preserve">https://doi.org/10.3389/fspor.2020.00072</w:t>
        </w:r>
      </w:hyperlink>
    </w:p>
    <w:bookmarkEnd w:id="51"/>
    <w:bookmarkStart w:id="53"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52">
        <w:r>
          <w:rPr>
            <w:rStyle w:val="Hyperlink"/>
          </w:rPr>
          <w:t xml:space="preserve">https://doi.org/10.1037/0022-3514.54.6.1063</w:t>
        </w:r>
      </w:hyperlink>
    </w:p>
    <w:bookmarkEnd w:id="53"/>
    <w:bookmarkEnd w:id="54"/>
    <w:bookmarkEnd w:id="55"/>
    <w:bookmarkStart w:id="56" w:name="anhang"/>
    <w:p>
      <w:pPr>
        <w:pStyle w:val="Heading1"/>
      </w:pPr>
      <w:r>
        <w:t xml:space="preserve">Anhang</w:t>
      </w:r>
    </w:p>
    <w:bookmarkEnd w:id="5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27" Target="media/rId27.svg" /><Relationship Type="http://schemas.openxmlformats.org/officeDocument/2006/relationships/hyperlink" Id="rId48" Target="https://doi.org/10.1007/bf01173577" TargetMode="External" /><Relationship Type="http://schemas.openxmlformats.org/officeDocument/2006/relationships/hyperlink" Id="rId46" Target="https://doi.org/10.1007/s00103-012-1661-6" TargetMode="External" /><Relationship Type="http://schemas.openxmlformats.org/officeDocument/2006/relationships/hyperlink" Id="rId52" Target="https://doi.org/10.1037/0022-3514.54.6.1063" TargetMode="External" /><Relationship Type="http://schemas.openxmlformats.org/officeDocument/2006/relationships/hyperlink" Id="rId40" Target="https://doi.org/10.1080/17437199.2012.701060" TargetMode="External" /><Relationship Type="http://schemas.openxmlformats.org/officeDocument/2006/relationships/hyperlink" Id="rId43" Target="https://doi.org/10.1123/ijspp.2020-0599" TargetMode="External" /><Relationship Type="http://schemas.openxmlformats.org/officeDocument/2006/relationships/hyperlink" Id="rId50" Target="https://doi.org/10.3389/fspor.2020.00072" TargetMode="External" /><Relationship Type="http://schemas.openxmlformats.org/officeDocument/2006/relationships/hyperlink" Id="rId30" Target="https://mybinder.org/v2/gh/Enno-W/BAEW/HEAD"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bf01173577" TargetMode="External" /><Relationship Type="http://schemas.openxmlformats.org/officeDocument/2006/relationships/hyperlink" Id="rId46" Target="https://doi.org/10.1007/s00103-012-1661-6" TargetMode="External" /><Relationship Type="http://schemas.openxmlformats.org/officeDocument/2006/relationships/hyperlink" Id="rId52" Target="https://doi.org/10.1037/0022-3514.54.6.1063" TargetMode="External" /><Relationship Type="http://schemas.openxmlformats.org/officeDocument/2006/relationships/hyperlink" Id="rId40" Target="https://doi.org/10.1080/17437199.2012.701060" TargetMode="External" /><Relationship Type="http://schemas.openxmlformats.org/officeDocument/2006/relationships/hyperlink" Id="rId43" Target="https://doi.org/10.1123/ijspp.2020-0599" TargetMode="External" /><Relationship Type="http://schemas.openxmlformats.org/officeDocument/2006/relationships/hyperlink" Id="rId50" Target="https://doi.org/10.3389/fspor.2020.00072" TargetMode="External" /><Relationship Type="http://schemas.openxmlformats.org/officeDocument/2006/relationships/hyperlink" Id="rId30" Target="https://mybinder.org/v2/gh/Enno-W/BAEW/H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2024-10-23T20:43:28Z</dcterms:created>
  <dcterms:modified xsi:type="dcterms:W3CDTF">2024-10-23T20:43:28Z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True</vt:lpwstr>
  </property>
  <property fmtid="{D5CDD505-2E9C-101B-9397-08002B2CF9AE}" pid="26" name="oneauthor">
    <vt:lpwstr>True</vt:lpwstr>
  </property>
  <property fmtid="{D5CDD505-2E9C-101B-9397-08002B2CF9AE}" pid="27" name="references">
    <vt:lpwstr/>
  </property>
  <property fmtid="{D5CDD505-2E9C-101B-9397-08002B2CF9AE}" pid="28" name="revealjs-plugins">
    <vt:lpwstr/>
  </property>
  <property fmtid="{D5CDD505-2E9C-101B-9397-08002B2CF9AE}" pid="29" name="shorttitle">
    <vt:lpwstr>AFFEKT, ATTRIBUTION UND BEWEGUNGSADHÄRENZ</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Inhaltsverzeichnis</vt:lpwstr>
  </property>
  <property fmtid="{D5CDD505-2E9C-101B-9397-08002B2CF9AE}" pid="55" name="zerocitations">
    <vt:lpwstr>False</vt:lpwstr>
  </property>
</Properties>
</file>