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wahrgenommene Zielerreichung vorher (H1.2)</w:t>
      </w:r>
    </w:p>
    <w:p>
      <w:pPr>
        <w:pStyle w:val="BodyText"/>
      </w:pPr>
      <w:r>
        <w:t xml:space="preserve">H2: Ein tendenziell negativeres Affekterleben sagt mehr Trainingsausfälle (H2.1) und eine geringere wahrgenommene Zielerreichung vorher (H2.2).</w:t>
      </w:r>
    </w:p>
    <w:bookmarkEnd w:id="32"/>
    <w:bookmarkEnd w:id="33"/>
    <w:bookmarkStart w:id="41"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6" w:name="stichprobe"/>
    <w:p>
      <w:pPr>
        <w:pStyle w:val="Heading2"/>
      </w:pPr>
      <w:r>
        <w:t xml:space="preserve">Stichprobe:</w:t>
      </w:r>
    </w:p>
    <w:p>
      <w:pPr>
        <w:pStyle w:val="FirstParagraph"/>
      </w:pPr>
      <w:r>
        <w:t xml:space="preserve">Die Teilnehmenden waren erwachsene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0 Teilnehmende ausgeschlossen. Die deskriptiven Statistiken zu den demografischen Daten sind in Tabelle 1.</w:t>
      </w:r>
    </w:p>
    <w:bookmarkStart w:id="35"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793"/>
        <w:gridCol w:w="1610"/>
        <w:gridCol w:w="1867"/>
        <w:gridCol w:w="1940"/>
        <w:gridCol w:w="1070"/>
      </w:tblGrid>
      <w:tr>
        <w:trPr>
          <w:trHeight w:val="61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(26, 51)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5"/>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pPr>
        <w:pStyle w:val="BodyText"/>
      </w:pPr>
      <w:r>
        <w:t xml:space="preserve">Die Teilnehmenden waren durchschnittlich 34.52 Jahre alt (</w:t>
      </w:r>
      <w:r>
        <w:rPr>
          <w:i/>
          <w:iCs/>
        </w:rPr>
        <w:t xml:space="preserve">SD</w:t>
      </w:r>
      <w:r>
        <w:t xml:space="preserve"> </w:t>
      </w:r>
      <w:r>
        <w:t xml:space="preserve">= 13.82). Das Alter reichte von 19 bis64.</w:t>
      </w:r>
    </w:p>
    <w:bookmarkEnd w:id="36"/>
    <w:bookmarkStart w:id="38" w:name="durchführung"/>
    <w:p>
      <w:pPr>
        <w:pStyle w:val="Heading2"/>
      </w:pPr>
      <w:r>
        <w:t xml:space="preserve">Durchführung:</w:t>
      </w:r>
    </w:p>
    <w:bookmarkStart w:id="37"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7"/>
    <w:bookmarkEnd w:id="38"/>
    <w:bookmarkStart w:id="40" w:name="statistische-analyse"/>
    <w:p>
      <w:pPr>
        <w:pStyle w:val="Heading2"/>
      </w:pPr>
      <w:r>
        <w:t xml:space="preserve">Statistische Analyse</w:t>
      </w:r>
    </w:p>
    <w:p>
      <w:pPr>
        <w:pStyle w:val="FirstParagraph"/>
      </w:pPr>
      <w:r>
        <w:t xml:space="preserve">Diese Arbeit wurde mit R (Version 4.3.0 ) und Quarto (Version 1.6.32) erstellt. Die reproduzierbare Version dieses Artikels ist auf GitHub unter</w:t>
      </w:r>
      <w:r>
        <w:t xml:space="preserve"> </w:t>
      </w:r>
      <w:hyperlink r:id="rId39">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BodyText"/>
      </w:pPr>
      <w:r>
        <w:t xml:space="preserve">In dem bereinigten Datensatz befanden sich immer noch 404 fehlende Werte,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Hyperlink"/>
          </w:rPr>
          <w:t xml:space="preserve">Li et al., 2015</w:t>
        </w:r>
      </w:hyperlink>
      <w:r>
        <w:t xml:space="preserve">)</w:t>
      </w:r>
      <w:r>
        <w:t xml:space="preserve">.</w:t>
      </w:r>
    </w:p>
    <w:p>
      <w:pPr>
        <w:pStyle w:val="BodyText"/>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w:t>
      </w:r>
    </w:p>
    <w:p>
      <w:pPr>
        <w:pStyle w:val="BodyText"/>
      </w:pPr>
      <w:r>
        <w:t xml:space="preserve">Eine Überprüfung der Voraussetzungen für die weitere Analyse erfolgte anhand von</w:t>
      </w:r>
      <w:r>
        <w:t xml:space="preserve"> </w:t>
      </w:r>
      <w:r>
        <w:rPr>
          <w:b/>
          <w:bCs/>
        </w:rPr>
        <w:t xml:space="preserve">visueller Inspektion von Histogrammen und Q-Q-Plots aller numerischen Variablen</w:t>
      </w:r>
      <w:r>
        <w:t xml:space="preserve">, sowie Shapiro-Wilk-Tests der Normalität.</w:t>
      </w:r>
      <w:r>
        <w:t xml:space="preserve"> </w:t>
      </w:r>
    </w:p>
    <w:p>
      <w:pPr>
        <w:pStyle w:val="BodyText"/>
      </w:pPr>
      <w:r>
        <w:t xml:space="preserve">In der Präregistrierung wurde als Haupttest eine Mehrebenenanalyse spezifiziert. Zur Aufstellung der Mehrebenenmodelle wurde der Datensatz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 Die Voraussage der Trainingsausfälle durch ein Mehrebeneenmodell scheiterte daran, dass diese Variable nur 6 diskrete Ausprägungen (Anzahl der abgeschlossenen Trainingseinheiten) hatte und das Modell somit nicht konvergieren konnte. Als Alternative wurden Hypothesen 1.1 und 2.1 mit einem verallgemeinerten Linearen Modell (GLMM) getestet. Für Hypothesen 1.2 und 2.2 konnte ein Mehrebenenmodell berechnet werden. Dafür wurden die wiederholten Angaben zu negativem Affekt zentriert. Die Residuen der aufgestellten Modelle erfüllten allerdings die Voraussetzung der Homoskedastizität und Normalverteilung nicht. Daher wurde explorativ …</w:t>
      </w:r>
    </w:p>
    <w:bookmarkEnd w:id="40"/>
    <w:bookmarkEnd w:id="41"/>
    <w:bookmarkStart w:id="52" w:name="ergebnisse"/>
    <w:p>
      <w:pPr>
        <w:pStyle w:val="Heading1"/>
      </w:pPr>
      <w:r>
        <w:t xml:space="preserve">Ergebnisse</w:t>
      </w:r>
    </w:p>
    <w:bookmarkStart w:id="42" w:name="deskriptive-statistiken"/>
    <w:p>
      <w:pPr>
        <w:pStyle w:val="Heading2"/>
      </w:pPr>
      <w:r>
        <w:t xml:space="preserve">Deskriptive Statistiken</w:t>
      </w:r>
    </w:p>
    <w:p>
      <w:pPr>
        <w:pStyle w:val="FirstParagraph"/>
      </w:pPr>
      <w:hyperlink w:anchor="tbl-stattable">
        <w:r>
          <w:rPr>
            <w:rStyle w:val="Hyperlink"/>
          </w:rPr>
          <w:t xml:space="preserve">Tabelle 2</w:t>
        </w:r>
      </w:hyperlink>
      <w:r>
        <w:t xml:space="preserve"> </w:t>
      </w:r>
      <w:r>
        <w:t xml:space="preserve">zeigt einen Überblick über deskriptive Statistiken aller relevanten Variablen. Das Alter weist eine leichte Rechtsschiefe auf, es gab also viele jüngere und wenig ältere Teilnehmende.</w:t>
      </w:r>
    </w:p>
    <w:p>
      <w:pPr>
        <w:pStyle w:val="BodyText"/>
      </w:pPr>
      <w:r>
        <w:t xml:space="preserve">Die Daten zum Attribution (Locus und Variabilität) folgen einer Normalverteilung, aber alle Werte fielen relativ hoch aus. Sie reichten von 4.3 bis 6.9 für den Lokus und von 4.3 bis 7 für die Variabilität.</w:t>
      </w:r>
    </w:p>
    <w:p>
      <w:pPr>
        <w:pStyle w:val="BodyText"/>
      </w:pPr>
      <w:r>
        <w:t xml:space="preserve">Für die Variablen, die nach jeder Trainingseinheit erfasst wurden, wurden für eine deskriptive Einschätzung Durchschnittswerte gebildet. Die Anzahl der abgeschlossenen Trainingseinheiten, von denen es insgesamt sechs in der Studie gab, weist eine extrem linksschiefe 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Der negative Affekt nach jeder Trainingseinheit hatte einen Maximalwert von 3 und eine hohe Konzentration von Werten am unteren Ende der Verteilung.</w:t>
      </w:r>
    </w:p>
    <w:p>
      <w:pPr>
        <w:pStyle w:val="BodyText"/>
      </w:pPr>
      <w:r>
        <w:t xml:space="preserve">Die Baseline-Werte waren allesamt rechtsschief und nicht normalverteilt. Die wöchentlich gelaufenen Kilometer wiesen zwei Ausreißer mit extremen Werten von mehr als 200km pro Woche auf. Diese Werte waren nicht plausibel, da sie, mit der wöchentlichen Laufzeit verrechnet, eine Durchschnittsgeschwindigkeit von jeweils 136.5 und 21 Kilometern pro Stunde suggerierten. Da diese Baseline-Werte aber nicht in die statistischen Analysen einbezogen wurden, wurden die Daten dieser Versuchspersonen beibehalten.</w:t>
      </w:r>
    </w:p>
    <w:bookmarkEnd w:id="42"/>
    <w:bookmarkStart w:id="49" w:name="korrelationen"/>
    <w:p>
      <w:pPr>
        <w:pStyle w:val="Heading2"/>
      </w:pPr>
      <w:r>
        <w:t xml:space="preserve">Korrelationen</w:t>
      </w:r>
    </w:p>
    <w:p>
      <w:pPr>
        <w:pStyle w:val="FirstParagraph"/>
      </w:pPr>
      <w:r>
        <w:t xml:space="preserve">Laut</w:t>
      </w:r>
      <w:r>
        <w:t xml:space="preserve"> </w:t>
      </w:r>
      <w:r>
        <w:t xml:space="preserve">Cohen (</w:t>
      </w:r>
      <w:hyperlink w:anchor="ref-Cohen2013">
        <w:r>
          <w:rPr>
            <w:rStyle w:val="Hyperlink"/>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Hyperlink"/>
          </w:rPr>
          <w:t xml:space="preserve">Tabelle 3</w:t>
        </w:r>
      </w:hyperlink>
      <w:r>
        <w:t xml:space="preserve"> </w:t>
      </w:r>
      <w:r>
        <w:t xml:space="preserve">dargestellt. In Bezug auf die Hypothesen ist lediglich einer der Korrelationswerte bedeutsam.</w:t>
      </w:r>
      <w:r>
        <w:t xml:space="preserve"> </w:t>
      </w:r>
      <w:r>
        <w:t xml:space="preserve">Zwischen dem negativen Affekt und der wahrgenommen Zielerreichung zeigte sich eine signifikante, mittelmäßig stark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BodyText"/>
      </w:pPr>
      <w:r>
        <w:t xml:space="preserve">Die Trainingsbezogen Variablen brachten mehrere starke, signifikante Korrelationen hervor. Die Baseline-Werte für Trainingszeit und Distanz waren sowohl mit der gemittelten Trainingszeit als auch der Distanz aus den einzelnen Trainingseinheiten signifikant korreliert. Auch die anderen Baseline-Werte korrelierten mit den Durchschnittswerten aus den einzelnen Trainingseinheiten.</w:t>
      </w:r>
    </w:p>
    <w:p>
      <w:pPr>
        <w:pStyle w:val="BodyText"/>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bookmarkStart w:id="43" w:name="tbl-stattable"/>
    <w:p>
      <w:pPr>
        <w:pStyle w:val="FigureTitle"/>
      </w:pPr>
      <w:r>
        <w:t xml:space="preserve">Tabelle 2</w:t>
      </w:r>
    </w:p>
    <w:p>
      <w:pPr>
        <w:pStyle w:val="Caption"/>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55"/>
        <w:gridCol w:w="1083"/>
        <w:gridCol w:w="1339"/>
        <w:gridCol w:w="1101"/>
        <w:gridCol w:w="906"/>
        <w:gridCol w:w="1070"/>
        <w:gridCol w:w="1022"/>
        <w:gridCol w:w="1089"/>
      </w:tblGrid>
      <w:tr>
        <w:trPr>
          <w:trHeight w:val="60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r>
      <w:tr>
        <w:trPr>
          <w:trHeight w:val="61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0.003</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r>
        <w:trPr>
          <w:trHeight w:val="611"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3"/>
    <w:p>
      <w:pPr>
        <w:pStyle w:val="FigureNote"/>
      </w:pPr>
      <w:r>
        <w:rPr>
          <w:i/>
          <w:iCs/>
        </w:rPr>
        <w:t xml:space="preserve">Hinweis</w:t>
      </w:r>
      <w:r>
        <w:t xml:space="preserve">. Das Konfidenzintervall ist als Abstand vom Mittelwert zum unteren bzw. oberen Konfidenzintervall notiert.</w:t>
      </w:r>
    </w:p>
    <w:p>
      <w:pPr>
        <w:sectPr/>
      </w:pPr>
    </w:p>
    <w:bookmarkStart w:id="44" w:name="tbl-corrtable"/>
    <w:p>
      <w:pPr>
        <w:pStyle w:val="FigureTitle"/>
      </w:pPr>
      <w:r>
        <w:t xml:space="preserve">Tabelle 3</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8"/>
        <w:gridCol w:w="924"/>
        <w:gridCol w:w="912"/>
        <w:gridCol w:w="924"/>
        <w:gridCol w:w="912"/>
        <w:gridCol w:w="998"/>
        <w:gridCol w:w="1010"/>
        <w:gridCol w:w="1010"/>
        <w:gridCol w:w="1010"/>
        <w:gridCol w:w="1010"/>
        <w:gridCol w:w="924"/>
        <w:gridCol w:w="839"/>
        <w:gridCol w:w="924"/>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3"/>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Baseline 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4"/>
    <w:p>
      <w:pPr>
        <w:pStyle w:val="FigureNote"/>
      </w:pPr>
      <w:r>
        <w:rPr>
          <w:i/>
          <w:iCs/>
        </w:rPr>
        <w:t xml:space="preserve">Hinweis</w:t>
      </w:r>
      <w:r>
        <w:t xml:space="preserve">. *p &lt; 0.05; **p &lt; 0.01</w:t>
      </w:r>
    </w:p>
    <w:p>
      <w:pPr>
        <w:sectPr>
          <w:pgSz w:h="11906" w:w="16838" w:orient="landscape"/>
        </w:sectPr>
      </w:pPr>
    </w:p>
    <w:p>
      <w:pPr>
        <w:pStyle w:val="AfterWithoutNote"/>
      </w:pPr>
      <w:hyperlink w:anchor="fig-overview">
        <w:r>
          <w:rPr>
            <w:rStyle w:val="Hyperlink"/>
          </w:rPr>
          <w:t xml:space="preserve">Abbildung 1</w:t>
        </w:r>
      </w:hyperlink>
      <w:r>
        <w:t xml:space="preserve"> </w:t>
      </w:r>
      <w:r>
        <w:t xml:space="preserve">zeigt eine Übersicht der Variablen, zur Überprüfung der Hypothesen herangezogen wurden.</w:t>
      </w:r>
    </w:p>
    <w:bookmarkStart w:id="48" w:name="fig-overview"/>
    <w:p>
      <w:pPr>
        <w:pStyle w:val="FigureTitle"/>
      </w:pPr>
      <w:r>
        <w:t xml:space="preserve">Abbildung 1</w:t>
      </w:r>
    </w:p>
    <w:p>
      <w:pPr>
        <w:pStyle w:val="Caption"/>
      </w:pPr>
      <w:r>
        <w:t xml:space="preserve">The Figure Caption</w:t>
      </w:r>
    </w:p>
    <w:p>
      <w:pPr>
        <w:pStyle w:val="FigureWithNote"/>
      </w:pPr>
      <w:r>
        <w:drawing>
          <wp:inline>
            <wp:extent cx="5943600" cy="8915400"/>
            <wp:effectExtent b="0" l="0" r="0" t="0"/>
            <wp:docPr descr="" title="" id="46" name="Picture"/>
            <a:graphic>
              <a:graphicData uri="http://schemas.openxmlformats.org/drawingml/2006/picture">
                <pic:pic>
                  <pic:nvPicPr>
                    <pic:cNvPr descr="MD_BAEW_files/figure-docx/fig-overview-1.png" id="47" name="Picture"/>
                    <pic:cNvPicPr>
                      <a:picLocks noChangeArrowheads="1" noChangeAspect="1"/>
                    </pic:cNvPicPr>
                  </pic:nvPicPr>
                  <pic:blipFill>
                    <a:blip r:embed="rId45"/>
                    <a:stretch>
                      <a:fillRect/>
                    </a:stretch>
                  </pic:blipFill>
                  <pic:spPr bwMode="auto">
                    <a:xfrm>
                      <a:off x="0" y="0"/>
                      <a:ext cx="5943600" cy="8915400"/>
                    </a:xfrm>
                    <a:prstGeom prst="rect">
                      <a:avLst/>
                    </a:prstGeom>
                    <a:noFill/>
                    <a:ln w="9525">
                      <a:noFill/>
                      <a:headEnd/>
                      <a:tailEnd/>
                    </a:ln>
                  </pic:spPr>
                </pic:pic>
              </a:graphicData>
            </a:graphic>
          </wp:inline>
        </w:drawing>
      </w:r>
    </w:p>
    <w:bookmarkEnd w:id="48"/>
    <w:p>
      <w:pPr>
        <w:pStyle w:val="FigureNote"/>
      </w:pPr>
      <w:r>
        <w:rPr>
          <w:i/>
          <w:iCs/>
        </w:rPr>
        <w:t xml:space="preserve">Hinweis</w:t>
      </w:r>
      <w:r>
        <w:t xml:space="preserve">. This is the note below the figure.</w:t>
      </w:r>
    </w:p>
    <w:bookmarkEnd w:id="49"/>
    <w:bookmarkStart w:id="51" w:name="hierarchische-modelle"/>
    <w:p>
      <w:pPr>
        <w:pStyle w:val="Heading2"/>
      </w:pPr>
      <w:r>
        <w:t xml:space="preserve">Hierarchische Modelle</w:t>
      </w:r>
    </w:p>
    <w:p>
      <w:pPr>
        <w:pStyle w:val="FirstParagraph"/>
      </w:pPr>
      <w:r>
        <w:t xml:space="preserve">Auch bei niedrigem ICC ist ein HLM angemessen</w:t>
      </w:r>
      <w:r>
        <w:t xml:space="preserve"> </w:t>
      </w:r>
      <w:r>
        <w:t xml:space="preserve">Nezlek (</w:t>
      </w:r>
      <w:hyperlink w:anchor="ref-nezlek2008introduction">
        <w:r>
          <w:rPr>
            <w:rStyle w:val="Hyperlink"/>
          </w:rPr>
          <w:t xml:space="preserve">2008</w:t>
        </w:r>
      </w:hyperlink>
      <w:r>
        <w:t xml:space="preserve">)</w:t>
      </w:r>
    </w:p>
    <w:p>
      <w:pPr>
        <w:pStyle w:val="BodyText"/>
      </w:pPr>
      <w:r>
        <w:t xml:space="preserve">icc_goal$ICC_adjusted</w:t>
      </w:r>
    </w:p>
    <w:bookmarkStart w:id="50" w:name="tbl-hlmtable1"/>
    <w:p>
      <w:pPr>
        <w:pStyle w:val="FigureTitle"/>
      </w:pPr>
      <w:r>
        <w:t xml:space="preserve">Tabelle 4</w:t>
      </w:r>
    </w:p>
    <w:p>
      <w:pPr>
        <w:pStyle w:val="Caption"/>
      </w:pPr>
      <w:r>
        <w:t xml:space="preserve">Hlm tabelle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44"/>
        <w:gridCol w:w="1283"/>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 </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r>
      <w:tr>
        <w:trPr>
          <w:trHeight w:val="62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sd__(Intercept)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w:t>
            </w:r>
          </w:p>
        </w:tc>
      </w:tr>
      <w:tr>
        <w:trPr>
          <w:trHeight w:val="625"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r>
      <w:tr>
        <w:trPr>
          <w:trHeight w:val="668" w:hRule="auto"/>
        </w:trPr>
        body13
        <w:tc>
          <w:tcPr>
            <w:gridSpan w:val="2"/>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0"/>
    <w:p>
      <w:pPr>
        <w:pStyle w:val="FigureNote"/>
      </w:pPr>
      <w:r>
        <w:rPr>
          <w:i/>
          <w:iCs/>
        </w:rPr>
        <w:t xml:space="preserve">Hinweis</w:t>
      </w:r>
      <w:r>
        <w:t xml:space="preserve">. *p &lt; 0.05; **p &lt; 0.01</w:t>
      </w:r>
    </w:p>
    <w:p>
      <w:pPr>
        <w:pStyle w:val="BodyText"/>
      </w:pPr>
      <w:r>
        <w:rPr>
          <w:i/>
          <w:iCs/>
        </w:rPr>
        <w:t xml:space="preserve">Attributionsstil:</w:t>
      </w:r>
    </w:p>
    <w:bookmarkEnd w:id="51"/>
    <w:bookmarkEnd w:id="52"/>
    <w:bookmarkStart w:id="53" w:name="diskussion"/>
    <w:p>
      <w:pPr>
        <w:pStyle w:val="Heading1"/>
      </w:pPr>
      <w:r>
        <w:t xml:space="preserve">Diskussion</w:t>
      </w:r>
    </w:p>
    <w:p>
      <w:pPr>
        <w:pStyle w:val="FirstParagraph"/>
      </w:pPr>
      <w:r>
        <w:t xml:space="preserve">Multiple imputation</w:t>
      </w:r>
    </w:p>
    <w:bookmarkEnd w:id="53"/>
    <w:bookmarkStart w:id="126" w:name="literaturverzeichnis"/>
    <w:p>
      <w:pPr>
        <w:pStyle w:val="Heading1"/>
      </w:pPr>
      <w:r>
        <w:t xml:space="preserve">Literaturverzeichnis</w:t>
      </w:r>
    </w:p>
    <w:bookmarkStart w:id="125" w:name="refs"/>
    <w:bookmarkStart w:id="55"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54">
        <w:r>
          <w:rPr>
            <w:rStyle w:val="Hyperlink"/>
          </w:rPr>
          <w:t xml:space="preserve">https://doi.org/doi.org/10.1002/9781119568124.ch37</w:t>
        </w:r>
      </w:hyperlink>
    </w:p>
    <w:bookmarkEnd w:id="55"/>
    <w:bookmarkStart w:id="57"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56">
        <w:r>
          <w:rPr>
            <w:rStyle w:val="Hyperlink"/>
          </w:rPr>
          <w:t xml:space="preserve">https://doi.org/10.1080/17437199.2012.701060</w:t>
        </w:r>
      </w:hyperlink>
    </w:p>
    <w:bookmarkEnd w:id="57"/>
    <w:bookmarkStart w:id="58" w:name="ref-bandura1977social"/>
    <w:p>
      <w:pPr>
        <w:pStyle w:val="Bibliography"/>
      </w:pPr>
      <w:r>
        <w:t xml:space="preserve">Bandura, A. (1977).</w:t>
      </w:r>
      <w:r>
        <w:t xml:space="preserve"> </w:t>
      </w:r>
      <w:r>
        <w:rPr>
          <w:i/>
          <w:iCs/>
        </w:rPr>
        <w:t xml:space="preserve">Social Learning Theory</w:t>
      </w:r>
      <w:r>
        <w:t xml:space="preserve">. Prentice-Hall.</w:t>
      </w:r>
    </w:p>
    <w:bookmarkEnd w:id="58"/>
    <w:bookmarkStart w:id="60"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59">
        <w:r>
          <w:rPr>
            <w:rStyle w:val="Hyperlink"/>
          </w:rPr>
          <w:t xml:space="preserve">https://doi.org/10.1002/9781118270011</w:t>
        </w:r>
      </w:hyperlink>
    </w:p>
    <w:bookmarkEnd w:id="60"/>
    <w:bookmarkStart w:id="62"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61">
        <w:r>
          <w:rPr>
            <w:rStyle w:val="Hyperlink"/>
          </w:rPr>
          <w:t xml:space="preserve">https://doi.org/10.1016/j.jaac.2016.04.016</w:t>
        </w:r>
      </w:hyperlink>
    </w:p>
    <w:bookmarkEnd w:id="62"/>
    <w:bookmarkStart w:id="63"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63"/>
    <w:bookmarkStart w:id="65" w:name="ref-Cohen2013"/>
    <w:p>
      <w:pPr>
        <w:pStyle w:val="Bibliography"/>
      </w:pPr>
      <w:r>
        <w:t xml:space="preserve">Cohen, J. (2013).</w:t>
      </w:r>
      <w:r>
        <w:t xml:space="preserve"> </w:t>
      </w:r>
      <w:r>
        <w:rPr>
          <w:i/>
          <w:iCs/>
        </w:rPr>
        <w:t xml:space="preserve">Statistical Power Analysis for the Behavioral Sciences</w:t>
      </w:r>
      <w:r>
        <w:t xml:space="preserve">. Routledge.</w:t>
      </w:r>
      <w:r>
        <w:t xml:space="preserve"> </w:t>
      </w:r>
      <w:hyperlink r:id="rId64">
        <w:r>
          <w:rPr>
            <w:rStyle w:val="Hyperlink"/>
          </w:rPr>
          <w:t xml:space="preserve">https://doi.org/10.4324/9780203771587</w:t>
        </w:r>
      </w:hyperlink>
    </w:p>
    <w:bookmarkEnd w:id="65"/>
    <w:bookmarkStart w:id="67"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66">
        <w:r>
          <w:rPr>
            <w:rStyle w:val="Hyperlink"/>
          </w:rPr>
          <w:t xml:space="preserve">https://doi.org/10.1080/00223980.1996.9915038</w:t>
        </w:r>
      </w:hyperlink>
    </w:p>
    <w:bookmarkEnd w:id="67"/>
    <w:bookmarkStart w:id="69"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68">
        <w:r>
          <w:rPr>
            <w:rStyle w:val="Hyperlink"/>
          </w:rPr>
          <w:t xml:space="preserve">https://doi.org/10.1348/0144665031752934</w:t>
        </w:r>
      </w:hyperlink>
    </w:p>
    <w:bookmarkEnd w:id="69"/>
    <w:bookmarkStart w:id="71"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70">
        <w:r>
          <w:rPr>
            <w:rStyle w:val="Hyperlink"/>
          </w:rPr>
          <w:t xml:space="preserve">https://doi.org/10.1519/r-13113.1</w:t>
        </w:r>
      </w:hyperlink>
    </w:p>
    <w:bookmarkEnd w:id="71"/>
    <w:bookmarkStart w:id="73"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72">
        <w:r>
          <w:rPr>
            <w:rStyle w:val="Hyperlink"/>
          </w:rPr>
          <w:t xml:space="preserve">https://doi.org/10.1016/s0140-6736(16)30383-x</w:t>
        </w:r>
      </w:hyperlink>
    </w:p>
    <w:bookmarkEnd w:id="73"/>
    <w:bookmarkStart w:id="75"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74">
        <w:r>
          <w:rPr>
            <w:rStyle w:val="Hyperlink"/>
          </w:rPr>
          <w:t xml:space="preserve">https://doi.org/10.1123/ijspp.2020-0599</w:t>
        </w:r>
      </w:hyperlink>
    </w:p>
    <w:bookmarkEnd w:id="75"/>
    <w:bookmarkStart w:id="76"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76"/>
    <w:bookmarkStart w:id="78"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77">
        <w:r>
          <w:rPr>
            <w:rStyle w:val="Hyperlink"/>
          </w:rPr>
          <w:t xml:space="preserve">https://doi.org/10.1016/j.socscimed.2009.02.028</w:t>
        </w:r>
      </w:hyperlink>
    </w:p>
    <w:bookmarkEnd w:id="78"/>
    <w:bookmarkStart w:id="80"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79">
        <w:r>
          <w:rPr>
            <w:rStyle w:val="Hyperlink"/>
          </w:rPr>
          <w:t xml:space="preserve">https://doi.org/10.1111/2041-210x.12504</w:t>
        </w:r>
      </w:hyperlink>
    </w:p>
    <w:bookmarkEnd w:id="80"/>
    <w:bookmarkStart w:id="81"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81"/>
    <w:bookmarkStart w:id="82"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82"/>
    <w:bookmarkStart w:id="84"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83">
        <w:r>
          <w:rPr>
            <w:rStyle w:val="Hyperlink"/>
          </w:rPr>
          <w:t xml:space="preserve">https://doi.org/10.1007/s00103-012-1661-6</w:t>
        </w:r>
      </w:hyperlink>
    </w:p>
    <w:bookmarkEnd w:id="84"/>
    <w:bookmarkStart w:id="86"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85">
        <w:r>
          <w:rPr>
            <w:rStyle w:val="Hyperlink"/>
          </w:rPr>
          <w:t xml:space="preserve">https://doi.org/10.1016/s0140-6736(12)61031-9</w:t>
        </w:r>
      </w:hyperlink>
    </w:p>
    <w:bookmarkEnd w:id="86"/>
    <w:bookmarkStart w:id="88"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87">
        <w:r>
          <w:rPr>
            <w:rStyle w:val="Hyperlink"/>
          </w:rPr>
          <w:t xml:space="preserve">https://doi.org/10.1001/jama.2015.15281</w:t>
        </w:r>
      </w:hyperlink>
    </w:p>
    <w:bookmarkEnd w:id="88"/>
    <w:bookmarkStart w:id="90"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89">
        <w:r>
          <w:rPr>
            <w:rStyle w:val="Hyperlink"/>
          </w:rPr>
          <w:t xml:space="preserve">https://doi.org/10.1007/978-1-4899-1760-7_18</w:t>
        </w:r>
      </w:hyperlink>
    </w:p>
    <w:bookmarkEnd w:id="90"/>
    <w:bookmarkStart w:id="92"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91">
        <w:r>
          <w:rPr>
            <w:rStyle w:val="Hyperlink"/>
          </w:rPr>
          <w:t xml:space="preserve">https://doi.org/10.1080/02701367.1993.10607598</w:t>
        </w:r>
      </w:hyperlink>
    </w:p>
    <w:bookmarkEnd w:id="92"/>
    <w:bookmarkStart w:id="94"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93">
        <w:r>
          <w:rPr>
            <w:rStyle w:val="Hyperlink"/>
          </w:rPr>
          <w:t xml:space="preserve">https://doi.org/10.1111/j.1360-0443.1984.tb03867.x</w:t>
        </w:r>
      </w:hyperlink>
    </w:p>
    <w:bookmarkEnd w:id="94"/>
    <w:bookmarkStart w:id="96"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95">
        <w:r>
          <w:rPr>
            <w:rStyle w:val="Hyperlink"/>
          </w:rPr>
          <w:t xml:space="preserve">https://doi.org/10.1037/0022-006x.52.5.795</w:t>
        </w:r>
      </w:hyperlink>
    </w:p>
    <w:bookmarkEnd w:id="96"/>
    <w:bookmarkStart w:id="98"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97">
        <w:r>
          <w:rPr>
            <w:rStyle w:val="Hyperlink"/>
          </w:rPr>
          <w:t xml:space="preserve">https://doi.org/10.1006/pmed.1994.1068</w:t>
        </w:r>
      </w:hyperlink>
    </w:p>
    <w:bookmarkEnd w:id="98"/>
    <w:bookmarkStart w:id="100"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99">
        <w:r>
          <w:rPr>
            <w:rStyle w:val="Hyperlink"/>
          </w:rPr>
          <w:t xml:space="preserve">https://doi.org/10.1016/j.maturitas.2017.09.003</w:t>
        </w:r>
      </w:hyperlink>
    </w:p>
    <w:bookmarkEnd w:id="100"/>
    <w:bookmarkStart w:id="102"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01">
        <w:r>
          <w:rPr>
            <w:rStyle w:val="Hyperlink"/>
          </w:rPr>
          <w:t xml:space="preserve">https://doi.org/10.1016/j.amjmed.2004.06.047</w:t>
        </w:r>
      </w:hyperlink>
    </w:p>
    <w:bookmarkEnd w:id="102"/>
    <w:bookmarkStart w:id="103" w:name="ref-nezlek2008introduction"/>
    <w:p>
      <w:pPr>
        <w:pStyle w:val="Bibliography"/>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103"/>
    <w:bookmarkStart w:id="105"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04">
        <w:r>
          <w:rPr>
            <w:rStyle w:val="Hyperlink"/>
          </w:rPr>
          <w:t xml:space="preserve">https://doi.org/10.2165/00007256-200029030-00003</w:t>
        </w:r>
      </w:hyperlink>
    </w:p>
    <w:bookmarkEnd w:id="105"/>
    <w:bookmarkStart w:id="107"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06">
        <w:r>
          <w:rPr>
            <w:rStyle w:val="Hyperlink"/>
          </w:rPr>
          <w:t xml:space="preserve">https://doi.org/10.1007/bf01173577</w:t>
        </w:r>
      </w:hyperlink>
    </w:p>
    <w:bookmarkEnd w:id="107"/>
    <w:bookmarkStart w:id="109"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08">
        <w:r>
          <w:rPr>
            <w:rStyle w:val="Hyperlink"/>
          </w:rPr>
          <w:t xml:space="preserve">https://doi.org/10.3389/fspor.2020.00072</w:t>
        </w:r>
      </w:hyperlink>
    </w:p>
    <w:bookmarkEnd w:id="109"/>
    <w:bookmarkStart w:id="111"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10">
        <w:r>
          <w:rPr>
            <w:rStyle w:val="Hyperlink"/>
          </w:rPr>
          <w:t xml:space="preserve">https://doi.org/10.25646/9362</w:t>
        </w:r>
      </w:hyperlink>
    </w:p>
    <w:bookmarkEnd w:id="111"/>
    <w:bookmarkStart w:id="113"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12">
        <w:r>
          <w:rPr>
            <w:rStyle w:val="Hyperlink"/>
          </w:rPr>
          <w:t xml:space="preserve">https://doi.org/10.1207/s15327752jpa740109</w:t>
        </w:r>
      </w:hyperlink>
    </w:p>
    <w:bookmarkEnd w:id="113"/>
    <w:bookmarkStart w:id="115"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14">
        <w:r>
          <w:rPr>
            <w:rStyle w:val="Hyperlink"/>
          </w:rPr>
          <w:t xml:space="preserve">https://doi.org/10.1207/s15324796abm3001_4</w:t>
        </w:r>
      </w:hyperlink>
    </w:p>
    <w:bookmarkEnd w:id="115"/>
    <w:bookmarkStart w:id="117"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16">
        <w:r>
          <w:rPr>
            <w:rStyle w:val="Hyperlink"/>
          </w:rPr>
          <w:t xml:space="preserve">https://doi.org/10.1037/t06465-000</w:t>
        </w:r>
      </w:hyperlink>
    </w:p>
    <w:bookmarkEnd w:id="117"/>
    <w:bookmarkStart w:id="119"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18">
        <w:r>
          <w:rPr>
            <w:rStyle w:val="Hyperlink"/>
          </w:rPr>
          <w:t xml:space="preserve">https://doi.org/10.1503/cmaj.051351</w:t>
        </w:r>
      </w:hyperlink>
    </w:p>
    <w:bookmarkEnd w:id="119"/>
    <w:bookmarkStart w:id="121"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20">
        <w:r>
          <w:rPr>
            <w:rStyle w:val="Hyperlink"/>
          </w:rPr>
          <w:t xml:space="preserve">https://doi.org/10.1037/0022-3514.54.6.1063</w:t>
        </w:r>
      </w:hyperlink>
    </w:p>
    <w:bookmarkEnd w:id="121"/>
    <w:bookmarkStart w:id="122"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22"/>
    <w:bookmarkStart w:id="124"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23">
        <w:r>
          <w:rPr>
            <w:rStyle w:val="Hyperlink"/>
          </w:rPr>
          <w:t xml:space="preserve">https://iris.who.int/bitstream/handle/10665/44399/9789241599979_eng.pdf?sequence=1</w:t>
        </w:r>
      </w:hyperlink>
    </w:p>
    <w:bookmarkEnd w:id="124"/>
    <w:bookmarkEnd w:id="125"/>
    <w:bookmarkEnd w:id="126"/>
    <w:bookmarkStart w:id="127" w:name="anhang"/>
    <w:p>
      <w:pPr>
        <w:pStyle w:val="Heading1"/>
      </w:pPr>
      <w:r>
        <w:t xml:space="preserve">Anhang</w:t>
      </w:r>
    </w:p>
    <w:sectPr>
      <w:lnNumType w:countBy="1" w:restart="continuous"/>
    </w:sectPr>
    <w:bookmarkEnd w:id="1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21" Target="media/rId21.svg" /><Relationship Type="http://schemas.openxmlformats.org/officeDocument/2006/relationships/hyperlink" Id="rId87" Target="https://doi.org/10.1001/jama.2015.15281" TargetMode="External" /><Relationship Type="http://schemas.openxmlformats.org/officeDocument/2006/relationships/hyperlink" Id="rId59" Target="https://doi.org/10.1002/9781118270011" TargetMode="External" /><Relationship Type="http://schemas.openxmlformats.org/officeDocument/2006/relationships/hyperlink" Id="rId97" Target="https://doi.org/10.1006/pmed.1994.1068" TargetMode="External" /><Relationship Type="http://schemas.openxmlformats.org/officeDocument/2006/relationships/hyperlink" Id="rId89" Target="https://doi.org/10.1007/978-1-4899-1760-7_18" TargetMode="External" /><Relationship Type="http://schemas.openxmlformats.org/officeDocument/2006/relationships/hyperlink" Id="rId106" Target="https://doi.org/10.1007/bf01173577" TargetMode="External" /><Relationship Type="http://schemas.openxmlformats.org/officeDocument/2006/relationships/hyperlink" Id="rId83" Target="https://doi.org/10.1007/s00103-012-1661-6" TargetMode="External" /><Relationship Type="http://schemas.openxmlformats.org/officeDocument/2006/relationships/hyperlink" Id="rId101" Target="https://doi.org/10.1016/j.amjmed.2004.06.047" TargetMode="External" /><Relationship Type="http://schemas.openxmlformats.org/officeDocument/2006/relationships/hyperlink" Id="rId61" Target="https://doi.org/10.1016/j.jaac.2016.04.016" TargetMode="External" /><Relationship Type="http://schemas.openxmlformats.org/officeDocument/2006/relationships/hyperlink" Id="rId99" Target="https://doi.org/10.1016/j.maturitas.2017.09.003" TargetMode="External" /><Relationship Type="http://schemas.openxmlformats.org/officeDocument/2006/relationships/hyperlink" Id="rId77" Target="https://doi.org/10.1016/j.socscimed.2009.02.028" TargetMode="External" /><Relationship Type="http://schemas.openxmlformats.org/officeDocument/2006/relationships/hyperlink" Id="rId85" Target="https://doi.org/10.1016/s0140-6736(12)61031-9" TargetMode="External" /><Relationship Type="http://schemas.openxmlformats.org/officeDocument/2006/relationships/hyperlink" Id="rId72" Target="https://doi.org/10.1016/s0140-6736(16)30383-x" TargetMode="External" /><Relationship Type="http://schemas.openxmlformats.org/officeDocument/2006/relationships/hyperlink" Id="rId95" Target="https://doi.org/10.1037/0022-006x.52.5.795" TargetMode="External" /><Relationship Type="http://schemas.openxmlformats.org/officeDocument/2006/relationships/hyperlink" Id="rId120" Target="https://doi.org/10.1037/0022-3514.54.6.1063" TargetMode="External" /><Relationship Type="http://schemas.openxmlformats.org/officeDocument/2006/relationships/hyperlink" Id="rId116" Target="https://doi.org/10.1037/t06465-000" TargetMode="External" /><Relationship Type="http://schemas.openxmlformats.org/officeDocument/2006/relationships/hyperlink" Id="rId66" Target="https://doi.org/10.1080/00223980.1996.9915038" TargetMode="External" /><Relationship Type="http://schemas.openxmlformats.org/officeDocument/2006/relationships/hyperlink" Id="rId91" Target="https://doi.org/10.1080/02701367.1993.10607598" TargetMode="External" /><Relationship Type="http://schemas.openxmlformats.org/officeDocument/2006/relationships/hyperlink" Id="rId56" Target="https://doi.org/10.1080/17437199.2012.701060" TargetMode="External" /><Relationship Type="http://schemas.openxmlformats.org/officeDocument/2006/relationships/hyperlink" Id="rId79" Target="https://doi.org/10.1111/2041-210x.12504" TargetMode="External" /><Relationship Type="http://schemas.openxmlformats.org/officeDocument/2006/relationships/hyperlink" Id="rId93" Target="https://doi.org/10.1111/j.1360-0443.1984.tb03867.x" TargetMode="External" /><Relationship Type="http://schemas.openxmlformats.org/officeDocument/2006/relationships/hyperlink" Id="rId74" Target="https://doi.org/10.1123/ijspp.2020-0599" TargetMode="External" /><Relationship Type="http://schemas.openxmlformats.org/officeDocument/2006/relationships/hyperlink" Id="rId114" Target="https://doi.org/10.1207/s15324796abm3001_4" TargetMode="External" /><Relationship Type="http://schemas.openxmlformats.org/officeDocument/2006/relationships/hyperlink" Id="rId112" Target="https://doi.org/10.1207/s15327752jpa740109" TargetMode="External" /><Relationship Type="http://schemas.openxmlformats.org/officeDocument/2006/relationships/hyperlink" Id="rId68" Target="https://doi.org/10.1348/0144665031752934" TargetMode="External" /><Relationship Type="http://schemas.openxmlformats.org/officeDocument/2006/relationships/hyperlink" Id="rId118" Target="https://doi.org/10.1503/cmaj.051351" TargetMode="External" /><Relationship Type="http://schemas.openxmlformats.org/officeDocument/2006/relationships/hyperlink" Id="rId70" Target="https://doi.org/10.1519/r-13113.1" TargetMode="External" /><Relationship Type="http://schemas.openxmlformats.org/officeDocument/2006/relationships/hyperlink" Id="rId104" Target="https://doi.org/10.2165/00007256-200029030-00003" TargetMode="External" /><Relationship Type="http://schemas.openxmlformats.org/officeDocument/2006/relationships/hyperlink" Id="rId110" Target="https://doi.org/10.25646/9362" TargetMode="External" /><Relationship Type="http://schemas.openxmlformats.org/officeDocument/2006/relationships/hyperlink" Id="rId108" Target="https://doi.org/10.3389/fspor.2020.00072" TargetMode="External" /><Relationship Type="http://schemas.openxmlformats.org/officeDocument/2006/relationships/hyperlink" Id="rId64" Target="https://doi.org/10.4324/9780203771587" TargetMode="External" /><Relationship Type="http://schemas.openxmlformats.org/officeDocument/2006/relationships/hyperlink" Id="rId54"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23"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01/jama.2015.15281" TargetMode="External" /><Relationship Type="http://schemas.openxmlformats.org/officeDocument/2006/relationships/hyperlink" Id="rId59" Target="https://doi.org/10.1002/9781118270011" TargetMode="External" /><Relationship Type="http://schemas.openxmlformats.org/officeDocument/2006/relationships/hyperlink" Id="rId97" Target="https://doi.org/10.1006/pmed.1994.1068" TargetMode="External" /><Relationship Type="http://schemas.openxmlformats.org/officeDocument/2006/relationships/hyperlink" Id="rId89" Target="https://doi.org/10.1007/978-1-4899-1760-7_18" TargetMode="External" /><Relationship Type="http://schemas.openxmlformats.org/officeDocument/2006/relationships/hyperlink" Id="rId106" Target="https://doi.org/10.1007/bf01173577" TargetMode="External" /><Relationship Type="http://schemas.openxmlformats.org/officeDocument/2006/relationships/hyperlink" Id="rId83" Target="https://doi.org/10.1007/s00103-012-1661-6" TargetMode="External" /><Relationship Type="http://schemas.openxmlformats.org/officeDocument/2006/relationships/hyperlink" Id="rId101" Target="https://doi.org/10.1016/j.amjmed.2004.06.047" TargetMode="External" /><Relationship Type="http://schemas.openxmlformats.org/officeDocument/2006/relationships/hyperlink" Id="rId61" Target="https://doi.org/10.1016/j.jaac.2016.04.016" TargetMode="External" /><Relationship Type="http://schemas.openxmlformats.org/officeDocument/2006/relationships/hyperlink" Id="rId99" Target="https://doi.org/10.1016/j.maturitas.2017.09.003" TargetMode="External" /><Relationship Type="http://schemas.openxmlformats.org/officeDocument/2006/relationships/hyperlink" Id="rId77" Target="https://doi.org/10.1016/j.socscimed.2009.02.028" TargetMode="External" /><Relationship Type="http://schemas.openxmlformats.org/officeDocument/2006/relationships/hyperlink" Id="rId85" Target="https://doi.org/10.1016/s0140-6736(12)61031-9" TargetMode="External" /><Relationship Type="http://schemas.openxmlformats.org/officeDocument/2006/relationships/hyperlink" Id="rId72" Target="https://doi.org/10.1016/s0140-6736(16)30383-x" TargetMode="External" /><Relationship Type="http://schemas.openxmlformats.org/officeDocument/2006/relationships/hyperlink" Id="rId95" Target="https://doi.org/10.1037/0022-006x.52.5.795" TargetMode="External" /><Relationship Type="http://schemas.openxmlformats.org/officeDocument/2006/relationships/hyperlink" Id="rId120" Target="https://doi.org/10.1037/0022-3514.54.6.1063" TargetMode="External" /><Relationship Type="http://schemas.openxmlformats.org/officeDocument/2006/relationships/hyperlink" Id="rId116" Target="https://doi.org/10.1037/t06465-000" TargetMode="External" /><Relationship Type="http://schemas.openxmlformats.org/officeDocument/2006/relationships/hyperlink" Id="rId66" Target="https://doi.org/10.1080/00223980.1996.9915038" TargetMode="External" /><Relationship Type="http://schemas.openxmlformats.org/officeDocument/2006/relationships/hyperlink" Id="rId91" Target="https://doi.org/10.1080/02701367.1993.10607598" TargetMode="External" /><Relationship Type="http://schemas.openxmlformats.org/officeDocument/2006/relationships/hyperlink" Id="rId56" Target="https://doi.org/10.1080/17437199.2012.701060" TargetMode="External" /><Relationship Type="http://schemas.openxmlformats.org/officeDocument/2006/relationships/hyperlink" Id="rId79" Target="https://doi.org/10.1111/2041-210x.12504" TargetMode="External" /><Relationship Type="http://schemas.openxmlformats.org/officeDocument/2006/relationships/hyperlink" Id="rId93" Target="https://doi.org/10.1111/j.1360-0443.1984.tb03867.x" TargetMode="External" /><Relationship Type="http://schemas.openxmlformats.org/officeDocument/2006/relationships/hyperlink" Id="rId74" Target="https://doi.org/10.1123/ijspp.2020-0599" TargetMode="External" /><Relationship Type="http://schemas.openxmlformats.org/officeDocument/2006/relationships/hyperlink" Id="rId114" Target="https://doi.org/10.1207/s15324796abm3001_4" TargetMode="External" /><Relationship Type="http://schemas.openxmlformats.org/officeDocument/2006/relationships/hyperlink" Id="rId112" Target="https://doi.org/10.1207/s15327752jpa740109" TargetMode="External" /><Relationship Type="http://schemas.openxmlformats.org/officeDocument/2006/relationships/hyperlink" Id="rId68" Target="https://doi.org/10.1348/0144665031752934" TargetMode="External" /><Relationship Type="http://schemas.openxmlformats.org/officeDocument/2006/relationships/hyperlink" Id="rId118" Target="https://doi.org/10.1503/cmaj.051351" TargetMode="External" /><Relationship Type="http://schemas.openxmlformats.org/officeDocument/2006/relationships/hyperlink" Id="rId70" Target="https://doi.org/10.1519/r-13113.1" TargetMode="External" /><Relationship Type="http://schemas.openxmlformats.org/officeDocument/2006/relationships/hyperlink" Id="rId104" Target="https://doi.org/10.2165/00007256-200029030-00003" TargetMode="External" /><Relationship Type="http://schemas.openxmlformats.org/officeDocument/2006/relationships/hyperlink" Id="rId110" Target="https://doi.org/10.25646/9362" TargetMode="External" /><Relationship Type="http://schemas.openxmlformats.org/officeDocument/2006/relationships/hyperlink" Id="rId108" Target="https://doi.org/10.3389/fspor.2020.00072" TargetMode="External" /><Relationship Type="http://schemas.openxmlformats.org/officeDocument/2006/relationships/hyperlink" Id="rId64" Target="https://doi.org/10.4324/9780203771587" TargetMode="External" /><Relationship Type="http://schemas.openxmlformats.org/officeDocument/2006/relationships/hyperlink" Id="rId54"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23"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2024-12-25T21:25:42Z</dcterms:created>
  <dcterms:modified xsi:type="dcterms:W3CDTF">2024-12-25T21:25:42Z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ditor">
    <vt:lpwstr>visual</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ed-lines">
    <vt:lpwstr>True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AFFEKT, ATTRIBUTION UND BEWEGUNGSADHÄRENZ</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Inhaltsverzeichnis</vt:lpwstr>
  </property>
  <property fmtid="{D5CDD505-2E9C-101B-9397-08002B2CF9AE}" pid="59" name="zerocitations">
    <vt:lpwstr>False</vt:lpwstr>
  </property>
</Properties>
</file>