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71.png" ContentType="image/png"/>
  <Override PartName="/word/media/rId80.png" ContentType="image/png"/>
  <Override PartName="/word/media/rId76.png" ContentType="image/png"/>
  <Override PartName="/word/media/rId51.png" ContentType="image/png"/>
  <Override PartName="/word/media/rId67.png" ContentType="image/png"/>
  <Override PartName="/word/media/rId61.png" ContentType="image/png"/>
  <Override PartName="/word/media/rId21.svg" ContentType="image/svg+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5"/>
      </w:pPr>
      <w:r>
        <w:t xml:space="preserve"> </w:t>
      </w:r>
    </w:p>
    <w:p>
      <w:pPr>
        <w:pStyle w:val="3"/>
      </w:pPr>
      <w:r>
        <w:t xml:space="preserve"> </w:t>
      </w:r>
    </w:p>
    <w:bookmarkStart w:id="20" w:name="title"/>
    <w:p>
      <w:pPr>
        <w:pStyle w:val="2"/>
      </w:pPr>
      <w:r>
        <w:t xml:space="preserve">Was uns am Laufen hält: Vorhersagen von Bewegungsadhärenz durch Affekt und Attributionsstile</w:t>
      </w:r>
    </w:p>
    <w:p>
      <w:pPr>
        <w:pStyle w:val="27"/>
      </w:pPr>
      <w:r>
        <w:t xml:space="preserve"> </w:t>
      </w:r>
    </w:p>
    <w:p>
      <w:pPr>
        <w:pStyle w:val="27"/>
      </w:pPr>
      <w:r>
        <w:t xml:space="preserve">Enno Winkler</w:t>
      </w:r>
    </w:p>
    <w:p>
      <w:pPr>
        <w:pStyle w:val="27"/>
      </w:pPr>
      <w:r>
        <w:t xml:space="preserve">Lehrgebiet Gesundheitspsychologie, Externer Betreuer Dr. Sascha Leisterer (Humboldt-Universität zu Berlin), Fernuniversität Hagen</w:t>
      </w:r>
    </w:p>
    <w:p>
      <w:pPr>
        <w:pStyle w:val="3"/>
      </w:pPr>
      <w:r>
        <w:t xml:space="preserve"> </w:t>
      </w:r>
    </w:p>
    <w:p>
      <w:pPr>
        <w:pStyle w:val="3"/>
      </w:pPr>
      <w:r>
        <w:t xml:space="preserve"> </w:t>
      </w:r>
    </w:p>
    <w:bookmarkEnd w:id="20"/>
    <w:bookmarkStart w:id="28" w:name="author-note"/>
    <w:p>
      <w:pPr>
        <w:pStyle w:val="2"/>
      </w:pPr>
      <w:r>
        <w:t xml:space="preserve">Author Note</w:t>
      </w:r>
    </w:p>
    <w:p>
      <w:pPr>
        <w:pStyle w:val="25"/>
      </w:pPr>
      <w:r>
        <w:t xml:space="preserve">Enno Winkler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hyperlink r:id="rId26">
        <w:r>
          <w:rPr>
            <w:rStyle w:val="17"/>
          </w:rPr>
          <w:t xml:space="preserve">https://orcid.org/0000-0000-0000-0001</w:t>
        </w:r>
      </w:hyperlink>
    </w:p>
    <w:p>
      <w:pPr>
        <w:pStyle w:val="3"/>
      </w:pPr>
      <w:r>
        <w:t xml:space="preserve">Correspondence concerning this article should be addressed to Enno Winkler, Lehrgebiet Gesundheitspsychologie, Externer Betreuer Dr. Sascha Leisterer (Humboldt-Universität zu Berlin), Fernuniversität Hagen, 1234 Capital St., New York, NY 12084-1234, USA, Email:</w:t>
      </w:r>
      <w:r>
        <w:t xml:space="preserve"> </w:t>
      </w:r>
      <w:hyperlink r:id="rId27">
        <w:r>
          <w:rPr>
            <w:rStyle w:val="17"/>
          </w:rPr>
          <w:t xml:space="preserve">janedoe@generic.edu</w:t>
        </w:r>
      </w:hyperlink>
    </w:p>
    <w:p>
      <w:r>
        <w:br w:type="page"/>
      </w:r>
    </w:p>
    <w:bookmarkEnd w:id="28"/>
    <w:bookmarkStart w:id="29" w:name="abstract"/>
    <w:p>
      <w:pPr>
        <w:pStyle w:val="2"/>
      </w:pPr>
      <w:r>
        <w:t xml:space="preserve">Zusammenfassung</w:t>
      </w:r>
    </w:p>
    <w:p>
      <w:pPr>
        <w:pStyle w:val="100"/>
      </w:pPr>
      <w:r>
        <w:t xml:space="preserve">This document is a template.</w:t>
      </w:r>
    </w:p>
    <w:p>
      <w:pPr>
        <w:pStyle w:val="3"/>
      </w:pPr>
      <w:r>
        <w:rPr>
          <w:i/>
          <w:iCs/>
        </w:rPr>
        <w:t xml:space="preserve">Schlüsselwörter</w:t>
      </w:r>
      <w:r>
        <w:t xml:space="preserve">: keyword1, keyword2, keyword3</w:t>
      </w:r>
    </w:p>
    <w:p>
      <w:r>
        <w:br w:type="page"/>
      </w:r>
    </w:p>
    <w:bookmarkEnd w:id="29"/>
    <w:bookmarkStart w:id="30" w:name="firstheader"/>
    <w:p>
      <w:pPr>
        <w:pStyle w:val="2"/>
      </w:pPr>
      <w:r>
        <w:t xml:space="preserve">Was uns am Laufen hält: Vorhersagen von Bewegungsadhärenz durch Affekt und Attributionsstile</w:t>
      </w:r>
    </w:p>
    <w:bookmarkEnd w:id="30"/>
    <w:bookmarkStart w:id="31" w:name="inhaltsverzeichnis"/>
    <w:p>
      <w:pPr>
        <w:pStyle w:val="2"/>
      </w:pPr>
      <w:r>
        <w:t xml:space="preserve">1. Inhaltsverzeichnis</w:t>
      </w:r>
    </w:p>
    <w:bookmarkEnd w:id="31"/>
    <w:bookmarkStart w:id="32" w:name="tabellenverzeichnis"/>
    <w:p>
      <w:pPr>
        <w:pStyle w:val="2"/>
      </w:pPr>
      <w:r>
        <w:t xml:space="preserve">2. Tabellenverzeichnis</w:t>
      </w:r>
    </w:p>
    <w:bookmarkEnd w:id="32"/>
    <w:bookmarkStart w:id="33" w:name="abbildungsverzeichnis"/>
    <w:p>
      <w:pPr>
        <w:pStyle w:val="2"/>
      </w:pPr>
      <w:r>
        <w:t xml:space="preserve">3. Abbildungsverzeichnis</w:t>
      </w:r>
    </w:p>
    <w:bookmarkEnd w:id="33"/>
    <w:bookmarkStart w:id="34" w:name="symbol--und-abkürzungsverzeichnis"/>
    <w:p>
      <w:pPr>
        <w:pStyle w:val="2"/>
      </w:pPr>
      <w:r>
        <w:t xml:space="preserve">4. Symbol- und Abkürzungsverzeichnis</w:t>
      </w:r>
    </w:p>
    <w:tbl>
      <w:tblPr>
        <w:tblStyle w:val="Table"/>
        <w:tblW w:type="auto" w:w="0"/>
        <w:tblLook w:firstRow="1" w:lastRow="0" w:firstColumn="0" w:lastColumn="0" w:noHBand="0" w:noVBand="0" w:val="0020"/>
      </w:tblPr>
      <w:tblGrid>
        <w:gridCol w:w="3960"/>
        <w:gridCol w:w="3960"/>
      </w:tblGrid>
      <w:tr>
        <w:trPr>
          <w:tblHeader w:val="on"/>
        </w:trPr>
        <w:tc>
          <w:tcPr/>
          <w:p>
            <w:pPr>
              <w:pStyle w:val="26"/>
            </w:pPr>
            <w:r>
              <w:t xml:space="preserve">Abkürzung</w:t>
            </w:r>
          </w:p>
        </w:tc>
        <w:tc>
          <w:tcPr/>
          <w:p>
            <w:pPr>
              <w:pStyle w:val="26"/>
            </w:pPr>
            <w:r>
              <w:t xml:space="preserve">Bedeutung</w:t>
            </w:r>
          </w:p>
        </w:tc>
      </w:tr>
      <w:tr>
        <w:tc>
          <w:tcPr/>
          <w:p>
            <w:pPr>
              <w:pStyle w:val="26"/>
            </w:pPr>
            <w:r>
              <w:t xml:space="preserve">PA</w:t>
            </w:r>
          </w:p>
        </w:tc>
        <w:tc>
          <w:tcPr/>
          <w:p>
            <w:pPr>
              <w:pStyle w:val="26"/>
            </w:pPr>
            <w:r>
              <w:t xml:space="preserve">Physische Aktivität</w:t>
            </w:r>
          </w:p>
        </w:tc>
      </w:tr>
      <w:tr>
        <w:tc>
          <w:tcPr/>
          <w:p>
            <w:pPr>
              <w:pStyle w:val="26"/>
            </w:pPr>
          </w:p>
        </w:tc>
        <w:tc>
          <w:tcPr/>
          <w:p>
            <w:pPr>
              <w:pStyle w:val="26"/>
            </w:pPr>
          </w:p>
        </w:tc>
      </w:tr>
      <w:tr>
        <w:tc>
          <w:tcPr/>
          <w:p>
            <w:pPr>
              <w:pStyle w:val="26"/>
            </w:pPr>
          </w:p>
        </w:tc>
        <w:tc>
          <w:tcPr/>
          <w:p>
            <w:pPr>
              <w:pStyle w:val="26"/>
            </w:pPr>
          </w:p>
        </w:tc>
      </w:tr>
    </w:tbl>
    <w:p>
      <w:pPr>
        <w:pStyle w:val="3"/>
      </w:pPr>
      <w:r>
        <w:t xml:space="preserve">Die Empfehlungen zu regelmäßiger physischer Aktivität</w:t>
      </w:r>
      <w:r>
        <w:t xml:space="preserve"> </w:t>
      </w:r>
      <w:r>
        <w:t xml:space="preserve">(PA,</w:t>
      </w:r>
      <w:r>
        <w:t xml:space="preserve"> </w:t>
      </w:r>
      <w:hyperlink w:anchor="ref-caspersen1985physical">
        <w:r>
          <w:rPr>
            <w:rStyle w:val="17"/>
          </w:rPr>
          <w:t xml:space="preserve">Caspersen et al., 1985</w:t>
        </w:r>
      </w:hyperlink>
      <w:r>
        <w:t xml:space="preserve">)</w:t>
      </w:r>
      <w:r>
        <w:t xml:space="preserve"> </w:t>
      </w:r>
      <w:r>
        <w:t xml:space="preserve">der WHO</w:t>
      </w:r>
      <w:r>
        <w:t xml:space="preserve"> </w:t>
      </w:r>
      <w:r>
        <w:t xml:space="preserve">(</w:t>
      </w:r>
      <w:hyperlink w:anchor="ref-WHO2010">
        <w:r>
          <w:rPr>
            <w:rStyle w:val="17"/>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17"/>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17"/>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17"/>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17"/>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17"/>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17"/>
          </w:rPr>
          <w:t xml:space="preserve">Mikkelsen et al., 2017</w:t>
        </w:r>
      </w:hyperlink>
      <w:r>
        <w:t xml:space="preserve">)</w:t>
      </w:r>
      <w:r>
        <w:t xml:space="preserve">.</w:t>
      </w:r>
    </w:p>
    <w:p>
      <w:pPr>
        <w:pStyle w:val="3"/>
      </w:pPr>
      <w:r>
        <w:t xml:space="preserve">Die Wirkung von PA gegen Depression ist eine vieldiskutierte Forschungsfrage, die noch nicht abschließend geklärt ist.</w:t>
      </w:r>
      <w:r>
        <w:t xml:space="preserve"> </w:t>
      </w:r>
      <w:r>
        <w:t xml:space="preserve">Ledochowski et al. (</w:t>
      </w:r>
      <w:hyperlink w:anchor="ref-Ledochowski2016">
        <w:r>
          <w:rPr>
            <w:rStyle w:val="17"/>
          </w:rPr>
          <w:t xml:space="preserve">2016</w:t>
        </w:r>
      </w:hyperlink>
      <w:r>
        <w:t xml:space="preserve">)</w:t>
      </w:r>
      <w:r>
        <w:t xml:space="preserve"> </w:t>
      </w:r>
      <w:r>
        <w:t xml:space="preserve">kommen in einer systematischen Literaturrecherche zu dem Ergebnis, dass depressive Symptomatik sich durch moderate, zum Trainingszustand des:der Patientin passende PA reduzieren lässt, und dass sich dadurch affektive Zustände verbessern. Die Autor:innen sprechen die Empfehlung aus, Bewegung als Teil der Behandlung von Depression zu nutzen. In einer systematischen Literaturrecherche der Cochrane-Datenbank</w:t>
      </w:r>
      <w:r>
        <w:t xml:space="preserve"> </w:t>
      </w:r>
      <w:r>
        <w:t xml:space="preserve">(</w:t>
      </w:r>
      <w:hyperlink w:anchor="ref-Cooney08">
        <w:r>
          <w:rPr>
            <w:rStyle w:val="17"/>
          </w:rPr>
          <w:t xml:space="preserve">Cooney &amp; Mead, 2013</w:t>
        </w:r>
      </w:hyperlink>
      <w:r>
        <w:t xml:space="preserve">)</w:t>
      </w:r>
      <w:r>
        <w:t xml:space="preserve"> </w:t>
      </w:r>
      <w:r>
        <w:t xml:space="preserve">äußern sich die Autor:innen eher zurückhaltend. Die Effekte für Depression sind allenfalls moderat, und bei alleinigem Einbezug von rigoros kontrollierten Studien entziehen sich die Effekte statistischer Signifikanz. Es gibt außerdem Befunde, die zeigen, dass PA zwar effektiv in der Behandlung, nicht aber in der Prävention von Depression</w:t>
      </w:r>
      <w:r>
        <w:t xml:space="preserve"> </w:t>
      </w:r>
      <w:r>
        <w:t xml:space="preserve">(</w:t>
      </w:r>
      <w:hyperlink w:anchor="ref-Carter2016">
        <w:r>
          <w:rPr>
            <w:rStyle w:val="17"/>
          </w:rPr>
          <w:t xml:space="preserve">Carter et al., 2016</w:t>
        </w:r>
      </w:hyperlink>
      <w:r>
        <w:t xml:space="preserve">;</w:t>
      </w:r>
      <w:r>
        <w:t xml:space="preserve"> </w:t>
      </w:r>
      <w:hyperlink w:anchor="ref-Paluska2000">
        <w:r>
          <w:rPr>
            <w:rStyle w:val="17"/>
          </w:rPr>
          <w:t xml:space="preserve">Paluska &amp; Schwenk, 2000</w:t>
        </w:r>
      </w:hyperlink>
      <w:r>
        <w:t xml:space="preserve">)</w:t>
      </w:r>
      <w:r>
        <w:t xml:space="preserve"> </w:t>
      </w:r>
      <w:r>
        <w:t xml:space="preserve">ist. Die Forschungsgruppe um Ioannis D. Morres berichtet ermutigendere Ergebnisse. In einer Meta-Analyse zu aerobischer Bewegung finden</w:t>
      </w:r>
      <w:r>
        <w:t xml:space="preserve"> </w:t>
      </w:r>
      <w:r>
        <w:t xml:space="preserve">Morres et al. (</w:t>
      </w:r>
      <w:hyperlink w:anchor="ref-Morres2018">
        <w:r>
          <w:rPr>
            <w:rStyle w:val="17"/>
          </w:rPr>
          <w:t xml:space="preserve">2018</w:t>
        </w:r>
      </w:hyperlink>
      <w:r>
        <w:t xml:space="preserve">)</w:t>
      </w:r>
      <w:r>
        <w:t xml:space="preserve"> </w:t>
      </w:r>
      <w:r>
        <w:t xml:space="preserve">mittlere bis große Effekte in der Behandlung von Depression. Hier zeigen sich Hinweise, dass z.B. eine Berücksichtigung der Vorlieben für Sport wichtig ist. Die Art der Bewegungs-Intervention spielt eine Rolle und bedarf weiterer Forschung.</w:t>
      </w:r>
    </w:p>
    <w:p>
      <w:pPr>
        <w:pStyle w:val="3"/>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17"/>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17"/>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17"/>
          </w:rPr>
          <w:t xml:space="preserve">1984</w:t>
        </w:r>
      </w:hyperlink>
      <w:r>
        <w:t xml:space="preserve">)</w:t>
      </w:r>
      <w:r>
        <w:t xml:space="preserve">) könnte einen geeigneten Rahmen zur Untersuchung dieser Fragestellung darstellen.</w:t>
      </w:r>
    </w:p>
    <w:bookmarkEnd w:id="34"/>
    <w:bookmarkStart w:id="41" w:name="theoretischer-hintergrund"/>
    <w:p>
      <w:pPr>
        <w:pStyle w:val="2"/>
      </w:pPr>
      <w:r>
        <w:t xml:space="preserve">5. Theoretischer Hintergrund</w:t>
      </w:r>
    </w:p>
    <w:bookmarkStart w:id="36" w:name="physische-aktivität-und-bewegung"/>
    <w:p>
      <w:pPr>
        <w:pStyle w:val="4"/>
      </w:pPr>
      <w:r>
        <w:t xml:space="preserve">5.1 Physische Aktivität und Bewegung</w:t>
      </w:r>
    </w:p>
    <w:p>
      <w:pPr>
        <w:pStyle w:val="25"/>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17"/>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17"/>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17"/>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17"/>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w:t>
      </w:r>
      <w:r>
        <w:t xml:space="preserve"> </w:t>
      </w:r>
      <w:r>
        <w:t xml:space="preserve">(</w:t>
      </w:r>
      <w:hyperlink w:anchor="ref-Engel1977">
        <w:r>
          <w:rPr>
            <w:rStyle w:val="17"/>
          </w:rPr>
          <w:t xml:space="preserve">Engel, 1977</w:t>
        </w:r>
      </w:hyperlink>
      <w:r>
        <w:t xml:space="preserve">)</w:t>
      </w:r>
      <w:r>
        <w:t xml:space="preserve">, der auf dem biomedizinischen Ansatz aufbaut und ihn erweitert. Im Gegensatz zum krankheits- und defizitorientierten Biomedizinischen Ansatz berücksichtigt der Biopsychosoziale Ansatz auch psychische und soziale Faktoren, zusätzliche zu den biologischen Faktoren.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17"/>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3"/>
      </w:pPr>
      <w:r>
        <w:t xml:space="preserve">Bewegungsadhärenz (exercise adherence, z.B.</w:t>
      </w:r>
      <w:r>
        <w:t xml:space="preserve"> </w:t>
      </w:r>
      <w:r>
        <w:t xml:space="preserve">(</w:t>
      </w:r>
      <w:hyperlink w:anchor="ref-Mcauley1994">
        <w:r>
          <w:rPr>
            <w:rStyle w:val="17"/>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17"/>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17"/>
          </w:rPr>
          <w:t xml:space="preserve">Ainsworth &amp; Der Ananian, 2020</w:t>
        </w:r>
      </w:hyperlink>
      <w:r>
        <w:t xml:space="preserve">)</w:t>
      </w:r>
      <w:r>
        <w:t xml:space="preserve">.</w:t>
      </w:r>
    </w:p>
    <w:p>
      <w:pPr>
        <w:pStyle w:val="26"/>
        <w:numPr>
          <w:ilvl w:val="0"/>
          <w:numId w:val="1001"/>
        </w:numPr>
      </w:pPr>
      <w:r>
        <w:t xml:space="preserve">Empfohlene PA</w:t>
      </w:r>
    </w:p>
    <w:bookmarkStart w:id="35" w:name="messung-von-physischer-aktivität"/>
    <w:p>
      <w:pPr>
        <w:pStyle w:val="5"/>
      </w:pPr>
      <w:r>
        <w:t xml:space="preserve">5.1.1 Messung von Physischer Aktivität</w:t>
      </w:r>
    </w:p>
    <w:p>
      <w:pPr>
        <w:pStyle w:val="25"/>
      </w:pPr>
      <w:r>
        <w:t xml:space="preserve">Es gibt drei grobe Kategorien, in die Messmethoden für physische Aktivität fallen, und zwar direkte, indirekte und Fragebogen.</w:t>
      </w:r>
    </w:p>
    <w:p>
      <w:pPr>
        <w:pStyle w:val="3"/>
      </w:pPr>
      <w:r>
        <w:t xml:space="preserve">Die Messung per Fragebogen unterliegt typischen Problemen des Selbstberichts. Da beim Beantworten an Vergangenes erinnert wird, und bei der Konstruktion der Erinnerung abweichen auftreten können, ergibt sich das Problem der Retrospektivität. Außerdem kann sich das Antwortverhalten von Versuchspersonen verändern, wenn sie sich Bewusst sind, dass ihre Antworten analysiert werden, also Reaktivität herrscht. Zum Beispiel könnten Personen so antworten, wie es sozial erwünscht ist. Wenn eine Versuchsperson sich bewusst oder unbewusst als besonders sportliche Person darstellen möchte, könnte sie eine erhöhte Trainingsintensität berichten. Zur Messung physischer Aktivität gibt es Fragebögen, die das durchschnittliche Niveau physischer Aktivität im Alltag zu erfassen suchen, und Fragebögen, die sich spezifisch auf einzelne Trainingseinheiten beziehen.</w:t>
      </w:r>
    </w:p>
    <w:p>
      <w:pPr>
        <w:pStyle w:val="3"/>
      </w:pPr>
      <w:r>
        <w:t xml:space="preserve">Direkte Messmethoden beziehen sich auf die Beobachtung von physischer Aktivität oder Messmethoden von physischen Parametern, die direkt mit physischer Aktivität zusammenhängen. Dazu zählen Herzschlag oder der Laktat-Level im Blut, oder die strukturierte Beobachtung (SOCARP), wozu auch das Stoppen der Zeit bei dem Rundenlauf (e.g. Cooper-Test) beinahltet.</w:t>
      </w:r>
    </w:p>
    <w:bookmarkEnd w:id="35"/>
    <w:bookmarkEnd w:id="36"/>
    <w:bookmarkStart w:id="37" w:name="affekt"/>
    <w:p>
      <w:pPr>
        <w:pStyle w:val="4"/>
      </w:pPr>
      <w:r>
        <w:t xml:space="preserve">5.2 Affekt</w:t>
      </w:r>
    </w:p>
    <w:p>
      <w:pPr>
        <w:pStyle w:val="25"/>
      </w:pPr>
      <w:r>
        <w:t xml:space="preserve">Affekt wird auf zwei Dimensionen konzipiert, und zwar Valenz und Aktivierung. Positiver affekt fühlt sich gut an und zieht uns dazu</w:t>
      </w:r>
    </w:p>
    <w:p>
      <w:pPr>
        <w:pStyle w:val="3"/>
      </w:pPr>
      <w:r>
        <w:t xml:space="preserve">Aktivierender Affekt geht mit erhöhtem Puls, Aufgeregtheit, gehobener Stimmung etc. einher. Niedrige Ausprägungen auf dieser Dimension des Affekts gehen mit Entspannung oder Rückzug einher. Im Circumplex Model of Affect [LIT] wird diese Konzeption vereint.</w:t>
      </w:r>
    </w:p>
    <w:bookmarkEnd w:id="37"/>
    <w:bookmarkStart w:id="38" w:name="attribution"/>
    <w:p>
      <w:pPr>
        <w:pStyle w:val="4"/>
      </w:pPr>
      <w:r>
        <w:t xml:space="preserve">5.3 Attribution</w:t>
      </w:r>
    </w:p>
    <w:p>
      <w:pPr>
        <w:pStyle w:val="25"/>
      </w:pPr>
      <w:r>
        <w:t xml:space="preserve">Menschen ziehen für ihre Erfolge und Misserfolge unterschiedliche Erklärungen heran. Diese Erklärungen werden als Attribution bezeichnet, und unterscheiden sich auf den Dimensionen des Lokus, der Variabilität und der Globalität. Das Nichteinhalten eines Trainingsregimens könnte beispielsweise auf externe Faktoren oder interne, in der Person befindliche Faktoren attribuiert werden (Lokus). Ebenso könnte die variable Erklärung des</w:t>
      </w:r>
      <w:r>
        <w:t xml:space="preserve"> </w:t>
      </w:r>
      <w:r>
        <w:t xml:space="preserve">“einmaligen Ausrutschers”</w:t>
      </w:r>
      <w:r>
        <w:t xml:space="preserve"> </w:t>
      </w:r>
      <w:r>
        <w:t xml:space="preserve">oder die stabile Erklärung der</w:t>
      </w:r>
      <w:r>
        <w:t xml:space="preserve"> </w:t>
      </w:r>
      <w:r>
        <w:t xml:space="preserve">“Fehlenden Sportlichkeit”</w:t>
      </w:r>
      <w:r>
        <w:t xml:space="preserve"> </w:t>
      </w:r>
      <w:r>
        <w:t xml:space="preserve">herangezogen werden. Zuletzt könnten Personen sich den Misserfolg durch Faktoren erklären, die sich nur auf diese Situation beziehen (</w:t>
      </w:r>
      <w:r>
        <w:t xml:space="preserve">“ich kann mich zwar nicht an meine Bewegungsziele halten, aber meine Studienziele schaffe ich”</w:t>
      </w:r>
      <w:r>
        <w:t xml:space="preserve">), oder auf andere Situationen generalisieren (</w:t>
      </w:r>
      <w:r>
        <w:t xml:space="preserve">“Ich bin generell ein wenig Zielstrebiger Mensch”</w:t>
      </w:r>
      <w:r>
        <w:t xml:space="preserve">).</w:t>
      </w:r>
    </w:p>
    <w:bookmarkEnd w:id="38"/>
    <w:bookmarkStart w:id="39" w:name="das-rückfallmodell"/>
    <w:p>
      <w:pPr>
        <w:pStyle w:val="4"/>
      </w:pPr>
      <w:r>
        <w:t xml:space="preserve">5.4 Das Rückfallmodell</w:t>
      </w:r>
    </w:p>
    <w:p>
      <w:pPr>
        <w:pStyle w:val="25"/>
      </w:pPr>
      <w:r>
        <w:t xml:space="preserve">Das Rückfallmodell von</w:t>
      </w:r>
      <w:r>
        <w:t xml:space="preserve"> </w:t>
      </w:r>
      <w:r>
        <w:t xml:space="preserve">Marlatt and George (</w:t>
      </w:r>
      <w:hyperlink w:anchor="ref-Marlatt1984">
        <w:r>
          <w:rPr>
            <w:rStyle w:val="17"/>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17"/>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17"/>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17"/>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17"/>
          </w:rPr>
          <w:t xml:space="preserve">Marcus &amp; Stanton, 1993</w:t>
        </w:r>
      </w:hyperlink>
      <w:r>
        <w:t xml:space="preserve">;</w:t>
      </w:r>
      <w:r>
        <w:t xml:space="preserve"> </w:t>
      </w:r>
      <w:hyperlink w:anchor="ref-Martin1984">
        <w:r>
          <w:rPr>
            <w:rStyle w:val="17"/>
          </w:rPr>
          <w:t xml:space="preserve">Martin et al., 1984</w:t>
        </w:r>
      </w:hyperlink>
      <w:r>
        <w:t xml:space="preserve">)</w:t>
      </w:r>
      <w:r>
        <w:t xml:space="preserve">; und bereits aktive Populationen</w:t>
      </w:r>
      <w:r>
        <w:t xml:space="preserve"> </w:t>
      </w:r>
      <w:r>
        <w:t xml:space="preserve">(</w:t>
      </w:r>
      <w:hyperlink w:anchor="ref-Stetson2005">
        <w:r>
          <w:rPr>
            <w:rStyle w:val="17"/>
          </w:rPr>
          <w:t xml:space="preserve">Stetson et al., 2005</w:t>
        </w:r>
      </w:hyperlink>
      <w:r>
        <w:t xml:space="preserve">)</w:t>
      </w:r>
      <w:r>
        <w:t xml:space="preserve"> </w:t>
      </w:r>
      <w:r>
        <w:t xml:space="preserve">angewendet.</w:t>
      </w:r>
    </w:p>
    <w:p>
      <w:pPr>
        <w:pStyle w:val="3"/>
      </w:pPr>
      <w:r>
        <w:t xml:space="preserve">Zentrale Konstrukte in diesem Modell sind nach</w:t>
      </w:r>
      <w:r>
        <w:t xml:space="preserve"> </w:t>
      </w:r>
      <w:r>
        <w:t xml:space="preserve">Marlatt and George (</w:t>
      </w:r>
      <w:hyperlink w:anchor="ref-Marlatt1984">
        <w:r>
          <w:rPr>
            <w:rStyle w:val="17"/>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p>
    <w:p>
      <w:pPr>
        <w:pStyle w:val="3"/>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17"/>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3"/>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3"/>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3"/>
      </w:pPr>
      <w:r>
        <w:t xml:space="preserve">Positive Erwartungen stammen von der erwarteten sofortigen Belohnung durch das Unterlassen von Gesundheitsverhalten, wie z.B. wenn das Unterlassen einer Lauf-Einheit kurzfristig belohnend erscheint.</w:t>
      </w:r>
    </w:p>
    <w:p>
      <w:pPr>
        <w:pStyle w:val="3"/>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3"/>
      </w:pPr>
      <w:r>
        <w:t xml:space="preserve">Kritik am Rückfallmodell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17"/>
          </w:rPr>
          <w:t xml:space="preserve">Amireault et al., 2013</w:t>
        </w:r>
      </w:hyperlink>
      <w:r>
        <w:t xml:space="preserve">)</w:t>
      </w:r>
      <w:r>
        <w:t xml:space="preserve">.</w:t>
      </w:r>
    </w:p>
    <w:bookmarkEnd w:id="39"/>
    <w:bookmarkStart w:id="40" w:name="hypothesen-und-forschungsfrage"/>
    <w:p>
      <w:pPr>
        <w:pStyle w:val="4"/>
      </w:pPr>
      <w:r>
        <w:t xml:space="preserve">5.5 Hypothesen und Forschungsfrage</w:t>
      </w:r>
    </w:p>
    <w:p>
      <w:pPr>
        <w:pStyle w:val="25"/>
      </w:pPr>
      <w:r>
        <w:t xml:space="preserve">Es ergibt sich die Forschungsfrage, inwiefern Affekt oder der Attributionsstil den Trainingsausfall bzw. die wahrgenommene Zielerreichung vorhersagen. Hierbei bezieht sich Affekt auf den</w:t>
      </w:r>
      <w:r>
        <w:t xml:space="preserve"> </w:t>
      </w:r>
      <w:r>
        <w:rPr>
          <w:i/>
          <w:iCs/>
        </w:rPr>
        <w:t xml:space="preserve">State</w:t>
      </w:r>
    </w:p>
    <w:p>
      <w:pPr>
        <w:pStyle w:val="3"/>
      </w:pPr>
      <w:r>
        <w:t xml:space="preserve">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3"/>
      </w:pPr>
      <w:r>
        <w:t xml:space="preserve">H1: Ein internal - variabler Attributionsstil sagt weniger Trainingsausfälle (H1.1), sowie eine geringere wahrgenommene Zielerreichung vorher (H1.2). H2: Ein negativeres Affekterleben sagt mehr Trainingsausfälle (H2.1) und eine geringere wahrgenommene Zielerreichung vorher (H2.2).</w:t>
      </w:r>
    </w:p>
    <w:p>
      <w:pPr>
        <w:pStyle w:val="3"/>
      </w:pPr>
      <w:r>
        <w:rPr>
          <w:b/>
          <w:bCs/>
        </w:rPr>
        <w:t xml:space="preserve">Da die in den präregistrierten Hypothesen einbezogenen Variablen keine Aussagekräftige Datenstruktur hergaben, wurde explorativ die rate of perceived exhaustion und der positive Affekt zur Modellerstellung hinzugenommen.</w:t>
      </w:r>
    </w:p>
    <w:bookmarkEnd w:id="40"/>
    <w:bookmarkEnd w:id="41"/>
    <w:bookmarkStart w:id="49" w:name="methode"/>
    <w:p>
      <w:pPr>
        <w:pStyle w:val="2"/>
      </w:pPr>
      <w:r>
        <w:t xml:space="preserve">6. Methode</w:t>
      </w:r>
    </w:p>
    <w:bookmarkStart w:id="42" w:name="instrumente"/>
    <w:p>
      <w:pPr>
        <w:pStyle w:val="4"/>
      </w:pPr>
      <w:r>
        <w:t xml:space="preserve">6.1 Instrumente</w:t>
      </w:r>
    </w:p>
    <w:p>
      <w:pPr>
        <w:pStyle w:val="25"/>
      </w:pPr>
      <w:r>
        <w:t xml:space="preserve">Da es sich um ein Sample mit internationalen studierenden handelte, wurde bei allen Fragebögen die englische Version verwendet.</w:t>
      </w:r>
    </w:p>
    <w:p>
      <w:pPr>
        <w:pStyle w:val="3"/>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3"/>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17"/>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17"/>
          </w:rPr>
          <w:t xml:space="preserve">Corr &amp; Gray, 1996</w:t>
        </w:r>
      </w:hyperlink>
      <w:r>
        <w:t xml:space="preserve">)</w:t>
      </w:r>
      <w:r>
        <w:t xml:space="preserve"> </w:t>
      </w:r>
      <w:r>
        <w:t xml:space="preserve">unterstützt.</w:t>
      </w:r>
    </w:p>
    <w:p>
      <w:pPr>
        <w:pStyle w:val="3"/>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17"/>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17"/>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17"/>
          </w:rPr>
          <w:t xml:space="preserve">Crawford &amp; Henry, 2004</w:t>
        </w:r>
      </w:hyperlink>
      <w:r>
        <w:t xml:space="preserve">)</w:t>
      </w:r>
      <w:r>
        <w:t xml:space="preserve">.</w:t>
      </w:r>
    </w:p>
    <w:p>
      <w:pPr>
        <w:pStyle w:val="3"/>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3"/>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17"/>
          </w:rPr>
          <w:t xml:space="preserve">2007</w:t>
        </w:r>
      </w:hyperlink>
      <w:r>
        <w:t xml:space="preserve">)</w:t>
      </w:r>
      <w:r>
        <w:t xml:space="preserve">), und implizite Motive</w:t>
      </w:r>
      <w:r>
        <w:t xml:space="preserve"> </w:t>
      </w:r>
      <w:r>
        <w:t xml:space="preserve">(</w:t>
      </w:r>
      <w:hyperlink w:anchor="ref-Sokolowski2000">
        <w:r>
          <w:rPr>
            <w:rStyle w:val="17"/>
          </w:rPr>
          <w:t xml:space="preserve">Sokolowski et al., 2000</w:t>
        </w:r>
      </w:hyperlink>
      <w:r>
        <w:t xml:space="preserve">;</w:t>
      </w:r>
      <w:r>
        <w:t xml:space="preserve"> </w:t>
      </w:r>
      <w:hyperlink w:anchor="ref-winter1994manual">
        <w:r>
          <w:rPr>
            <w:rStyle w:val="17"/>
          </w:rPr>
          <w:t xml:space="preserve">Winter, 1994</w:t>
        </w:r>
      </w:hyperlink>
      <w:r>
        <w:t xml:space="preserve">)</w:t>
      </w:r>
      <w:r>
        <w:t xml:space="preserve"> </w:t>
      </w:r>
      <w:r>
        <w:t xml:space="preserve">erfasst.</w:t>
      </w:r>
    </w:p>
    <w:p>
      <w:pPr>
        <w:pStyle w:val="3"/>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17"/>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17"/>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17"/>
          </w:rPr>
          <w:t xml:space="preserve">Day et al., 2004</w:t>
        </w:r>
      </w:hyperlink>
      <w:r>
        <w:t xml:space="preserve">;</w:t>
      </w:r>
      <w:r>
        <w:t xml:space="preserve"> </w:t>
      </w:r>
      <w:hyperlink w:anchor="ref-Foster2001">
        <w:r>
          <w:rPr>
            <w:rStyle w:val="17"/>
          </w:rPr>
          <w:t xml:space="preserve">Foster et al., 2001</w:t>
        </w:r>
      </w:hyperlink>
      <w:r>
        <w:t xml:space="preserve">)</w:t>
      </w:r>
      <w:r>
        <w:t xml:space="preserve">. In dieser Arbeit werden diese Daten nicht berücksichtigt.</w:t>
      </w:r>
    </w:p>
    <w:bookmarkEnd w:id="42"/>
    <w:bookmarkStart w:id="43" w:name="stichprobe"/>
    <w:p>
      <w:pPr>
        <w:pStyle w:val="4"/>
      </w:pPr>
      <w:r>
        <w:t xml:space="preserve">6.2 Stichprobe:</w:t>
      </w:r>
    </w:p>
    <w:p>
      <w:pPr>
        <w:pStyle w:val="25"/>
      </w:pPr>
      <w:r>
        <w:t xml:space="preserve">Die Teilnehmenden waren erwachsene Freizeitsportler:innen mit einem bestimmten Trainingsziel.</w:t>
      </w:r>
    </w:p>
    <w:p>
      <w:pPr>
        <w:pStyle w:val="3"/>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 Die Frage der Poweranalyse für Mehrebenenanalysen ist allerdings komplex</w:t>
      </w:r>
      <w:r>
        <w:t xml:space="preserve"> </w:t>
      </w:r>
      <w:r>
        <w:t xml:space="preserve">(</w:t>
      </w:r>
      <w:hyperlink w:anchor="ref-Hox2017-dx">
        <w:r>
          <w:rPr>
            <w:rStyle w:val="17"/>
          </w:rPr>
          <w:t xml:space="preserve">Hox et al., 2017</w:t>
        </w:r>
      </w:hyperlink>
      <w:r>
        <w:t xml:space="preserve">)</w:t>
      </w:r>
      <w:r>
        <w:t xml:space="preserve">. Der Versuch, post-hoc Power des bestimmten Modells durch Simulation mit dem Paket</w:t>
      </w:r>
      <w:r>
        <w:t xml:space="preserve"> </w:t>
      </w:r>
      <w:r>
        <w:rPr>
          <w:rStyle w:val="37"/>
        </w:rPr>
        <w:t xml:space="preserve">simr</w:t>
      </w:r>
      <w:r>
        <w:t xml:space="preserve"> </w:t>
      </w:r>
      <w:r>
        <w:t xml:space="preserve">(</w:t>
      </w:r>
      <w:hyperlink w:anchor="ref-Green2016">
        <w:r>
          <w:rPr>
            <w:rStyle w:val="17"/>
          </w:rPr>
          <w:t xml:space="preserve">Green &amp; MacLeod, 2016</w:t>
        </w:r>
      </w:hyperlink>
      <w:r>
        <w:t xml:space="preserve">)</w:t>
      </w:r>
      <w:r>
        <w:t xml:space="preserve"> </w:t>
      </w:r>
      <w:r>
        <w:t xml:space="preserve">zu bestimmen, scheiterte, was teils auf die kleine Stichprobe, teils auf die Datenstruktur zurückgeführt werden kann.</w:t>
      </w:r>
      <w:r>
        <w:t xml:space="preserve"> </w:t>
      </w:r>
      <w:r>
        <w:rPr>
          <w:i/>
          <w:iCs/>
        </w:rPr>
        <w:t xml:space="preserve">N</w:t>
      </w:r>
      <w:r>
        <w:t xml:space="preserve"> </w:t>
      </w:r>
      <w:r>
        <w:t xml:space="preserve">= 48 Fälle ergaben sich in dem Rohdatensatz.</w:t>
      </w:r>
      <w:r>
        <w:t xml:space="preserve"> </w:t>
      </w:r>
      <w:r>
        <w:rPr>
          <w:i/>
          <w:iCs/>
        </w:rPr>
        <w:t xml:space="preserve">n</w:t>
      </w:r>
      <w:r>
        <w:t xml:space="preserve"> </w:t>
      </w:r>
      <w:r>
        <w:t xml:space="preserve">= 9 wurden von der Analyse und weiteren Befragungen ausgeschlossen, weil sie angaben, nicht an einem systematischen Trainings- oder Bewegungsprogramm teilzunehmen. Aufgrund von mehr als 50 fehlenden Datenpunkten wurden</w:t>
      </w:r>
      <w:r>
        <w:t xml:space="preserve"> </w:t>
      </w:r>
      <w:r>
        <w:rPr>
          <w:i/>
          <w:iCs/>
        </w:rPr>
        <w:t xml:space="preserve">n</w:t>
      </w:r>
      <w:r>
        <w:t xml:space="preserve"> </w:t>
      </w:r>
      <w:r>
        <w:t xml:space="preserve">= 12 Teilnehmende ausgeschlossen. Die deskriptiven Statistiken zu den demografischen Daten sind in Tabelle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7"/>
        <w:gridCol w:w="1382"/>
        <w:gridCol w:w="1382"/>
        <w:gridCol w:w="1382"/>
        <w:gridCol w:w="1382"/>
        <w:gridCol w:w="1070"/>
      </w:tblGrid>
      <w:tr>
        <w:trPr>
          <w:trHeight w:val="718"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Characteristic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26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(24, 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(20, 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(24, 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(25, 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&gt;0.9</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Triathlon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3"/>
      </w:pPr>
      <w:r>
        <w:t xml:space="preserve">Die Teilnehmenden waren durchschnittlich 34.52 Jahre alt (</w:t>
      </w:r>
      <w:r>
        <w:rPr>
          <w:i/>
          <w:iCs/>
        </w:rPr>
        <w:t xml:space="preserve">SD</w:t>
      </w:r>
      <w:r>
        <w:t xml:space="preserve"> </w:t>
      </w:r>
      <w:r>
        <w:t xml:space="preserve">= 13.82). Das Alter reichte von 19 bis64.</w:t>
      </w:r>
    </w:p>
    <w:bookmarkEnd w:id="43"/>
    <w:bookmarkStart w:id="44" w:name="durchführung"/>
    <w:p>
      <w:pPr>
        <w:pStyle w:val="4"/>
      </w:pPr>
      <w:r>
        <w:t xml:space="preserve">6.3</w:t>
      </w:r>
      <w:r>
        <w:t xml:space="preserve"> </w:t>
      </w:r>
      <w:r>
        <w:rPr>
          <w:i/>
          <w:iCs/>
        </w:rPr>
        <w:t xml:space="preserve">Durchführung</w:t>
      </w:r>
    </w:p>
    <w:p>
      <w:pPr>
        <w:pStyle w:val="25"/>
      </w:pPr>
      <w:r>
        <w:t xml:space="preserve">Diese Studie wurde von der Ethikkommission der Uni Leipzig genehmigt (Fallnr. 2023.05.03 _cb_196).</w:t>
      </w:r>
    </w:p>
    <w:p>
      <w:pPr>
        <w:pStyle w:val="3"/>
      </w:pPr>
      <w:r>
        <w:t xml:space="preserve">Die Teilnehmenden wurden über Inserate in sozialen Medien und persönliche Kontakte rekrutiert, es handelt sich also um eine Gelegenheitsstichprobe. Es gab zwei Inklusionskriterien: Die Teilnehmenden mussten erwachsen sein und ein konkretes Trainingsziel verfolgen. Ebenso wurde darauf hingewiesen, dass bei Krankheiten oder relevanten Verletzungen eine Studienteilnahme nicht möglich ist.</w:t>
      </w:r>
    </w:p>
    <w:p>
      <w:pPr>
        <w:pStyle w:val="3"/>
      </w:pPr>
      <w:r>
        <w:t xml:space="preserve">Die Freizeitsportler:innen berichteten vor der Studie in einer separaten Sitzung ihr generelles Affekterleben innerhalb der letzten zehn Tage mit der Positive and Negative Affect-Scale (PANAS) von</w:t>
      </w:r>
      <w:r>
        <w:t xml:space="preserve"> </w:t>
      </w:r>
      <w:r>
        <w:t xml:space="preserve">Watson et al. (</w:t>
      </w:r>
      <w:hyperlink w:anchor="ref-Watson1988">
        <w:r>
          <w:rPr>
            <w:rStyle w:val="17"/>
          </w:rPr>
          <w:t xml:space="preserve">1988</w:t>
        </w:r>
      </w:hyperlink>
      <w:r>
        <w:t xml:space="preserve">)</w:t>
      </w:r>
      <w:r>
        <w:t xml:space="preserve">. Der Prä-Test enthielt außerdem die Skala von</w:t>
      </w:r>
      <w:r>
        <w:t xml:space="preserve"> </w:t>
      </w:r>
      <w:r>
        <w:t xml:space="preserve">Peterson et al. (</w:t>
      </w:r>
      <w:hyperlink w:anchor="ref-Peterson1982">
        <w:r>
          <w:rPr>
            <w:rStyle w:val="17"/>
          </w:rPr>
          <w:t xml:space="preserve">1982</w:t>
        </w:r>
      </w:hyperlink>
      <w:r>
        <w:t xml:space="preserve">)</w:t>
      </w:r>
      <w:r>
        <w:t xml:space="preserve"> </w:t>
      </w:r>
      <w:r>
        <w:t xml:space="preserve">zum Attributionsstil und die Items zu demografischen Daten.</w:t>
      </w:r>
    </w:p>
    <w:p>
      <w:pPr>
        <w:pStyle w:val="3"/>
      </w:pPr>
      <w:r>
        <w:t xml:space="preserve">Darauf folgte die Trainingsphase, in der die Trainierenden über einen Zeitraum von maximal zwei Monaten sechs Trainingseinheiten dokumentieren sollten. Dazu wurden sie per E-Mail benachrichtigt und sie wurden gebeten, nach der Trainingseinheit einen Fragebogen auszufüllen. In den Befragungen wurden jeweils der positive und negative Affekt, Session RPE und die trainingsbezogenen Variablen abgefragt.</w:t>
      </w:r>
    </w:p>
    <w:p>
      <w:pPr>
        <w:pStyle w:val="3"/>
      </w:pPr>
      <w:r>
        <w:t xml:space="preserve">Die Daten der einzelnen Versuchspersonen wurden mittels eines Pseudonyms zugeordnet, das keinen Rückschluss auf Einzelpersonen ermöglichte. Nach der Datenerhebung wurden der Datensatz komplett anonymisiert. Die Versuchspersonen wurden schriftlich debrieft.</w:t>
      </w:r>
    </w:p>
    <w:bookmarkEnd w:id="44"/>
    <w:bookmarkStart w:id="48" w:name="statistische-analyse"/>
    <w:p>
      <w:pPr>
        <w:pStyle w:val="4"/>
      </w:pPr>
      <w:r>
        <w:t xml:space="preserve">6.4 Statistische Analyse</w:t>
      </w:r>
    </w:p>
    <w:bookmarkStart w:id="46" w:name="Xe90d5c7d6596a8c98e1b1a7792dd33e0f86496e"/>
    <w:p>
      <w:pPr>
        <w:pStyle w:val="5"/>
      </w:pPr>
      <w:r>
        <w:t xml:space="preserve">6.4.1 Datenimport, Bereinigung und Transformation</w:t>
      </w:r>
    </w:p>
    <w:p>
      <w:pPr>
        <w:pStyle w:val="25"/>
      </w:pPr>
      <w:r>
        <w:t xml:space="preserve">Diese Arbeit wurde mit R (Version 4.5.0 ) und Quarto (Version 1.6.32) erstellt. Die reproduzierbare Version dieses Artikels ist auf GitHub unter</w:t>
      </w:r>
      <w:r>
        <w:t xml:space="preserve"> </w:t>
      </w:r>
      <w:hyperlink r:id="rId45">
        <w:r>
          <w:rPr>
            <w:rStyle w:val="17"/>
          </w:rPr>
          <w:t xml:space="preserve">https://github.com/Enno-W/BAEW</w:t>
        </w:r>
      </w:hyperlink>
      <w:r>
        <w:t xml:space="preserve"> </w:t>
      </w:r>
      <w:r>
        <w:t xml:space="preserve">verfügbar.</w:t>
      </w:r>
    </w:p>
    <w:p>
      <w:pPr>
        <w:pStyle w:val="3"/>
      </w:pPr>
      <w:r>
        <w:t xml:space="preserve">Versuchspersonen, die angaben, kein konkretes Trainingsziel zu verfolgen oder mehr als 50 fehlende Werte hatten, wurden von der weiteren Analyse ausgeschlossen. Variablen, die im Rahmen des Forschungsprojekts erfasst wurden, aber in dieser Arbeit nicht berücksichtigt werden, wurden eliminiert. Für Werte, bei denen die Versuchspersonen einen Bereich (z.B. 10-15 km) angegeben hatten, wurde der Durchschnitt der beiden Werte gebildet. Da die Skalen von Affekt und Attribution keine gegensätzlich gepolten Items beinhalten, wurde keine Umpolung vorgenommen. Angaben zur Sportart mit dem Wortbestandteil</w:t>
      </w:r>
      <w:r>
        <w:t xml:space="preserve"> </w:t>
      </w:r>
      <w:r>
        <w:t xml:space="preserve">“lauf”</w:t>
      </w:r>
      <w:r>
        <w:t xml:space="preserve"> </w:t>
      </w:r>
      <w:r>
        <w:t xml:space="preserve">wurden zu</w:t>
      </w:r>
      <w:r>
        <w:t xml:space="preserve"> </w:t>
      </w:r>
      <w:r>
        <w:t xml:space="preserve">“Laufen”</w:t>
      </w:r>
      <w:r>
        <w:t xml:space="preserve">, und mit</w:t>
      </w:r>
      <w:r>
        <w:t xml:space="preserve"> </w:t>
      </w:r>
      <w:r>
        <w:t xml:space="preserve">“kraft”</w:t>
      </w:r>
      <w:r>
        <w:t xml:space="preserve"> </w:t>
      </w:r>
      <w:r>
        <w:t xml:space="preserve">zu</w:t>
      </w:r>
      <w:r>
        <w:t xml:space="preserve"> </w:t>
      </w:r>
      <w:r>
        <w:t xml:space="preserve">“Kraftsport”</w:t>
      </w:r>
      <w:r>
        <w:t xml:space="preserve"> </w:t>
      </w:r>
      <w:r>
        <w:t xml:space="preserve">zusammengefasst.</w:t>
      </w:r>
    </w:p>
    <w:p>
      <w:pPr>
        <w:pStyle w:val="3"/>
      </w:pPr>
      <w:r>
        <w:t xml:space="preserve">Nicht normalverteilt varen das Alter (</w:t>
      </w:r>
      <w:r>
        <w:rPr>
          <w:i/>
          <w:iCs/>
        </w:rPr>
        <w:t xml:space="preserve">p</w:t>
      </w:r>
      <w:r>
        <w:t xml:space="preserve"> </w:t>
      </w:r>
      <w:r>
        <w:t xml:space="preserve">= 0.007), der negative Affekt (Trait) (</w:t>
      </w:r>
      <w:r>
        <w:rPr>
          <w:i/>
          <w:iCs/>
        </w:rPr>
        <w:t xml:space="preserve">p</w:t>
      </w:r>
      <w:r>
        <w:t xml:space="preserve"> </w:t>
      </w:r>
      <w:r>
        <w:t xml:space="preserve">= 0.006), die durchschnittliche wahrgenommene Zielerreichung nach jeder Trainingseinheit (</w:t>
      </w:r>
      <w:r>
        <w:rPr>
          <w:i/>
          <w:iCs/>
        </w:rPr>
        <w:t xml:space="preserve">p</w:t>
      </w:r>
      <w:r>
        <w:t xml:space="preserve"> </w:t>
      </w:r>
      <w:r>
        <w:t xml:space="preserve">= 0.037) und der durchschnittliche negative Affekt nach jeder Trainingseinheit (</w:t>
      </w:r>
      <w:r>
        <w:rPr>
          <w:i/>
          <w:iCs/>
        </w:rPr>
        <w:t xml:space="preserve">p</w:t>
      </w:r>
      <w:r>
        <w:t xml:space="preserve"> </w:t>
      </w:r>
      <w:r>
        <w:t xml:space="preserve">= &lt; .001)</w:t>
      </w:r>
    </w:p>
    <w:p>
      <w:pPr>
        <w:pStyle w:val="3"/>
      </w:pPr>
      <w:r>
        <w:t xml:space="preserve">In dem Datensatz befanden sich immer noch 404 fehlende Werte, die per multipler Imputation per</w:t>
      </w:r>
      <w:r>
        <w:t xml:space="preserve"> </w:t>
      </w:r>
      <w:r>
        <w:rPr>
          <w:i/>
          <w:iCs/>
        </w:rPr>
        <w:t xml:space="preserve">predictive mean matching</w:t>
      </w:r>
      <w:r>
        <w:t xml:space="preserve"> </w:t>
      </w:r>
      <w:r>
        <w:t xml:space="preserve">mit 5 Iterationen geschätzt wurden. Bei diesem Verfahren werden in mehreren Durchläufen bzw. Iterationen plausible Werte anhand der Verteilungen und Beziehungen der Variablen untereinander geschätzt</w:t>
      </w:r>
      <w:r>
        <w:t xml:space="preserve"> </w:t>
      </w:r>
      <w:r>
        <w:t xml:space="preserve">(</w:t>
      </w:r>
      <w:hyperlink w:anchor="ref-Li2015">
        <w:r>
          <w:rPr>
            <w:rStyle w:val="17"/>
          </w:rPr>
          <w:t xml:space="preserve">Li et al., 2015</w:t>
        </w:r>
      </w:hyperlink>
      <w:r>
        <w:t xml:space="preserve">)</w:t>
      </w:r>
      <w:r>
        <w:t xml:space="preserve">.</w:t>
      </w:r>
    </w:p>
    <w:p>
      <w:pPr>
        <w:pStyle w:val="3"/>
      </w:pPr>
      <w:r>
        <w:t xml:space="preserve">Die Daten bestanden aus einem Baseline-Test und Angaben aus einem Fragebogen zu sechs darauffolgenden Trainingseinheiten. Diese wöchentlichen Angaben wurden zu Mittelwerten zusammengefasst. Außerdem wurde ausgezählt, wie viele Trainingseinheiten eine Person ausgefüllt hatte. Die Normalverteilung bei wurde bei sämtlichen Variablen überprüft. Für die Berechnung der hierarchischen linearen Modelle wurden die Daten in ein Langformat transformiert, und zwar so, dass jeder Messzeitpunkt in einer Zeile aufgeführt war. So entstanden für jede Versuchsperson sechs Zeilen für die 6 Messzeitpunkte. Die Werte, die nur zu einem Messzeitpunkt erhoben wurden, wie etwa Attributionsstil oder Alter, wiederholten sich in jeder dieser sechs Zeilen.</w:t>
      </w:r>
    </w:p>
    <w:bookmarkEnd w:id="46"/>
    <w:bookmarkStart w:id="47" w:name="statistische-tests"/>
    <w:p>
      <w:pPr>
        <w:pStyle w:val="5"/>
      </w:pPr>
      <w:r>
        <w:t xml:space="preserve">6.4.2 Statistische Tests</w:t>
      </w:r>
    </w:p>
    <w:p>
      <w:pPr>
        <w:pStyle w:val="25"/>
      </w:pPr>
      <w:r>
        <w:t xml:space="preserve">In der Präregistrierung wurde als Haupttest eine Mehrebenenanalyse, auch bekannt als</w:t>
      </w:r>
      <w:r>
        <w:t xml:space="preserve"> </w:t>
      </w:r>
      <w:r>
        <w:rPr>
          <w:i/>
          <w:iCs/>
        </w:rPr>
        <w:t xml:space="preserve">Hierarchisches Lineares Modell</w:t>
      </w:r>
      <w:r>
        <w:t xml:space="preserve"> </w:t>
      </w:r>
      <w:r>
        <w:t xml:space="preserve">spezifiziert. Die Voraussage der Trainingsausfälle durch ein Mehrebeneenmodell scheiterte an einer geringen Variabilität dieser Zielvariable, denn die meisten Versuchspersonen hatten alle Einheiten abgeschlossen. Das hierarchische lineare Modell somit nicht konvergieren konnte. Als Alternative wurden Hypothesen 1.1 und 2.1 explorativ mit einem verallgemeinerten Linearen Modell (GLMM) getestet. Für Hypothesen 1.2 und 2.2 konnte ein hierarchisches lineares Modell berechnet werden.</w:t>
      </w:r>
    </w:p>
    <w:p>
      <w:pPr>
        <w:pStyle w:val="3"/>
      </w:pPr>
      <w:r>
        <w:t xml:space="preserve">Hierarchische Lineare Modelle stellen komplexe statistische Verfahren dar, die besonders gut für längsschnittliche Daten geeignet sind</w:t>
      </w:r>
      <w:r>
        <w:t xml:space="preserve"> </w:t>
      </w:r>
      <w:r>
        <w:t xml:space="preserve">(</w:t>
      </w:r>
      <w:hyperlink w:anchor="ref-Nezlek2006">
        <w:r>
          <w:rPr>
            <w:rStyle w:val="17"/>
          </w:rPr>
          <w:t xml:space="preserve">Nezlek et al., 2006</w:t>
        </w:r>
      </w:hyperlink>
      <w:r>
        <w:t xml:space="preserve">)</w:t>
      </w:r>
      <w:r>
        <w:t xml:space="preserve">. Der Vorteil solcher Modelle ist, dass</w:t>
      </w:r>
      <w:r>
        <w:t xml:space="preserve"> </w:t>
      </w:r>
      <w:r>
        <w:t xml:space="preserve">“genestete”</w:t>
      </w:r>
      <w:r>
        <w:t xml:space="preserve"> </w:t>
      </w:r>
      <w:r>
        <w:t xml:space="preserve">Daten in die Analyse mit einbezogen werden können. Im vorliegenden Datensatz sind die Daten eines Individuums über die sechs Messzeitpunkte hinweg nicht unabhängig voneinander, sondern die Daten sind im Individuum</w:t>
      </w:r>
      <w:r>
        <w:t xml:space="preserve"> </w:t>
      </w:r>
      <w:r>
        <w:t xml:space="preserve">“genestet”</w:t>
      </w:r>
      <w:r>
        <w:t xml:space="preserve">. Schließlich reagiert jede Versuchsperson unterschiedlich auf die Anforderungen dieser Studie. Bei manchen Versuchspersonen könnte die wahrgenommene Zielerreichung über die Zeit hinweg steigen, bei anderen wiederum könnte sie weniger stark steigen oder sogar sinken. Das Interzept, also der Startpunkt der Vorhersagegeraden eines jeden Individuums, könnte sich ebenso unterscheiden, schließlich starten nicht alle mit genau dem gleichen Ausmaß an wahrgenommener Zielerreichung. Im vorliegenden Modell wird dem Rechnung getragen, indem die Veränderung über die Zeit je nach Person (ID) als</w:t>
      </w:r>
      <w:r>
        <w:t xml:space="preserve"> </w:t>
      </w:r>
      <w:r>
        <w:rPr>
          <w:i/>
          <w:iCs/>
        </w:rPr>
        <w:t xml:space="preserve">random effect</w:t>
      </w:r>
      <w:r>
        <w:t xml:space="preserve"> </w:t>
      </w:r>
      <w:r>
        <w:t xml:space="preserve">in das Modell eingeht. Dabei wird im Modell zugellassen, dass sowohl das Interzept als auch die Steigung (</w:t>
      </w:r>
      <w:r>
        <w:t xml:space="preserve">“slope”</w:t>
      </w:r>
      <w:r>
        <w:t xml:space="preserve">) frei variieren. Daneben gibt es aber auch Effekte, von denen erwartet wird, dass sie alle Versuchspersonen in gleicher Weise beeinflussen, wenn auch unterschiedlich stark. In diesem Modell sind das der negative Affekt nach der Trainingseinheit sowie als Trait, beziehungsweise der Lokus und die Variabilität des Attributionsstils.</w:t>
      </w:r>
    </w:p>
    <w:p>
      <w:pPr>
        <w:pStyle w:val="3"/>
      </w:pPr>
      <w:r>
        <w:t xml:space="preserve">Bei hierarchischen linearen Modellen ergibt sich die Frage der Zentrierung. Dafür wurden die wiederholten Angaben zu negativem Affekt zentriert. Die Residuen der aufgestellten Modelle erfüllten allerdings die Voraussetzung der Homoskedastizität und Normalverteilung nicht. Daher wurde explorativ …</w:t>
      </w:r>
    </w:p>
    <w:p>
      <w:pPr>
        <w:pStyle w:val="3"/>
      </w:pPr>
      <w:r>
        <w:t xml:space="preserve">Um die Intraklassen-Korrelation zu berechnen, wurde zunächst ein Nullmodell berechnet. Bei einem Nullmodell handelt es sich um die einfachste mögliche Form eines hierarchischen linearen Modells.</w:t>
      </w:r>
    </w:p>
    <w:bookmarkEnd w:id="47"/>
    <w:bookmarkEnd w:id="48"/>
    <w:bookmarkEnd w:id="49"/>
    <w:bookmarkStart w:id="85" w:name="ergebnisse"/>
    <w:p>
      <w:pPr>
        <w:pStyle w:val="2"/>
      </w:pPr>
      <w:r>
        <w:t xml:space="preserve">7. Ergebnisse</w:t>
      </w:r>
    </w:p>
    <w:bookmarkStart w:id="55" w:name="deskriptive-statistiken"/>
    <w:p>
      <w:pPr>
        <w:pStyle w:val="4"/>
      </w:pPr>
      <w:r>
        <w:t xml:space="preserve">7.1 Deskriptive Statistiken</w:t>
      </w:r>
    </w:p>
    <w:p>
      <w:pPr>
        <w:pStyle w:val="25"/>
      </w:pPr>
      <w:hyperlink w:anchor="tbl-stattable">
        <w:r>
          <w:rPr>
            <w:rStyle w:val="17"/>
          </w:rPr>
          <w:t xml:space="preserve">Tabelle 1</w:t>
        </w:r>
      </w:hyperlink>
      <w:r>
        <w:t xml:space="preserve"> </w:t>
      </w:r>
      <w:r>
        <w:t xml:space="preserve">zeigt einen Überblick über deskriptive Statistiken aller relevanten Variablen. Das Alter weist eine leichte Rechtsschiefe auf, es gab also viele jüngere und wenig ältere Teilnehmende.</w:t>
      </w:r>
    </w:p>
    <w:p>
      <w:pPr>
        <w:pStyle w:val="3"/>
      </w:pPr>
      <w:r>
        <w:t xml:space="preserve">Die Daten zum Attribution (Locus und Variabilität) folgen einer Normalverteilung, aber alle Werte fielen relativ hoch aus. Sie reichten von 4.3 bis 6.9 für den Lokus und von 4.3 bis 7 für die Variabilität.</w:t>
      </w:r>
    </w:p>
    <w:p>
      <w:pPr>
        <w:pStyle w:val="3"/>
      </w:pPr>
      <w:r>
        <w:t xml:space="preserve">Für die Variablen, die nach jeder Trainingseinheit erfasst wurden, Durchschnittswerte gebildet. Die Anzahl der abgeschlossenen Trainingseinheiten, von denen es insgesamt sechs in der Studie gab, weist eine linksschiefe Verteilung auf, da 16 Personen alle Einheiten beendet haben. Ein ähnliches Muster mit vielen hohen Werten weist die durchschnittliche wahrgenommene Zielerreichung auf. 14 Personen hatten Werte größer als neunzig, und sämtliche Durchschnittswerte der Ziellerreichung reichten von 62.5 bis 100. Die Variablen der durchschnittlich gelaufenen Kilometer und Minuten pro Einheit wies viele Werte am unteren Ende der Verteilung auf und einige extreme Werte am oberen Ende. Von allen Variablen, die auf zu den Trainingseinheiten erhoben wurden, war nur die durchschnittliche wahrgenommene Trainingsintensität normalverteilt. Der negative Affekt nach jeder Trainingseinheit hatte einen Maximalwert von 3 und eine hohe Konzentration von Werten am unteren Ende der Verteilung.</w:t>
      </w:r>
    </w:p>
    <w:bookmarkStart w:id="50" w:name="tbl-stattable"/>
    <w:p>
      <w:pPr>
        <w:pStyle w:val="79"/>
      </w:pPr>
      <w:r>
        <w:t xml:space="preserve">Tabelle 1</w:t>
      </w:r>
    </w:p>
    <w:p>
      <w:pPr>
        <w:pStyle w:val="16"/>
      </w:pPr>
      <w:r>
        <w:t xml:space="preserve">Deskriptive Statistiken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71"/>
        <w:gridCol w:w="1083"/>
        <w:gridCol w:w="1339"/>
        <w:gridCol w:w="1101"/>
        <w:gridCol w:w="906"/>
        <w:gridCol w:w="1070"/>
        <w:gridCol w:w="1022"/>
        <w:gridCol w:w="1089"/>
      </w:tblGrid>
      <w:tr>
        <w:trPr>
          <w:trHeight w:val="603"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Mittelwert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 KI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Schiefe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Exzess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p-Wert </w:t>
            </w:r>
          </w:p>
        </w:tc>
      </w:tr>
      <w:tr>
        <w:trPr>
          <w:trHeight w:val="56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Alter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r>
      <w:tr>
        <w:trPr>
          <w:trHeight w:val="5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0.604</w:t>
            </w:r>
          </w:p>
        </w:tc>
      </w:tr>
      <w:tr>
        <w:trPr>
          <w:trHeight w:val="56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0.381</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w:t>
            </w:r>
          </w:p>
        </w:tc>
      </w:tr>
      <w:tr>
        <w:trPr>
          <w:trHeight w:val="61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negativer Affekt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r>
    </w:tbl>
    <w:bookmarkEnd w:id="50"/>
    <w:p>
      <w:pPr>
        <w:pStyle w:val="82"/>
      </w:pPr>
      <w:r>
        <w:rPr>
          <w:i/>
          <w:iCs/>
        </w:rPr>
        <w:t xml:space="preserve">Hinweis</w:t>
      </w:r>
      <w:r>
        <w:t xml:space="preserve">. Das Konfidenzintervall ist als Abstand vom Mittelwert zum unteren bzw. oberen Konfidenzintervall notiert.</w:t>
      </w:r>
    </w:p>
    <w:p>
      <w:pPr>
        <w:pStyle w:val="3"/>
      </w:pPr>
      <w:hyperlink w:anchor="fig-overview">
        <w:r>
          <w:rPr>
            <w:rStyle w:val="17"/>
          </w:rPr>
          <w:t xml:space="preserve">Abbildung 1</w:t>
        </w:r>
      </w:hyperlink>
      <w:r>
        <w:t xml:space="preserve"> </w:t>
      </w:r>
      <w:r>
        <w:t xml:space="preserve">zeigt eine Übersicht der Variablen, die zur Überprüfung der Hypothesen herangezogen wurden, in Violinen-Plots.</w:t>
      </w:r>
    </w:p>
    <w:bookmarkStart w:id="54" w:name="fig-overview"/>
    <w:p>
      <w:pPr>
        <w:pStyle w:val="79"/>
      </w:pPr>
      <w:r>
        <w:t xml:space="preserve">Abbildung 1</w:t>
      </w:r>
    </w:p>
    <w:p>
      <w:pPr>
        <w:pStyle w:val="16"/>
      </w:pPr>
      <w:r>
        <w:t xml:space="preserve">Violinen-Diagramme aller Variablen, die</w:t>
      </w:r>
    </w:p>
    <w:p>
      <w:pPr>
        <w:pStyle w:val="85"/>
      </w:pPr>
      <w:r>
        <w:drawing>
          <wp:inline>
            <wp:extent cx="5943600" cy="4160520"/>
            <wp:effectExtent b="0" l="0" r="0" t="0"/>
            <wp:docPr descr="" title="" id="52" name="Picture"/>
            <a:graphic>
              <a:graphicData uri="http://schemas.openxmlformats.org/drawingml/2006/picture">
                <pic:pic>
                  <pic:nvPicPr>
                    <pic:cNvPr descr="MD_BAEW_files/figure-docx/fig-overview-1.png" id="53" name="Picture"/>
                    <pic:cNvPicPr>
                      <a:picLocks noChangeArrowheads="1" noChangeAspect="1"/>
                    </pic:cNvPicPr>
                  </pic:nvPicPr>
                  <pic:blipFill>
                    <a:blip r:embed="rId51"/>
                    <a:stretch>
                      <a:fillRect/>
                    </a:stretch>
                  </pic:blipFill>
                  <pic:spPr bwMode="auto">
                    <a:xfrm>
                      <a:off x="0" y="0"/>
                      <a:ext cx="5943600" cy="4160520"/>
                    </a:xfrm>
                    <a:prstGeom prst="rect">
                      <a:avLst/>
                    </a:prstGeom>
                    <a:noFill/>
                    <a:ln w="9525">
                      <a:noFill/>
                      <a:headEnd/>
                      <a:tailEnd/>
                    </a:ln>
                  </pic:spPr>
                </pic:pic>
              </a:graphicData>
            </a:graphic>
          </wp:inline>
        </w:drawing>
      </w:r>
    </w:p>
    <w:bookmarkEnd w:id="54"/>
    <w:p>
      <w:pPr>
        <w:pStyle w:val="82"/>
      </w:pPr>
      <w:r>
        <w:rPr>
          <w:i/>
          <w:iCs/>
        </w:rPr>
        <w:t xml:space="preserve">Hinweis</w:t>
      </w:r>
      <w:r>
        <w:t xml:space="preserve">. This is the note below the figure.</w:t>
      </w:r>
    </w:p>
    <w:bookmarkEnd w:id="55"/>
    <w:bookmarkStart w:id="57" w:name="korrelationen"/>
    <w:p>
      <w:pPr>
        <w:pStyle w:val="4"/>
      </w:pPr>
      <w:r>
        <w:t xml:space="preserve">7.2 Korrelationen</w:t>
      </w:r>
    </w:p>
    <w:p>
      <w:pPr>
        <w:pStyle w:val="25"/>
      </w:pPr>
      <w:r>
        <w:t xml:space="preserve">Laut</w:t>
      </w:r>
      <w:r>
        <w:t xml:space="preserve"> </w:t>
      </w:r>
      <w:r>
        <w:t xml:space="preserve">Cohen (</w:t>
      </w:r>
      <w:hyperlink w:anchor="ref-Cohen2013">
        <w:r>
          <w:rPr>
            <w:rStyle w:val="17"/>
          </w:rPr>
          <w:t xml:space="preserve">2013</w:t>
        </w:r>
      </w:hyperlink>
      <w:r>
        <w:t xml:space="preserve">)</w:t>
      </w:r>
      <w:r>
        <w:t xml:space="preserve"> </w:t>
      </w:r>
      <w:r>
        <w:t xml:space="preserve">kann der Korrelationskoeffizient in den Sozialwissenschaften ab</w:t>
      </w:r>
      <w:r>
        <w:t xml:space="preserve"> </w:t>
      </w:r>
      <w:r>
        <w:rPr>
          <w:i/>
          <w:iCs/>
        </w:rPr>
        <w:t xml:space="preserve">r</w:t>
      </w:r>
      <w:r>
        <w:t xml:space="preserve"> </w:t>
      </w:r>
      <w:r>
        <w:t xml:space="preserve">= .1 als schwach, ab</w:t>
      </w:r>
      <w:r>
        <w:t xml:space="preserve"> </w:t>
      </w:r>
      <w:r>
        <w:rPr>
          <w:i/>
          <w:iCs/>
        </w:rPr>
        <w:t xml:space="preserve">r</w:t>
      </w:r>
      <w:r>
        <w:t xml:space="preserve"> </w:t>
      </w:r>
      <w:r>
        <w:t xml:space="preserve">= .3 als mittelmäßig und von</w:t>
      </w:r>
      <w:r>
        <w:t xml:space="preserve"> </w:t>
      </w:r>
      <w:r>
        <w:rPr>
          <w:i/>
          <w:iCs/>
        </w:rPr>
        <w:t xml:space="preserve">r</w:t>
      </w:r>
      <w:r>
        <w:t xml:space="preserve"> </w:t>
      </w:r>
      <w:r>
        <w:t xml:space="preserve">= .5 bis</w:t>
      </w:r>
      <w:r>
        <w:t xml:space="preserve"> </w:t>
      </w:r>
      <w:r>
        <w:rPr>
          <w:i/>
          <w:iCs/>
        </w:rPr>
        <w:t xml:space="preserve">r</w:t>
      </w:r>
      <w:r>
        <w:t xml:space="preserve"> </w:t>
      </w:r>
      <w:r>
        <w:t xml:space="preserve">= 1 als stark interpretiert werden. Die Korrelationen für relevante Variablen sind in</w:t>
      </w:r>
      <w:r>
        <w:t xml:space="preserve"> </w:t>
      </w:r>
      <w:hyperlink w:anchor="tbl-corrtable">
        <w:r>
          <w:rPr>
            <w:rStyle w:val="17"/>
          </w:rPr>
          <w:t xml:space="preserve">Tabelle 2</w:t>
        </w:r>
      </w:hyperlink>
      <w:r>
        <w:t xml:space="preserve"> </w:t>
      </w:r>
      <w:r>
        <w:t xml:space="preserve">dargestellt. In Bezug auf die Hypothesen ist lediglich einer der Korrelationswerte bedeutsam. Zwischen dem negativen Affekt und der wahrgenommen Zielerreichung zeigte sich eine signifikante, mittelmäßig stark ausgeprägte Korrelation. Je mehr negativen Affekt Versuchspersonen also nach einer Trainingseinheit im Durchschnitt berichteten, desto schlechter erlebten sie ihre Zielerreichung. Negativer Affekt nach der Trainingseinheit war ebenso mit einer höheren RPE im Durchschnitt assoziiert.</w:t>
      </w:r>
    </w:p>
    <w:p>
      <w:pPr>
        <w:pStyle w:val="3"/>
      </w:pPr>
      <w:r>
        <w:t xml:space="preserve">Die Trainingsbezogen Variablen brachten mehrere starke, signifikante Korrelationen hervor. Die Baseline-Werte für Trainingszeit und Distanz waren sowohl mit der gemittelten Trainingszeit als auch der Distanz aus den einzelnen Trainingseinheiten signifikant korreliert. Auch die anderen Baseline-Werte korrelierten mit den Durchschnittswerten aus den einzelnen Trainingseinheiten.</w:t>
      </w:r>
    </w:p>
    <w:p>
      <w:pPr>
        <w:pStyle w:val="3"/>
      </w:pPr>
      <w:r>
        <w:t xml:space="preserve">Sowohl als zwischen Baseline-RPE und Baseline negativem Affekt als auch der durchschnittlichen Session-RPE und negativem Affekt ergaben sich positive Korrelationen. Je höher der negative Affekt ausgeprägt war, desto anstrengender erlebten Personen ihre Trainingseinheit.</w:t>
      </w:r>
    </w:p>
    <w:bookmarkStart w:id="56" w:name="tbl-corrtable"/>
    <w:p>
      <w:pPr>
        <w:pStyle w:val="79"/>
      </w:pPr>
      <w:r>
        <w:t xml:space="preserve">Tabelle 2</w:t>
      </w:r>
    </w:p>
    <w:p>
      <w:pPr>
        <w:pStyle w:val="16"/>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34"/>
        <w:gridCol w:w="912"/>
        <w:gridCol w:w="912"/>
        <w:gridCol w:w="839"/>
        <w:gridCol w:w="912"/>
        <w:gridCol w:w="998"/>
        <w:gridCol w:w="1010"/>
        <w:gridCol w:w="533"/>
      </w:tblGrid>
      <w:tr>
        <w:trPr>
          <w:trHeight w:val="574" w:hRule="auto"/>
          <w:tblHeader/>
        </w:trPr>
        header1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7"/>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body7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Negativer Affekt bei Baseline Messung</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56"/>
    <w:p>
      <w:pPr>
        <w:pStyle w:val="82"/>
      </w:pPr>
      <w:r>
        <w:rPr>
          <w:i/>
          <w:iCs/>
        </w:rPr>
        <w:t xml:space="preserve">Hinweis</w:t>
      </w:r>
      <w:r>
        <w:t xml:space="preserve">. *p &lt; 0.05; **p &lt; 0.01</w:t>
      </w:r>
    </w:p>
    <w:bookmarkEnd w:id="57"/>
    <w:bookmarkStart w:id="66" w:name="regressionsmodelle"/>
    <w:p>
      <w:pPr>
        <w:pStyle w:val="4"/>
      </w:pPr>
      <w:r>
        <w:t xml:space="preserve">7.3 Regressionsmodelle</w:t>
      </w:r>
    </w:p>
    <w:p>
      <w:pPr>
        <w:pStyle w:val="25"/>
      </w:pPr>
      <w:r>
        <w:t xml:space="preserve">Es wurde jeweils ein Modell zur Vorhersage der Trainingsausfälle sowie der wahrgenommenen Zielerreichung gebildet. Das Regressionsmodell zur Vorhersage der abgeschlossenen Trainingseinheiten sind in</w:t>
      </w:r>
      <w:r>
        <w:t xml:space="preserve"> </w:t>
      </w:r>
      <w:hyperlink w:anchor="tbl-hlmtable2">
        <w:r>
          <w:rPr>
            <w:rStyle w:val="17"/>
          </w:rPr>
          <w:t xml:space="preserve">Tabelle 6</w:t>
        </w:r>
      </w:hyperlink>
      <w:r>
        <w:t xml:space="preserve"> </w:t>
      </w:r>
      <w:r>
        <w:t xml:space="preserve">zu sehen, und die Hierarchischen Regressionsmodelle zur Vorhersage von wahrgenommener Zielerreichung sind in</w:t>
      </w:r>
      <w:r>
        <w:t xml:space="preserve"> </w:t>
      </w:r>
      <w:hyperlink w:anchor="tbl-glmtable">
        <w:r>
          <w:rPr>
            <w:rStyle w:val="17"/>
          </w:rPr>
          <w:t xml:space="preserve">Tabelle 3</w:t>
        </w:r>
      </w:hyperlink>
      <w:r>
        <w:t xml:space="preserve"> </w:t>
      </w:r>
      <w:r>
        <w:t xml:space="preserve">abgebildet.</w:t>
      </w:r>
    </w:p>
    <w:bookmarkStart w:id="65" w:name="vorhersagen-von-trainingsausfällen"/>
    <w:p>
      <w:pPr>
        <w:pStyle w:val="5"/>
      </w:pPr>
      <w:r>
        <w:t xml:space="preserve">7.3.1 Vorhersagen von Trainingsausfällen</w:t>
      </w:r>
    </w:p>
    <w:p>
      <w:pPr>
        <w:pStyle w:val="25"/>
      </w:pPr>
      <w:r>
        <w:t xml:space="preserve">Teilnehmende wurden in der Studie dazu aufgefordert, sechs Trainingseinheiten zu dokumentieren und die Fragebögen dazu auszufüllen. Es wurde ausgezählt, zu wie vielen Trainingseinheiten Daten vorlagen und diese Anzahl als Dummy-Variable eingetragen. Die resultierende Variable, also die Anzahl der Trainingsausfälle, war linksschief (</w:t>
      </w:r>
      <w:r>
        <w:rPr>
          <w:i/>
          <w:iCs/>
        </w:rPr>
        <w:t xml:space="preserve">Skew</w:t>
      </w:r>
      <w:r>
        <w:t xml:space="preserve"> </w:t>
      </w:r>
      <w:r>
        <w:t xml:space="preserve">= -0.89557), und hatte eine geringe Varianz: 16 Teilnehmende von 27 (59.2592593 %) hatten alle sechs Trainingseinheiten abgeschlossen, daher konnte kein Hierarchisches Lineares Modell berechnet werden: Die Konvergenz des Modells scheiterte. Die Alternative eines</w:t>
      </w:r>
      <w:r>
        <w:t xml:space="preserve"> </w:t>
      </w:r>
      <w:r>
        <w:rPr>
          <w:i/>
          <w:iCs/>
        </w:rPr>
        <w:t xml:space="preserve">generalisierten linearen gemischten Modell (GLMM)</w:t>
      </w:r>
      <w:r>
        <w:t xml:space="preserve"> </w:t>
      </w:r>
      <w:r>
        <w:t xml:space="preserve">mit Poisson-Verteilung lieferte ein passendes Modell. Wie in</w:t>
      </w:r>
      <w:r>
        <w:t xml:space="preserve"> </w:t>
      </w:r>
      <w:hyperlink w:anchor="tbl-glmtable">
        <w:r>
          <w:rPr>
            <w:rStyle w:val="17"/>
          </w:rPr>
          <w:t xml:space="preserve">Tabelle 3</w:t>
        </w:r>
      </w:hyperlink>
      <w:r>
        <w:t xml:space="preserve"> </w:t>
      </w:r>
      <w:r>
        <w:t xml:space="preserve">gezeigt, deckte das Modell keine signifikanten Prädiktoren auf. Ach nach Hinzufügen der rate of perceived exhaustion als Prädiktor gab es keine signifikanten Prädiktoren, die die Anzahl an abgeschlossenen Trainingseinheiten vorhersagen. (INfos über diese Modelle).</w:t>
      </w:r>
    </w:p>
    <w:p>
      <w:pPr>
        <w:pStyle w:val="3"/>
      </w:pPr>
      <w:r>
        <w:t xml:space="preserve">Weiterhin wurden explorative Analysen durchgeführt. Das Paket lme4 bietet eine Funktion für hierarchische lineare Modelle an, wobei die Zielvariable binomial ist. Es wurde ein binomiales genralisiertes lineares gemischtes Modell mit binomialer Zielvariable berechnet. Dafür wurden die abgeschlossenen Trainingseinheiten in zwei Kategorien aufgeteilt, je nachdem ob Versuchspersonen alle Trainingseinheiten abgeschlossen hatten oder weniger. Für dieses Modell wurden die Variablen z-standardisiert und ein einfacheres Modell wurde implementiert, um Rankinsuffizienz zu addressieren (INFO). Auch hier wurde lediglich der Interzept signifikant. Der Interzept stellt hier die</w:t>
      </w:r>
      <w:r>
        <w:t xml:space="preserve"> </w:t>
      </w:r>
      <w:r>
        <w:rPr>
          <w:b/>
          <w:bCs/>
        </w:rPr>
        <w:t xml:space="preserve">log-odds og-odds of the outcome (here: completing all training units) when all predictors are at zero.</w:t>
      </w:r>
      <w:r>
        <w:t xml:space="preserve"> </w:t>
      </w:r>
      <w:r>
        <w:t xml:space="preserve">* , was eine Wahrscheinlichkeit von 1 bedeutet, alle Trainingseinheiten abzuschließen, wenn alle Prädiktoren dem Durchschnitt entsprechen. Das bedeutet, dass immer noch zu viele der Teilnehmenden alle Einheiten abgeschlossen haben. Als Alternative dazu wurde in einer Reihe t-tests die Gruppen direkt verglichen, und für den negativen Affekt nach der Trainingseinheit, eine wiederholt gemessene Variable, wurde das arithmetische Mittel herangezogen. Auch hier waren die Werte nicht signifikant. Die Ergebnisse sind mit Effektgrößen und p-Werten in</w:t>
      </w:r>
      <w:r>
        <w:t xml:space="preserve"> </w:t>
      </w:r>
      <w:hyperlink w:anchor="tbl-ttests">
        <w:r>
          <w:rPr>
            <w:rStyle w:val="17"/>
          </w:rPr>
          <w:t xml:space="preserve">Tabelle 5</w:t>
        </w:r>
      </w:hyperlink>
      <w:r>
        <w:t xml:space="preserve"> </w:t>
      </w:r>
      <w:r>
        <w:t xml:space="preserve">abgetragen. ***—-Binomiales GLMM mit 6 complete vs nicht https://youtu.be/_p0PAD9ooZw?si=j-WMY0Up2UtpBWpH&amp;t=367 ????***</w:t>
      </w:r>
    </w:p>
    <w:bookmarkStart w:id="58" w:name="tbl-glmtable"/>
    <w:p>
      <w:pPr>
        <w:pStyle w:val="79"/>
      </w:pPr>
      <w:r>
        <w:t xml:space="preserve">Tabelle 3</w:t>
      </w:r>
    </w:p>
    <w:p>
      <w:pPr>
        <w:pStyle w:val="16"/>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21"/>
        <w:gridCol w:w="1504"/>
        <w:gridCol w:w="1161"/>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1.499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(0.110)</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(0.235)</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Positiver Affekt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Wahrgenommene Erschöpfung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Zeit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66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Anzahl der Beobachtungen im Modell</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Freiheitsgrade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body13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8"/>
    <w:p>
      <w:pPr>
        <w:pStyle w:val="82"/>
      </w:pPr>
      <w:r>
        <w:rPr>
          <w:i/>
          <w:iCs/>
        </w:rPr>
        <w:t xml:space="preserve">Hinweis</w:t>
      </w:r>
      <w:r>
        <w:t xml:space="preserve">. {}</w:t>
      </w:r>
    </w:p>
    <w:p>
      <w:pPr>
        <w:sectPr/>
      </w:pPr>
    </w:p>
    <w:bookmarkStart w:id="59" w:name="tbl-glmtablebinomial"/>
    <w:p>
      <w:pPr>
        <w:pStyle w:val="79"/>
      </w:pPr>
      <w:r>
        <w:t xml:space="preserve">Tabelle 4</w:t>
      </w:r>
    </w:p>
    <w:p>
      <w:pPr>
        <w:pStyle w:val="16"/>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21"/>
        <w:gridCol w:w="1504"/>
        <w:gridCol w:w="1161"/>
      </w:tblGrid>
      <w:tr>
        <w:trPr>
          <w:trHeight w:val="62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13.278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(2.219)</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(1.879)</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(2.368)</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(State)</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(1.581)</w:t>
            </w:r>
          </w:p>
        </w:tc>
      </w:tr>
      <w:tr>
        <w:trPr>
          <w:trHeight w:val="66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Anzahl der Beobachtungen im Modell</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Freiheitsgrade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body9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9"/>
    <w:p>
      <w:pPr>
        <w:pStyle w:val="82"/>
      </w:pPr>
      <w:r>
        <w:rPr>
          <w:i/>
          <w:iCs/>
        </w:rPr>
        <w:t xml:space="preserve">Hinweis</w:t>
      </w:r>
      <w:r>
        <w:t xml:space="preserve">. {}</w:t>
      </w:r>
    </w:p>
    <w:bookmarkStart w:id="60" w:name="tbl-ttests"/>
    <w:p>
      <w:pPr>
        <w:pStyle w:val="79"/>
      </w:pPr>
      <w:r>
        <w:t xml:space="preserve">Tabelle 5</w:t>
      </w:r>
    </w:p>
    <w:p>
      <w:pPr>
        <w:pStyle w:val="16"/>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6"/>
        <w:gridCol w:w="1009"/>
        <w:gridCol w:w="778"/>
        <w:gridCol w:w="1071"/>
        <w:gridCol w:w="2453"/>
        <w:gridCol w:w="2697"/>
        <w:gridCol w:w="2184"/>
        <w:gridCol w:w="1034"/>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Prädiktor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Mittelwert.vollständig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Mittelwert.unvollständig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Cohen.s.d..95..CI.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NA_ave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[-1.28,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[-0.88,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[-0.47,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 [-0.45, 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bl>
    <w:bookmarkEnd w:id="60"/>
    <w:p>
      <w:pPr>
        <w:pStyle w:val="82"/>
      </w:pPr>
      <w:r>
        <w:rPr>
          <w:i/>
          <w:iCs/>
        </w:rPr>
        <w:t xml:space="preserve">Hinweis</w:t>
      </w:r>
      <w:r>
        <w:t xml:space="preserve">. {}</w:t>
      </w:r>
    </w:p>
    <w:p>
      <w:pPr>
        <w:sectPr>
          <w:pgSz w:h="11906" w:w="16838" w:orient="landscape"/>
        </w:sectPr>
      </w:pPr>
    </w:p>
    <w:bookmarkStart w:id="64" w:name="fig-status-vergleich"/>
    <w:p>
      <w:pPr>
        <w:pStyle w:val="79"/>
      </w:pPr>
      <w:r>
        <w:t xml:space="preserve">Abbildung 2</w:t>
      </w:r>
    </w:p>
    <w:p>
      <w:pPr>
        <w:pStyle w:val="16"/>
      </w:pPr>
      <w:r>
        <w:t xml:space="preserve">Gruppenvergleich je nach Vollendungsstatus des Trainingsplans</w:t>
      </w:r>
    </w:p>
    <w:p>
      <w:pPr>
        <w:pStyle w:val="85"/>
      </w:pPr>
      <w:r>
        <w:drawing>
          <wp:inline>
            <wp:extent cx="5943600" cy="4457700"/>
            <wp:effectExtent b="0" l="0" r="0" t="0"/>
            <wp:docPr descr="" title="" id="62" name="Picture"/>
            <a:graphic>
              <a:graphicData uri="http://schemas.openxmlformats.org/drawingml/2006/picture">
                <pic:pic>
                  <pic:nvPicPr>
                    <pic:cNvPr descr="MD_BAEW_files/figure-docx/fig-status-vergleich-1.png" id="63" name="Picture"/>
                    <pic:cNvPicPr>
                      <a:picLocks noChangeArrowheads="1" noChangeAspect="1"/>
                    </pic:cNvPicPr>
                  </pic:nvPicPr>
                  <pic:blipFill>
                    <a:blip r:embed="rId61"/>
                    <a:stretch>
                      <a:fillRect/>
                    </a:stretch>
                  </pic:blipFill>
                  <pic:spPr bwMode="auto">
                    <a:xfrm>
                      <a:off x="0" y="0"/>
                      <a:ext cx="5943600" cy="4457700"/>
                    </a:xfrm>
                    <a:prstGeom prst="rect">
                      <a:avLst/>
                    </a:prstGeom>
                    <a:noFill/>
                    <a:ln w="9525">
                      <a:noFill/>
                      <a:headEnd/>
                      <a:tailEnd/>
                    </a:ln>
                  </pic:spPr>
                </pic:pic>
              </a:graphicData>
            </a:graphic>
          </wp:inline>
        </w:drawing>
      </w:r>
    </w:p>
    <w:bookmarkEnd w:id="64"/>
    <w:p>
      <w:pPr>
        <w:pStyle w:val="82"/>
      </w:pPr>
      <w:r>
        <w:rPr>
          <w:i/>
          <w:iCs/>
        </w:rPr>
        <w:t xml:space="preserve">Hinweis</w:t>
      </w:r>
      <w:r>
        <w:t xml:space="preserve">. Bei sechs abgeschlossenen Trainingseinheiten wurde Teilnehmenden der Status</w:t>
      </w:r>
      <w:r>
        <w:t xml:space="preserve"> </w:t>
      </w:r>
      <w:r>
        <w:t xml:space="preserve">“abgeschlossen”</w:t>
      </w:r>
      <w:r>
        <w:t xml:space="preserve"> </w:t>
      </w:r>
      <w:r>
        <w:t xml:space="preserve">zugewiesen</w:t>
      </w:r>
    </w:p>
    <w:bookmarkEnd w:id="65"/>
    <w:bookmarkEnd w:id="66"/>
    <w:bookmarkStart w:id="84" w:name="hierarchiche-lineare-modelle"/>
    <w:p>
      <w:pPr>
        <w:pStyle w:val="4"/>
      </w:pPr>
      <w:r>
        <w:t xml:space="preserve">7.4 Hierarchiche Lineare Modelle</w:t>
      </w:r>
    </w:p>
    <w:p>
      <w:pPr>
        <w:pStyle w:val="25"/>
      </w:pPr>
      <w:r>
        <w:t xml:space="preserve">Für die Prädiktoren wurde zunächst eine Zentrierung vorgenommen. Dabei wurden die stabilen Prädiktoren, also wahrgenommener negativer Affekt bei der Baseline-Messung, sowie Lokus und Variabilität des Attributionsstils am Gesamtmittelwert, und die wiederholten Messwerte des negativen Affekts am Gruppenmittelwert zentriert. Es wurden</w:t>
      </w:r>
      <w:r>
        <w:t xml:space="preserve"> </w:t>
      </w:r>
      <w:r>
        <w:rPr>
          <w:i/>
          <w:iCs/>
        </w:rPr>
        <w:t xml:space="preserve">n</w:t>
      </w:r>
      <w:r>
        <w:t xml:space="preserve"> </w:t>
      </w:r>
      <w:r>
        <w:t xml:space="preserve">= 162 Fälle (Messzeitpunkte, genestet in Personen) einbezogen. Das resultierende Modell erfüllte die Voraussetzungen der Homoskedastizität und der Normalverteilungen der Residuen nicht.</w:t>
      </w:r>
    </w:p>
    <w:bookmarkStart w:id="70" w:name="fig-residnormality"/>
    <w:p>
      <w:pPr>
        <w:pStyle w:val="79"/>
      </w:pPr>
      <w:r>
        <w:t xml:space="preserve">Abbildung 3</w:t>
      </w:r>
    </w:p>
    <w:p>
      <w:pPr>
        <w:pStyle w:val="16"/>
      </w:pPr>
      <w:r>
        <w:t xml:space="preserve">QQ-Plot und Verteilungskurve der Residuen des hierarchischen linearen Modells zur Vorhersage der wahrgenommenen Zielerreichung</w:t>
      </w:r>
    </w:p>
    <w:p>
      <w:pPr>
        <w:pStyle w:val="85"/>
      </w:pPr>
      <w:r>
        <w:drawing>
          <wp:inline>
            <wp:extent cx="5943600" cy="4160520"/>
            <wp:effectExtent b="0" l="0" r="0" t="0"/>
            <wp:docPr descr="" title="" id="68" name="Picture"/>
            <a:graphic>
              <a:graphicData uri="http://schemas.openxmlformats.org/drawingml/2006/picture">
                <pic:pic>
                  <pic:nvPicPr>
                    <pic:cNvPr descr="MD_BAEW_files/figure-docx/fig-residnormality-1.png" id="69" name="Picture"/>
                    <pic:cNvPicPr>
                      <a:picLocks noChangeArrowheads="1" noChangeAspect="1"/>
                    </pic:cNvPicPr>
                  </pic:nvPicPr>
                  <pic:blipFill>
                    <a:blip r:embed="rId67"/>
                    <a:stretch>
                      <a:fillRect/>
                    </a:stretch>
                  </pic:blipFill>
                  <pic:spPr bwMode="auto">
                    <a:xfrm>
                      <a:off x="0" y="0"/>
                      <a:ext cx="5943600" cy="4160520"/>
                    </a:xfrm>
                    <a:prstGeom prst="rect">
                      <a:avLst/>
                    </a:prstGeom>
                    <a:noFill/>
                    <a:ln w="9525">
                      <a:noFill/>
                      <a:headEnd/>
                      <a:tailEnd/>
                    </a:ln>
                  </pic:spPr>
                </pic:pic>
              </a:graphicData>
            </a:graphic>
          </wp:inline>
        </w:drawing>
      </w:r>
    </w:p>
    <w:bookmarkEnd w:id="70"/>
    <w:p>
      <w:pPr>
        <w:pStyle w:val="82"/>
      </w:pPr>
      <w:r>
        <w:rPr>
          <w:i/>
          <w:iCs/>
        </w:rPr>
        <w:t xml:space="preserve">Hinweis</w:t>
      </w:r>
      <w:r>
        <w:t xml:space="preserve">. Das Diagramm links zeigt die Verteilung der Residuen im Vergleich zu einer theoretisch angenommenen perfekten Normalverteilung (die blaue Linie). Rechts ist die Verteilungskurve der Residuen zu sehen. Die erste Zeile zeigt die Diagramme ohne Rangtransformation des Modells. Das Modell mit Rangtransformation (zweite Zeile) wurde beibehalten.</w:t>
      </w:r>
    </w:p>
    <w:bookmarkStart w:id="74" w:name="fig-heteroscedasticity_check"/>
    <w:p>
      <w:pPr>
        <w:pStyle w:val="79"/>
      </w:pPr>
      <w:r>
        <w:t xml:space="preserve">Abbildung 4</w:t>
      </w:r>
    </w:p>
    <w:p>
      <w:pPr>
        <w:pStyle w:val="16"/>
      </w:pPr>
      <w:r>
        <w:t xml:space="preserve">Streudiagramm aus vorhergesagten Werten und Residuen des hierarchischen linearen Modells zur Vorhersage der wahrgenommenen Zielerreichung</w:t>
      </w:r>
    </w:p>
    <w:p>
      <w:pPr>
        <w:pStyle w:val="85"/>
      </w:pPr>
      <w:r>
        <w:drawing>
          <wp:inline>
            <wp:extent cx="5943600" cy="5943600"/>
            <wp:effectExtent b="0" l="0" r="0" t="0"/>
            <wp:docPr descr="" title="" id="72" name="Picture"/>
            <a:graphic>
              <a:graphicData uri="http://schemas.openxmlformats.org/drawingml/2006/picture">
                <pic:pic>
                  <pic:nvPicPr>
                    <pic:cNvPr descr="MD_BAEW_files/figure-docx/fig-heteroscedasticity_check-1.png" id="73" name="Picture"/>
                    <pic:cNvPicPr>
                      <a:picLocks noChangeArrowheads="1" noChangeAspect="1"/>
                    </pic:cNvPicPr>
                  </pic:nvPicPr>
                  <pic:blipFill>
                    <a:blip r:embed="rId71"/>
                    <a:stretch>
                      <a:fillRect/>
                    </a:stretch>
                  </pic:blipFill>
                  <pic:spPr bwMode="auto">
                    <a:xfrm>
                      <a:off x="0" y="0"/>
                      <a:ext cx="5943600" cy="5943600"/>
                    </a:xfrm>
                    <a:prstGeom prst="rect">
                      <a:avLst/>
                    </a:prstGeom>
                    <a:noFill/>
                    <a:ln w="9525">
                      <a:noFill/>
                      <a:headEnd/>
                      <a:tailEnd/>
                    </a:ln>
                  </pic:spPr>
                </pic:pic>
              </a:graphicData>
            </a:graphic>
          </wp:inline>
        </w:drawing>
      </w:r>
    </w:p>
    <w:bookmarkEnd w:id="74"/>
    <w:p>
      <w:pPr>
        <w:pStyle w:val="82"/>
      </w:pPr>
      <w:r>
        <w:rPr>
          <w:i/>
          <w:iCs/>
        </w:rPr>
        <w:t xml:space="preserve">Hinweis</w:t>
      </w:r>
      <w:r>
        <w:t xml:space="preserve">. Um die Annahme der Homoskedastizität zu erfüllen, sollten die Anzahl der Datenpunkte und deren Distanz zur Linie jeweils über und unter der Linie gleich sein. Zeile eins zeigt das Ergebnis des Modells ohne Rangtransformation der Zielvariablen</w:t>
      </w:r>
    </w:p>
    <w:p>
      <w:pPr>
        <w:sectPr/>
      </w:pPr>
    </w:p>
    <w:bookmarkStart w:id="75" w:name="tbl-hlmtable2"/>
    <w:p>
      <w:pPr>
        <w:pStyle w:val="79"/>
      </w:pPr>
      <w:r>
        <w:t xml:space="preserve">Tabelle 6</w:t>
      </w:r>
    </w:p>
    <w:p>
      <w:pPr>
        <w:pStyle w:val="16"/>
      </w:pPr>
      <w:r>
        <w:t xml:space="preserve">Hierarchisches Modell zur Vorhersage von wahrgenommener Zielerreichung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50"/>
        <w:gridCol w:w="1626"/>
        <w:gridCol w:w="1161"/>
        <w:gridCol w:w="1626"/>
        <w:gridCol w:w="1161"/>
        <w:gridCol w:w="1626"/>
        <w:gridCol w:w="1161"/>
        <w:gridCol w:w="1626"/>
        <w:gridCol w:w="1161"/>
        <w:gridCol w:w="1626"/>
        <w:gridCol w:w="1161"/>
        <w:gridCol w:w="1626"/>
        <w:gridCol w:w="1161"/>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3</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4</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5</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81.727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(4.902)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(5.052)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81.760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81.756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83.639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(5.177)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83.919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(5.523)</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(5.373)</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(5.194)</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-9.245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-9.248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(5.606)</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(3.461)</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(3.598)</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(3.497)</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(6.052)</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 x 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-10.726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-10.985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(5.877)</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(Trait)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-11.420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(3.739)</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Variabilität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-1.287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(6.836)</w:t>
            </w:r>
          </w:p>
        </w:tc>
      </w:tr>
      <w:tr>
        <w:trPr>
          <w:trHeight w:val="6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1683.597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1676.946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1667.302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1662.658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1652.231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1637.011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1695.922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1695.360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1691.752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1693.092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1688.596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1679.253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body15
        <w:tc>
          <w:tcPr>
            <w:gridSpan w:val="1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75"/>
    <w:p>
      <w:pPr>
        <w:pStyle w:val="82"/>
      </w:pPr>
      <w:r>
        <w:rPr>
          <w:i/>
          <w:iCs/>
        </w:rPr>
        <w:t xml:space="preserve">Hinweis</w:t>
      </w:r>
      <w:r>
        <w:t xml:space="preserve">. Die Interzepte und Slopes gingen als Random-Effekt in die Modellberechnung ein. Das heißt, jede Person konnte als am Anfang eine unterschiedliche wahrgenommene Zielerreichung haben, und die Veränderung über die Zeit konnte variieren.</w:t>
      </w:r>
    </w:p>
    <w:p>
      <w:pPr>
        <w:sectPr>
          <w:pgSz w:h="11906" w:w="16838" w:orient="landscape"/>
        </w:sectPr>
      </w:pPr>
    </w:p>
    <w:p>
      <w:pPr>
        <w:pStyle w:val="90"/>
      </w:pPr>
      <w:r>
        <w:t xml:space="preserve">Das Nullmodell für die Vorhersage der wahrgenommenen Zielerreichung hatte einen Intraklassenkoeffizienten von</w:t>
      </w:r>
      <w:r>
        <w:t xml:space="preserve"> </w:t>
      </w:r>
      <w:r>
        <w:rPr>
          <w:i/>
          <w:iCs/>
        </w:rPr>
        <w:t xml:space="preserve">ICC</w:t>
      </w:r>
      <w:r>
        <w:t xml:space="preserve"> </w:t>
      </w:r>
      <w:r>
        <w:t xml:space="preserve">= 0.214. Der Intraklassenkoeffizient gibt wieder, wie viel Varianz auf die Unterschiede zwischen Gruppen zurückgeführt werden kann.</w:t>
      </w:r>
    </w:p>
    <w:bookmarkStart w:id="79" w:name="fig-model_overview"/>
    <w:p>
      <w:pPr>
        <w:pStyle w:val="79"/>
      </w:pPr>
      <w:r>
        <w:t xml:space="preserve">Abbildung 5</w:t>
      </w:r>
    </w:p>
    <w:p>
      <w:pPr>
        <w:pStyle w:val="16"/>
      </w:pPr>
      <w:r>
        <w:t xml:space="preserve">Vorhergesagte Veränderung der wahrgenommenen Zielerreichung über die Zeit hinweg</w:t>
      </w:r>
    </w:p>
    <w:p>
      <w:pPr>
        <w:pStyle w:val="85"/>
      </w:pPr>
      <w:r>
        <w:drawing>
          <wp:inline>
            <wp:extent cx="5943600" cy="4457700"/>
            <wp:effectExtent b="0" l="0" r="0" t="0"/>
            <wp:docPr descr="" title="" id="77" name="Picture"/>
            <a:graphic>
              <a:graphicData uri="http://schemas.openxmlformats.org/drawingml/2006/picture">
                <pic:pic>
                  <pic:nvPicPr>
                    <pic:cNvPr descr="MD_BAEW_files/figure-docx/fig-model_overview-1.png" id="78" name="Picture"/>
                    <pic:cNvPicPr>
                      <a:picLocks noChangeArrowheads="1" noChangeAspect="1"/>
                    </pic:cNvPicPr>
                  </pic:nvPicPr>
                  <pic:blipFill>
                    <a:blip r:embed="rId76"/>
                    <a:stretch>
                      <a:fillRect/>
                    </a:stretch>
                  </pic:blipFill>
                  <pic:spPr bwMode="auto">
                    <a:xfrm>
                      <a:off x="0" y="0"/>
                      <a:ext cx="5943600" cy="4457700"/>
                    </a:xfrm>
                    <a:prstGeom prst="rect">
                      <a:avLst/>
                    </a:prstGeom>
                    <a:noFill/>
                    <a:ln w="9525">
                      <a:noFill/>
                      <a:headEnd/>
                      <a:tailEnd/>
                    </a:ln>
                  </pic:spPr>
                </pic:pic>
              </a:graphicData>
            </a:graphic>
          </wp:inline>
        </w:drawing>
      </w:r>
    </w:p>
    <w:bookmarkEnd w:id="79"/>
    <w:p>
      <w:pPr>
        <w:pStyle w:val="82"/>
      </w:pPr>
      <w:r>
        <w:rPr>
          <w:i/>
          <w:iCs/>
        </w:rPr>
        <w:t xml:space="preserve">Hinweis</w:t>
      </w:r>
      <w:r>
        <w:t xml:space="preserve">. Die Abbildung links zeigt die Veränderung je Teilnehmer:in, die Abbildung rechts die Gesamtvorhersage des Modells.</w:t>
      </w:r>
    </w:p>
    <w:bookmarkStart w:id="83" w:name="fig-interaktion"/>
    <w:p>
      <w:pPr>
        <w:pStyle w:val="79"/>
      </w:pPr>
      <w:r>
        <w:t xml:space="preserve">Abbildung 6</w:t>
      </w:r>
    </w:p>
    <w:p>
      <w:pPr>
        <w:pStyle w:val="16"/>
      </w:pPr>
      <w:r>
        <w:t xml:space="preserve">The Figure Captionfd</w:t>
      </w:r>
    </w:p>
    <w:p>
      <w:pPr>
        <w:pStyle w:val="85"/>
      </w:pPr>
      <w:r>
        <w:drawing>
          <wp:inline>
            <wp:extent cx="5943600" cy="4457700"/>
            <wp:effectExtent b="0" l="0" r="0" t="0"/>
            <wp:docPr descr="" title="" id="81" name="Picture"/>
            <a:graphic>
              <a:graphicData uri="http://schemas.openxmlformats.org/drawingml/2006/picture">
                <pic:pic>
                  <pic:nvPicPr>
                    <pic:cNvPr descr="MD_BAEW_files/figure-docx/fig-interaktion-1.png" id="82" name="Picture"/>
                    <pic:cNvPicPr>
                      <a:picLocks noChangeArrowheads="1" noChangeAspect="1"/>
                    </pic:cNvPicPr>
                  </pic:nvPicPr>
                  <pic:blipFill>
                    <a:blip r:embed="rId80"/>
                    <a:stretch>
                      <a:fillRect/>
                    </a:stretch>
                  </pic:blipFill>
                  <pic:spPr bwMode="auto">
                    <a:xfrm>
                      <a:off x="0" y="0"/>
                      <a:ext cx="5943600" cy="4457700"/>
                    </a:xfrm>
                    <a:prstGeom prst="rect">
                      <a:avLst/>
                    </a:prstGeom>
                    <a:noFill/>
                    <a:ln w="9525">
                      <a:noFill/>
                      <a:headEnd/>
                      <a:tailEnd/>
                    </a:ln>
                  </pic:spPr>
                </pic:pic>
              </a:graphicData>
            </a:graphic>
          </wp:inline>
        </w:drawing>
      </w:r>
    </w:p>
    <w:bookmarkEnd w:id="83"/>
    <w:p>
      <w:pPr>
        <w:pStyle w:val="82"/>
      </w:pPr>
      <w:r>
        <w:rPr>
          <w:i/>
          <w:iCs/>
        </w:rPr>
        <w:t xml:space="preserve">Hinweis</w:t>
      </w:r>
      <w:r>
        <w:t xml:space="preserve">. Auf der X-Achse der drei Facetten (von -1 bis 1) ist das Ausmaß der Variablität der Kausalattribution zu sehen. Je höher also der negative Affekt (Trait), desto stärker war die Vorhersagekraft der Variabilität. eine höhere Variabilität ging dabei mit einer geringeren Zielerreichung einher.</w:t>
      </w:r>
    </w:p>
    <w:p>
      <w:pPr>
        <w:pStyle w:val="3"/>
      </w:pPr>
      <w:r>
        <w:t xml:space="preserve">Die Residuen aus den beiden Modellen zur Zielerreichung aus jeweils Attribution und Affekt waren nicht normalverteilt. Ein Shapiro-Wilk-Test ergab einen p-Wert von</w:t>
      </w:r>
      <w:r>
        <w:t xml:space="preserve"> </w:t>
      </w:r>
      <w:r>
        <w:rPr>
          <w:i/>
          <w:iCs/>
        </w:rPr>
        <w:t xml:space="preserve">p</w:t>
      </w:r>
      <w:r>
        <w:t xml:space="preserve"> </w:t>
      </w:r>
      <w:r>
        <w:t xml:space="preserve">0.031 für das erstere, und</w:t>
      </w:r>
    </w:p>
    <w:p>
      <w:pPr>
        <w:pStyle w:val="3"/>
      </w:pPr>
      <w:r>
        <w:rPr>
          <w:i/>
          <w:iCs/>
        </w:rPr>
        <w:t xml:space="preserve">Attributionsstil:</w:t>
      </w:r>
    </w:p>
    <w:bookmarkEnd w:id="84"/>
    <w:bookmarkEnd w:id="85"/>
    <w:bookmarkStart w:id="86" w:name="diskussion"/>
    <w:p>
      <w:pPr>
        <w:pStyle w:val="2"/>
      </w:pPr>
      <w:r>
        <w:t xml:space="preserve">8. Diskussion</w:t>
      </w:r>
    </w:p>
    <w:p>
      <w:pPr>
        <w:pStyle w:val="25"/>
      </w:pPr>
      <w:r>
        <w:t xml:space="preserve">Multiple imputation</w:t>
      </w:r>
    </w:p>
    <w:p>
      <w:pPr>
        <w:pStyle w:val="3"/>
      </w:pPr>
      <w:r>
        <w:t xml:space="preserve">Ein hoher ICC ist aus verschiedenen Gründen wünschenswert … Laut</w:t>
      </w:r>
      <w:r>
        <w:t xml:space="preserve"> </w:t>
      </w:r>
      <w:r>
        <w:t xml:space="preserve">Nezlek (</w:t>
      </w:r>
      <w:hyperlink w:anchor="ref-nezlek2008introduction">
        <w:r>
          <w:rPr>
            <w:rStyle w:val="17"/>
          </w:rPr>
          <w:t xml:space="preserve">2008</w:t>
        </w:r>
      </w:hyperlink>
      <w:r>
        <w:t xml:space="preserve">)</w:t>
      </w:r>
      <w:r>
        <w:t xml:space="preserve"> </w:t>
      </w:r>
      <w:r>
        <w:t xml:space="preserve">sind hierarchische lineare Modelle aber auch sinnvoll, wenn der ICC niedrig ist, weil …</w:t>
      </w:r>
    </w:p>
    <w:p>
      <w:pPr>
        <w:pStyle w:val="3"/>
      </w:pPr>
      <w:r>
        <w:t xml:space="preserve">In der Präregistrierung war ein HLM für alle Vorhersagen angedacht. Außerdem wurde nicht wie in der Präregistrierung beschrieben das Pakte lme4</w:t>
      </w:r>
      <w:r>
        <w:t xml:space="preserve"> </w:t>
      </w:r>
      <w:r>
        <w:t xml:space="preserve">(</w:t>
      </w:r>
      <w:hyperlink w:anchor="ref-lme42025">
        <w:r>
          <w:rPr>
            <w:rStyle w:val="17"/>
          </w:rPr>
          <w:t xml:space="preserve">Bates et al., 2015</w:t>
        </w:r>
      </w:hyperlink>
      <w:r>
        <w:t xml:space="preserve">)</w:t>
      </w:r>
      <w:r>
        <w:t xml:space="preserve"> </w:t>
      </w:r>
      <w:r>
        <w:t xml:space="preserve">verwendet, sondern nlme</w:t>
      </w:r>
      <w:r>
        <w:t xml:space="preserve"> </w:t>
      </w:r>
      <w:r>
        <w:t xml:space="preserve">(</w:t>
      </w:r>
      <w:hyperlink w:anchor="ref-nlme2023">
        <w:r>
          <w:rPr>
            <w:rStyle w:val="17"/>
          </w:rPr>
          <w:t xml:space="preserve">Pinheiro et al., 2023</w:t>
        </w:r>
      </w:hyperlink>
      <w:r>
        <w:t xml:space="preserve">)</w:t>
      </w:r>
      <w:r>
        <w:t xml:space="preserve">, da es für Längsschnittstudien besser geeignet ist</w:t>
      </w:r>
      <w:r>
        <w:t xml:space="preserve"> </w:t>
      </w:r>
      <w:r>
        <w:t xml:space="preserve">(</w:t>
      </w:r>
      <w:hyperlink w:anchor="ref-ellis2020hierarchical">
        <w:r>
          <w:rPr>
            <w:rStyle w:val="17"/>
          </w:rPr>
          <w:t xml:space="preserve">Ellis &amp; Mayer, 2020</w:t>
        </w:r>
      </w:hyperlink>
      <w:r>
        <w:t xml:space="preserve">)</w:t>
      </w:r>
      <w:r>
        <w:t xml:space="preserve">.</w:t>
      </w:r>
    </w:p>
    <w:bookmarkEnd w:id="86"/>
    <w:bookmarkStart w:id="175" w:name="literaturverzeichnis"/>
    <w:p>
      <w:pPr>
        <w:pStyle w:val="2"/>
      </w:pPr>
      <w:r>
        <w:t xml:space="preserve">9. Literaturverzeichnis</w:t>
      </w:r>
    </w:p>
    <w:bookmarkStart w:id="174" w:name="refs"/>
    <w:bookmarkStart w:id="88" w:name="ref-Ainsworth2020"/>
    <w:p>
      <w:pPr>
        <w:pStyle w:val="29"/>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87">
        <w:r>
          <w:rPr>
            <w:rStyle w:val="17"/>
          </w:rPr>
          <w:t xml:space="preserve">https://doi.org/doi.org/10.1002/9781119568124.ch37</w:t>
        </w:r>
      </w:hyperlink>
    </w:p>
    <w:bookmarkEnd w:id="88"/>
    <w:bookmarkStart w:id="90" w:name="ref-Amireault2013"/>
    <w:p>
      <w:pPr>
        <w:pStyle w:val="29"/>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89">
        <w:r>
          <w:rPr>
            <w:rStyle w:val="17"/>
          </w:rPr>
          <w:t xml:space="preserve">https://doi.org/10.1080/17437199.2012.701060</w:t>
        </w:r>
      </w:hyperlink>
    </w:p>
    <w:bookmarkEnd w:id="90"/>
    <w:bookmarkStart w:id="91" w:name="ref-bandura1977social"/>
    <w:p>
      <w:pPr>
        <w:pStyle w:val="29"/>
      </w:pPr>
      <w:r>
        <w:t xml:space="preserve">Bandura, A. (1977).</w:t>
      </w:r>
      <w:r>
        <w:t xml:space="preserve"> </w:t>
      </w:r>
      <w:r>
        <w:rPr>
          <w:i/>
          <w:iCs/>
        </w:rPr>
        <w:t xml:space="preserve">Social Learning Theory</w:t>
      </w:r>
      <w:r>
        <w:t xml:space="preserve">. Prentice-Hall.</w:t>
      </w:r>
    </w:p>
    <w:bookmarkEnd w:id="91"/>
    <w:bookmarkStart w:id="93" w:name="ref-lme42025"/>
    <w:p>
      <w:pPr>
        <w:pStyle w:val="29"/>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92">
        <w:r>
          <w:rPr>
            <w:rStyle w:val="17"/>
          </w:rPr>
          <w:t xml:space="preserve">https://doi.org/10.18637/jss.v067.i01</w:t>
        </w:r>
      </w:hyperlink>
    </w:p>
    <w:bookmarkEnd w:id="93"/>
    <w:bookmarkStart w:id="95" w:name="ref-Buckworth2007"/>
    <w:p>
      <w:pPr>
        <w:pStyle w:val="29"/>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94">
        <w:r>
          <w:rPr>
            <w:rStyle w:val="17"/>
          </w:rPr>
          <w:t xml:space="preserve">https://doi.org/10.1002/9781118270011</w:t>
        </w:r>
      </w:hyperlink>
    </w:p>
    <w:bookmarkEnd w:id="95"/>
    <w:bookmarkStart w:id="97" w:name="ref-Carter2016"/>
    <w:p>
      <w:pPr>
        <w:pStyle w:val="29"/>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96">
        <w:r>
          <w:rPr>
            <w:rStyle w:val="17"/>
          </w:rPr>
          <w:t xml:space="preserve">https://doi.org/10.1016/j.jaac.2016.04.016</w:t>
        </w:r>
      </w:hyperlink>
    </w:p>
    <w:bookmarkEnd w:id="97"/>
    <w:bookmarkStart w:id="98" w:name="ref-caspersen1985physical"/>
    <w:p>
      <w:pPr>
        <w:pStyle w:val="29"/>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98"/>
    <w:bookmarkStart w:id="100" w:name="ref-Cohen2013"/>
    <w:p>
      <w:pPr>
        <w:pStyle w:val="29"/>
      </w:pPr>
      <w:r>
        <w:t xml:space="preserve">Cohen, J. (2013).</w:t>
      </w:r>
      <w:r>
        <w:t xml:space="preserve"> </w:t>
      </w:r>
      <w:r>
        <w:rPr>
          <w:i/>
          <w:iCs/>
        </w:rPr>
        <w:t xml:space="preserve">Statistical Power Analysis for the Behavioral Sciences</w:t>
      </w:r>
      <w:r>
        <w:t xml:space="preserve">. Routledge.</w:t>
      </w:r>
      <w:r>
        <w:t xml:space="preserve"> </w:t>
      </w:r>
      <w:hyperlink r:id="rId99">
        <w:r>
          <w:rPr>
            <w:rStyle w:val="17"/>
          </w:rPr>
          <w:t xml:space="preserve">https://doi.org/10.4324/9780203771587</w:t>
        </w:r>
      </w:hyperlink>
    </w:p>
    <w:bookmarkEnd w:id="100"/>
    <w:bookmarkStart w:id="102" w:name="ref-Cooney08"/>
    <w:p>
      <w:pPr>
        <w:pStyle w:val="29"/>
      </w:pPr>
      <w:r>
        <w:t xml:space="preserve">Cooney, D., GM, &amp; Mead, G. (2013). Exercise for depression.</w:t>
      </w:r>
      <w:r>
        <w:t xml:space="preserve"> </w:t>
      </w:r>
      <w:r>
        <w:rPr>
          <w:i/>
          <w:iCs/>
        </w:rPr>
        <w:t xml:space="preserve">Cochrane Database of Systematic Reviews</w:t>
      </w:r>
      <w:r>
        <w:t xml:space="preserve">,</w:t>
      </w:r>
      <w:r>
        <w:t xml:space="preserve"> </w:t>
      </w:r>
      <w:r>
        <w:rPr>
          <w:i/>
          <w:iCs/>
        </w:rPr>
        <w:t xml:space="preserve">9</w:t>
      </w:r>
      <w:r>
        <w:t xml:space="preserve">.</w:t>
      </w:r>
      <w:r>
        <w:t xml:space="preserve"> </w:t>
      </w:r>
      <w:hyperlink r:id="rId101">
        <w:r>
          <w:rPr>
            <w:rStyle w:val="17"/>
          </w:rPr>
          <w:t xml:space="preserve">https://doi.org/10.1002/14651858.CD004366.pub6</w:t>
        </w:r>
      </w:hyperlink>
    </w:p>
    <w:bookmarkEnd w:id="102"/>
    <w:bookmarkStart w:id="104" w:name="ref-Corr1996"/>
    <w:p>
      <w:pPr>
        <w:pStyle w:val="29"/>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103">
        <w:r>
          <w:rPr>
            <w:rStyle w:val="17"/>
          </w:rPr>
          <w:t xml:space="preserve">https://doi.org/10.1080/00223980.1996.9915038</w:t>
        </w:r>
      </w:hyperlink>
    </w:p>
    <w:bookmarkEnd w:id="104"/>
    <w:bookmarkStart w:id="106" w:name="ref-Crawford2004"/>
    <w:p>
      <w:pPr>
        <w:pStyle w:val="29"/>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105">
        <w:r>
          <w:rPr>
            <w:rStyle w:val="17"/>
          </w:rPr>
          <w:t xml:space="preserve">https://doi.org/10.1348/0144665031752934</w:t>
        </w:r>
      </w:hyperlink>
    </w:p>
    <w:bookmarkEnd w:id="106"/>
    <w:bookmarkStart w:id="108" w:name="ref-Day2004"/>
    <w:p>
      <w:pPr>
        <w:pStyle w:val="29"/>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107">
        <w:r>
          <w:rPr>
            <w:rStyle w:val="17"/>
          </w:rPr>
          <w:t xml:space="preserve">https://doi.org/10.1519/r-13113.1</w:t>
        </w:r>
      </w:hyperlink>
    </w:p>
    <w:bookmarkEnd w:id="108"/>
    <w:bookmarkStart w:id="110" w:name="ref-Ding2016"/>
    <w:p>
      <w:pPr>
        <w:pStyle w:val="29"/>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109">
        <w:r>
          <w:rPr>
            <w:rStyle w:val="17"/>
          </w:rPr>
          <w:t xml:space="preserve">https://doi.org/10.1016/s0140-6736(16)30383-x</w:t>
        </w:r>
      </w:hyperlink>
    </w:p>
    <w:bookmarkEnd w:id="110"/>
    <w:bookmarkStart w:id="112" w:name="ref-ellis2020hierarchical"/>
    <w:p>
      <w:pPr>
        <w:pStyle w:val="29"/>
      </w:pPr>
      <w:r>
        <w:t xml:space="preserve">Ellis, A., &amp; Mayer, B. (2020).</w:t>
      </w:r>
      <w:r>
        <w:t xml:space="preserve"> </w:t>
      </w:r>
      <w:r>
        <w:rPr>
          <w:i/>
          <w:iCs/>
        </w:rPr>
        <w:t xml:space="preserve">Introduction to R, Chapter 12: Hierarchical Linear Models</w:t>
      </w:r>
      <w:r>
        <w:t xml:space="preserve">.</w:t>
      </w:r>
      <w:r>
        <w:t xml:space="preserve"> </w:t>
      </w:r>
      <w:hyperlink r:id="rId111">
        <w:r>
          <w:rPr>
            <w:rStyle w:val="17"/>
          </w:rPr>
          <w:t xml:space="preserve">https://methodenlehre.github.io/intro-to-rstats/index.html</w:t>
        </w:r>
      </w:hyperlink>
    </w:p>
    <w:bookmarkEnd w:id="112"/>
    <w:bookmarkStart w:id="114" w:name="ref-Engel1977"/>
    <w:p>
      <w:pPr>
        <w:pStyle w:val="29"/>
      </w:pPr>
      <w:r>
        <w:t xml:space="preserve">Engel, G. L. (1977). The Need for a New Medical Model: A Challenge for Biomedicine.</w:t>
      </w:r>
      <w:r>
        <w:t xml:space="preserve"> </w:t>
      </w:r>
      <w:r>
        <w:rPr>
          <w:i/>
          <w:iCs/>
        </w:rPr>
        <w:t xml:space="preserve">Science</w:t>
      </w:r>
      <w:r>
        <w:t xml:space="preserve">,</w:t>
      </w:r>
      <w:r>
        <w:t xml:space="preserve"> </w:t>
      </w:r>
      <w:r>
        <w:rPr>
          <w:i/>
          <w:iCs/>
        </w:rPr>
        <w:t xml:space="preserve">196</w:t>
      </w:r>
      <w:r>
        <w:t xml:space="preserve">(4286), 129–136.</w:t>
      </w:r>
      <w:r>
        <w:t xml:space="preserve"> </w:t>
      </w:r>
      <w:hyperlink r:id="rId113">
        <w:r>
          <w:rPr>
            <w:rStyle w:val="17"/>
          </w:rPr>
          <w:t xml:space="preserve">https://doi.org/10.1126/science.847460</w:t>
        </w:r>
      </w:hyperlink>
    </w:p>
    <w:bookmarkEnd w:id="114"/>
    <w:bookmarkStart w:id="116" w:name="ref-Foster2021"/>
    <w:p>
      <w:pPr>
        <w:pStyle w:val="29"/>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115">
        <w:r>
          <w:rPr>
            <w:rStyle w:val="17"/>
          </w:rPr>
          <w:t xml:space="preserve">https://doi.org/10.1123/ijspp.2020-0599</w:t>
        </w:r>
      </w:hyperlink>
    </w:p>
    <w:bookmarkEnd w:id="116"/>
    <w:bookmarkStart w:id="117" w:name="ref-Foster2001"/>
    <w:p>
      <w:pPr>
        <w:pStyle w:val="29"/>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117"/>
    <w:bookmarkStart w:id="119" w:name="ref-Gillison2009"/>
    <w:p>
      <w:pPr>
        <w:pStyle w:val="29"/>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118">
        <w:r>
          <w:rPr>
            <w:rStyle w:val="17"/>
          </w:rPr>
          <w:t xml:space="preserve">https://doi.org/10.1016/j.socscimed.2009.02.028</w:t>
        </w:r>
      </w:hyperlink>
    </w:p>
    <w:bookmarkEnd w:id="119"/>
    <w:bookmarkStart w:id="121" w:name="ref-Green2016"/>
    <w:p>
      <w:pPr>
        <w:pStyle w:val="29"/>
      </w:pPr>
      <w:r>
        <w:t xml:space="preserve">Green, P., &amp; MacLeod, C. J. (2016). &lt;scp&gt;SIMR&lt;/scp&gt;: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20">
        <w:r>
          <w:rPr>
            <w:rStyle w:val="17"/>
          </w:rPr>
          <w:t xml:space="preserve">https://doi.org/10.1111/2041-210x.12504</w:t>
        </w:r>
      </w:hyperlink>
    </w:p>
    <w:bookmarkEnd w:id="121"/>
    <w:bookmarkStart w:id="122" w:name="ref-hollmann2009sportmedizin"/>
    <w:p>
      <w:pPr>
        <w:pStyle w:val="29"/>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122"/>
    <w:bookmarkStart w:id="123" w:name="ref-Hox2017-dx"/>
    <w:p>
      <w:pPr>
        <w:pStyle w:val="29"/>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123"/>
    <w:bookmarkStart w:id="125" w:name="ref-Krug2013"/>
    <w:p>
      <w:pPr>
        <w:pStyle w:val="29"/>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124">
        <w:r>
          <w:rPr>
            <w:rStyle w:val="17"/>
          </w:rPr>
          <w:t xml:space="preserve">https://doi.org/10.1007/s00103-012-1661-6</w:t>
        </w:r>
      </w:hyperlink>
    </w:p>
    <w:bookmarkEnd w:id="125"/>
    <w:bookmarkStart w:id="127" w:name="ref-Ledochowski2016"/>
    <w:p>
      <w:pPr>
        <w:pStyle w:val="29"/>
      </w:pPr>
      <w:r>
        <w:t xml:space="preserve">Ledochowski, L., Stark, R., Ruedl, G., &amp; Kopp, M. (2016). Körperliche Aktivität als therapeutische Intervention bei Depression.</w:t>
      </w:r>
      <w:r>
        <w:t xml:space="preserve"> </w:t>
      </w:r>
      <w:r>
        <w:rPr>
          <w:i/>
          <w:iCs/>
        </w:rPr>
        <w:t xml:space="preserve">Der Nervenarzt</w:t>
      </w:r>
      <w:r>
        <w:t xml:space="preserve">,</w:t>
      </w:r>
      <w:r>
        <w:t xml:space="preserve"> </w:t>
      </w:r>
      <w:r>
        <w:rPr>
          <w:i/>
          <w:iCs/>
        </w:rPr>
        <w:t xml:space="preserve">88</w:t>
      </w:r>
      <w:r>
        <w:t xml:space="preserve">(7), 765–778.</w:t>
      </w:r>
      <w:r>
        <w:t xml:space="preserve"> </w:t>
      </w:r>
      <w:hyperlink r:id="rId126">
        <w:r>
          <w:rPr>
            <w:rStyle w:val="17"/>
          </w:rPr>
          <w:t xml:space="preserve">https://doi.org/10.1007/s00115-016-0222-x</w:t>
        </w:r>
      </w:hyperlink>
    </w:p>
    <w:bookmarkEnd w:id="127"/>
    <w:bookmarkStart w:id="129" w:name="ref-Lee2012"/>
    <w:p>
      <w:pPr>
        <w:pStyle w:val="29"/>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128">
        <w:r>
          <w:rPr>
            <w:rStyle w:val="17"/>
          </w:rPr>
          <w:t xml:space="preserve">https://doi.org/10.1016/s0140-6736(12)61031-9</w:t>
        </w:r>
      </w:hyperlink>
    </w:p>
    <w:bookmarkEnd w:id="129"/>
    <w:bookmarkStart w:id="131" w:name="ref-Li2015"/>
    <w:p>
      <w:pPr>
        <w:pStyle w:val="29"/>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130">
        <w:r>
          <w:rPr>
            <w:rStyle w:val="17"/>
          </w:rPr>
          <w:t xml:space="preserve">https://doi.org/10.1001/jama.2015.15281</w:t>
        </w:r>
      </w:hyperlink>
    </w:p>
    <w:bookmarkEnd w:id="131"/>
    <w:bookmarkStart w:id="133" w:name="ref-Marcus1997"/>
    <w:p>
      <w:pPr>
        <w:pStyle w:val="29"/>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132">
        <w:r>
          <w:rPr>
            <w:rStyle w:val="17"/>
          </w:rPr>
          <w:t xml:space="preserve">https://doi.org/10.1007/978-1-4899-1760-7_18</w:t>
        </w:r>
      </w:hyperlink>
    </w:p>
    <w:bookmarkEnd w:id="133"/>
    <w:bookmarkStart w:id="135" w:name="ref-Marcus1993"/>
    <w:p>
      <w:pPr>
        <w:pStyle w:val="29"/>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134">
        <w:r>
          <w:rPr>
            <w:rStyle w:val="17"/>
          </w:rPr>
          <w:t xml:space="preserve">https://doi.org/10.1080/02701367.1993.10607598</w:t>
        </w:r>
      </w:hyperlink>
    </w:p>
    <w:bookmarkEnd w:id="135"/>
    <w:bookmarkStart w:id="137" w:name="ref-Marlatt1984"/>
    <w:p>
      <w:pPr>
        <w:pStyle w:val="29"/>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136">
        <w:r>
          <w:rPr>
            <w:rStyle w:val="17"/>
          </w:rPr>
          <w:t xml:space="preserve">https://doi.org/10.1111/j.1360-0443.1984.tb03867.x</w:t>
        </w:r>
      </w:hyperlink>
    </w:p>
    <w:bookmarkEnd w:id="137"/>
    <w:bookmarkStart w:id="139" w:name="ref-Martin1984"/>
    <w:p>
      <w:pPr>
        <w:pStyle w:val="29"/>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138">
        <w:r>
          <w:rPr>
            <w:rStyle w:val="17"/>
          </w:rPr>
          <w:t xml:space="preserve">https://doi.org/10.1037/0022-006x.52.5.795</w:t>
        </w:r>
      </w:hyperlink>
    </w:p>
    <w:bookmarkEnd w:id="139"/>
    <w:bookmarkStart w:id="141" w:name="ref-Mcauley1994"/>
    <w:p>
      <w:pPr>
        <w:pStyle w:val="29"/>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140">
        <w:r>
          <w:rPr>
            <w:rStyle w:val="17"/>
          </w:rPr>
          <w:t xml:space="preserve">https://doi.org/10.1006/pmed.1994.1068</w:t>
        </w:r>
      </w:hyperlink>
    </w:p>
    <w:bookmarkEnd w:id="141"/>
    <w:bookmarkStart w:id="143" w:name="ref-Mikkelsen2017"/>
    <w:p>
      <w:pPr>
        <w:pStyle w:val="29"/>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142">
        <w:r>
          <w:rPr>
            <w:rStyle w:val="17"/>
          </w:rPr>
          <w:t xml:space="preserve">https://doi.org/10.1016/j.maturitas.2017.09.003</w:t>
        </w:r>
      </w:hyperlink>
    </w:p>
    <w:bookmarkEnd w:id="143"/>
    <w:bookmarkStart w:id="145" w:name="ref-Morres2018"/>
    <w:p>
      <w:pPr>
        <w:pStyle w:val="29"/>
      </w:pPr>
      <w:r>
        <w:t xml:space="preserve">Morres, I. D., Hatzigeorgiadis, A., Stathi, A., Comoutos, N., Arpin-Cribbie, C., Krommidas, C., &amp; Theodorakis, Y. (2018). Aerobic exercise for adult patients with major depressive disorder in mental health services: A systematic review and meta-analysis.</w:t>
      </w:r>
      <w:r>
        <w:t xml:space="preserve"> </w:t>
      </w:r>
      <w:r>
        <w:rPr>
          <w:i/>
          <w:iCs/>
        </w:rPr>
        <w:t xml:space="preserve">Depression and Anxiety</w:t>
      </w:r>
      <w:r>
        <w:t xml:space="preserve">,</w:t>
      </w:r>
      <w:r>
        <w:t xml:space="preserve"> </w:t>
      </w:r>
      <w:r>
        <w:rPr>
          <w:i/>
          <w:iCs/>
        </w:rPr>
        <w:t xml:space="preserve">36</w:t>
      </w:r>
      <w:r>
        <w:t xml:space="preserve">(1), 39–53.</w:t>
      </w:r>
      <w:r>
        <w:t xml:space="preserve"> </w:t>
      </w:r>
      <w:hyperlink r:id="rId144">
        <w:r>
          <w:rPr>
            <w:rStyle w:val="17"/>
          </w:rPr>
          <w:t xml:space="preserve">https://doi.org/10.1002/da.22842</w:t>
        </w:r>
      </w:hyperlink>
    </w:p>
    <w:bookmarkEnd w:id="145"/>
    <w:bookmarkStart w:id="147" w:name="ref-Myers2004"/>
    <w:p>
      <w:pPr>
        <w:pStyle w:val="29"/>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146">
        <w:r>
          <w:rPr>
            <w:rStyle w:val="17"/>
          </w:rPr>
          <w:t xml:space="preserve">https://doi.org/10.1016/j.amjmed.2004.06.047</w:t>
        </w:r>
      </w:hyperlink>
    </w:p>
    <w:bookmarkEnd w:id="147"/>
    <w:bookmarkStart w:id="148" w:name="ref-nezlek2008introduction"/>
    <w:p>
      <w:pPr>
        <w:pStyle w:val="29"/>
      </w:pPr>
      <w:r>
        <w:t xml:space="preserve">Nezlek, J. B. (2008). An Introduction to Multilevel Modeling for Social and Personality Psychology.</w:t>
      </w:r>
      <w:r>
        <w:t xml:space="preserve"> </w:t>
      </w:r>
      <w:r>
        <w:rPr>
          <w:i/>
          <w:iCs/>
        </w:rPr>
        <w:t xml:space="preserve">Social and Personality Psychology Compass</w:t>
      </w:r>
      <w:r>
        <w:t xml:space="preserve">,</w:t>
      </w:r>
      <w:r>
        <w:t xml:space="preserve"> </w:t>
      </w:r>
      <w:r>
        <w:rPr>
          <w:i/>
          <w:iCs/>
        </w:rPr>
        <w:t xml:space="preserve">2</w:t>
      </w:r>
      <w:r>
        <w:t xml:space="preserve">(2), 842–860.</w:t>
      </w:r>
    </w:p>
    <w:bookmarkEnd w:id="148"/>
    <w:bookmarkStart w:id="150" w:name="ref-Nezlek2006"/>
    <w:p>
      <w:pPr>
        <w:pStyle w:val="29"/>
      </w:pPr>
      <w:r>
        <w:t xml:space="preserve">Nezlek, J. B., Schröder-Abé, M., &amp; Schütz, A. (2006). Mehrebenenanalysen in der psychologischen Forschung.</w:t>
      </w:r>
      <w:r>
        <w:t xml:space="preserve"> </w:t>
      </w:r>
      <w:r>
        <w:rPr>
          <w:i/>
          <w:iCs/>
        </w:rPr>
        <w:t xml:space="preserve">Psychologische Rundschau</w:t>
      </w:r>
      <w:r>
        <w:t xml:space="preserve">,</w:t>
      </w:r>
      <w:r>
        <w:t xml:space="preserve"> </w:t>
      </w:r>
      <w:r>
        <w:rPr>
          <w:i/>
          <w:iCs/>
        </w:rPr>
        <w:t xml:space="preserve">57</w:t>
      </w:r>
      <w:r>
        <w:t xml:space="preserve">(4), 213–223.</w:t>
      </w:r>
      <w:r>
        <w:t xml:space="preserve"> </w:t>
      </w:r>
      <w:hyperlink r:id="rId149">
        <w:r>
          <w:rPr>
            <w:rStyle w:val="17"/>
          </w:rPr>
          <w:t xml:space="preserve">https://doi.org/10.1026/0033-3042.57.4.213</w:t>
        </w:r>
      </w:hyperlink>
    </w:p>
    <w:bookmarkEnd w:id="150"/>
    <w:bookmarkStart w:id="152" w:name="ref-Paluska2000"/>
    <w:p>
      <w:pPr>
        <w:pStyle w:val="29"/>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151">
        <w:r>
          <w:rPr>
            <w:rStyle w:val="17"/>
          </w:rPr>
          <w:t xml:space="preserve">https://doi.org/10.2165/00007256-200029030-00003</w:t>
        </w:r>
      </w:hyperlink>
    </w:p>
    <w:bookmarkEnd w:id="152"/>
    <w:bookmarkStart w:id="154" w:name="ref-Peterson1982"/>
    <w:p>
      <w:pPr>
        <w:pStyle w:val="29"/>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153">
        <w:r>
          <w:rPr>
            <w:rStyle w:val="17"/>
          </w:rPr>
          <w:t xml:space="preserve">https://doi.org/10.1007/bf01173577</w:t>
        </w:r>
      </w:hyperlink>
    </w:p>
    <w:bookmarkEnd w:id="154"/>
    <w:bookmarkStart w:id="156" w:name="ref-Piggin2020"/>
    <w:p>
      <w:pPr>
        <w:pStyle w:val="29"/>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155">
        <w:r>
          <w:rPr>
            <w:rStyle w:val="17"/>
          </w:rPr>
          <w:t xml:space="preserve">https://doi.org/10.3389/fspor.2020.00072</w:t>
        </w:r>
      </w:hyperlink>
    </w:p>
    <w:bookmarkEnd w:id="156"/>
    <w:bookmarkStart w:id="158" w:name="ref-nlme2023"/>
    <w:p>
      <w:pPr>
        <w:pStyle w:val="29"/>
      </w:pPr>
      <w:r>
        <w:t xml:space="preserve">Pinheiro, J., Bates, D., &amp; R Core Team. (2023).</w:t>
      </w:r>
      <w:r>
        <w:t xml:space="preserve"> </w:t>
      </w:r>
      <w:r>
        <w:rPr>
          <w:i/>
          <w:iCs/>
        </w:rPr>
        <w:t xml:space="preserve">nlme: Linear and Nonlinear Mixed Effects Models</w:t>
      </w:r>
      <w:r>
        <w:t xml:space="preserve">.</w:t>
      </w:r>
      <w:r>
        <w:t xml:space="preserve"> </w:t>
      </w:r>
      <w:hyperlink r:id="rId157">
        <w:r>
          <w:rPr>
            <w:rStyle w:val="17"/>
          </w:rPr>
          <w:t xml:space="preserve">https://CRAN.R-project.org/package=nlme</w:t>
        </w:r>
      </w:hyperlink>
    </w:p>
    <w:bookmarkEnd w:id="158"/>
    <w:bookmarkStart w:id="160" w:name="ref-RKI_2022"/>
    <w:p>
      <w:pPr>
        <w:pStyle w:val="29"/>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159">
        <w:r>
          <w:rPr>
            <w:rStyle w:val="17"/>
          </w:rPr>
          <w:t xml:space="preserve">https://doi.org/10.25646/9362</w:t>
        </w:r>
      </w:hyperlink>
    </w:p>
    <w:bookmarkEnd w:id="160"/>
    <w:bookmarkStart w:id="162" w:name="ref-Sokolowski2000"/>
    <w:p>
      <w:pPr>
        <w:pStyle w:val="29"/>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161">
        <w:r>
          <w:rPr>
            <w:rStyle w:val="17"/>
          </w:rPr>
          <w:t xml:space="preserve">https://doi.org/10.1207/s15327752jpa740109</w:t>
        </w:r>
      </w:hyperlink>
    </w:p>
    <w:bookmarkEnd w:id="162"/>
    <w:bookmarkStart w:id="164" w:name="ref-Stetson2005"/>
    <w:p>
      <w:pPr>
        <w:pStyle w:val="29"/>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163">
        <w:r>
          <w:rPr>
            <w:rStyle w:val="17"/>
          </w:rPr>
          <w:t xml:space="preserve">https://doi.org/10.1207/s15324796abm3001_4</w:t>
        </w:r>
      </w:hyperlink>
    </w:p>
    <w:bookmarkEnd w:id="164"/>
    <w:bookmarkStart w:id="166" w:name="ref-Tracy2007"/>
    <w:p>
      <w:pPr>
        <w:pStyle w:val="29"/>
      </w:pPr>
      <w:r>
        <w:t xml:space="preserve">Tracy, J. L., &amp; Robins, R. W. (2007). Authentic And Hubristic Pride Scales.</w:t>
      </w:r>
      <w:r>
        <w:t xml:space="preserve"> </w:t>
      </w:r>
      <w:r>
        <w:rPr>
          <w:i/>
          <w:iCs/>
        </w:rPr>
        <w:t xml:space="preserve">PsycTESTS Dataset</w:t>
      </w:r>
      <w:r>
        <w:t xml:space="preserve">.</w:t>
      </w:r>
      <w:r>
        <w:t xml:space="preserve"> </w:t>
      </w:r>
      <w:hyperlink r:id="rId165">
        <w:r>
          <w:rPr>
            <w:rStyle w:val="17"/>
          </w:rPr>
          <w:t xml:space="preserve">https://doi.org/10.1037/t06465-000</w:t>
        </w:r>
      </w:hyperlink>
    </w:p>
    <w:bookmarkEnd w:id="166"/>
    <w:bookmarkStart w:id="168" w:name="ref-Warburton2006"/>
    <w:p>
      <w:pPr>
        <w:pStyle w:val="29"/>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167">
        <w:r>
          <w:rPr>
            <w:rStyle w:val="17"/>
          </w:rPr>
          <w:t xml:space="preserve">https://doi.org/10.1503/cmaj.051351</w:t>
        </w:r>
      </w:hyperlink>
    </w:p>
    <w:bookmarkEnd w:id="168"/>
    <w:bookmarkStart w:id="170" w:name="ref-Watson1988"/>
    <w:p>
      <w:pPr>
        <w:pStyle w:val="29"/>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169">
        <w:r>
          <w:rPr>
            <w:rStyle w:val="17"/>
          </w:rPr>
          <w:t xml:space="preserve">https://doi.org/10.1037/0022-3514.54.6.1063</w:t>
        </w:r>
      </w:hyperlink>
    </w:p>
    <w:bookmarkEnd w:id="170"/>
    <w:bookmarkStart w:id="171" w:name="ref-winter1994manual"/>
    <w:p>
      <w:pPr>
        <w:pStyle w:val="29"/>
      </w:pPr>
      <w:r>
        <w:t xml:space="preserve">Winter, D. G. (1994).</w:t>
      </w:r>
      <w:r>
        <w:t xml:space="preserve"> </w:t>
      </w:r>
      <w:r>
        <w:rPr>
          <w:i/>
          <w:iCs/>
        </w:rPr>
        <w:t xml:space="preserve">Manual for scoring motive imagery in running text:(Version 4.2)</w:t>
      </w:r>
      <w:r>
        <w:t xml:space="preserve">. Winter.</w:t>
      </w:r>
    </w:p>
    <w:bookmarkEnd w:id="171"/>
    <w:bookmarkStart w:id="173" w:name="ref-WHO2010"/>
    <w:p>
      <w:pPr>
        <w:pStyle w:val="29"/>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72">
        <w:r>
          <w:rPr>
            <w:rStyle w:val="17"/>
          </w:rPr>
          <w:t xml:space="preserve">https://iris.who.int/bitstream/handle/10665/44399/9789241599979_eng.pdf?sequence=1</w:t>
        </w:r>
      </w:hyperlink>
    </w:p>
    <w:bookmarkEnd w:id="173"/>
    <w:bookmarkEnd w:id="174"/>
    <w:p>
      <w:r>
        <w:br w:type="page"/>
      </w:r>
    </w:p>
    <w:bookmarkEnd w:id="175"/>
    <w:bookmarkStart w:id="176" w:name="anhang"/>
    <w:p>
      <w:pPr>
        <w:pStyle w:val="2"/>
      </w:pPr>
      <w:r>
        <w:t xml:space="preserve">10. Anhang</w:t>
      </w:r>
    </w:p>
    <w:sectPr>
      <w:lnNumType w:countBy="1" w:restart="continuous"/>
    </w:sectPr>
    <w:bookmarkEnd w:id="176"/>
    <w:sectPr>
      <w:headerReference r:id="rId9" w:type="first"/>
      <w:footerReference r:id="rId14" w:type="first"/>
      <w:headerReference r:id="rId11" w:type="default"/>
      <w:footerReference r:id="rId13" w:type="default"/>
      <w:headerReference r:id="rId10" w:type="even"/>
      <w:footerReference r:id="rId12" w:type="even"/>
      <w:pgSz w:h="15840" w:w="12240"/>
      <w:pgMar w:bottom="1440" w:footer="720" w:gutter="0" w:header="720" w:left="1440" w:right="1440" w:top="1440"/>
      <w:cols w:num="1"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2C7AE">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8A7EE">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C4098C">
    <w:pPr>
      <w:pStyle w:val="2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0AA480">
    <w:pPr>
      <w:tabs>
        <w:tab w:val="right" w:pos="9360"/>
      </w:tabs>
    </w:pPr>
    <w:sdt>
      <w:sdtPr>
        <w:alias w:val="Comments"/>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Pr>
            <w:rStyle w:val="97"/>
          </w:rPr>
          <w:t>[Comments]</w:t>
        </w:r>
      </w:sdtContent>
    </w:sdt>
    <w:r>
      <w:tab/>
    </w:r>
    <w:r>
      <w:fldChar w:fldCharType="begin"/>
    </w:r>
    <w:r>
      <w:instrText xml:space="preserve"> PAGE   \* MERGEFORMAT </w:instrText>
    </w:r>
    <w:r>
      <w:fldChar w:fldCharType="separate"/>
    </w:r>
    <w:r>
      <w:t>1</w:t>
    </w:r>
    <w:r>
      <w:fldChar w:fldCharType="end"/>
    </w:r>
  </w:p>
  <w:p w14:paraId="0B6AFBF4">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BB696">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5E26B0">
    <w:pPr>
      <w:pStyle w:val="19"/>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5D1079BE"/>
    <w:multiLevelType w:val="multilevel"/>
    <w:tmpl w:val="5D1079BE"/>
    <w:lvl w:ilvl="0" w:tentative="0">
      <w:start w:val="1"/>
      <w:numFmt w:val="decimal"/>
      <w:pStyle w:val="77"/>
      <w:lvlText w:val="%1."/>
      <w:lvlJc w:val="left"/>
      <w:pPr>
        <w:ind w:hanging="360" w:left="360"/>
      </w:pPr>
      <w:rPr>
        <w:rFonts w:hint="default"/>
      </w:rPr>
    </w:lvl>
    <w:lvl w:ilvl="1" w:tentative="0">
      <w:start w:val="1"/>
      <w:numFmt w:val="lowerLetter"/>
      <w:lvlText w:val="%2."/>
      <w:lvlJc w:val="left"/>
      <w:pPr>
        <w:ind w:hanging="360" w:left="1080"/>
      </w:pPr>
    </w:lvl>
    <w:lvl w:ilvl="2" w:tentative="0">
      <w:start w:val="1"/>
      <w:numFmt w:val="lowerRoman"/>
      <w:lvlText w:val="%3."/>
      <w:lvlJc w:val="right"/>
      <w:pPr>
        <w:ind w:hanging="180" w:left="1800"/>
      </w:pPr>
    </w:lvl>
    <w:lvl w:ilvl="3" w:tentative="0">
      <w:start w:val="1"/>
      <w:numFmt w:val="decimal"/>
      <w:lvlText w:val="%4."/>
      <w:lvlJc w:val="left"/>
      <w:pPr>
        <w:ind w:hanging="360" w:left="2520"/>
      </w:pPr>
    </w:lvl>
    <w:lvl w:ilvl="4" w:tentative="0">
      <w:start w:val="1"/>
      <w:numFmt w:val="lowerLetter"/>
      <w:lvlText w:val="%5."/>
      <w:lvlJc w:val="left"/>
      <w:pPr>
        <w:ind w:hanging="360" w:left="3240"/>
      </w:pPr>
    </w:lvl>
    <w:lvl w:ilvl="5" w:tentative="0">
      <w:start w:val="1"/>
      <w:numFmt w:val="lowerRoman"/>
      <w:lvlText w:val="%6."/>
      <w:lvlJc w:val="right"/>
      <w:pPr>
        <w:ind w:hanging="180" w:left="3960"/>
      </w:pPr>
    </w:lvl>
    <w:lvl w:ilvl="6" w:tentative="0">
      <w:start w:val="1"/>
      <w:numFmt w:val="decimal"/>
      <w:lvlText w:val="%7."/>
      <w:lvlJc w:val="left"/>
      <w:pPr>
        <w:ind w:hanging="360" w:left="4680"/>
      </w:pPr>
    </w:lvl>
    <w:lvl w:ilvl="7" w:tentative="0">
      <w:start w:val="1"/>
      <w:numFmt w:val="lowerLetter"/>
      <w:lvlText w:val="%8."/>
      <w:lvlJc w:val="left"/>
      <w:pPr>
        <w:ind w:hanging="360" w:left="5400"/>
      </w:pPr>
    </w:lvl>
    <w:lvl w:ilvl="8" w:tentative="0">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ocumentProtection w:enforcement="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 w:val="2FDF0828"/>
    <w:rsid w:val="783D5C70"/>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semiHidden="0" w:uiPriority="0" w:unhideWhenUsed="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qFormat="1" w:semiHidden="0" w:uiPriority="9"/>
    <w:lsdException w:name="annotation text" w:uiPriority="0"/>
    <w:lsdException w:name="header" w:qFormat="1" w:semiHidden="0" w:uiPriority="99"/>
    <w:lsdException w:name="footer" w:qFormat="1" w:semiHidden="0" w:uiPriority="0"/>
    <w:lsdException w:name="index heading" w:uiPriority="0"/>
    <w:lsdException w:name="caption" w:qFormat="1" w:semiHidden="0" w:uiPriority="0" w:unhideWhenUsed="0"/>
    <w:lsdException w:name="table of figures" w:uiPriority="0"/>
    <w:lsdException w:name="envelope address" w:uiPriority="0"/>
    <w:lsdException w:name="envelope return" w:uiPriority="0"/>
    <w:lsdException w:name="footnote reference" w:semiHidden="0" w:uiPriority="0" w:unhideWhenUsed="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semiHidden="0" w:uiPriority="0" w:unhideWhenUsed="0"/>
    <w:lsdException w:name="List Bullet 2" w:uiPriority="0"/>
    <w:lsdException w:name="List Bullet 3" w:uiPriority="0"/>
    <w:lsdException w:name="List Bullet 4" w:semiHidden="0" w:uiPriority="0" w:unhideWhenUsed="0"/>
    <w:lsdException w:name="List Bullet 5" w:semiHidden="0" w:uiPriority="0" w:unhideWhenUsed="0"/>
    <w:lsdException w:name="List Number 2" w:uiPriority="0"/>
    <w:lsdException w:name="List Number 3" w:uiPriority="0"/>
    <w:lsdException w:name="List Number 4" w:uiPriority="0"/>
    <w:lsdException w:name="List Number 5" w:uiPriority="0"/>
    <w:lsdException w:name="Title" w:qFormat="1" w:semiHidden="0" w:uiPriority="0" w:unhideWhenUsed="0"/>
    <w:lsdException w:name="Closing" w:uiPriority="0"/>
    <w:lsdException w:name="Signature" w:uiPriority="0"/>
    <w:lsdException w:name="Default Paragraph Font" w:qFormat="1" w:uiPriority="1"/>
    <w:lsdException w:name="Body Text" w:qFormat="1" w:semiHidden="0" w:uiPriority="0" w:unhideWhenUsed="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qFormat="1" w:semiHidden="0" w:uiPriority="0" w:unhideWhenUsed="0"/>
    <w:lsdException w:name="Salutation" w:uiPriority="0"/>
    <w:lsdException w:name="Date" w:qFormat="1" w:semiHidden="0" w:uiPriority="0" w:unhideWhenUsed="0"/>
    <w:lsdException w:name="Body Text First Indent" w:uiPriority="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uiPriority="0"/>
    <w:lsdException w:name="Body Text Indent 3" w:uiPriority="0"/>
    <w:lsdException w:name="Block Text" w:qFormat="1" w:semiHidden="0" w:uiPriority="9"/>
    <w:lsdException w:name="Hyperlink" w:semiHidden="0" w:uiPriority="0" w:unhideWhenUsed="0"/>
    <w:lsdException w:name="FollowedHyperlink" w:uiPriority="0"/>
    <w:lsdException w:name="Strong" w:semiHidden="0" w:uiPriority="0" w:unhideWhenUsed="0"/>
    <w:lsdException w:name="Emphasis" w:semiHidden="0" w:uiPriority="0" w:unhideWhenUsed="0"/>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0" w:unhideWhenUsed="0"/>
    <w:lsdException w:name="Table Theme" w:uiPriority="0"/>
    <w:lsdException w:name="Placeholder Text" w:qFormat="1" w:uiPriority="0" w:unhideWhenUsed="0"/>
  </w:latentStyles>
  <w:style w:default="1" w:styleId="1" w:type="paragraph">
    <w:name w:val="Normal"/>
    <w:qFormat/>
    <w:uiPriority w:val="0"/>
    <w:pPr>
      <w:spacing w:after="0" w:line="360" w:lineRule="auto"/>
      <w:jc w:val="both"/>
    </w:pPr>
    <w:rPr>
      <w:rFonts w:asciiTheme="minorAscii" w:cstheme="minorBidi" w:eastAsiaTheme="minorEastAsia" w:hAnsiTheme="minorAscii"/>
      <w:sz w:val="24"/>
      <w:szCs w:val="24"/>
      <w:lang w:bidi="ar-SA" w:eastAsia="en-US" w:val="de"/>
    </w:rPr>
  </w:style>
  <w:style w:styleId="2" w:type="paragraph">
    <w:name w:val="heading 1"/>
    <w:basedOn w:val="1"/>
    <w:next w:val="3"/>
    <w:qFormat/>
    <w:uiPriority w:val="9"/>
    <w:pPr>
      <w:keepNext/>
      <w:keepLines/>
      <w:jc w:val="center"/>
      <w:outlineLvl w:val="0"/>
    </w:pPr>
    <w:rPr>
      <w:rFonts w:asciiTheme="majorHAnsi" w:cstheme="majorBidi" w:eastAsiaTheme="majorEastAsia" w:hAnsiTheme="majorHAnsi"/>
      <w:b/>
      <w:bCs/>
      <w:szCs w:val="32"/>
    </w:rPr>
  </w:style>
  <w:style w:styleId="4" w:type="paragraph">
    <w:name w:val="heading 2"/>
    <w:basedOn w:val="1"/>
    <w:next w:val="3"/>
    <w:unhideWhenUsed/>
    <w:qFormat/>
    <w:uiPriority w:val="9"/>
    <w:pPr>
      <w:keepNext/>
      <w:keepLines/>
      <w:outlineLvl w:val="1"/>
    </w:pPr>
    <w:rPr>
      <w:rFonts w:asciiTheme="majorHAnsi" w:cstheme="majorBidi" w:eastAsiaTheme="majorEastAsia" w:hAnsiTheme="majorHAnsi"/>
      <w:b/>
      <w:bCs/>
      <w:szCs w:val="28"/>
    </w:rPr>
  </w:style>
  <w:style w:styleId="5" w:type="paragraph">
    <w:name w:val="heading 3"/>
    <w:basedOn w:val="1"/>
    <w:next w:val="3"/>
    <w:unhideWhenUsed/>
    <w:qFormat/>
    <w:uiPriority w:val="9"/>
    <w:pPr>
      <w:keepNext/>
      <w:keepLines/>
      <w:outlineLvl w:val="2"/>
    </w:pPr>
    <w:rPr>
      <w:rFonts w:asciiTheme="majorHAnsi" w:cstheme="majorBidi" w:eastAsiaTheme="majorEastAsia" w:hAnsiTheme="majorHAnsi"/>
      <w:b/>
      <w:bCs/>
      <w:i/>
    </w:rPr>
  </w:style>
  <w:style w:styleId="6" w:type="paragraph">
    <w:name w:val="heading 4"/>
    <w:basedOn w:val="1"/>
    <w:next w:val="3"/>
    <w:unhideWhenUsed/>
    <w:qFormat/>
    <w:uiPriority w:val="9"/>
    <w:pPr>
      <w:keepNext/>
      <w:keepLines/>
      <w:ind w:firstLine="720"/>
      <w:outlineLvl w:val="3"/>
    </w:pPr>
    <w:rPr>
      <w:rFonts w:asciiTheme="majorHAnsi" w:cstheme="majorBidi" w:eastAsiaTheme="majorEastAsia" w:hAnsiTheme="majorHAnsi"/>
      <w:b/>
      <w:bCs/>
    </w:rPr>
  </w:style>
  <w:style w:styleId="7" w:type="paragraph">
    <w:name w:val="heading 5"/>
    <w:basedOn w:val="1"/>
    <w:next w:val="3"/>
    <w:unhideWhenUsed/>
    <w:qFormat/>
    <w:uiPriority w:val="9"/>
    <w:pPr>
      <w:keepNext/>
      <w:keepLines/>
      <w:ind w:firstLine="720"/>
      <w:outlineLvl w:val="4"/>
    </w:pPr>
    <w:rPr>
      <w:rFonts w:asciiTheme="majorHAnsi" w:cstheme="majorBidi" w:eastAsiaTheme="majorEastAsia" w:hAnsiTheme="majorHAnsi"/>
      <w:b/>
      <w:i/>
      <w:iCs/>
    </w:rPr>
  </w:style>
  <w:style w:styleId="8" w:type="paragraph">
    <w:name w:val="heading 6"/>
    <w:basedOn w:val="1"/>
    <w:next w:val="3"/>
    <w:unhideWhenUsed/>
    <w:qFormat/>
    <w:uiPriority w:val="9"/>
    <w:pPr>
      <w:keepNext/>
      <w:keepLines/>
      <w:spacing w:before="200"/>
      <w:outlineLvl w:val="5"/>
    </w:pPr>
    <w:rPr>
      <w:rFonts w:asciiTheme="majorHAnsi" w:cstheme="majorBidi" w:eastAsiaTheme="majorEastAsia" w:hAnsiTheme="majorHAnsi"/>
      <w:color w:themeColor="accent1" w:val="4472C4"/>
      <w14:textFill>
        <w14:solidFill>
          <w14:schemeClr w14:val="accent1"/>
        </w14:solidFill>
      </w14:textFill>
    </w:rPr>
  </w:style>
  <w:style w:styleId="9" w:type="paragraph">
    <w:name w:val="heading 7"/>
    <w:basedOn w:val="1"/>
    <w:next w:val="3"/>
    <w:unhideWhenUsed/>
    <w:qFormat/>
    <w:uiPriority w:val="9"/>
    <w:pPr>
      <w:keepNext/>
      <w:keepLines/>
      <w:spacing w:before="200"/>
      <w:outlineLvl w:val="6"/>
    </w:pPr>
    <w:rPr>
      <w:rFonts w:asciiTheme="majorHAnsi" w:cstheme="majorBidi" w:eastAsiaTheme="majorEastAsia" w:hAnsiTheme="majorHAnsi"/>
      <w:color w:themeColor="accent1" w:val="4472C4"/>
      <w14:textFill>
        <w14:solidFill>
          <w14:schemeClr w14:val="accent1"/>
        </w14:solidFill>
      </w14:textFill>
    </w:rPr>
  </w:style>
  <w:style w:styleId="10" w:type="paragraph">
    <w:name w:val="heading 8"/>
    <w:basedOn w:val="1"/>
    <w:next w:val="3"/>
    <w:unhideWhenUsed/>
    <w:qFormat/>
    <w:uiPriority w:val="9"/>
    <w:pPr>
      <w:keepNext/>
      <w:keepLines/>
      <w:spacing w:before="200"/>
      <w:outlineLvl w:val="7"/>
    </w:pPr>
    <w:rPr>
      <w:rFonts w:asciiTheme="majorHAnsi" w:cstheme="majorBidi" w:eastAsiaTheme="majorEastAsia" w:hAnsiTheme="majorHAnsi"/>
      <w:color w:themeColor="accent1" w:val="4472C4"/>
      <w14:textFill>
        <w14:solidFill>
          <w14:schemeClr w14:val="accent1"/>
        </w14:solidFill>
      </w14:textFill>
    </w:rPr>
  </w:style>
  <w:style w:styleId="11" w:type="paragraph">
    <w:name w:val="heading 9"/>
    <w:basedOn w:val="1"/>
    <w:next w:val="3"/>
    <w:unhideWhenUsed/>
    <w:qFormat/>
    <w:uiPriority w:val="9"/>
    <w:pPr>
      <w:keepNext/>
      <w:keepLines/>
      <w:spacing w:before="200"/>
      <w:outlineLvl w:val="8"/>
    </w:pPr>
    <w:rPr>
      <w:rFonts w:asciiTheme="majorHAnsi" w:cstheme="majorBidi" w:eastAsiaTheme="majorEastAsia" w:hAnsiTheme="majorHAnsi"/>
      <w:color w:themeColor="accent1" w:val="4472C4"/>
      <w14:textFill>
        <w14:solidFill>
          <w14:schemeClr w14:val="accent1"/>
        </w14:solidFill>
      </w14:textFill>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link w:val="41"/>
    <w:qFormat/>
    <w:uiPriority w:val="0"/>
    <w:pPr>
      <w:ind w:firstLine="720"/>
    </w:pPr>
  </w:style>
  <w:style w:styleId="14" w:type="character">
    <w:name w:val="footnote reference"/>
    <w:basedOn w:val="15"/>
    <w:uiPriority w:val="0"/>
    <w:rPr>
      <w:vertAlign w:val="superscript"/>
    </w:rPr>
  </w:style>
  <w:style w:customStyle="1" w:styleId="15" w:type="character">
    <w:name w:val="Caption Char"/>
    <w:basedOn w:val="12"/>
    <w:link w:val="16"/>
    <w:qFormat/>
    <w:uiPriority w:val="0"/>
    <w:rPr>
      <w:i/>
    </w:rPr>
  </w:style>
  <w:style w:styleId="16" w:type="paragraph">
    <w:name w:val="caption"/>
    <w:basedOn w:val="1"/>
    <w:link w:val="15"/>
    <w:qFormat/>
    <w:uiPriority w:val="0"/>
    <w:pPr>
      <w:keepNext/>
      <w:keepLines/>
      <w:spacing w:after="120"/>
    </w:pPr>
    <w:rPr>
      <w:i/>
    </w:rPr>
  </w:style>
  <w:style w:styleId="17" w:type="character">
    <w:name w:val="Hyperlink"/>
    <w:basedOn w:val="15"/>
    <w:uiPriority w:val="0"/>
    <w:rPr>
      <w:i w:val="0"/>
      <w:color w:themeColor="accent1" w:val="4472C4"/>
      <w14:textFill>
        <w14:solidFill>
          <w14:schemeClr w14:val="accent1"/>
        </w14:solidFill>
      </w14:textFill>
    </w:rPr>
  </w:style>
  <w:style w:styleId="18" w:type="paragraph">
    <w:name w:val="footnote text"/>
    <w:basedOn w:val="1"/>
    <w:unhideWhenUsed/>
    <w:qFormat/>
    <w:uiPriority w:val="9"/>
  </w:style>
  <w:style w:styleId="19" w:type="paragraph">
    <w:name w:val="header"/>
    <w:basedOn w:val="1"/>
    <w:link w:val="75"/>
    <w:unhideWhenUsed/>
    <w:qFormat/>
    <w:uiPriority w:val="99"/>
    <w:pPr>
      <w:tabs>
        <w:tab w:pos="4680" w:val="center"/>
        <w:tab w:pos="9360" w:val="right"/>
      </w:tabs>
    </w:pPr>
  </w:style>
  <w:style w:styleId="20" w:type="paragraph">
    <w:name w:val="footer"/>
    <w:basedOn w:val="1"/>
    <w:link w:val="76"/>
    <w:unhideWhenUsed/>
    <w:qFormat/>
    <w:uiPriority w:val="0"/>
    <w:pPr>
      <w:tabs>
        <w:tab w:pos="4680" w:val="center"/>
        <w:tab w:pos="9360" w:val="right"/>
      </w:tabs>
    </w:pPr>
  </w:style>
  <w:style w:styleId="21" w:type="paragraph">
    <w:name w:val="Block Text"/>
    <w:basedOn w:val="3"/>
    <w:next w:val="3"/>
    <w:link w:val="95"/>
    <w:unhideWhenUsed/>
    <w:qFormat/>
    <w:uiPriority w:val="9"/>
    <w:pPr>
      <w:ind w:firstLine="0" w:left="720" w:right="720"/>
    </w:pPr>
  </w:style>
  <w:style w:styleId="22" w:type="paragraph">
    <w:name w:val="Date"/>
    <w:next w:val="3"/>
    <w:qFormat/>
    <w:uiPriority w:val="0"/>
    <w:pPr>
      <w:keepNext/>
      <w:keepLines/>
      <w:spacing w:after="200"/>
      <w:jc w:val="center"/>
    </w:pPr>
    <w:rPr>
      <w:rFonts w:asciiTheme="minorHAnsi" w:cstheme="minorBidi" w:eastAsiaTheme="minorHAnsi" w:hAnsiTheme="minorHAnsi"/>
      <w:sz w:val="24"/>
      <w:szCs w:val="24"/>
      <w:lang w:bidi="ar-SA" w:eastAsia="en-US" w:val="de"/>
    </w:rPr>
  </w:style>
  <w:style w:styleId="23" w:type="paragraph">
    <w:name w:val="Subtitle"/>
    <w:basedOn w:val="24"/>
    <w:next w:val="3"/>
    <w:qFormat/>
    <w:uiPriority w:val="0"/>
    <w:pPr>
      <w:outlineLvl w:val="1"/>
    </w:pPr>
    <w:rPr>
      <w:szCs w:val="30"/>
    </w:rPr>
  </w:style>
  <w:style w:styleId="24" w:type="paragraph">
    <w:name w:val="Title"/>
    <w:basedOn w:val="1"/>
    <w:next w:val="3"/>
    <w:link w:val="78"/>
    <w:qFormat/>
    <w:uiPriority w:val="0"/>
    <w:pPr>
      <w:jc w:val="center"/>
      <w:outlineLvl w:val="0"/>
    </w:pPr>
    <w:rPr>
      <w:b/>
      <w:bCs/>
    </w:rPr>
  </w:style>
  <w:style w:customStyle="1" w:styleId="25" w:type="paragraph">
    <w:name w:val="First Paragraph"/>
    <w:basedOn w:val="3"/>
    <w:next w:val="3"/>
    <w:qFormat/>
    <w:uiPriority w:val="0"/>
  </w:style>
  <w:style w:customStyle="1" w:styleId="26" w:type="paragraph">
    <w:name w:val="Compact"/>
    <w:basedOn w:val="3"/>
    <w:qFormat/>
    <w:uiPriority w:val="0"/>
    <w:pPr>
      <w:spacing w:line="240" w:lineRule="auto"/>
      <w:ind w:firstLine="0"/>
    </w:pPr>
  </w:style>
  <w:style w:customStyle="1" w:styleId="27" w:type="paragraph">
    <w:name w:val="Author"/>
    <w:next w:val="3"/>
    <w:qFormat/>
    <w:uiPriority w:val="0"/>
    <w:pPr>
      <w:keepNext/>
      <w:keepLines/>
      <w:spacing w:after="200"/>
      <w:jc w:val="center"/>
    </w:pPr>
    <w:rPr>
      <w:rFonts w:asciiTheme="minorHAnsi" w:cstheme="minorBidi" w:eastAsiaTheme="minorHAnsi" w:hAnsiTheme="minorHAnsi"/>
      <w:sz w:val="24"/>
      <w:szCs w:val="24"/>
      <w:lang w:bidi="ar-SA" w:eastAsia="en-US" w:val="de"/>
    </w:rPr>
  </w:style>
  <w:style w:customStyle="1" w:styleId="28" w:type="paragraph">
    <w:name w:val="Abstract"/>
    <w:basedOn w:val="1"/>
    <w:next w:val="3"/>
    <w:link w:val="101"/>
    <w:qFormat/>
    <w:uiPriority w:val="0"/>
    <w:pPr>
      <w:ind w:firstLine="720"/>
    </w:pPr>
    <w:rPr>
      <w:szCs w:val="20"/>
    </w:rPr>
  </w:style>
  <w:style w:customStyle="1" w:styleId="29" w:type="paragraph">
    <w:name w:val="Bibliography"/>
    <w:basedOn w:val="1"/>
    <w:qFormat/>
    <w:uiPriority w:val="0"/>
    <w:pPr>
      <w:ind w:hanging="720" w:left="720"/>
    </w:pPr>
  </w:style>
  <w:style w:customStyle="1" w:styleId="30" w:type="table">
    <w:name w:val="Table"/>
    <w:semiHidden/>
    <w:unhideWhenUsed/>
    <w:qFormat/>
    <w:uiPriority w:val="0"/>
    <w:pPr>
      <w:spacing w:after="60" w:before="60"/>
    </w:pPr>
    <w:tblPr>
      <w:tblBorders>
        <w:bottom w:color="auto" w:space="0" w:sz="4" w:val="single"/>
      </w:tblBorders>
      <w:tblCellMar>
        <w:top w:type="dxa" w:w="58"/>
        <w:left w:type="dxa" w:w="58"/>
        <w:bottom w:type="dxa" w:w="58"/>
        <w:right w:type="dxa" w:w="58"/>
      </w:tblCellMar>
    </w:tblPr>
    <w:tcPr>
      <w:vAlign w:val="center"/>
    </w:tcPr>
    <w:tblStylePr w:type="firstRow">
      <w:tcPr>
        <w:tcBorders>
          <w:top w:color="auto" w:space="0" w:sz="4" w:val="single"/>
          <w:left w:val="nil"/>
          <w:bottom w:color="auto" w:space="0" w:sz="4" w:val="single"/>
          <w:right w:val="nil"/>
          <w:insideH w:val="nil"/>
          <w:insideV w:val="nil"/>
          <w:tl2br w:val="nil"/>
          <w:tr2bl w:val="nil"/>
        </w:tcBorders>
      </w:tcPr>
    </w:tblStylePr>
  </w:style>
  <w:style w:customStyle="1" w:styleId="31" w:type="paragraph">
    <w:name w:val="Definition Term"/>
    <w:basedOn w:val="1"/>
    <w:next w:val="32"/>
    <w:qFormat/>
    <w:uiPriority w:val="0"/>
    <w:pPr>
      <w:keepNext/>
      <w:keepLines/>
    </w:pPr>
    <w:rPr>
      <w:b/>
    </w:rPr>
  </w:style>
  <w:style w:customStyle="1" w:styleId="32" w:type="paragraph">
    <w:name w:val="Definition"/>
    <w:basedOn w:val="1"/>
    <w:qFormat/>
    <w:uiPriority w:val="0"/>
  </w:style>
  <w:style w:customStyle="1" w:styleId="33" w:type="paragraph">
    <w:name w:val="Table Caption"/>
    <w:basedOn w:val="16"/>
    <w:qFormat/>
    <w:uiPriority w:val="0"/>
  </w:style>
  <w:style w:customStyle="1" w:styleId="34" w:type="paragraph">
    <w:name w:val="Image Caption"/>
    <w:basedOn w:val="16"/>
    <w:qFormat/>
    <w:uiPriority w:val="0"/>
  </w:style>
  <w:style w:customStyle="1" w:styleId="35" w:type="paragraph">
    <w:name w:val="Figure"/>
    <w:basedOn w:val="1"/>
    <w:link w:val="80"/>
    <w:qFormat/>
    <w:uiPriority w:val="0"/>
    <w:pPr>
      <w:spacing w:line="240" w:lineRule="auto"/>
    </w:pPr>
  </w:style>
  <w:style w:customStyle="1" w:styleId="36" w:type="paragraph">
    <w:name w:val="Captioned Figure"/>
    <w:basedOn w:val="35"/>
    <w:qFormat/>
    <w:uiPriority w:val="0"/>
  </w:style>
  <w:style w:customStyle="1" w:styleId="37" w:type="character">
    <w:name w:val="Verbatim Char"/>
    <w:basedOn w:val="15"/>
    <w:link w:val="38"/>
    <w:qFormat/>
    <w:uiPriority w:val="0"/>
    <w:rPr>
      <w:rFonts w:ascii="Consolas" w:hAnsi="Consolas"/>
      <w:sz w:val="22"/>
    </w:rPr>
  </w:style>
  <w:style w:customStyle="1" w:styleId="38" w:type="paragraph">
    <w:name w:val="Source Code"/>
    <w:basedOn w:val="1"/>
    <w:link w:val="37"/>
    <w:qFormat/>
    <w:uiPriority w:val="0"/>
    <w:pPr>
      <w:shd w:color="auto" w:fill="F1F3F5" w:val="clear"/>
      <w:wordWrap w:val="0"/>
    </w:pPr>
  </w:style>
  <w:style w:customStyle="1" w:styleId="39" w:type="character">
    <w:name w:val="Section Number"/>
    <w:basedOn w:val="15"/>
    <w:qFormat/>
    <w:uiPriority w:val="0"/>
  </w:style>
  <w:style w:customStyle="1" w:styleId="40" w:type="paragraph">
    <w:name w:val="TOC Heading"/>
    <w:basedOn w:val="2"/>
    <w:next w:val="3"/>
    <w:unhideWhenUsed/>
    <w:qFormat/>
    <w:uiPriority w:val="39"/>
    <w:pPr>
      <w:spacing w:before="240" w:line="259" w:lineRule="auto"/>
      <w:outlineLvl w:val="9"/>
    </w:pPr>
    <w:rPr>
      <w:b w:val="0"/>
      <w:bCs w:val="0"/>
      <w:color w:themeColor="accent1" w:themeShade="BF" w:val="2F5597"/>
    </w:rPr>
  </w:style>
  <w:style w:customStyle="1" w:styleId="41" w:type="character">
    <w:name w:val="Body Text Char"/>
    <w:basedOn w:val="12"/>
    <w:link w:val="3"/>
    <w:qFormat/>
    <w:uiPriority w:val="0"/>
  </w:style>
  <w:style w:customStyle="1" w:styleId="42" w:type="paragraph">
    <w:name w:val="red"/>
    <w:basedOn w:val="3"/>
    <w:link w:val="43"/>
    <w:qFormat/>
    <w:uiPriority w:val="0"/>
    <w:rPr>
      <w:color w:val="FF0000"/>
    </w:rPr>
  </w:style>
  <w:style w:customStyle="1" w:styleId="43" w:type="character">
    <w:name w:val="red Char"/>
    <w:basedOn w:val="41"/>
    <w:link w:val="42"/>
    <w:qFormat/>
    <w:uiPriority w:val="0"/>
    <w:rPr>
      <w:color w:val="FF0000"/>
    </w:rPr>
  </w:style>
  <w:style w:customStyle="1" w:styleId="44" w:type="character">
    <w:name w:val="KeywordTok"/>
    <w:basedOn w:val="37"/>
    <w:uiPriority w:val="0"/>
    <w:rPr>
      <w:rFonts w:ascii="Consolas" w:hAnsi="Consolas"/>
      <w:color w:val="003B4F"/>
      <w:sz w:val="22"/>
      <w:shd w:color="auto" w:fill="F1F3F5" w:val="clear"/>
    </w:rPr>
  </w:style>
  <w:style w:customStyle="1" w:styleId="45" w:type="character">
    <w:name w:val="DataTypeTok"/>
    <w:basedOn w:val="37"/>
    <w:uiPriority w:val="0"/>
    <w:rPr>
      <w:rFonts w:ascii="Consolas" w:hAnsi="Consolas"/>
      <w:color w:val="AD0000"/>
      <w:sz w:val="22"/>
      <w:shd w:color="auto" w:fill="F1F3F5" w:val="clear"/>
    </w:rPr>
  </w:style>
  <w:style w:customStyle="1" w:styleId="46" w:type="character">
    <w:name w:val="DecValTok"/>
    <w:basedOn w:val="37"/>
    <w:qFormat/>
    <w:uiPriority w:val="0"/>
    <w:rPr>
      <w:rFonts w:ascii="Consolas" w:hAnsi="Consolas"/>
      <w:color w:val="AD0000"/>
      <w:sz w:val="22"/>
      <w:shd w:color="auto" w:fill="F1F3F5" w:val="clear"/>
    </w:rPr>
  </w:style>
  <w:style w:customStyle="1" w:styleId="47" w:type="character">
    <w:name w:val="BaseNTok"/>
    <w:basedOn w:val="37"/>
    <w:qFormat/>
    <w:uiPriority w:val="0"/>
    <w:rPr>
      <w:rFonts w:ascii="Consolas" w:hAnsi="Consolas"/>
      <w:color w:val="AD0000"/>
      <w:sz w:val="22"/>
      <w:shd w:color="auto" w:fill="F1F3F5" w:val="clear"/>
    </w:rPr>
  </w:style>
  <w:style w:customStyle="1" w:styleId="48" w:type="character">
    <w:name w:val="FloatTok"/>
    <w:basedOn w:val="37"/>
    <w:qFormat/>
    <w:uiPriority w:val="0"/>
    <w:rPr>
      <w:rFonts w:ascii="Consolas" w:hAnsi="Consolas"/>
      <w:color w:val="AD0000"/>
      <w:sz w:val="22"/>
      <w:shd w:color="auto" w:fill="F1F3F5" w:val="clear"/>
    </w:rPr>
  </w:style>
  <w:style w:customStyle="1" w:styleId="49" w:type="character">
    <w:name w:val="ConstantTok"/>
    <w:basedOn w:val="37"/>
    <w:uiPriority w:val="0"/>
    <w:rPr>
      <w:rFonts w:ascii="Consolas" w:hAnsi="Consolas"/>
      <w:color w:val="8F5902"/>
      <w:sz w:val="22"/>
      <w:shd w:color="auto" w:fill="F1F3F5" w:val="clear"/>
    </w:rPr>
  </w:style>
  <w:style w:customStyle="1" w:styleId="50" w:type="character">
    <w:name w:val="CharTok"/>
    <w:basedOn w:val="37"/>
    <w:qFormat/>
    <w:uiPriority w:val="0"/>
    <w:rPr>
      <w:rFonts w:ascii="Consolas" w:hAnsi="Consolas"/>
      <w:color w:val="20794D"/>
      <w:sz w:val="22"/>
      <w:shd w:color="auto" w:fill="F1F3F5" w:val="clear"/>
    </w:rPr>
  </w:style>
  <w:style w:customStyle="1" w:styleId="51" w:type="character">
    <w:name w:val="SpecialCharTok"/>
    <w:basedOn w:val="37"/>
    <w:uiPriority w:val="0"/>
    <w:rPr>
      <w:rFonts w:ascii="Consolas" w:hAnsi="Consolas"/>
      <w:color w:val="5E5E5E"/>
      <w:sz w:val="22"/>
      <w:shd w:color="auto" w:fill="F1F3F5" w:val="clear"/>
    </w:rPr>
  </w:style>
  <w:style w:customStyle="1" w:styleId="52" w:type="character">
    <w:name w:val="StringTok"/>
    <w:basedOn w:val="37"/>
    <w:uiPriority w:val="0"/>
    <w:rPr>
      <w:rFonts w:ascii="Consolas" w:hAnsi="Consolas"/>
      <w:color w:val="20794D"/>
      <w:sz w:val="22"/>
      <w:shd w:color="auto" w:fill="F1F3F5" w:val="clear"/>
    </w:rPr>
  </w:style>
  <w:style w:customStyle="1" w:styleId="53" w:type="character">
    <w:name w:val="VerbatimStringTok"/>
    <w:basedOn w:val="37"/>
    <w:qFormat/>
    <w:uiPriority w:val="0"/>
    <w:rPr>
      <w:rFonts w:ascii="Consolas" w:hAnsi="Consolas"/>
      <w:color w:val="20794D"/>
      <w:sz w:val="22"/>
      <w:shd w:color="auto" w:fill="F1F3F5" w:val="clear"/>
    </w:rPr>
  </w:style>
  <w:style w:customStyle="1" w:styleId="54" w:type="character">
    <w:name w:val="SpecialStringTok"/>
    <w:basedOn w:val="37"/>
    <w:uiPriority w:val="0"/>
    <w:rPr>
      <w:rFonts w:ascii="Consolas" w:hAnsi="Consolas"/>
      <w:color w:val="20794D"/>
      <w:sz w:val="22"/>
      <w:shd w:color="auto" w:fill="F1F3F5" w:val="clear"/>
    </w:rPr>
  </w:style>
  <w:style w:customStyle="1" w:styleId="55" w:type="character">
    <w:name w:val="ImportTok"/>
    <w:basedOn w:val="37"/>
    <w:qFormat/>
    <w:uiPriority w:val="0"/>
    <w:rPr>
      <w:rFonts w:ascii="Consolas" w:hAnsi="Consolas"/>
      <w:color w:val="00769E"/>
      <w:sz w:val="22"/>
      <w:shd w:color="auto" w:fill="F1F3F5" w:val="clear"/>
    </w:rPr>
  </w:style>
  <w:style w:customStyle="1" w:styleId="56" w:type="character">
    <w:name w:val="CommentTok"/>
    <w:basedOn w:val="37"/>
    <w:uiPriority w:val="0"/>
    <w:rPr>
      <w:rFonts w:ascii="Consolas" w:hAnsi="Consolas"/>
      <w:color w:val="5E5E5E"/>
      <w:sz w:val="22"/>
      <w:shd w:color="auto" w:fill="F1F3F5" w:val="clear"/>
    </w:rPr>
  </w:style>
  <w:style w:customStyle="1" w:styleId="57" w:type="character">
    <w:name w:val="DocumentationTok"/>
    <w:basedOn w:val="37"/>
    <w:uiPriority w:val="0"/>
    <w:rPr>
      <w:rFonts w:ascii="Consolas" w:hAnsi="Consolas"/>
      <w:i w:val="0"/>
      <w:color w:val="5E5E5E"/>
      <w:sz w:val="22"/>
      <w:shd w:color="auto" w:fill="F1F3F5" w:val="clear"/>
    </w:rPr>
  </w:style>
  <w:style w:customStyle="1" w:styleId="58" w:type="character">
    <w:name w:val="AnnotationTok"/>
    <w:basedOn w:val="37"/>
    <w:qFormat/>
    <w:uiPriority w:val="0"/>
    <w:rPr>
      <w:rFonts w:ascii="Consolas" w:hAnsi="Consolas"/>
      <w:color w:val="5E5E5E"/>
      <w:sz w:val="22"/>
      <w:shd w:color="auto" w:fill="F1F3F5" w:val="clear"/>
    </w:rPr>
  </w:style>
  <w:style w:customStyle="1" w:styleId="59" w:type="character">
    <w:name w:val="CommentVarTok"/>
    <w:basedOn w:val="37"/>
    <w:qFormat/>
    <w:uiPriority w:val="0"/>
    <w:rPr>
      <w:rFonts w:ascii="Consolas" w:hAnsi="Consolas"/>
      <w:i w:val="0"/>
      <w:color w:val="5E5E5E"/>
      <w:sz w:val="22"/>
      <w:shd w:color="auto" w:fill="F1F3F5" w:val="clear"/>
    </w:rPr>
  </w:style>
  <w:style w:customStyle="1" w:styleId="60" w:type="character">
    <w:name w:val="OtherTok"/>
    <w:basedOn w:val="37"/>
    <w:uiPriority w:val="0"/>
    <w:rPr>
      <w:rFonts w:ascii="Consolas" w:hAnsi="Consolas"/>
      <w:color w:val="003B4F"/>
      <w:sz w:val="22"/>
      <w:shd w:color="auto" w:fill="F1F3F5" w:val="clear"/>
    </w:rPr>
  </w:style>
  <w:style w:customStyle="1" w:styleId="61" w:type="character">
    <w:name w:val="FunctionTok"/>
    <w:basedOn w:val="37"/>
    <w:qFormat/>
    <w:uiPriority w:val="0"/>
    <w:rPr>
      <w:rFonts w:ascii="Consolas" w:hAnsi="Consolas"/>
      <w:color w:val="4758AB"/>
      <w:sz w:val="22"/>
      <w:shd w:color="auto" w:fill="F1F3F5" w:val="clear"/>
    </w:rPr>
  </w:style>
  <w:style w:customStyle="1" w:styleId="62" w:type="character">
    <w:name w:val="VariableTok"/>
    <w:basedOn w:val="37"/>
    <w:qFormat/>
    <w:uiPriority w:val="0"/>
    <w:rPr>
      <w:rFonts w:ascii="Consolas" w:hAnsi="Consolas"/>
      <w:color w:val="111111"/>
      <w:sz w:val="22"/>
      <w:shd w:color="auto" w:fill="F1F3F5" w:val="clear"/>
    </w:rPr>
  </w:style>
  <w:style w:customStyle="1" w:styleId="63" w:type="character">
    <w:name w:val="ControlFlowTok"/>
    <w:basedOn w:val="37"/>
    <w:qFormat/>
    <w:uiPriority w:val="0"/>
    <w:rPr>
      <w:rFonts w:ascii="Consolas" w:hAnsi="Consolas"/>
      <w:color w:val="003B4F"/>
      <w:sz w:val="22"/>
      <w:shd w:color="auto" w:fill="F1F3F5" w:val="clear"/>
    </w:rPr>
  </w:style>
  <w:style w:customStyle="1" w:styleId="64" w:type="character">
    <w:name w:val="OperatorTok"/>
    <w:basedOn w:val="37"/>
    <w:qFormat/>
    <w:uiPriority w:val="0"/>
    <w:rPr>
      <w:rFonts w:ascii="Consolas" w:hAnsi="Consolas"/>
      <w:color w:val="5E5E5E"/>
      <w:sz w:val="22"/>
      <w:shd w:color="auto" w:fill="F1F3F5" w:val="clear"/>
    </w:rPr>
  </w:style>
  <w:style w:customStyle="1" w:styleId="65" w:type="character">
    <w:name w:val="BuiltInTok"/>
    <w:basedOn w:val="37"/>
    <w:qFormat/>
    <w:uiPriority w:val="0"/>
    <w:rPr>
      <w:rFonts w:ascii="Consolas" w:hAnsi="Consolas"/>
      <w:color w:val="003B4F"/>
      <w:sz w:val="22"/>
      <w:shd w:color="auto" w:fill="F1F3F5" w:val="clear"/>
    </w:rPr>
  </w:style>
  <w:style w:customStyle="1" w:styleId="66" w:type="character">
    <w:name w:val="ExtensionTok"/>
    <w:basedOn w:val="37"/>
    <w:qFormat/>
    <w:uiPriority w:val="0"/>
    <w:rPr>
      <w:rFonts w:ascii="Consolas" w:hAnsi="Consolas"/>
      <w:color w:val="003B4F"/>
      <w:sz w:val="22"/>
      <w:shd w:color="auto" w:fill="F1F3F5" w:val="clear"/>
    </w:rPr>
  </w:style>
  <w:style w:customStyle="1" w:styleId="67" w:type="character">
    <w:name w:val="PreprocessorTok"/>
    <w:basedOn w:val="37"/>
    <w:uiPriority w:val="0"/>
    <w:rPr>
      <w:rFonts w:ascii="Consolas" w:hAnsi="Consolas"/>
      <w:color w:val="AD0000"/>
      <w:sz w:val="22"/>
      <w:shd w:color="auto" w:fill="F1F3F5" w:val="clear"/>
    </w:rPr>
  </w:style>
  <w:style w:customStyle="1" w:styleId="68" w:type="character">
    <w:name w:val="AttributeTok"/>
    <w:basedOn w:val="37"/>
    <w:uiPriority w:val="0"/>
    <w:rPr>
      <w:rFonts w:ascii="Consolas" w:hAnsi="Consolas"/>
      <w:color w:val="657422"/>
      <w:sz w:val="22"/>
      <w:shd w:color="auto" w:fill="F1F3F5" w:val="clear"/>
    </w:rPr>
  </w:style>
  <w:style w:customStyle="1" w:styleId="69" w:type="character">
    <w:name w:val="RegionMarkerTok"/>
    <w:basedOn w:val="37"/>
    <w:uiPriority w:val="0"/>
    <w:rPr>
      <w:rFonts w:ascii="Consolas" w:hAnsi="Consolas"/>
      <w:color w:val="003B4F"/>
      <w:sz w:val="22"/>
      <w:shd w:color="auto" w:fill="F1F3F5" w:val="clear"/>
    </w:rPr>
  </w:style>
  <w:style w:customStyle="1" w:styleId="70" w:type="character">
    <w:name w:val="InformationTok"/>
    <w:basedOn w:val="37"/>
    <w:uiPriority w:val="0"/>
    <w:rPr>
      <w:rFonts w:ascii="Consolas" w:hAnsi="Consolas"/>
      <w:color w:val="5E5E5E"/>
      <w:sz w:val="22"/>
      <w:shd w:color="auto" w:fill="F1F3F5" w:val="clear"/>
    </w:rPr>
  </w:style>
  <w:style w:customStyle="1" w:styleId="71" w:type="character">
    <w:name w:val="WarningTok"/>
    <w:basedOn w:val="37"/>
    <w:uiPriority w:val="0"/>
    <w:rPr>
      <w:rFonts w:ascii="Consolas" w:hAnsi="Consolas"/>
      <w:i w:val="0"/>
      <w:color w:val="5E5E5E"/>
      <w:sz w:val="22"/>
      <w:shd w:color="auto" w:fill="F1F3F5" w:val="clear"/>
    </w:rPr>
  </w:style>
  <w:style w:customStyle="1" w:styleId="72" w:type="character">
    <w:name w:val="AlertTok"/>
    <w:basedOn w:val="37"/>
    <w:uiPriority w:val="0"/>
    <w:rPr>
      <w:rFonts w:ascii="Consolas" w:hAnsi="Consolas"/>
      <w:color w:val="AD0000"/>
      <w:sz w:val="22"/>
      <w:shd w:color="auto" w:fill="F1F3F5" w:val="clear"/>
    </w:rPr>
  </w:style>
  <w:style w:customStyle="1" w:styleId="73" w:type="character">
    <w:name w:val="ErrorTok"/>
    <w:basedOn w:val="37"/>
    <w:uiPriority w:val="0"/>
    <w:rPr>
      <w:rFonts w:ascii="Consolas" w:hAnsi="Consolas"/>
      <w:color w:val="AD0000"/>
      <w:sz w:val="22"/>
      <w:shd w:color="auto" w:fill="F1F3F5" w:val="clear"/>
    </w:rPr>
  </w:style>
  <w:style w:customStyle="1" w:styleId="74" w:type="character">
    <w:name w:val="NormalTok"/>
    <w:basedOn w:val="37"/>
    <w:uiPriority w:val="0"/>
    <w:rPr>
      <w:rFonts w:ascii="Consolas" w:hAnsi="Consolas"/>
      <w:color w:val="003B4F"/>
      <w:sz w:val="22"/>
      <w:shd w:color="auto" w:fill="F1F3F5" w:val="clear"/>
    </w:rPr>
  </w:style>
  <w:style w:customStyle="1" w:styleId="75" w:type="character">
    <w:name w:val="Header Char"/>
    <w:basedOn w:val="12"/>
    <w:link w:val="19"/>
    <w:uiPriority w:val="99"/>
  </w:style>
  <w:style w:customStyle="1" w:styleId="76" w:type="character">
    <w:name w:val="Footer Char"/>
    <w:basedOn w:val="12"/>
    <w:link w:val="20"/>
    <w:uiPriority w:val="0"/>
  </w:style>
  <w:style w:customStyle="1" w:styleId="77" w:type="paragraph">
    <w:name w:val="APAEnumerated"/>
    <w:basedOn w:val="3"/>
    <w:link w:val="84"/>
    <w:qFormat/>
    <w:uiPriority w:val="0"/>
    <w:pPr>
      <w:numPr>
        <w:ilvl w:val="0"/>
        <w:numId w:val="1"/>
      </w:numPr>
      <w:ind w:left="792"/>
    </w:pPr>
  </w:style>
  <w:style w:customStyle="1" w:styleId="78" w:type="character">
    <w:name w:val="Title Char"/>
    <w:basedOn w:val="12"/>
    <w:link w:val="24"/>
    <w:uiPriority w:val="0"/>
    <w:rPr>
      <w:b/>
      <w:bCs/>
    </w:rPr>
  </w:style>
  <w:style w:customStyle="1" w:styleId="79" w:type="paragraph">
    <w:name w:val="FigureTitle"/>
    <w:basedOn w:val="35"/>
    <w:link w:val="81"/>
    <w:qFormat/>
    <w:uiPriority w:val="0"/>
    <w:pPr>
      <w:keepNext/>
      <w:keepLines/>
      <w:spacing w:line="480" w:lineRule="auto"/>
      <w:outlineLvl w:val="0"/>
    </w:pPr>
    <w:rPr>
      <w:b/>
    </w:rPr>
  </w:style>
  <w:style w:customStyle="1" w:styleId="80" w:type="character">
    <w:name w:val="Figure Char"/>
    <w:basedOn w:val="12"/>
    <w:link w:val="35"/>
    <w:uiPriority w:val="0"/>
  </w:style>
  <w:style w:customStyle="1" w:styleId="81" w:type="character">
    <w:name w:val="FigureTitle Char"/>
    <w:basedOn w:val="80"/>
    <w:link w:val="79"/>
    <w:uiPriority w:val="0"/>
    <w:rPr>
      <w:b/>
    </w:rPr>
  </w:style>
  <w:style w:customStyle="1" w:styleId="82" w:type="paragraph">
    <w:name w:val="FigureNote"/>
    <w:basedOn w:val="3"/>
    <w:link w:val="83"/>
    <w:qFormat/>
    <w:uiPriority w:val="0"/>
    <w:pPr>
      <w:spacing w:before="60"/>
      <w:ind w:firstLine="0"/>
    </w:pPr>
  </w:style>
  <w:style w:customStyle="1" w:styleId="83" w:type="character">
    <w:name w:val="FigureNote Char"/>
    <w:basedOn w:val="41"/>
    <w:link w:val="82"/>
    <w:uiPriority w:val="0"/>
  </w:style>
  <w:style w:customStyle="1" w:styleId="84" w:type="character">
    <w:name w:val="APAEnumerated Char"/>
    <w:basedOn w:val="41"/>
    <w:link w:val="77"/>
    <w:uiPriority w:val="0"/>
  </w:style>
  <w:style w:customStyle="1" w:styleId="85" w:type="paragraph">
    <w:name w:val="FigureWithNote"/>
    <w:basedOn w:val="35"/>
    <w:link w:val="86"/>
    <w:qFormat/>
    <w:uiPriority w:val="0"/>
    <w:pPr>
      <w:keepNext/>
    </w:pPr>
  </w:style>
  <w:style w:customStyle="1" w:styleId="86" w:type="character">
    <w:name w:val="FigureWithNote Char"/>
    <w:basedOn w:val="80"/>
    <w:link w:val="85"/>
    <w:uiPriority w:val="0"/>
  </w:style>
  <w:style w:customStyle="1" w:styleId="87" w:type="paragraph">
    <w:name w:val="FigureWithoutNote"/>
    <w:basedOn w:val="35"/>
    <w:link w:val="88"/>
    <w:qFormat/>
    <w:uiPriority w:val="0"/>
    <w:pPr>
      <w:spacing w:after="240"/>
    </w:pPr>
  </w:style>
  <w:style w:customStyle="1" w:styleId="88" w:type="character">
    <w:name w:val="FigureWithoutNote Char"/>
    <w:basedOn w:val="80"/>
    <w:link w:val="87"/>
    <w:uiPriority w:val="0"/>
  </w:style>
  <w:style w:customStyle="1" w:styleId="89" w:type="paragraph">
    <w:name w:val="AuthorNote"/>
    <w:basedOn w:val="27"/>
    <w:qFormat/>
    <w:uiPriority w:val="0"/>
    <w:pPr>
      <w:keepNext w:val="0"/>
      <w:keepLines w:val="0"/>
      <w:spacing w:after="0" w:line="480" w:lineRule="auto"/>
      <w:ind w:firstLine="720"/>
      <w:jc w:val="left"/>
    </w:pPr>
  </w:style>
  <w:style w:customStyle="1" w:styleId="90" w:type="paragraph">
    <w:name w:val="AfterWithoutNote"/>
    <w:basedOn w:val="3"/>
    <w:link w:val="91"/>
    <w:qFormat/>
    <w:uiPriority w:val="0"/>
    <w:pPr>
      <w:spacing w:before="240"/>
    </w:pPr>
  </w:style>
  <w:style w:customStyle="1" w:styleId="91" w:type="character">
    <w:name w:val="AfterWithoutNote Char"/>
    <w:basedOn w:val="41"/>
    <w:link w:val="90"/>
    <w:uiPriority w:val="0"/>
  </w:style>
  <w:style w:customStyle="1" w:styleId="92" w:type="paragraph">
    <w:name w:val="NoIndent"/>
    <w:basedOn w:val="3"/>
    <w:link w:val="93"/>
    <w:qFormat/>
    <w:uiPriority w:val="0"/>
    <w:pPr>
      <w:ind w:firstLine="0"/>
    </w:pPr>
  </w:style>
  <w:style w:customStyle="1" w:styleId="93" w:type="character">
    <w:name w:val="NoIndent Char"/>
    <w:basedOn w:val="41"/>
    <w:link w:val="92"/>
    <w:qFormat/>
    <w:uiPriority w:val="0"/>
  </w:style>
  <w:style w:customStyle="1" w:styleId="94" w:type="paragraph">
    <w:name w:val="NextBlockText"/>
    <w:basedOn w:val="21"/>
    <w:link w:val="96"/>
    <w:qFormat/>
    <w:uiPriority w:val="0"/>
    <w:pPr>
      <w:ind w:firstLine="720"/>
    </w:pPr>
  </w:style>
  <w:style w:customStyle="1" w:styleId="95" w:type="character">
    <w:name w:val="Block Text Char"/>
    <w:basedOn w:val="41"/>
    <w:link w:val="21"/>
    <w:qFormat/>
    <w:uiPriority w:val="9"/>
  </w:style>
  <w:style w:customStyle="1" w:styleId="96" w:type="character">
    <w:name w:val="NextBlockText Char"/>
    <w:basedOn w:val="95"/>
    <w:link w:val="94"/>
    <w:qFormat/>
    <w:uiPriority w:val="0"/>
  </w:style>
  <w:style w:styleId="97" w:type="character">
    <w:name w:val="Placeholder Text"/>
    <w:basedOn w:val="12"/>
    <w:semiHidden/>
    <w:qFormat/>
    <w:uiPriority w:val="0"/>
    <w:rPr>
      <w:color w:val="666666"/>
    </w:rPr>
  </w:style>
  <w:style w:customStyle="1" w:styleId="98" w:type="character">
    <w:name w:val="H4"/>
    <w:basedOn w:val="12"/>
    <w:qFormat/>
    <w:uiPriority w:val="1"/>
    <w:rPr>
      <w:b/>
    </w:rPr>
  </w:style>
  <w:style w:customStyle="1" w:styleId="99" w:type="character">
    <w:name w:val="H5"/>
    <w:basedOn w:val="98"/>
    <w:qFormat/>
    <w:uiPriority w:val="1"/>
    <w:rPr>
      <w:i/>
    </w:rPr>
  </w:style>
  <w:style w:customStyle="1" w:styleId="100" w:type="paragraph">
    <w:name w:val="AbstractFirstParagraph"/>
    <w:basedOn w:val="28"/>
    <w:link w:val="102"/>
    <w:qFormat/>
    <w:uiPriority w:val="0"/>
    <w:pPr>
      <w:ind w:firstLine="0"/>
    </w:pPr>
  </w:style>
  <w:style w:customStyle="1" w:styleId="101" w:type="character">
    <w:name w:val="Abstract Char"/>
    <w:basedOn w:val="12"/>
    <w:link w:val="28"/>
    <w:qFormat/>
    <w:uiPriority w:val="0"/>
    <w:rPr>
      <w:szCs w:val="20"/>
    </w:rPr>
  </w:style>
  <w:style w:customStyle="1" w:styleId="102" w:type="character">
    <w:name w:val="AbstractFirstParagraph Char"/>
    <w:basedOn w:val="101"/>
    <w:link w:val="100"/>
    <w:qFormat/>
    <w:uiPriority w:val="0"/>
    <w:rPr>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71" Target="media/rId71.png" /><Relationship Type="http://schemas.openxmlformats.org/officeDocument/2006/relationships/image" Id="rId80" Target="media/rId80.png" /><Relationship Type="http://schemas.openxmlformats.org/officeDocument/2006/relationships/image" Id="rId76" Target="media/rId76.png" /><Relationship Type="http://schemas.openxmlformats.org/officeDocument/2006/relationships/image" Id="rId51" Target="media/rId51.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hyperlink" Id="rId157" Target="https://CRAN.R-project.org/package=nlme" TargetMode="External" /><Relationship Type="http://schemas.openxmlformats.org/officeDocument/2006/relationships/hyperlink" Id="rId130" Target="https://doi.org/10.1001/jama.2015.15281" TargetMode="External" /><Relationship Type="http://schemas.openxmlformats.org/officeDocument/2006/relationships/hyperlink" Id="rId101" Target="https://doi.org/10.1002/14651858.CD004366.pub6" TargetMode="External" /><Relationship Type="http://schemas.openxmlformats.org/officeDocument/2006/relationships/hyperlink" Id="rId94" Target="https://doi.org/10.1002/9781118270011" TargetMode="External" /><Relationship Type="http://schemas.openxmlformats.org/officeDocument/2006/relationships/hyperlink" Id="rId144" Target="https://doi.org/10.1002/da.22842" TargetMode="External" /><Relationship Type="http://schemas.openxmlformats.org/officeDocument/2006/relationships/hyperlink" Id="rId140" Target="https://doi.org/10.1006/pmed.1994.1068" TargetMode="External" /><Relationship Type="http://schemas.openxmlformats.org/officeDocument/2006/relationships/hyperlink" Id="rId132" Target="https://doi.org/10.1007/978-1-4899-1760-7_18" TargetMode="External" /><Relationship Type="http://schemas.openxmlformats.org/officeDocument/2006/relationships/hyperlink" Id="rId153" Target="https://doi.org/10.1007/bf01173577" TargetMode="External" /><Relationship Type="http://schemas.openxmlformats.org/officeDocument/2006/relationships/hyperlink" Id="rId124" Target="https://doi.org/10.1007/s00103-012-1661-6" TargetMode="External" /><Relationship Type="http://schemas.openxmlformats.org/officeDocument/2006/relationships/hyperlink" Id="rId126" Target="https://doi.org/10.1007/s00115-016-0222-x" TargetMode="External" /><Relationship Type="http://schemas.openxmlformats.org/officeDocument/2006/relationships/hyperlink" Id="rId146" Target="https://doi.org/10.1016/j.amjmed.2004.06.047" TargetMode="External" /><Relationship Type="http://schemas.openxmlformats.org/officeDocument/2006/relationships/hyperlink" Id="rId96" Target="https://doi.org/10.1016/j.jaac.2016.04.016" TargetMode="External" /><Relationship Type="http://schemas.openxmlformats.org/officeDocument/2006/relationships/hyperlink" Id="rId142" Target="https://doi.org/10.1016/j.maturitas.2017.09.003" TargetMode="External" /><Relationship Type="http://schemas.openxmlformats.org/officeDocument/2006/relationships/hyperlink" Id="rId118" Target="https://doi.org/10.1016/j.socscimed.2009.02.028" TargetMode="External" /><Relationship Type="http://schemas.openxmlformats.org/officeDocument/2006/relationships/hyperlink" Id="rId128" Target="https://doi.org/10.1016/s0140-6736(12)61031-9" TargetMode="External" /><Relationship Type="http://schemas.openxmlformats.org/officeDocument/2006/relationships/hyperlink" Id="rId109" Target="https://doi.org/10.1016/s0140-6736(16)30383-x" TargetMode="External" /><Relationship Type="http://schemas.openxmlformats.org/officeDocument/2006/relationships/hyperlink" Id="rId149" Target="https://doi.org/10.1026/0033-3042.57.4.213" TargetMode="External" /><Relationship Type="http://schemas.openxmlformats.org/officeDocument/2006/relationships/hyperlink" Id="rId138" Target="https://doi.org/10.1037/0022-006x.52.5.795" TargetMode="External" /><Relationship Type="http://schemas.openxmlformats.org/officeDocument/2006/relationships/hyperlink" Id="rId169" Target="https://doi.org/10.1037/0022-3514.54.6.1063" TargetMode="External" /><Relationship Type="http://schemas.openxmlformats.org/officeDocument/2006/relationships/hyperlink" Id="rId165" Target="https://doi.org/10.1037/t06465-000" TargetMode="External" /><Relationship Type="http://schemas.openxmlformats.org/officeDocument/2006/relationships/hyperlink" Id="rId103" Target="https://doi.org/10.1080/00223980.1996.9915038" TargetMode="External" /><Relationship Type="http://schemas.openxmlformats.org/officeDocument/2006/relationships/hyperlink" Id="rId134" Target="https://doi.org/10.1080/02701367.1993.10607598" TargetMode="External" /><Relationship Type="http://schemas.openxmlformats.org/officeDocument/2006/relationships/hyperlink" Id="rId89" Target="https://doi.org/10.1080/17437199.2012.701060" TargetMode="External" /><Relationship Type="http://schemas.openxmlformats.org/officeDocument/2006/relationships/hyperlink" Id="rId120" Target="https://doi.org/10.1111/2041-210x.12504" TargetMode="External" /><Relationship Type="http://schemas.openxmlformats.org/officeDocument/2006/relationships/hyperlink" Id="rId136" Target="https://doi.org/10.1111/j.1360-0443.1984.tb03867.x" TargetMode="External" /><Relationship Type="http://schemas.openxmlformats.org/officeDocument/2006/relationships/hyperlink" Id="rId115" Target="https://doi.org/10.1123/ijspp.2020-0599" TargetMode="External" /><Relationship Type="http://schemas.openxmlformats.org/officeDocument/2006/relationships/hyperlink" Id="rId113" Target="https://doi.org/10.1126/science.847460" TargetMode="External" /><Relationship Type="http://schemas.openxmlformats.org/officeDocument/2006/relationships/hyperlink" Id="rId163" Target="https://doi.org/10.1207/s15324796abm3001_4" TargetMode="External" /><Relationship Type="http://schemas.openxmlformats.org/officeDocument/2006/relationships/hyperlink" Id="rId161" Target="https://doi.org/10.1207/s15327752jpa740109" TargetMode="External" /><Relationship Type="http://schemas.openxmlformats.org/officeDocument/2006/relationships/hyperlink" Id="rId105" Target="https://doi.org/10.1348/0144665031752934" TargetMode="External" /><Relationship Type="http://schemas.openxmlformats.org/officeDocument/2006/relationships/hyperlink" Id="rId167" Target="https://doi.org/10.1503/cmaj.051351" TargetMode="External" /><Relationship Type="http://schemas.openxmlformats.org/officeDocument/2006/relationships/hyperlink" Id="rId107" Target="https://doi.org/10.1519/r-13113.1" TargetMode="External" /><Relationship Type="http://schemas.openxmlformats.org/officeDocument/2006/relationships/hyperlink" Id="rId92" Target="https://doi.org/10.18637/jss.v067.i01" TargetMode="External" /><Relationship Type="http://schemas.openxmlformats.org/officeDocument/2006/relationships/hyperlink" Id="rId151" Target="https://doi.org/10.2165/00007256-200029030-00003" TargetMode="External" /><Relationship Type="http://schemas.openxmlformats.org/officeDocument/2006/relationships/hyperlink" Id="rId159" Target="https://doi.org/10.25646/9362" TargetMode="External" /><Relationship Type="http://schemas.openxmlformats.org/officeDocument/2006/relationships/hyperlink" Id="rId155" Target="https://doi.org/10.3389/fspor.2020.00072" TargetMode="External" /><Relationship Type="http://schemas.openxmlformats.org/officeDocument/2006/relationships/hyperlink" Id="rId99" Target="https://doi.org/10.4324/9780203771587" TargetMode="External" /><Relationship Type="http://schemas.openxmlformats.org/officeDocument/2006/relationships/hyperlink" Id="rId87" Target="https://doi.org/doi.org/10.1002/9781119568124.ch37" TargetMode="External" /><Relationship Type="http://schemas.openxmlformats.org/officeDocument/2006/relationships/hyperlink" Id="rId45" Target="https://github.com/Enno-W/BAEW" TargetMode="External" /><Relationship Type="http://schemas.openxmlformats.org/officeDocument/2006/relationships/hyperlink" Id="rId172" Target="https://iris.who.int/bitstream/handle/10665/44399/9789241599979_eng.pdf?sequence=1" TargetMode="External" /><Relationship Type="http://schemas.openxmlformats.org/officeDocument/2006/relationships/hyperlink" Id="rId111" Target="https://methodenlehre.github.io/intro-to-rstats/index.html" TargetMode="External" /><Relationship Type="http://schemas.openxmlformats.org/officeDocument/2006/relationships/hyperlink" Id="rId26" Target="https://orcid.org/0000-0000-0000-0001" TargetMode="External" /><Relationship Type="http://schemas.openxmlformats.org/officeDocument/2006/relationships/hyperlink" Id="rId27" Target="mailto:janedoe@generic.edu" TargetMode="External" /></Relationships>
</file>

<file path=word/_rels/footnotes.xml.rels><?xml version="1.0" encoding="UTF-8"?><Relationships xmlns="http://schemas.openxmlformats.org/package/2006/relationships"><Relationship Type="http://schemas.openxmlformats.org/officeDocument/2006/relationships/hyperlink" Id="rId157" Target="https://CRAN.R-project.org/package=nlme" TargetMode="External" /><Relationship Type="http://schemas.openxmlformats.org/officeDocument/2006/relationships/hyperlink" Id="rId130" Target="https://doi.org/10.1001/jama.2015.15281" TargetMode="External" /><Relationship Type="http://schemas.openxmlformats.org/officeDocument/2006/relationships/hyperlink" Id="rId101" Target="https://doi.org/10.1002/14651858.CD004366.pub6" TargetMode="External" /><Relationship Type="http://schemas.openxmlformats.org/officeDocument/2006/relationships/hyperlink" Id="rId94" Target="https://doi.org/10.1002/9781118270011" TargetMode="External" /><Relationship Type="http://schemas.openxmlformats.org/officeDocument/2006/relationships/hyperlink" Id="rId144" Target="https://doi.org/10.1002/da.22842" TargetMode="External" /><Relationship Type="http://schemas.openxmlformats.org/officeDocument/2006/relationships/hyperlink" Id="rId140" Target="https://doi.org/10.1006/pmed.1994.1068" TargetMode="External" /><Relationship Type="http://schemas.openxmlformats.org/officeDocument/2006/relationships/hyperlink" Id="rId132" Target="https://doi.org/10.1007/978-1-4899-1760-7_18" TargetMode="External" /><Relationship Type="http://schemas.openxmlformats.org/officeDocument/2006/relationships/hyperlink" Id="rId153" Target="https://doi.org/10.1007/bf01173577" TargetMode="External" /><Relationship Type="http://schemas.openxmlformats.org/officeDocument/2006/relationships/hyperlink" Id="rId124" Target="https://doi.org/10.1007/s00103-012-1661-6" TargetMode="External" /><Relationship Type="http://schemas.openxmlformats.org/officeDocument/2006/relationships/hyperlink" Id="rId126" Target="https://doi.org/10.1007/s00115-016-0222-x" TargetMode="External" /><Relationship Type="http://schemas.openxmlformats.org/officeDocument/2006/relationships/hyperlink" Id="rId146" Target="https://doi.org/10.1016/j.amjmed.2004.06.047" TargetMode="External" /><Relationship Type="http://schemas.openxmlformats.org/officeDocument/2006/relationships/hyperlink" Id="rId96" Target="https://doi.org/10.1016/j.jaac.2016.04.016" TargetMode="External" /><Relationship Type="http://schemas.openxmlformats.org/officeDocument/2006/relationships/hyperlink" Id="rId142" Target="https://doi.org/10.1016/j.maturitas.2017.09.003" TargetMode="External" /><Relationship Type="http://schemas.openxmlformats.org/officeDocument/2006/relationships/hyperlink" Id="rId118" Target="https://doi.org/10.1016/j.socscimed.2009.02.028" TargetMode="External" /><Relationship Type="http://schemas.openxmlformats.org/officeDocument/2006/relationships/hyperlink" Id="rId128" Target="https://doi.org/10.1016/s0140-6736(12)61031-9" TargetMode="External" /><Relationship Type="http://schemas.openxmlformats.org/officeDocument/2006/relationships/hyperlink" Id="rId109" Target="https://doi.org/10.1016/s0140-6736(16)30383-x" TargetMode="External" /><Relationship Type="http://schemas.openxmlformats.org/officeDocument/2006/relationships/hyperlink" Id="rId149" Target="https://doi.org/10.1026/0033-3042.57.4.213" TargetMode="External" /><Relationship Type="http://schemas.openxmlformats.org/officeDocument/2006/relationships/hyperlink" Id="rId138" Target="https://doi.org/10.1037/0022-006x.52.5.795" TargetMode="External" /><Relationship Type="http://schemas.openxmlformats.org/officeDocument/2006/relationships/hyperlink" Id="rId169" Target="https://doi.org/10.1037/0022-3514.54.6.1063" TargetMode="External" /><Relationship Type="http://schemas.openxmlformats.org/officeDocument/2006/relationships/hyperlink" Id="rId165" Target="https://doi.org/10.1037/t06465-000" TargetMode="External" /><Relationship Type="http://schemas.openxmlformats.org/officeDocument/2006/relationships/hyperlink" Id="rId103" Target="https://doi.org/10.1080/00223980.1996.9915038" TargetMode="External" /><Relationship Type="http://schemas.openxmlformats.org/officeDocument/2006/relationships/hyperlink" Id="rId134" Target="https://doi.org/10.1080/02701367.1993.10607598" TargetMode="External" /><Relationship Type="http://schemas.openxmlformats.org/officeDocument/2006/relationships/hyperlink" Id="rId89" Target="https://doi.org/10.1080/17437199.2012.701060" TargetMode="External" /><Relationship Type="http://schemas.openxmlformats.org/officeDocument/2006/relationships/hyperlink" Id="rId120" Target="https://doi.org/10.1111/2041-210x.12504" TargetMode="External" /><Relationship Type="http://schemas.openxmlformats.org/officeDocument/2006/relationships/hyperlink" Id="rId136" Target="https://doi.org/10.1111/j.1360-0443.1984.tb03867.x" TargetMode="External" /><Relationship Type="http://schemas.openxmlformats.org/officeDocument/2006/relationships/hyperlink" Id="rId115" Target="https://doi.org/10.1123/ijspp.2020-0599" TargetMode="External" /><Relationship Type="http://schemas.openxmlformats.org/officeDocument/2006/relationships/hyperlink" Id="rId113" Target="https://doi.org/10.1126/science.847460" TargetMode="External" /><Relationship Type="http://schemas.openxmlformats.org/officeDocument/2006/relationships/hyperlink" Id="rId163" Target="https://doi.org/10.1207/s15324796abm3001_4" TargetMode="External" /><Relationship Type="http://schemas.openxmlformats.org/officeDocument/2006/relationships/hyperlink" Id="rId161" Target="https://doi.org/10.1207/s15327752jpa740109" TargetMode="External" /><Relationship Type="http://schemas.openxmlformats.org/officeDocument/2006/relationships/hyperlink" Id="rId105" Target="https://doi.org/10.1348/0144665031752934" TargetMode="External" /><Relationship Type="http://schemas.openxmlformats.org/officeDocument/2006/relationships/hyperlink" Id="rId167" Target="https://doi.org/10.1503/cmaj.051351" TargetMode="External" /><Relationship Type="http://schemas.openxmlformats.org/officeDocument/2006/relationships/hyperlink" Id="rId107" Target="https://doi.org/10.1519/r-13113.1" TargetMode="External" /><Relationship Type="http://schemas.openxmlformats.org/officeDocument/2006/relationships/hyperlink" Id="rId92" Target="https://doi.org/10.18637/jss.v067.i01" TargetMode="External" /><Relationship Type="http://schemas.openxmlformats.org/officeDocument/2006/relationships/hyperlink" Id="rId151" Target="https://doi.org/10.2165/00007256-200029030-00003" TargetMode="External" /><Relationship Type="http://schemas.openxmlformats.org/officeDocument/2006/relationships/hyperlink" Id="rId159" Target="https://doi.org/10.25646/9362" TargetMode="External" /><Relationship Type="http://schemas.openxmlformats.org/officeDocument/2006/relationships/hyperlink" Id="rId155" Target="https://doi.org/10.3389/fspor.2020.00072" TargetMode="External" /><Relationship Type="http://schemas.openxmlformats.org/officeDocument/2006/relationships/hyperlink" Id="rId99" Target="https://doi.org/10.4324/9780203771587" TargetMode="External" /><Relationship Type="http://schemas.openxmlformats.org/officeDocument/2006/relationships/hyperlink" Id="rId87" Target="https://doi.org/doi.org/10.1002/9781119568124.ch37" TargetMode="External" /><Relationship Type="http://schemas.openxmlformats.org/officeDocument/2006/relationships/hyperlink" Id="rId45" Target="https://github.com/Enno-W/BAEW" TargetMode="External" /><Relationship Type="http://schemas.openxmlformats.org/officeDocument/2006/relationships/hyperlink" Id="rId172" Target="https://iris.who.int/bitstream/handle/10665/44399/9789241599979_eng.pdf?sequence=1" TargetMode="External" /><Relationship Type="http://schemas.openxmlformats.org/officeDocument/2006/relationships/hyperlink" Id="rId111" Target="https://methodenlehre.github.io/intro-to-rstats/index.html" TargetMode="External" /><Relationship Type="http://schemas.openxmlformats.org/officeDocument/2006/relationships/hyperlink" Id="rId26" Target="https://orcid.org/0000-0000-0000-0001" TargetMode="External" /><Relationship Type="http://schemas.openxmlformats.org/officeDocument/2006/relationships/hyperlink" Id="rId27" Target="mailto:janedoe@generi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2025-05-16T13:02:49Z</dcterms:created>
  <dcterms:modified xsi:type="dcterms:W3CDTF">2025-05-16T13:02:49Z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editor">
    <vt:lpwstr>visual</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numbered-lines">
    <vt:lpwstr>True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AFFEKT, ATTRIBUTION UND BEWEGUNGSADHÄRENZ</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Inhaltsverzeichnis</vt:lpwstr>
  </property>
  <property fmtid="{D5CDD505-2E9C-101B-9397-08002B2CF9AE}" pid="61" name="zerocitations">
    <vt:lpwstr>False</vt:lpwstr>
  </property>
</Properties>
</file>