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7"/>
    <w:bookmarkStart w:id="33" w:name="theorie"/>
    <w:p>
      <w:pPr>
        <w:pStyle w:val="Heading1"/>
      </w:pPr>
      <w:r>
        <w:t xml:space="preserve">Theorie</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28"/>
    <w:bookmarkStart w:id="29" w:name="affekt"/>
    <w:p>
      <w:pPr>
        <w:pStyle w:val="Heading2"/>
      </w:pPr>
      <w:r>
        <w:t xml:space="preserve">Affekt</w:t>
      </w:r>
    </w:p>
    <w:bookmarkEnd w:id="29"/>
    <w:bookmarkStart w:id="30" w:name="attribution"/>
    <w:p>
      <w:pPr>
        <w:pStyle w:val="Heading2"/>
      </w:pPr>
      <w:r>
        <w:t xml:space="preserve">Attribution</w:t>
      </w:r>
    </w:p>
    <w:bookmarkEnd w:id="30"/>
    <w:bookmarkStart w:id="31"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31"/>
    <w:bookmarkStart w:id="32" w:name="hypothesen-und-forschungsfrage"/>
    <w:p>
      <w:pPr>
        <w:pStyle w:val="Heading2"/>
      </w:pPr>
      <w:r>
        <w:t xml:space="preserve">Hypothesen und Forschungsfrage</w:t>
      </w:r>
    </w:p>
    <w:p>
      <w:pPr>
        <w:pStyle w:val="FirstParagraph"/>
      </w:pPr>
      <w:r>
        <w:t xml:space="preserve">Es ergibt sich die Forschungsfrage, inwiefern situationaler Affekt (jeweils nach der Trainingseinheit) und der Attributionsstil den Trainingsausfall vorhersagen. 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Zielerreichung vorher (H1.2)</w:t>
      </w:r>
    </w:p>
    <w:p>
      <w:pPr>
        <w:pStyle w:val="BodyText"/>
      </w:pPr>
      <w:r>
        <w:t xml:space="preserve">H2: Ein tendenziell negativeres Affekterleben sagt mehr Trainingsausfälle (H2.1) und eine geringer Zielerreichung vorher (H2.2).</w:t>
      </w:r>
    </w:p>
    <w:bookmarkEnd w:id="32"/>
    <w:bookmarkEnd w:id="33"/>
    <w:bookmarkStart w:id="40" w:name="methode"/>
    <w:p>
      <w:pPr>
        <w:pStyle w:val="Heading1"/>
      </w:pPr>
      <w:r>
        <w:t xml:space="preserve">Methode</w:t>
      </w:r>
    </w:p>
    <w:bookmarkStart w:id="34"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4"/>
    <w:bookmarkStart w:id="35" w:name="stichprobe"/>
    <w:p>
      <w:pPr>
        <w:pStyle w:val="Heading2"/>
      </w:pPr>
      <w:r>
        <w:t xml:space="preserve">Stichprobe:</w:t>
      </w:r>
    </w:p>
    <w:p>
      <w:pPr>
        <w:pStyle w:val="FirstParagraph"/>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w:t>
      </w:r>
      <w:r>
        <w:t xml:space="preserve"> </w:t>
      </w:r>
      <w:r>
        <w:rPr>
          <w:i/>
          <w:iCs/>
        </w:rPr>
        <w:t xml:space="preserve">N</w:t>
      </w:r>
      <w:r>
        <w:t xml:space="preserve"> </w:t>
      </w:r>
      <w:r>
        <w:t xml:space="preserve">= 27 Fälle ergaben sich in dem Rohdatensatz.</w:t>
      </w:r>
      <w:r>
        <w:t xml:space="preserve"> </w:t>
      </w:r>
      <w:r>
        <w:rPr>
          <w:i/>
          <w:iCs/>
        </w:rPr>
        <w:t xml:space="preserve">n</w:t>
      </w:r>
      <w:r>
        <w:t xml:space="preserve"> </w:t>
      </w:r>
      <w:r>
        <w:t xml:space="preserve">= 0 wurden von der Analyse und weiteren Befragungen ausgeschlossen, weil sie angaben, nicht an einem systematischen Trainings- oder Bewegungsprogramm teilzunehmen. Die deskriptiven Statistiken zu den demografischen Daten sind in Tabelle 1.</w:t>
      </w:r>
    </w:p>
    <w:p>
      <w:pPr>
        <w:pStyle w:val="BodyText"/>
      </w:pPr>
      <w:r>
        <w:t xml:space="preserve">Daten von aktiven, erwachsenen Freizeitsportler:innen (Alter ± Standardabweichung: 35.85 ± 12.89 Jahre; 6 weiblich; 12 männlich; 3 divers) liegen bereits aus dem Forschungsprojekt vor.</w:t>
      </w:r>
    </w:p>
    <w:p>
      <w:pPr>
        <w:pStyle w:val="BodyText"/>
      </w:pPr>
      <w:r>
        <w:t xml:space="preserve">Die Teilnehmenden waren durchschnittlich 35.12 alt (</w:t>
      </w:r>
      <w:r>
        <w:rPr>
          <w:i/>
          <w:iCs/>
        </w:rPr>
        <w:t xml:space="preserve">SD</w:t>
      </w:r>
      <w:r>
        <w:t xml:space="preserve"> </w:t>
      </w:r>
      <w:r>
        <w:t xml:space="preserve">= 13.74)</w:t>
      </w:r>
    </w:p>
    <w:bookmarkEnd w:id="35"/>
    <w:bookmarkStart w:id="39" w:name="durchführung"/>
    <w:p>
      <w:pPr>
        <w:pStyle w:val="Heading2"/>
      </w:pPr>
      <w:r>
        <w:t xml:space="preserve">Durchführung:</w:t>
      </w:r>
    </w:p>
    <w:bookmarkStart w:id="36" w:name="prozedur"/>
    <w:p>
      <w:pPr>
        <w:pStyle w:val="Heading3"/>
      </w:pPr>
      <w:r>
        <w:rPr>
          <w:i/>
          <w:iCs/>
        </w:rPr>
        <w:t xml:space="preserve">Prozedur</w:t>
      </w:r>
    </w:p>
    <w:p>
      <w:pPr>
        <w:pStyle w:val="FirstParagraph"/>
      </w:pPr>
      <w:r>
        <w:t xml:space="preserve">Die Teilnehmenden waren in einem</w:t>
      </w:r>
    </w:p>
    <w:p>
      <w:pPr>
        <w:pStyle w:val="BodyText"/>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6"/>
    <w:bookmarkStart w:id="38" w:name="statistische-analyse"/>
    <w:p>
      <w:pPr>
        <w:pStyle w:val="Heading3"/>
      </w:pPr>
      <w:r>
        <w:rPr>
          <w:i/>
          <w:iCs/>
        </w:rPr>
        <w:t xml:space="preserve">Statistische Analyse</w:t>
      </w:r>
    </w:p>
    <w:p>
      <w:pPr>
        <w:pStyle w:val="FirstParagraph"/>
      </w:pPr>
      <w:r>
        <w:t xml:space="preserve">Diese Arbeit wurde mit R (Version 4.4.1 ) und Quarto (Version 1.6.32) erstellt. Die reproduzierbare Version dieses Artikels ist auf GitHub unter</w:t>
      </w:r>
      <w:r>
        <w:t xml:space="preserve"> </w:t>
      </w:r>
      <w:hyperlink r:id="rId37">
        <w:r>
          <w:rPr>
            <w:rStyle w:val="Hyperlink"/>
          </w:rPr>
          <w:t xml:space="preserve">https://github.com/Enno-W/BAEW</w:t>
        </w:r>
      </w:hyperlink>
      <w:r>
        <w:t xml:space="preserve"> </w:t>
      </w:r>
      <w:r>
        <w:t xml:space="preserve">verfügbar.</w:t>
      </w:r>
    </w:p>
    <w:p>
      <w:pPr>
        <w:pStyle w:val="BodyText"/>
      </w:pPr>
      <w:r>
        <w:t xml:space="preserve">Zur Bereinigung der Daten wurden zunächst die Versuchspersonen von der Analyse ausgeschlossen, die angaben, dass sie nicht aktiv an einem Sportprogramm teilnehmen.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w:t>
      </w:r>
    </w:p>
    <w:p>
      <w:pPr>
        <w:pStyle w:val="BodyText"/>
      </w:pPr>
      <w:r>
        <w:t xml:space="preserve">Die Daten bestanden aus einem Baseline-Test und Angaben aus einem Fragebogen zu sechs darauffolgenden Trainingseinheiten. Diese wöchentlichen Angaben wurden zu Mittelwerten zusammengefasst (siehe</w:t>
      </w:r>
      <w:r>
        <w:t xml:space="preserve"> </w:t>
      </w:r>
      <w:hyperlink w:anchor="tbl-corrtable">
        <w:r>
          <w:rPr>
            <w:rStyle w:val="Hyperlink"/>
          </w:rPr>
          <w:t xml:space="preserve">Tabelle 2</w:t>
        </w:r>
      </w:hyperlink>
      <w:r>
        <w:t xml:space="preserve">). Außerdem wurde ausgezählt, wie viele Trainingseinheiten eine Person ausgefüllt hatte.</w:t>
      </w:r>
    </w:p>
    <w:p>
      <w:pPr>
        <w:pStyle w:val="BodyText"/>
      </w:pPr>
      <w:r>
        <w:t xml:space="preserve">Eine Überprüfung der Voraussetzungen für weitere Analyse erfolgte anhand von visueller Inspektion von Histogrammen und Q-Q-Plots aller numerischen Variablen, sowie Shapiro-Wilk-Tests der Normalität. Die Variablen Age, WeeklyKM_base, WeeklyH_base, WeeklyRPE_base, Dynamics, Controlability_self, Controlability_others, Meaning, PA_base, NA_base, NA_amount, Goal_ave, Commit_ave, SessionKM_ave, SesseionH_ave, SessionRPE_ave, PA_ave, NA_ave, completed_count, ID waren signifikant, was auf eine Abweichung von der Normalverteilung hindeutet.</w:t>
      </w:r>
    </w:p>
    <w:bookmarkEnd w:id="38"/>
    <w:bookmarkEnd w:id="39"/>
    <w:bookmarkEnd w:id="40"/>
    <w:bookmarkStart w:id="42" w:name="ergebnisse"/>
    <w:p>
      <w:pPr>
        <w:pStyle w:val="Heading1"/>
      </w:pPr>
      <w:r>
        <w:t xml:space="preserve">Ergebnisse</w:t>
      </w:r>
    </w:p>
    <w:p>
      <w:pPr>
        <w:sectPr/>
      </w:pPr>
    </w:p>
    <w:bookmarkStart w:id="41" w:name="tbl-corrtable"/>
    <w:p>
      <w:pPr>
        <w:pStyle w:val="FigureTitle"/>
      </w:pPr>
      <w:r>
        <w:t xml:space="preserve">Tabelle 2</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37"/>
        <w:gridCol w:w="961"/>
        <w:gridCol w:w="961"/>
        <w:gridCol w:w="1010"/>
        <w:gridCol w:w="912"/>
        <w:gridCol w:w="912"/>
        <w:gridCol w:w="1083"/>
        <w:gridCol w:w="1010"/>
        <w:gridCol w:w="998"/>
        <w:gridCol w:w="1010"/>
        <w:gridCol w:w="1010"/>
        <w:gridCol w:w="1010"/>
        <w:gridCol w:w="912"/>
        <w:gridCol w:w="912"/>
        <w:gridCol w:w="1010"/>
        <w:gridCol w:w="839"/>
        <w:gridCol w:w="839"/>
        <w:gridCol w:w="716"/>
        <w:gridCol w:w="655"/>
      </w:tblGrid>
      <w:tr>
        <w:trPr>
          <w:trHeight w:val="615"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2"/>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Descriptive Statistics</w:t>
            </w:r>
          </w:p>
        </w:tc>
        <w:tc>
          <w:tcPr>
            <w:gridSpan w:val="16"/>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r>
      <w:tr>
        <w:trPr>
          <w:trHeight w:val="57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8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Abgeschlossene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Durchnschnitt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Positiver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Positiver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7" w:hRule="auto"/>
        </w:trPr>
        body16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Negativer Affekt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1"/>
    <w:p>
      <w:pPr>
        <w:pStyle w:val="FigureNote"/>
      </w:pPr>
      <w:r>
        <w:rPr>
          <w:i/>
          <w:iCs/>
        </w:rPr>
        <w:t xml:space="preserve">Hinweis</w:t>
      </w:r>
      <w:r>
        <w:t xml:space="preserve">. *p &lt; 0.05; **p &lt; 0.01</w:t>
      </w:r>
    </w:p>
    <w:p>
      <w:pPr>
        <w:sectPr>
          <w:pgSz w:h="11906" w:w="16838" w:orient="landscape"/>
        </w:sectPr>
      </w:pPr>
    </w:p>
    <w:bookmarkEnd w:id="42"/>
    <w:bookmarkStart w:id="43" w:name="diskussion"/>
    <w:p>
      <w:pPr>
        <w:pStyle w:val="Heading1"/>
      </w:pPr>
      <w:r>
        <w:t xml:space="preserve">Diskussion</w:t>
      </w:r>
    </w:p>
    <w:bookmarkEnd w:id="43"/>
    <w:bookmarkStart w:id="108" w:name="literaturverzeichnis"/>
    <w:p>
      <w:pPr>
        <w:pStyle w:val="Heading1"/>
      </w:pPr>
      <w:r>
        <w:t xml:space="preserve">Literaturverzeichnis</w:t>
      </w:r>
    </w:p>
    <w:bookmarkStart w:id="107" w:name="refs"/>
    <w:bookmarkStart w:id="45"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44">
        <w:r>
          <w:rPr>
            <w:rStyle w:val="Hyperlink"/>
          </w:rPr>
          <w:t xml:space="preserve">https://doi.org/doi.org/10.1002/9781119568124.ch37</w:t>
        </w:r>
      </w:hyperlink>
    </w:p>
    <w:bookmarkEnd w:id="45"/>
    <w:bookmarkStart w:id="47"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46">
        <w:r>
          <w:rPr>
            <w:rStyle w:val="Hyperlink"/>
          </w:rPr>
          <w:t xml:space="preserve">https://doi.org/10.1080/17437199.2012.701060</w:t>
        </w:r>
      </w:hyperlink>
    </w:p>
    <w:bookmarkEnd w:id="47"/>
    <w:bookmarkStart w:id="48" w:name="ref-bandura1977social"/>
    <w:p>
      <w:pPr>
        <w:pStyle w:val="Bibliography"/>
      </w:pPr>
      <w:r>
        <w:t xml:space="preserve">Bandura, A. (1977).</w:t>
      </w:r>
      <w:r>
        <w:t xml:space="preserve"> </w:t>
      </w:r>
      <w:r>
        <w:rPr>
          <w:i/>
          <w:iCs/>
        </w:rPr>
        <w:t xml:space="preserve">Social Learning Theory</w:t>
      </w:r>
      <w:r>
        <w:t xml:space="preserve">. Prentice-Hall.</w:t>
      </w:r>
    </w:p>
    <w:bookmarkEnd w:id="48"/>
    <w:bookmarkStart w:id="50"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49">
        <w:r>
          <w:rPr>
            <w:rStyle w:val="Hyperlink"/>
          </w:rPr>
          <w:t xml:space="preserve">https://doi.org/10.1002/9781118270011</w:t>
        </w:r>
      </w:hyperlink>
    </w:p>
    <w:bookmarkEnd w:id="50"/>
    <w:bookmarkStart w:id="52"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51">
        <w:r>
          <w:rPr>
            <w:rStyle w:val="Hyperlink"/>
          </w:rPr>
          <w:t xml:space="preserve">https://doi.org/10.1016/j.jaac.2016.04.016</w:t>
        </w:r>
      </w:hyperlink>
    </w:p>
    <w:bookmarkEnd w:id="52"/>
    <w:bookmarkStart w:id="53"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53"/>
    <w:bookmarkStart w:id="55"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54">
        <w:r>
          <w:rPr>
            <w:rStyle w:val="Hyperlink"/>
          </w:rPr>
          <w:t xml:space="preserve">https://doi.org/10.1080/00223980.1996.9915038</w:t>
        </w:r>
      </w:hyperlink>
    </w:p>
    <w:bookmarkEnd w:id="55"/>
    <w:bookmarkStart w:id="57"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56">
        <w:r>
          <w:rPr>
            <w:rStyle w:val="Hyperlink"/>
          </w:rPr>
          <w:t xml:space="preserve">https://doi.org/10.1348/0144665031752934</w:t>
        </w:r>
      </w:hyperlink>
    </w:p>
    <w:bookmarkEnd w:id="57"/>
    <w:bookmarkStart w:id="59"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58">
        <w:r>
          <w:rPr>
            <w:rStyle w:val="Hyperlink"/>
          </w:rPr>
          <w:t xml:space="preserve">https://doi.org/10.1519/r-13113.1</w:t>
        </w:r>
      </w:hyperlink>
    </w:p>
    <w:bookmarkEnd w:id="59"/>
    <w:bookmarkStart w:id="61"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60">
        <w:r>
          <w:rPr>
            <w:rStyle w:val="Hyperlink"/>
          </w:rPr>
          <w:t xml:space="preserve">https://doi.org/10.1016/s0140-6736(16)30383-x</w:t>
        </w:r>
      </w:hyperlink>
    </w:p>
    <w:bookmarkEnd w:id="61"/>
    <w:bookmarkStart w:id="63"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62">
        <w:r>
          <w:rPr>
            <w:rStyle w:val="Hyperlink"/>
          </w:rPr>
          <w:t xml:space="preserve">https://doi.org/10.1123/ijspp.2020-0599</w:t>
        </w:r>
      </w:hyperlink>
    </w:p>
    <w:bookmarkEnd w:id="63"/>
    <w:bookmarkStart w:id="64"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64"/>
    <w:bookmarkStart w:id="66"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65">
        <w:r>
          <w:rPr>
            <w:rStyle w:val="Hyperlink"/>
          </w:rPr>
          <w:t xml:space="preserve">https://doi.org/10.1016/j.socscimed.2009.02.028</w:t>
        </w:r>
      </w:hyperlink>
    </w:p>
    <w:bookmarkEnd w:id="66"/>
    <w:bookmarkStart w:id="67"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67"/>
    <w:bookmarkStart w:id="69"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68">
        <w:r>
          <w:rPr>
            <w:rStyle w:val="Hyperlink"/>
          </w:rPr>
          <w:t xml:space="preserve">https://doi.org/10.1007/s00103-012-1661-6</w:t>
        </w:r>
      </w:hyperlink>
    </w:p>
    <w:bookmarkEnd w:id="69"/>
    <w:bookmarkStart w:id="71"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70">
        <w:r>
          <w:rPr>
            <w:rStyle w:val="Hyperlink"/>
          </w:rPr>
          <w:t xml:space="preserve">https://doi.org/10.1016/s0140-6736(12)61031-9</w:t>
        </w:r>
      </w:hyperlink>
    </w:p>
    <w:bookmarkEnd w:id="71"/>
    <w:bookmarkStart w:id="73"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72">
        <w:r>
          <w:rPr>
            <w:rStyle w:val="Hyperlink"/>
          </w:rPr>
          <w:t xml:space="preserve">https://doi.org/10.1007/978-1-4899-1760-7_18</w:t>
        </w:r>
      </w:hyperlink>
    </w:p>
    <w:bookmarkEnd w:id="73"/>
    <w:bookmarkStart w:id="75"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74">
        <w:r>
          <w:rPr>
            <w:rStyle w:val="Hyperlink"/>
          </w:rPr>
          <w:t xml:space="preserve">https://doi.org/10.1080/02701367.1993.10607598</w:t>
        </w:r>
      </w:hyperlink>
    </w:p>
    <w:bookmarkEnd w:id="75"/>
    <w:bookmarkStart w:id="77"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76">
        <w:r>
          <w:rPr>
            <w:rStyle w:val="Hyperlink"/>
          </w:rPr>
          <w:t xml:space="preserve">https://doi.org/10.1111/j.1360-0443.1984.tb03867.x</w:t>
        </w:r>
      </w:hyperlink>
    </w:p>
    <w:bookmarkEnd w:id="77"/>
    <w:bookmarkStart w:id="79"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78">
        <w:r>
          <w:rPr>
            <w:rStyle w:val="Hyperlink"/>
          </w:rPr>
          <w:t xml:space="preserve">https://doi.org/10.1037/0022-006x.52.5.795</w:t>
        </w:r>
      </w:hyperlink>
    </w:p>
    <w:bookmarkEnd w:id="79"/>
    <w:bookmarkStart w:id="81"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80">
        <w:r>
          <w:rPr>
            <w:rStyle w:val="Hyperlink"/>
          </w:rPr>
          <w:t xml:space="preserve">https://doi.org/10.1006/pmed.1994.1068</w:t>
        </w:r>
      </w:hyperlink>
    </w:p>
    <w:bookmarkEnd w:id="81"/>
    <w:bookmarkStart w:id="83"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82">
        <w:r>
          <w:rPr>
            <w:rStyle w:val="Hyperlink"/>
          </w:rPr>
          <w:t xml:space="preserve">https://doi.org/10.1016/j.maturitas.2017.09.003</w:t>
        </w:r>
      </w:hyperlink>
    </w:p>
    <w:bookmarkEnd w:id="83"/>
    <w:bookmarkStart w:id="85"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84">
        <w:r>
          <w:rPr>
            <w:rStyle w:val="Hyperlink"/>
          </w:rPr>
          <w:t xml:space="preserve">https://doi.org/10.1016/j.amjmed.2004.06.047</w:t>
        </w:r>
      </w:hyperlink>
    </w:p>
    <w:bookmarkEnd w:id="85"/>
    <w:bookmarkStart w:id="87"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86">
        <w:r>
          <w:rPr>
            <w:rStyle w:val="Hyperlink"/>
          </w:rPr>
          <w:t xml:space="preserve">https://doi.org/10.2165/00007256-200029030-00003</w:t>
        </w:r>
      </w:hyperlink>
    </w:p>
    <w:bookmarkEnd w:id="87"/>
    <w:bookmarkStart w:id="89"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88">
        <w:r>
          <w:rPr>
            <w:rStyle w:val="Hyperlink"/>
          </w:rPr>
          <w:t xml:space="preserve">https://doi.org/10.1007/bf01173577</w:t>
        </w:r>
      </w:hyperlink>
    </w:p>
    <w:bookmarkEnd w:id="89"/>
    <w:bookmarkStart w:id="91"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90">
        <w:r>
          <w:rPr>
            <w:rStyle w:val="Hyperlink"/>
          </w:rPr>
          <w:t xml:space="preserve">https://doi.org/10.3389/fspor.2020.00072</w:t>
        </w:r>
      </w:hyperlink>
    </w:p>
    <w:bookmarkEnd w:id="91"/>
    <w:bookmarkStart w:id="93"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92">
        <w:r>
          <w:rPr>
            <w:rStyle w:val="Hyperlink"/>
          </w:rPr>
          <w:t xml:space="preserve">https://doi.org/10.25646/9362</w:t>
        </w:r>
      </w:hyperlink>
    </w:p>
    <w:bookmarkEnd w:id="93"/>
    <w:bookmarkStart w:id="95"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94">
        <w:r>
          <w:rPr>
            <w:rStyle w:val="Hyperlink"/>
          </w:rPr>
          <w:t xml:space="preserve">https://doi.org/10.1207/s15327752jpa740109</w:t>
        </w:r>
      </w:hyperlink>
    </w:p>
    <w:bookmarkEnd w:id="95"/>
    <w:bookmarkStart w:id="97"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96">
        <w:r>
          <w:rPr>
            <w:rStyle w:val="Hyperlink"/>
          </w:rPr>
          <w:t xml:space="preserve">https://doi.org/10.1207/s15324796abm3001_4</w:t>
        </w:r>
      </w:hyperlink>
    </w:p>
    <w:bookmarkEnd w:id="97"/>
    <w:bookmarkStart w:id="99"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98">
        <w:r>
          <w:rPr>
            <w:rStyle w:val="Hyperlink"/>
          </w:rPr>
          <w:t xml:space="preserve">https://doi.org/10.1037/t06465-000</w:t>
        </w:r>
      </w:hyperlink>
    </w:p>
    <w:bookmarkEnd w:id="99"/>
    <w:bookmarkStart w:id="101"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00">
        <w:r>
          <w:rPr>
            <w:rStyle w:val="Hyperlink"/>
          </w:rPr>
          <w:t xml:space="preserve">https://doi.org/10.1503/cmaj.051351</w:t>
        </w:r>
      </w:hyperlink>
    </w:p>
    <w:bookmarkEnd w:id="101"/>
    <w:bookmarkStart w:id="103"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02">
        <w:r>
          <w:rPr>
            <w:rStyle w:val="Hyperlink"/>
          </w:rPr>
          <w:t xml:space="preserve">https://doi.org/10.1037/0022-3514.54.6.1063</w:t>
        </w:r>
      </w:hyperlink>
    </w:p>
    <w:bookmarkEnd w:id="103"/>
    <w:bookmarkStart w:id="104"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04"/>
    <w:bookmarkStart w:id="106"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05">
        <w:r>
          <w:rPr>
            <w:rStyle w:val="Hyperlink"/>
          </w:rPr>
          <w:t xml:space="preserve">https://iris.who.int/bitstream/handle/10665/44399/9789241599979_eng.pdf?sequence=1</w:t>
        </w:r>
      </w:hyperlink>
    </w:p>
    <w:bookmarkEnd w:id="106"/>
    <w:bookmarkEnd w:id="107"/>
    <w:bookmarkEnd w:id="108"/>
    <w:bookmarkStart w:id="110" w:name="anhang"/>
    <w:p>
      <w:pPr>
        <w:pStyle w:val="Heading1"/>
      </w:pPr>
      <w:r>
        <w:t xml:space="preserve">Anhang</w:t>
      </w:r>
    </w:p>
    <w:bookmarkStart w:id="109" w:name="tbl-demogrtable"/>
    <w:p>
      <w:pPr>
        <w:pStyle w:val="FigureTitle"/>
      </w:pPr>
      <w:r>
        <w:t xml:space="preserve">Tabelle 1</w:t>
      </w:r>
    </w:p>
    <w:p>
      <w:pPr>
        <w:pStyle w:val="Caption"/>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7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Characteristic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p-value</w:t>
            </w:r>
          </w:p>
        </w:tc>
      </w:tr>
      <w:tr>
        <w:trPr>
          <w:trHeight w:val="4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 (24, 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(20, 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 (24, 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 (25,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r>
      <w:tr>
        <w:trPr>
          <w:trHeight w:val="4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&gt;0.9</w:t>
            </w:r>
          </w:p>
        </w:tc>
      </w:tr>
      <w:tr>
        <w:trPr>
          <w:trHeight w:val="43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Triathlon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109"/>
    <w:p>
      <w:pPr>
        <w:pStyle w:val="FigureNote"/>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r>
        <w:br w:type="page"/>
      </w:r>
    </w:p>
    <w:bookmarkEnd w:id="11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9" Target="https://doi.org/10.1002/9781118270011" TargetMode="External" /><Relationship Type="http://schemas.openxmlformats.org/officeDocument/2006/relationships/hyperlink" Id="rId80" Target="https://doi.org/10.1006/pmed.1994.1068" TargetMode="External" /><Relationship Type="http://schemas.openxmlformats.org/officeDocument/2006/relationships/hyperlink" Id="rId72" Target="https://doi.org/10.1007/978-1-4899-1760-7_18" TargetMode="External" /><Relationship Type="http://schemas.openxmlformats.org/officeDocument/2006/relationships/hyperlink" Id="rId88" Target="https://doi.org/10.1007/bf01173577" TargetMode="External" /><Relationship Type="http://schemas.openxmlformats.org/officeDocument/2006/relationships/hyperlink" Id="rId68" Target="https://doi.org/10.1007/s00103-012-1661-6" TargetMode="External" /><Relationship Type="http://schemas.openxmlformats.org/officeDocument/2006/relationships/hyperlink" Id="rId84" Target="https://doi.org/10.1016/j.amjmed.2004.06.047" TargetMode="External" /><Relationship Type="http://schemas.openxmlformats.org/officeDocument/2006/relationships/hyperlink" Id="rId51" Target="https://doi.org/10.1016/j.jaac.2016.04.016" TargetMode="External" /><Relationship Type="http://schemas.openxmlformats.org/officeDocument/2006/relationships/hyperlink" Id="rId82" Target="https://doi.org/10.1016/j.maturitas.2017.09.003" TargetMode="External" /><Relationship Type="http://schemas.openxmlformats.org/officeDocument/2006/relationships/hyperlink" Id="rId65" Target="https://doi.org/10.1016/j.socscimed.2009.02.028" TargetMode="External" /><Relationship Type="http://schemas.openxmlformats.org/officeDocument/2006/relationships/hyperlink" Id="rId70" Target="https://doi.org/10.1016/s0140-6736(12)61031-9" TargetMode="External" /><Relationship Type="http://schemas.openxmlformats.org/officeDocument/2006/relationships/hyperlink" Id="rId60" Target="https://doi.org/10.1016/s0140-6736(16)30383-x" TargetMode="External" /><Relationship Type="http://schemas.openxmlformats.org/officeDocument/2006/relationships/hyperlink" Id="rId78" Target="https://doi.org/10.1037/0022-006x.52.5.795" TargetMode="External" /><Relationship Type="http://schemas.openxmlformats.org/officeDocument/2006/relationships/hyperlink" Id="rId102" Target="https://doi.org/10.1037/0022-3514.54.6.1063" TargetMode="External" /><Relationship Type="http://schemas.openxmlformats.org/officeDocument/2006/relationships/hyperlink" Id="rId98" Target="https://doi.org/10.1037/t06465-000" TargetMode="External" /><Relationship Type="http://schemas.openxmlformats.org/officeDocument/2006/relationships/hyperlink" Id="rId54" Target="https://doi.org/10.1080/00223980.1996.9915038" TargetMode="External" /><Relationship Type="http://schemas.openxmlformats.org/officeDocument/2006/relationships/hyperlink" Id="rId74" Target="https://doi.org/10.1080/02701367.1993.10607598" TargetMode="External" /><Relationship Type="http://schemas.openxmlformats.org/officeDocument/2006/relationships/hyperlink" Id="rId46" Target="https://doi.org/10.1080/17437199.2012.701060" TargetMode="External" /><Relationship Type="http://schemas.openxmlformats.org/officeDocument/2006/relationships/hyperlink" Id="rId76" Target="https://doi.org/10.1111/j.1360-0443.1984.tb03867.x" TargetMode="External" /><Relationship Type="http://schemas.openxmlformats.org/officeDocument/2006/relationships/hyperlink" Id="rId62" Target="https://doi.org/10.1123/ijspp.2020-0599" TargetMode="External" /><Relationship Type="http://schemas.openxmlformats.org/officeDocument/2006/relationships/hyperlink" Id="rId96" Target="https://doi.org/10.1207/s15324796abm3001_4" TargetMode="External" /><Relationship Type="http://schemas.openxmlformats.org/officeDocument/2006/relationships/hyperlink" Id="rId94" Target="https://doi.org/10.1207/s15327752jpa740109" TargetMode="External" /><Relationship Type="http://schemas.openxmlformats.org/officeDocument/2006/relationships/hyperlink" Id="rId56" Target="https://doi.org/10.1348/0144665031752934" TargetMode="External" /><Relationship Type="http://schemas.openxmlformats.org/officeDocument/2006/relationships/hyperlink" Id="rId100" Target="https://doi.org/10.1503/cmaj.051351" TargetMode="External" /><Relationship Type="http://schemas.openxmlformats.org/officeDocument/2006/relationships/hyperlink" Id="rId58" Target="https://doi.org/10.1519/r-13113.1" TargetMode="External" /><Relationship Type="http://schemas.openxmlformats.org/officeDocument/2006/relationships/hyperlink" Id="rId86" Target="https://doi.org/10.2165/00007256-200029030-00003" TargetMode="External" /><Relationship Type="http://schemas.openxmlformats.org/officeDocument/2006/relationships/hyperlink" Id="rId92" Target="https://doi.org/10.25646/9362" TargetMode="External" /><Relationship Type="http://schemas.openxmlformats.org/officeDocument/2006/relationships/hyperlink" Id="rId90" Target="https://doi.org/10.3389/fspor.2020.00072" TargetMode="External" /><Relationship Type="http://schemas.openxmlformats.org/officeDocument/2006/relationships/hyperlink" Id="rId44" Target="https://doi.org/doi.org/10.1002/9781119568124.ch37" TargetMode="External" /><Relationship Type="http://schemas.openxmlformats.org/officeDocument/2006/relationships/hyperlink" Id="rId37" Target="https://github.com/Enno-W/BAEW" TargetMode="External" /><Relationship Type="http://schemas.openxmlformats.org/officeDocument/2006/relationships/hyperlink" Id="rId105"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2/9781118270011" TargetMode="External" /><Relationship Type="http://schemas.openxmlformats.org/officeDocument/2006/relationships/hyperlink" Id="rId80" Target="https://doi.org/10.1006/pmed.1994.1068" TargetMode="External" /><Relationship Type="http://schemas.openxmlformats.org/officeDocument/2006/relationships/hyperlink" Id="rId72" Target="https://doi.org/10.1007/978-1-4899-1760-7_18" TargetMode="External" /><Relationship Type="http://schemas.openxmlformats.org/officeDocument/2006/relationships/hyperlink" Id="rId88" Target="https://doi.org/10.1007/bf01173577" TargetMode="External" /><Relationship Type="http://schemas.openxmlformats.org/officeDocument/2006/relationships/hyperlink" Id="rId68" Target="https://doi.org/10.1007/s00103-012-1661-6" TargetMode="External" /><Relationship Type="http://schemas.openxmlformats.org/officeDocument/2006/relationships/hyperlink" Id="rId84" Target="https://doi.org/10.1016/j.amjmed.2004.06.047" TargetMode="External" /><Relationship Type="http://schemas.openxmlformats.org/officeDocument/2006/relationships/hyperlink" Id="rId51" Target="https://doi.org/10.1016/j.jaac.2016.04.016" TargetMode="External" /><Relationship Type="http://schemas.openxmlformats.org/officeDocument/2006/relationships/hyperlink" Id="rId82" Target="https://doi.org/10.1016/j.maturitas.2017.09.003" TargetMode="External" /><Relationship Type="http://schemas.openxmlformats.org/officeDocument/2006/relationships/hyperlink" Id="rId65" Target="https://doi.org/10.1016/j.socscimed.2009.02.028" TargetMode="External" /><Relationship Type="http://schemas.openxmlformats.org/officeDocument/2006/relationships/hyperlink" Id="rId70" Target="https://doi.org/10.1016/s0140-6736(12)61031-9" TargetMode="External" /><Relationship Type="http://schemas.openxmlformats.org/officeDocument/2006/relationships/hyperlink" Id="rId60" Target="https://doi.org/10.1016/s0140-6736(16)30383-x" TargetMode="External" /><Relationship Type="http://schemas.openxmlformats.org/officeDocument/2006/relationships/hyperlink" Id="rId78" Target="https://doi.org/10.1037/0022-006x.52.5.795" TargetMode="External" /><Relationship Type="http://schemas.openxmlformats.org/officeDocument/2006/relationships/hyperlink" Id="rId102" Target="https://doi.org/10.1037/0022-3514.54.6.1063" TargetMode="External" /><Relationship Type="http://schemas.openxmlformats.org/officeDocument/2006/relationships/hyperlink" Id="rId98" Target="https://doi.org/10.1037/t06465-000" TargetMode="External" /><Relationship Type="http://schemas.openxmlformats.org/officeDocument/2006/relationships/hyperlink" Id="rId54" Target="https://doi.org/10.1080/00223980.1996.9915038" TargetMode="External" /><Relationship Type="http://schemas.openxmlformats.org/officeDocument/2006/relationships/hyperlink" Id="rId74" Target="https://doi.org/10.1080/02701367.1993.10607598" TargetMode="External" /><Relationship Type="http://schemas.openxmlformats.org/officeDocument/2006/relationships/hyperlink" Id="rId46" Target="https://doi.org/10.1080/17437199.2012.701060" TargetMode="External" /><Relationship Type="http://schemas.openxmlformats.org/officeDocument/2006/relationships/hyperlink" Id="rId76" Target="https://doi.org/10.1111/j.1360-0443.1984.tb03867.x" TargetMode="External" /><Relationship Type="http://schemas.openxmlformats.org/officeDocument/2006/relationships/hyperlink" Id="rId62" Target="https://doi.org/10.1123/ijspp.2020-0599" TargetMode="External" /><Relationship Type="http://schemas.openxmlformats.org/officeDocument/2006/relationships/hyperlink" Id="rId96" Target="https://doi.org/10.1207/s15324796abm3001_4" TargetMode="External" /><Relationship Type="http://schemas.openxmlformats.org/officeDocument/2006/relationships/hyperlink" Id="rId94" Target="https://doi.org/10.1207/s15327752jpa740109" TargetMode="External" /><Relationship Type="http://schemas.openxmlformats.org/officeDocument/2006/relationships/hyperlink" Id="rId56" Target="https://doi.org/10.1348/0144665031752934" TargetMode="External" /><Relationship Type="http://schemas.openxmlformats.org/officeDocument/2006/relationships/hyperlink" Id="rId100" Target="https://doi.org/10.1503/cmaj.051351" TargetMode="External" /><Relationship Type="http://schemas.openxmlformats.org/officeDocument/2006/relationships/hyperlink" Id="rId58" Target="https://doi.org/10.1519/r-13113.1" TargetMode="External" /><Relationship Type="http://schemas.openxmlformats.org/officeDocument/2006/relationships/hyperlink" Id="rId86" Target="https://doi.org/10.2165/00007256-200029030-00003" TargetMode="External" /><Relationship Type="http://schemas.openxmlformats.org/officeDocument/2006/relationships/hyperlink" Id="rId92" Target="https://doi.org/10.25646/9362" TargetMode="External" /><Relationship Type="http://schemas.openxmlformats.org/officeDocument/2006/relationships/hyperlink" Id="rId90" Target="https://doi.org/10.3389/fspor.2020.00072" TargetMode="External" /><Relationship Type="http://schemas.openxmlformats.org/officeDocument/2006/relationships/hyperlink" Id="rId44" Target="https://doi.org/doi.org/10.1002/9781119568124.ch37" TargetMode="External" /><Relationship Type="http://schemas.openxmlformats.org/officeDocument/2006/relationships/hyperlink" Id="rId37" Target="https://github.com/Enno-W/BAEW" TargetMode="External" /><Relationship Type="http://schemas.openxmlformats.org/officeDocument/2006/relationships/hyperlink" Id="rId105"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2024-12-16T14:04:41Z</dcterms:created>
  <dcterms:modified xsi:type="dcterms:W3CDTF">2024-12-16T14:04:41Z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