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1.svg" ContentType="image/svg+xml"/>
  <Override PartName="/word/media/rId73.png" ContentType="image/png"/>
  <Override PartName="/word/media/rId81.png" ContentType="image/png"/>
  <Override PartName="/word/media/rId101.png" ContentType="image/png"/>
  <Override PartName="/word/media/rId113.png" ContentType="image/png"/>
  <Override PartName="/word/media/rId85.png" ContentType="image/png"/>
  <Override PartName="/word/media/rId97.png" ContentType="image/png"/>
  <Override PartName="/word/media/rId93.png" ContentType="image/png"/>
  <Override PartName="/word/media/rId105.png" ContentType="image/png"/>
  <Override PartName="/word/media/rId77.png" ContentType="image/png"/>
  <Override PartName="/word/media/rId89.png" ContentType="image/png"/>
  <Override PartName="/word/media/rId109.png" ContentType="image/png"/>
  <Override PartName="/word/media/rId117.png" ContentType="image/png"/>
  <Override PartName="/word/media/rId69.png" ContentType="image/png"/>
  <Override PartName="/word/media/rId24.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Self-Conscious Emotions in Sport and Exercise: Relationships of Implicit and Explicit Processes of Authentic and Hubristic Pride and Physical Activity</w:t>
      </w:r>
    </w:p>
    <w:p>
      <w:pPr>
        <w:pStyle w:val="Author"/>
      </w:pPr>
      <w:r>
        <w:t xml:space="preserve"> </w:t>
      </w:r>
    </w:p>
    <w:p>
      <w:pPr>
        <w:pStyle w:val="Author"/>
      </w:pPr>
      <w:r>
        <w:t xml:space="preserve">Sascha Leisterer-Härtig and Enno Winkler</w:t>
      </w:r>
    </w:p>
    <w:p>
      <w:pPr>
        <w:pStyle w:val="Author"/>
      </w:pPr>
      <w:r>
        <w:t xml:space="preserve">Department of Sport Science, Leipzig University</w:t>
      </w:r>
    </w:p>
    <w:p>
      <w:pPr>
        <w:pStyle w:val="BodyText"/>
      </w:pPr>
      <w:r>
        <w:t xml:space="preserve"> </w:t>
      </w:r>
    </w:p>
    <w:p>
      <w:pPr>
        <w:pStyle w:val="BodyText"/>
      </w:pPr>
      <w:r>
        <w:t xml:space="preserve"> </w:t>
      </w:r>
    </w:p>
    <w:bookmarkEnd w:id="20"/>
    <w:bookmarkStart w:id="30" w:name="author-note"/>
    <w:p>
      <w:pPr>
        <w:pStyle w:val="Heading1"/>
      </w:pPr>
      <w:r>
        <w:t xml:space="preserve">Author Note</w:t>
      </w:r>
    </w:p>
    <w:p>
      <w:pPr>
        <w:pStyle w:val="FirstParagraph"/>
      </w:pPr>
      <w:r>
        <w:t xml:space="preserve">Sascha Leisterer-Härtig</w:t>
      </w:r>
      <w:r>
        <w:t xml:space="preserve"> </w:t>
      </w:r>
      <w:bookmarkStart w:id="25"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wjschne/apaquarto/ORCID-iD_icon-vector.svg" id="23" name="Picture"/>
                    <pic:cNvPicPr>
                      <a:picLocks noChangeArrowheads="1" noChangeAspect="1"/>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5"/>
      <w:r>
        <w:t xml:space="preserve"> </w:t>
      </w:r>
      <w:r>
        <w:t xml:space="preserve">http://orcid.org/0000-0002-0493-8464</w:t>
      </w:r>
    </w:p>
    <w:p>
      <w:pPr>
        <w:pStyle w:val="BodyText"/>
      </w:pPr>
      <w:r>
        <w:t xml:space="preserve">Enno Winkler</w:t>
      </w:r>
      <w:r>
        <w:t xml:space="preserve"> </w:t>
      </w:r>
      <w:bookmarkStart w:id="29"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wjschne/apaquarto/ORCID-iD_icon-vector.svg" id="27" name="Picture"/>
                    <pic:cNvPicPr>
                      <a:picLocks noChangeArrowheads="1" noChangeAspect="1"/>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9"/>
      <w:r>
        <w:t xml:space="preserve"> </w:t>
      </w:r>
      <w:r>
        <w:t xml:space="preserve">http://orcid.org/0009-0008-0665-3447</w:t>
      </w:r>
    </w:p>
    <w:p>
      <w:pPr>
        <w:pStyle w:val="BodyText"/>
      </w:pPr>
      <w:r>
        <w:t xml:space="preserve">Correspondence concerning this article should be addressed to Sascha Leisterer-Härtig, Department of Sport Science, Leipzig University, Jahnallee 59, Leipzig, Saxony, Germany, Email: sascha.leisterer@uni-leipzig.de</w:t>
      </w:r>
    </w:p>
    <w:p>
      <w:r>
        <w:br w:type="page"/>
      </w:r>
    </w:p>
    <w:bookmarkEnd w:id="30"/>
    <w:bookmarkStart w:id="31" w:name="abstract"/>
    <w:p>
      <w:pPr>
        <w:pStyle w:val="Heading1"/>
      </w:pPr>
      <w:r>
        <w:t xml:space="preserve">Abstract</w:t>
      </w:r>
    </w:p>
    <w:p>
      <w:pPr>
        <w:pStyle w:val="AbstractFirstParagraph"/>
      </w:pPr>
      <w:r>
        <w:t xml:space="preserve">Self-conscious emotions play a crucial role in sports and exercise by reflecting self-related goal achievements. Traditionally, these emotions are explained through explicit attributional processes. However, implicit processes that influence self-related goal orientation are often overlooked. This research covers two studies to investigate implicit determinants of pride in sports and exercising. First, a cross-sectional correlation study reveals a negative correlation of the implicit affiliation motive with authentic pride in ambitious recreational athletes. Second, a longitudinal study that shows that pride predicted a lower perceived exhaustion if the implicit the affiliation motive was high, and a higher perceived exertion if the achievement motive was high. Therefore, considering implicit processes in recreational athletes as potential determinants of self-conscious emotions appears to be more significant than previously thought.</w:t>
      </w:r>
    </w:p>
    <w:p>
      <w:r>
        <w:br w:type="page"/>
      </w:r>
    </w:p>
    <w:bookmarkEnd w:id="31"/>
    <w:bookmarkStart w:id="32" w:name="firstheader"/>
    <w:p>
      <w:pPr>
        <w:pStyle w:val="Heading1"/>
      </w:pPr>
      <w:r>
        <w:t xml:space="preserve">Self-Conscious Emotions in Sport and Exercise: Relationships of Implicit and Explicit Processes of Authentic and Hubristic Pride and Physical Activity</w:t>
      </w:r>
    </w:p>
    <w:bookmarkEnd w:id="32"/>
    <w:bookmarkStart w:id="34" w:name="note"/>
    <w:p>
      <w:pPr>
        <w:pStyle w:val="Heading1"/>
      </w:pPr>
      <w:r>
        <w:t xml:space="preserve">Note</w:t>
      </w:r>
    </w:p>
    <w:p>
      <w:pPr>
        <w:pStyle w:val="FirstParagraph"/>
      </w:pPr>
      <w:r>
        <w:t xml:space="preserve">This is the reproducible version of the article</w:t>
      </w:r>
      <w:r>
        <w:t xml:space="preserve"> </w:t>
      </w:r>
      <w:r>
        <w:t xml:space="preserve">“Exploring Self-Conscious Emotions in Sport and Exercise: Relationships of Implicit and Explicit Processes of Authentic and Hubristic Pride and Exercising”</w:t>
      </w:r>
      <w:r>
        <w:t xml:space="preserve">.</w:t>
      </w:r>
    </w:p>
    <w:p>
      <w:pPr>
        <w:pStyle w:val="BodyText"/>
      </w:pPr>
      <w:r>
        <w:t xml:space="preserve">You can access the code that generated these results</w:t>
      </w:r>
      <w:r>
        <w:t xml:space="preserve"> </w:t>
      </w:r>
      <w:hyperlink r:id="rId33">
        <w:r>
          <w:rPr>
            <w:rStyle w:val="Hyperlink"/>
          </w:rPr>
          <w:t xml:space="preserve">here</w:t>
        </w:r>
      </w:hyperlink>
    </w:p>
    <w:bookmarkEnd w:id="34"/>
    <w:bookmarkStart w:id="42" w:name="study-1"/>
    <w:p>
      <w:pPr>
        <w:pStyle w:val="Heading1"/>
      </w:pPr>
      <w:r>
        <w:t xml:space="preserve">Study 1</w:t>
      </w:r>
    </w:p>
    <w:bookmarkStart w:id="35" w:name="participants"/>
    <w:p>
      <w:pPr>
        <w:pStyle w:val="Heading2"/>
      </w:pPr>
      <w:r>
        <w:t xml:space="preserve">Participants</w:t>
      </w:r>
    </w:p>
    <w:p>
      <w:pPr>
        <w:pStyle w:val="FirstParagraph"/>
      </w:pPr>
      <w:r>
        <w:t xml:space="preserve">Participants were adults with specific goals (e.g., running a marathon, competing in a triathlon, aesthetics, bodybuilding) and/or pre-defined workout routines (e.g., running routine, weight training routine). A sample size calculation performed before data collection using G*Power</w:t>
      </w:r>
      <w:r>
        <w:t xml:space="preserve"> </w:t>
      </w:r>
      <w:r>
        <w:t xml:space="preserve">(</w:t>
      </w:r>
      <w:hyperlink w:anchor="ref-Faul2007">
        <w:r>
          <w:rPr>
            <w:rStyle w:val="Hyperlink"/>
          </w:rPr>
          <w:t xml:space="preserve">Faul et al., 2007</w:t>
        </w:r>
      </w:hyperlink>
      <w:r>
        <w:t xml:space="preserve">)</w:t>
      </w:r>
      <w:r>
        <w:t xml:space="preserve"> </w:t>
      </w:r>
      <w:r>
        <w:t xml:space="preserve">for testing one-tailed point biserial correlation with |ρ| = .5, α = .05, and 1 – β = .95 indicated a necessary sample size of</w:t>
      </w:r>
      <w:r>
        <w:t xml:space="preserve"> </w:t>
      </w:r>
      <w:r>
        <w:rPr>
          <w:i/>
          <w:iCs/>
        </w:rPr>
        <w:t xml:space="preserve">N</w:t>
      </w:r>
      <w:r>
        <w:t xml:space="preserve"> </w:t>
      </w:r>
      <w:r>
        <w:t xml:space="preserve">= 34. As an incentive, participants were offered feedback on their results and suggestions for improving their workout routine motivation.</w:t>
      </w:r>
      <w:r>
        <w:t xml:space="preserve"> </w:t>
      </w:r>
      <w:r>
        <w:rPr>
          <w:i/>
          <w:iCs/>
        </w:rPr>
        <w:t xml:space="preserve">N</w:t>
      </w:r>
      <w:r>
        <w:t xml:space="preserve"> </w:t>
      </w:r>
      <w:r>
        <w:t xml:space="preserve">= 41 participants completed the survey. Participants who reported not following a workout routine were excluded. The resulting final sample consisted of</w:t>
      </w:r>
      <w:r>
        <w:t xml:space="preserve"> </w:t>
      </w:r>
      <w:r>
        <w:rPr>
          <w:i/>
          <w:iCs/>
        </w:rPr>
        <w:t xml:space="preserve">N</w:t>
      </w:r>
      <w:r>
        <w:t xml:space="preserve"> </w:t>
      </w:r>
      <w:r>
        <w:t xml:space="preserve">= 32 recreational athletes who had a mean age of 34.69 years (</w:t>
      </w:r>
      <w:r>
        <w:rPr>
          <w:i/>
          <w:iCs/>
        </w:rPr>
        <w:t xml:space="preserve">SD</w:t>
      </w:r>
      <w:r>
        <w:t xml:space="preserve"> </w:t>
      </w:r>
      <w:r>
        <w:t xml:space="preserve">= 13.7; range = 19–64), including 19 females, 8 males, 2 participants who identified as diverse, and three who did not report their gender. Participants followed individual workout routines averaging 6.79 hours per week (</w:t>
      </w:r>
      <w:r>
        <w:rPr>
          <w:i/>
          <w:iCs/>
        </w:rPr>
        <w:t xml:space="preserve">SD</w:t>
      </w:r>
      <w:r>
        <w:t xml:space="preserve"> </w:t>
      </w:r>
      <w:r>
        <w:t xml:space="preserve">= 4.04; range = 2–15) with a self-rated intensity (perceived exertion on a 1-10 scale) of 5.41 (</w:t>
      </w:r>
      <w:r>
        <w:rPr>
          <w:i/>
          <w:iCs/>
        </w:rPr>
        <w:t xml:space="preserve">SD</w:t>
      </w:r>
      <w:r>
        <w:t xml:space="preserve"> </w:t>
      </w:r>
      <w:r>
        <w:t xml:space="preserve">= 1.74). Sports included running (</w:t>
      </w:r>
      <w:r>
        <w:rPr>
          <w:i/>
          <w:iCs/>
        </w:rPr>
        <w:t xml:space="preserve">n</w:t>
      </w:r>
      <w:r>
        <w:t xml:space="preserve"> </w:t>
      </w:r>
      <w:r>
        <w:t xml:space="preserve">= 10), triathlon (</w:t>
      </w:r>
      <w:r>
        <w:rPr>
          <w:i/>
          <w:iCs/>
        </w:rPr>
        <w:t xml:space="preserve">n</w:t>
      </w:r>
      <w:r>
        <w:t xml:space="preserve"> </w:t>
      </w:r>
      <w:r>
        <w:t xml:space="preserve">= 6), weight training (</w:t>
      </w:r>
      <w:r>
        <w:rPr>
          <w:i/>
          <w:iCs/>
        </w:rPr>
        <w:t xml:space="preserve">n</w:t>
      </w:r>
      <w:r>
        <w:t xml:space="preserve"> </w:t>
      </w:r>
      <w:r>
        <w:t xml:space="preserve">= 5), and other endurance sports (</w:t>
      </w:r>
      <w:r>
        <w:rPr>
          <w:i/>
          <w:iCs/>
        </w:rPr>
        <w:t xml:space="preserve">n</w:t>
      </w:r>
      <w:r>
        <w:t xml:space="preserve"> </w:t>
      </w:r>
      <w:r>
        <w:t xml:space="preserve">= 11). Missing values amounted to 15% of all data.</w:t>
      </w:r>
    </w:p>
    <w:bookmarkEnd w:id="35"/>
    <w:bookmarkStart w:id="36" w:name="measures"/>
    <w:p>
      <w:pPr>
        <w:pStyle w:val="Heading2"/>
      </w:pPr>
      <w:r>
        <w:t xml:space="preserve">Measures</w:t>
      </w:r>
    </w:p>
    <w:p>
      <w:pPr>
        <w:pStyle w:val="FirstParagraph"/>
      </w:pPr>
      <w:r>
        <w:t xml:space="preserve">(see article)</w:t>
      </w:r>
    </w:p>
    <w:bookmarkEnd w:id="36"/>
    <w:bookmarkStart w:id="37" w:name="procedure"/>
    <w:p>
      <w:pPr>
        <w:pStyle w:val="Heading2"/>
      </w:pPr>
      <w:r>
        <w:t xml:space="preserve">Procedure</w:t>
      </w:r>
    </w:p>
    <w:p>
      <w:pPr>
        <w:pStyle w:val="FirstParagraph"/>
      </w:pPr>
      <w:r>
        <w:t xml:space="preserve">(see article)</w:t>
      </w:r>
    </w:p>
    <w:bookmarkEnd w:id="37"/>
    <w:bookmarkStart w:id="38" w:name="analysis"/>
    <w:p>
      <w:pPr>
        <w:pStyle w:val="Heading2"/>
      </w:pPr>
      <w:r>
        <w:t xml:space="preserve">Analysis</w:t>
      </w:r>
    </w:p>
    <w:p>
      <w:pPr>
        <w:pStyle w:val="FirstParagraph"/>
      </w:pPr>
      <w:r>
        <w:t xml:space="preserve">First, implicit motives for achievement, affiliation, and power motives were</w:t>
      </w:r>
      <w:r>
        <w:t xml:space="preserve"> </w:t>
      </w:r>
      <w:r>
        <w:rPr>
          <w:i/>
          <w:iCs/>
        </w:rPr>
        <w:t xml:space="preserve">z</w:t>
      </w:r>
      <w:r>
        <w:t xml:space="preserve">-standardized. The gender-balanced T-scores for the motive components were calculated according to the Multi-Motive-Grid’s scoring procedure. The entire data was checked for normal distribution. Applying the Shapiro-Wilk test, the weekly training distance (</w:t>
      </w:r>
      <w:r>
        <w:rPr>
          <w:i/>
          <w:iCs/>
        </w:rPr>
        <w:t xml:space="preserve">W</w:t>
      </w:r>
      <w:r>
        <w:t xml:space="preserve"> </w:t>
      </w:r>
      <w:r>
        <w:t xml:space="preserve">= 0.724;</w:t>
      </w:r>
      <w:r>
        <w:t xml:space="preserve"> </w:t>
      </w:r>
      <w:r>
        <w:rPr>
          <w:i/>
          <w:iCs/>
        </w:rPr>
        <w:t xml:space="preserve">p</w:t>
      </w:r>
      <w:r>
        <w:t xml:space="preserve"> </w:t>
      </w:r>
      <w:r>
        <w:t xml:space="preserve">&lt; .001), weekly training duration (</w:t>
      </w:r>
      <w:r>
        <w:rPr>
          <w:i/>
          <w:iCs/>
        </w:rPr>
        <w:t xml:space="preserve">W</w:t>
      </w:r>
      <w:r>
        <w:t xml:space="preserve"> </w:t>
      </w:r>
      <w:r>
        <w:t xml:space="preserve">= 0.896;</w:t>
      </w:r>
      <w:r>
        <w:t xml:space="preserve"> </w:t>
      </w:r>
      <w:r>
        <w:rPr>
          <w:i/>
          <w:iCs/>
        </w:rPr>
        <w:t xml:space="preserve">p</w:t>
      </w:r>
      <w:r>
        <w:t xml:space="preserve"> </w:t>
      </w:r>
      <w:r>
        <w:t xml:space="preserve">= 0.008) and perceived exhaustion (</w:t>
      </w:r>
      <w:r>
        <w:rPr>
          <w:i/>
          <w:iCs/>
        </w:rPr>
        <w:t xml:space="preserve">W</w:t>
      </w:r>
      <w:r>
        <w:t xml:space="preserve"> </w:t>
      </w:r>
      <w:r>
        <w:t xml:space="preserve">= 0.905;</w:t>
      </w:r>
      <w:r>
        <w:t xml:space="preserve"> </w:t>
      </w:r>
      <w:r>
        <w:rPr>
          <w:i/>
          <w:iCs/>
        </w:rPr>
        <w:t xml:space="preserve">p</w:t>
      </w:r>
      <w:r>
        <w:t xml:space="preserve"> </w:t>
      </w:r>
      <w:r>
        <w:t xml:space="preserve">= 0.013) as well as fear of rejection (</w:t>
      </w:r>
      <w:r>
        <w:rPr>
          <w:i/>
          <w:iCs/>
        </w:rPr>
        <w:t xml:space="preserve">W</w:t>
      </w:r>
      <w:r>
        <w:t xml:space="preserve"> </w:t>
      </w:r>
      <w:r>
        <w:t xml:space="preserve">= 0.929;</w:t>
      </w:r>
      <w:r>
        <w:t xml:space="preserve"> </w:t>
      </w:r>
      <w:r>
        <w:rPr>
          <w:i/>
          <w:iCs/>
        </w:rPr>
        <w:t xml:space="preserve">p</w:t>
      </w:r>
      <w:r>
        <w:t xml:space="preserve"> </w:t>
      </w:r>
      <w:r>
        <w:t xml:space="preserve">= 0.042) were not normally distributed. Second, descriptive statistics were calculated. Third, due to the small sample size and normality violations, Spearman rank correlations were calculated. For the analysis, Version 4.5.0 of the programming language R</w:t>
      </w:r>
      <w:r>
        <w:t xml:space="preserve"> </w:t>
      </w:r>
      <w:r>
        <w:t xml:space="preserve">(</w:t>
      </w:r>
      <w:hyperlink w:anchor="ref-rlanguage2024">
        <w:r>
          <w:rPr>
            <w:rStyle w:val="Hyperlink"/>
          </w:rPr>
          <w:t xml:space="preserve">R Core Team, 2024</w:t>
        </w:r>
      </w:hyperlink>
      <w:r>
        <w:t xml:space="preserve">)</w:t>
      </w:r>
      <w:r>
        <w:t xml:space="preserve"> </w:t>
      </w:r>
      <w:r>
        <w:t xml:space="preserve">was used.</w:t>
      </w:r>
    </w:p>
    <w:bookmarkEnd w:id="38"/>
    <w:bookmarkStart w:id="41" w:name="results"/>
    <w:p>
      <w:pPr>
        <w:pStyle w:val="Heading2"/>
      </w:pPr>
      <w:r>
        <w:t xml:space="preserve">Results</w:t>
      </w:r>
    </w:p>
    <w:bookmarkStart w:id="39" w:name="descriptive-statistics"/>
    <w:p>
      <w:pPr>
        <w:pStyle w:val="Heading3"/>
      </w:pPr>
      <w:r>
        <w:t xml:space="preserve">Descriptive Statistics</w:t>
      </w:r>
    </w:p>
    <w:p>
      <w:pPr>
        <w:pStyle w:val="FirstParagraph"/>
      </w:pPr>
      <w:hyperlink w:anchor="tbl-stat">
        <w:r>
          <w:rPr>
            <w:rStyle w:val="Hyperlink"/>
          </w:rPr>
          <w:t xml:space="preserve">Table 1</w:t>
        </w:r>
      </w:hyperlink>
      <w:r>
        <w:t xml:space="preserve"> </w:t>
      </w:r>
      <w:r>
        <w:t xml:space="preserve">presents descriptive statistics, including mean, standard deviation, skewness, and kurtosis. The sample represents medium authentic pride and medium positive affect, low hubristic pride and low negative affect. Additionally, the sample shows a slightly stronger implicit affiliation motive but regular motive components in all three implicit motives. Further, the sample intended to report more internal, variable, and less uncontrollable attribution styles.</w:t>
      </w:r>
      <w:r>
        <w:t xml:space="preserve"> </w:t>
      </w:r>
      <w:hyperlink w:anchor="fig-violin">
        <w:r>
          <w:rPr>
            <w:rStyle w:val="Hyperlink"/>
          </w:rPr>
          <w:t xml:space="preserve">Figure 1</w:t>
        </w:r>
      </w:hyperlink>
      <w:r>
        <w:t xml:space="preserve"> </w:t>
      </w:r>
      <w:r>
        <w:t xml:space="preserve">visualizes the distribution of these variables.</w:t>
      </w:r>
    </w:p>
    <w:p>
      <w:pPr>
        <w:pStyle w:val="BodyText"/>
      </w:pPr>
      <w:r>
        <w:t xml:space="preserve">+++Please insert</w:t>
      </w:r>
      <w:r>
        <w:t xml:space="preserve"> </w:t>
      </w:r>
      <w:r>
        <w:t xml:space="preserve">“</w:t>
      </w:r>
      <w:hyperlink w:anchor="tbl-stat">
        <w:r>
          <w:rPr>
            <w:rStyle w:val="Hyperlink"/>
          </w:rPr>
          <w:t xml:space="preserve">Table 1</w:t>
        </w:r>
      </w:hyperlink>
      <w:r>
        <w:t xml:space="preserve"> </w:t>
      </w:r>
      <w:r>
        <w:t xml:space="preserve">Descriptive statistics: Mean values with standard deviation and skewness and kurtosis for all investigated variables”</w:t>
      </w:r>
      <w:r>
        <w:t xml:space="preserve"> </w:t>
      </w:r>
      <w:r>
        <w:t xml:space="preserve">nearby.+++</w:t>
      </w:r>
    </w:p>
    <w:p>
      <w:pPr>
        <w:pStyle w:val="BodyText"/>
      </w:pPr>
      <w:r>
        <w:t xml:space="preserve">+++Please insert</w:t>
      </w:r>
      <w:r>
        <w:t xml:space="preserve"> </w:t>
      </w:r>
      <w:r>
        <w:t xml:space="preserve">“</w:t>
      </w:r>
      <w:hyperlink w:anchor="fig-violin">
        <w:r>
          <w:rPr>
            <w:rStyle w:val="Hyperlink"/>
          </w:rPr>
          <w:t xml:space="preserve">Figure 1</w:t>
        </w:r>
      </w:hyperlink>
      <w:r>
        <w:t xml:space="preserve"> </w:t>
      </w:r>
      <w:r>
        <w:t xml:space="preserve">Descriptive statistics: Mean values with standard deviation and skewness and kurtosis for all investigated variables”</w:t>
      </w:r>
      <w:r>
        <w:t xml:space="preserve"> </w:t>
      </w:r>
      <w:r>
        <w:t xml:space="preserve">nearby.+++</w:t>
      </w:r>
    </w:p>
    <w:bookmarkEnd w:id="39"/>
    <w:bookmarkStart w:id="40" w:name="hypothesis-testing"/>
    <w:p>
      <w:pPr>
        <w:pStyle w:val="Heading3"/>
      </w:pPr>
      <w:r>
        <w:t xml:space="preserve">Hypothesis testing</w:t>
      </w:r>
    </w:p>
    <w:p>
      <w:pPr>
        <w:pStyle w:val="FirstParagraph"/>
      </w:pPr>
      <w:r>
        <w:t xml:space="preserve">Exploratory analyses revealed significant correlations between pride and positive affect (</w:t>
      </w:r>
      <w:r>
        <w:rPr>
          <w:i/>
          <w:iCs/>
        </w:rPr>
        <w:t xml:space="preserve">Ρ</w:t>
      </w:r>
      <w:r>
        <w:t xml:space="preserve"> </w:t>
      </w:r>
      <w:r>
        <w:t xml:space="preserve">= 0.48,</w:t>
      </w:r>
      <w:r>
        <w:t xml:space="preserve"> </w:t>
      </w:r>
      <w:r>
        <w:rPr>
          <w:i/>
          <w:iCs/>
        </w:rPr>
        <w:t xml:space="preserve">p</w:t>
      </w:r>
      <w:r>
        <w:t xml:space="preserve"> </w:t>
      </w:r>
      <w:r>
        <w:t xml:space="preserve">= .006); pride and fear of rejection (</w:t>
      </w:r>
      <w:r>
        <w:rPr>
          <w:i/>
          <w:iCs/>
        </w:rPr>
        <w:t xml:space="preserve">Ρ</w:t>
      </w:r>
      <w:r>
        <w:t xml:space="preserve"> </w:t>
      </w:r>
      <w:r>
        <w:t xml:space="preserve">= -0.46,</w:t>
      </w:r>
      <w:r>
        <w:t xml:space="preserve"> </w:t>
      </w:r>
      <w:r>
        <w:rPr>
          <w:i/>
          <w:iCs/>
        </w:rPr>
        <w:t xml:space="preserve">p</w:t>
      </w:r>
      <w:r>
        <w:t xml:space="preserve"> </w:t>
      </w:r>
      <w:r>
        <w:t xml:space="preserve">= .009); hubris and negative affect (</w:t>
      </w:r>
      <w:r>
        <w:rPr>
          <w:i/>
          <w:iCs/>
        </w:rPr>
        <w:t xml:space="preserve">Ρ</w:t>
      </w:r>
      <w:r>
        <w:t xml:space="preserve"> </w:t>
      </w:r>
      <w:r>
        <w:t xml:space="preserve">= 0.52,</w:t>
      </w:r>
      <w:r>
        <w:t xml:space="preserve"> </w:t>
      </w:r>
      <w:r>
        <w:rPr>
          <w:i/>
          <w:iCs/>
        </w:rPr>
        <w:t xml:space="preserve">p</w:t>
      </w:r>
      <w:r>
        <w:t xml:space="preserve"> </w:t>
      </w:r>
      <w:r>
        <w:t xml:space="preserve">= .002); as well as weekly training duration and training distance (</w:t>
      </w:r>
      <w:r>
        <w:rPr>
          <w:i/>
          <w:iCs/>
        </w:rPr>
        <w:t xml:space="preserve">Ρ</w:t>
      </w:r>
      <w:r>
        <w:t xml:space="preserve"> </w:t>
      </w:r>
      <w:r>
        <w:t xml:space="preserve">= 0.58,</w:t>
      </w:r>
      <w:r>
        <w:t xml:space="preserve"> </w:t>
      </w:r>
      <w:r>
        <w:rPr>
          <w:i/>
          <w:iCs/>
        </w:rPr>
        <w:t xml:space="preserve">p</w:t>
      </w:r>
      <w:r>
        <w:t xml:space="preserve"> </w:t>
      </w:r>
      <w:r>
        <w:t xml:space="preserve">= .002). The implicit affiliation motive (</w:t>
      </w:r>
      <w:r>
        <w:rPr>
          <w:i/>
          <w:iCs/>
        </w:rPr>
        <w:t xml:space="preserve">Ρ</w:t>
      </w:r>
      <w:r>
        <w:t xml:space="preserve"> </w:t>
      </w:r>
      <w:r>
        <w:t xml:space="preserve">= 0.43,</w:t>
      </w:r>
      <w:r>
        <w:t xml:space="preserve"> </w:t>
      </w:r>
      <w:r>
        <w:rPr>
          <w:i/>
          <w:iCs/>
        </w:rPr>
        <w:t xml:space="preserve">p</w:t>
      </w:r>
      <w:r>
        <w:t xml:space="preserve"> </w:t>
      </w:r>
      <w:r>
        <w:t xml:space="preserve">= .023) and dynamic attributions (</w:t>
      </w:r>
      <w:r>
        <w:rPr>
          <w:i/>
          <w:iCs/>
        </w:rPr>
        <w:t xml:space="preserve">Ρ</w:t>
      </w:r>
      <w:r>
        <w:t xml:space="preserve"> </w:t>
      </w:r>
      <w:r>
        <w:t xml:space="preserve">= 0.38,</w:t>
      </w:r>
      <w:r>
        <w:t xml:space="preserve"> </w:t>
      </w:r>
      <w:r>
        <w:rPr>
          <w:i/>
          <w:iCs/>
        </w:rPr>
        <w:t xml:space="preserve">p</w:t>
      </w:r>
      <w:r>
        <w:t xml:space="preserve"> </w:t>
      </w:r>
      <w:r>
        <w:t xml:space="preserve">= .046) correlated with training duration. Negative affect correlated with fear of failure (</w:t>
      </w:r>
      <w:r>
        <w:rPr>
          <w:i/>
          <w:iCs/>
        </w:rPr>
        <w:t xml:space="preserve">Ρ</w:t>
      </w:r>
      <w:r>
        <w:t xml:space="preserve"> </w:t>
      </w:r>
      <w:r>
        <w:t xml:space="preserve">= 0.67,</w:t>
      </w:r>
      <w:r>
        <w:t xml:space="preserve"> </w:t>
      </w:r>
      <w:r>
        <w:rPr>
          <w:i/>
          <w:iCs/>
        </w:rPr>
        <w:t xml:space="preserve">p</w:t>
      </w:r>
      <w:r>
        <w:t xml:space="preserve"> </w:t>
      </w:r>
      <w:r>
        <w:t xml:space="preserve">&lt; .001), fear of rejection (</w:t>
      </w:r>
      <w:r>
        <w:rPr>
          <w:i/>
          <w:iCs/>
        </w:rPr>
        <w:t xml:space="preserve">Ρ</w:t>
      </w:r>
      <w:r>
        <w:t xml:space="preserve"> </w:t>
      </w:r>
      <w:r>
        <w:t xml:space="preserve">= 0.58,</w:t>
      </w:r>
      <w:r>
        <w:t xml:space="preserve"> </w:t>
      </w:r>
      <w:r>
        <w:rPr>
          <w:i/>
          <w:iCs/>
        </w:rPr>
        <w:t xml:space="preserve">p</w:t>
      </w:r>
      <w:r>
        <w:t xml:space="preserve"> </w:t>
      </w:r>
      <w:r>
        <w:t xml:space="preserve">= .001), locus (</w:t>
      </w:r>
      <w:r>
        <w:rPr>
          <w:i/>
          <w:iCs/>
        </w:rPr>
        <w:t xml:space="preserve">Ρ</w:t>
      </w:r>
      <w:r>
        <w:t xml:space="preserve"> </w:t>
      </w:r>
      <w:r>
        <w:t xml:space="preserve">= -0.42,</w:t>
      </w:r>
      <w:r>
        <w:t xml:space="preserve"> </w:t>
      </w:r>
      <w:r>
        <w:rPr>
          <w:i/>
          <w:iCs/>
        </w:rPr>
        <w:t xml:space="preserve">p</w:t>
      </w:r>
      <w:r>
        <w:t xml:space="preserve"> </w:t>
      </w:r>
      <w:r>
        <w:t xml:space="preserve">= .017) and controlability (</w:t>
      </w:r>
      <w:r>
        <w:rPr>
          <w:i/>
          <w:iCs/>
        </w:rPr>
        <w:t xml:space="preserve">Ρ</w:t>
      </w:r>
      <w:r>
        <w:t xml:space="preserve"> </w:t>
      </w:r>
      <w:r>
        <w:t xml:space="preserve">= 0.42,</w:t>
      </w:r>
      <w:r>
        <w:t xml:space="preserve"> </w:t>
      </w:r>
      <w:r>
        <w:rPr>
          <w:i/>
          <w:iCs/>
        </w:rPr>
        <w:t xml:space="preserve">p</w:t>
      </w:r>
      <w:r>
        <w:t xml:space="preserve"> </w:t>
      </w:r>
      <w:r>
        <w:t xml:space="preserve">= .017). The achievement motive correlated with the implicit affiliation motive (</w:t>
      </w:r>
      <w:r>
        <w:rPr>
          <w:i/>
          <w:iCs/>
        </w:rPr>
        <w:t xml:space="preserve">Ρ</w:t>
      </w:r>
      <w:r>
        <w:t xml:space="preserve"> </w:t>
      </w:r>
      <w:r>
        <w:t xml:space="preserve">= 0.48,</w:t>
      </w:r>
      <w:r>
        <w:t xml:space="preserve"> </w:t>
      </w:r>
      <w:r>
        <w:rPr>
          <w:i/>
          <w:iCs/>
        </w:rPr>
        <w:t xml:space="preserve">p</w:t>
      </w:r>
      <w:r>
        <w:t xml:space="preserve"> </w:t>
      </w:r>
      <w:r>
        <w:t xml:space="preserve">= .009) and power motive (</w:t>
      </w:r>
      <w:r>
        <w:rPr>
          <w:i/>
          <w:iCs/>
        </w:rPr>
        <w:t xml:space="preserve">Ρ</w:t>
      </w:r>
      <w:r>
        <w:t xml:space="preserve"> </w:t>
      </w:r>
      <w:r>
        <w:t xml:space="preserve">= 0.47,</w:t>
      </w:r>
      <w:r>
        <w:t xml:space="preserve"> </w:t>
      </w:r>
      <w:r>
        <w:rPr>
          <w:i/>
          <w:iCs/>
        </w:rPr>
        <w:t xml:space="preserve">p</w:t>
      </w:r>
      <w:r>
        <w:t xml:space="preserve"> </w:t>
      </w:r>
      <w:r>
        <w:t xml:space="preserve">= .009). Furthermore, fear of failure correlated with fear of rejection (</w:t>
      </w:r>
      <w:r>
        <w:rPr>
          <w:i/>
          <w:iCs/>
        </w:rPr>
        <w:t xml:space="preserve">Ρ</w:t>
      </w:r>
      <w:r>
        <w:t xml:space="preserve"> </w:t>
      </w:r>
      <w:r>
        <w:t xml:space="preserve">= 0.52,</w:t>
      </w:r>
      <w:r>
        <w:t xml:space="preserve"> </w:t>
      </w:r>
      <w:r>
        <w:rPr>
          <w:i/>
          <w:iCs/>
        </w:rPr>
        <w:t xml:space="preserve">p</w:t>
      </w:r>
      <w:r>
        <w:t xml:space="preserve"> </w:t>
      </w:r>
      <w:r>
        <w:t xml:space="preserve">= .007), and fear of loss of control (</w:t>
      </w:r>
      <w:r>
        <w:rPr>
          <w:i/>
          <w:iCs/>
        </w:rPr>
        <w:t xml:space="preserve">Ρ</w:t>
      </w:r>
      <w:r>
        <w:t xml:space="preserve"> </w:t>
      </w:r>
      <w:r>
        <w:t xml:space="preserve">= 0.51,</w:t>
      </w:r>
      <w:r>
        <w:t xml:space="preserve"> </w:t>
      </w:r>
      <w:r>
        <w:rPr>
          <w:i/>
          <w:iCs/>
        </w:rPr>
        <w:t xml:space="preserve">p</w:t>
      </w:r>
      <w:r>
        <w:t xml:space="preserve"> </w:t>
      </w:r>
      <w:r>
        <w:t xml:space="preserve">= .008). Finally, controlability and locus of attributions showed a correlation (</w:t>
      </w:r>
      <w:r>
        <w:rPr>
          <w:i/>
          <w:iCs/>
        </w:rPr>
        <w:t xml:space="preserve">Ρ</w:t>
      </w:r>
      <w:r>
        <w:t xml:space="preserve"> </w:t>
      </w:r>
      <w:r>
        <w:t xml:space="preserve">= -0.79,</w:t>
      </w:r>
      <w:r>
        <w:t xml:space="preserve"> </w:t>
      </w:r>
      <w:r>
        <w:rPr>
          <w:i/>
          <w:iCs/>
        </w:rPr>
        <w:t xml:space="preserve">p</w:t>
      </w:r>
      <w:r>
        <w:t xml:space="preserve"> </w:t>
      </w:r>
      <w:r>
        <w:t xml:space="preserve">&lt; .001).</w:t>
      </w:r>
    </w:p>
    <w:p>
      <w:pPr>
        <w:pStyle w:val="BodyText"/>
      </w:pPr>
      <w:r>
        <w:t xml:space="preserve">+++Please insert</w:t>
      </w:r>
      <w:r>
        <w:t xml:space="preserve"> </w:t>
      </w:r>
      <w:r>
        <w:t xml:space="preserve">“</w:t>
      </w:r>
      <w:hyperlink w:anchor="tbl-corrtable">
        <w:r>
          <w:rPr>
            <w:rStyle w:val="Hyperlink"/>
          </w:rPr>
          <w:t xml:space="preserve">Table 2</w:t>
        </w:r>
      </w:hyperlink>
      <w:r>
        <w:t xml:space="preserve">. Correlation matrix: Spearman Rho (Ρ) coefficients indicate correlations of investigated and significance is depicted as p-value”</w:t>
      </w:r>
      <w:r>
        <w:t xml:space="preserve"> </w:t>
      </w:r>
      <w:r>
        <w:t xml:space="preserve">nearby.+++</w:t>
      </w:r>
    </w:p>
    <w:p>
      <w:pPr>
        <w:pStyle w:val="BodyText"/>
      </w:pPr>
      <w:r>
        <w:t xml:space="preserve">+++Please insert</w:t>
      </w:r>
      <w:r>
        <w:t xml:space="preserve"> </w:t>
      </w:r>
      <w:r>
        <w:t xml:space="preserve">“</w:t>
      </w:r>
      <w:hyperlink w:anchor="fig-corrplot">
        <w:r>
          <w:rPr>
            <w:rStyle w:val="Hyperlink"/>
          </w:rPr>
          <w:t xml:space="preserve">Figure 2</w:t>
        </w:r>
      </w:hyperlink>
      <w:r>
        <w:t xml:space="preserve">. Correlation Plot showing Spearman Rho coefficients between investigated variables.”</w:t>
      </w:r>
      <w:r>
        <w:t xml:space="preserve"> </w:t>
      </w:r>
      <w:r>
        <w:t xml:space="preserve">nearby.+++</w:t>
      </w:r>
    </w:p>
    <w:bookmarkEnd w:id="40"/>
    <w:bookmarkEnd w:id="41"/>
    <w:bookmarkEnd w:id="42"/>
    <w:bookmarkStart w:id="51" w:name="study-2"/>
    <w:p>
      <w:pPr>
        <w:pStyle w:val="Heading1"/>
      </w:pPr>
      <w:r>
        <w:t xml:space="preserve">Study 2</w:t>
      </w:r>
    </w:p>
    <w:bookmarkStart w:id="43" w:name="analysis-1"/>
    <w:p>
      <w:pPr>
        <w:pStyle w:val="Heading2"/>
      </w:pPr>
      <w:r>
        <w:t xml:space="preserve">Analysis</w:t>
      </w:r>
    </w:p>
    <w:p>
      <w:pPr>
        <w:pStyle w:val="FirstParagraph"/>
      </w:pPr>
      <w:r>
        <w:t xml:space="preserve">We excluded participants manually if they reported data on less than two training sessions, if they did not participate in a structured training program or if they were neither runners nor triathletes. Subsequent analyses were performed using the R language</w:t>
      </w:r>
      <w:r>
        <w:t xml:space="preserve"> </w:t>
      </w:r>
      <w:r>
        <w:t xml:space="preserve">(</w:t>
      </w:r>
      <w:hyperlink w:anchor="ref-rlanguage2024">
        <w:r>
          <w:rPr>
            <w:rStyle w:val="Hyperlink"/>
          </w:rPr>
          <w:t xml:space="preserve">R Core Team, 2024</w:t>
        </w:r>
      </w:hyperlink>
      <w:r>
        <w:t xml:space="preserve">)</w:t>
      </w:r>
      <w:r>
        <w:t xml:space="preserve">.</w:t>
      </w:r>
      <w:r>
        <w:t xml:space="preserve"> </w:t>
      </w:r>
      <w:r>
        <w:t xml:space="preserve">Since the questionnaires were sent out in weekly intervals, which is we expected autocorrelation between measurement points. The variograms for all models indicated that autoregressive noise was present: The semivariance changed substantially with distance between observations. Thus, we computed autoregressive parameters and included an autocorrelation structure of order 1 (AR1) in the model, unless it resulted in a worse model fit.</w:t>
      </w:r>
    </w:p>
    <w:p>
      <w:pPr>
        <w:pStyle w:val="BodyText"/>
      </w:pPr>
      <w:r>
        <w:t xml:space="preserve">Time was not included as predictor, since we did not expect a trend over time. To disentangle within and between-person-effects (see</w:t>
      </w:r>
      <w:r>
        <w:t xml:space="preserve"> </w:t>
      </w:r>
      <w:r>
        <w:t xml:space="preserve">Wang and Maxwell (</w:t>
      </w:r>
      <w:hyperlink w:anchor="ref-Wang2015">
        <w:r>
          <w:rPr>
            <w:rStyle w:val="Hyperlink"/>
          </w:rPr>
          <w:t xml:space="preserve">2015</w:t>
        </w:r>
      </w:hyperlink>
      <w:r>
        <w:t xml:space="preserve">)</w:t>
      </w:r>
      <w:r>
        <w:t xml:space="preserve">), the time-varying predictors (pride and positive affect) were cluster-mean-centered, and the stable predictors (attribution style and implicit motives) were grand-mean-centered.</w:t>
      </w:r>
      <w:r>
        <w:br/>
      </w:r>
      <w:r>
        <w:t xml:space="preserve">Lastly, we z-standardized all predictors for easier interpretation.</w:t>
      </w:r>
    </w:p>
    <w:p>
      <w:pPr>
        <w:pStyle w:val="BodyText"/>
      </w:pPr>
      <w:r>
        <w:t xml:space="preserve">The results for the hierarchical linear models are presented separately for each the dependent variables of this study: session distance, session duration and rate of perceived exhaustion. We used interaction terms of pride with positive affect, causal attribution and implicit motives to predict these dependent variables. The predictors were added in three steps: First, the interaction term of pride and positive affect, second, the interaction terms of pride and attribution styles, and third, interaction terms of pride and implicit motives. We then decided on the appropriate model based on fit indices (AIC, BIC, log-likelihood, marginal/conditional R²) and explanatory power, and then examined the model quality, checking for normal distribution of residuals by inspection of Q-Q plots and Shapiro-Wilk-tests, homoscedasticity by examination of residual plots, absence of multicollinearity by calculation of the variance inflation factor, and linearity and distribution of outliers by visual inspection. Linearity was assessed by plotting each predictor against the outcome variable and examining LOESS-smoothed lines. On the individual level 2, we assessed normality of residuals and homoscedasticity.</w:t>
      </w:r>
    </w:p>
    <w:bookmarkEnd w:id="43"/>
    <w:bookmarkStart w:id="44" w:name="participants-1"/>
    <w:p>
      <w:pPr>
        <w:pStyle w:val="Heading2"/>
      </w:pPr>
      <w:r>
        <w:t xml:space="preserve">Participants</w:t>
      </w:r>
    </w:p>
    <w:p>
      <w:pPr>
        <w:pStyle w:val="FirstParagraph"/>
      </w:pPr>
      <w:r>
        <w:t xml:space="preserve">After completing study 1, participants were invited to report on six of their following training sessions.</w:t>
      </w:r>
      <w:r>
        <w:t xml:space="preserve"> </w:t>
      </w:r>
      <w:r>
        <w:t xml:space="preserve">The resulting final sample consisted of</w:t>
      </w:r>
      <w:r>
        <w:t xml:space="preserve"> </w:t>
      </w:r>
      <w:r>
        <w:rPr>
          <w:i/>
          <w:iCs/>
        </w:rPr>
        <w:t xml:space="preserve">N</w:t>
      </w:r>
      <w:r>
        <w:t xml:space="preserve"> </w:t>
      </w:r>
      <w:r>
        <w:t xml:space="preserve">= 20 recreational athletes who had a mean age of 35.85 years (</w:t>
      </w:r>
      <w:r>
        <w:rPr>
          <w:i/>
          <w:iCs/>
        </w:rPr>
        <w:t xml:space="preserve">SD</w:t>
      </w:r>
      <w:r>
        <w:t xml:space="preserve"> </w:t>
      </w:r>
      <w:r>
        <w:t xml:space="preserve">= 12.89; range = 20–60), including 19 females, 8 males, 2 participants who identified as diverse, and Three who did not report their gender. Participants followed individual workout routines averaging 6.8 hours per week (</w:t>
      </w:r>
      <w:r>
        <w:rPr>
          <w:i/>
          <w:iCs/>
        </w:rPr>
        <w:t xml:space="preserve">SD</w:t>
      </w:r>
      <w:r>
        <w:t xml:space="preserve"> </w:t>
      </w:r>
      <w:r>
        <w:t xml:space="preserve">= 4.61; range = 2–15) with a self-rated intensity (perceived exertion on a 1-10 scale) of 5.3 (</w:t>
      </w:r>
      <w:r>
        <w:rPr>
          <w:i/>
          <w:iCs/>
        </w:rPr>
        <w:t xml:space="preserve">SD</w:t>
      </w:r>
      <w:r>
        <w:t xml:space="preserve"> </w:t>
      </w:r>
      <w:r>
        <w:t xml:space="preserve">= 1.78). Sports included running (</w:t>
      </w:r>
      <w:r>
        <w:rPr>
          <w:i/>
          <w:iCs/>
        </w:rPr>
        <w:t xml:space="preserve">n</w:t>
      </w:r>
      <w:r>
        <w:t xml:space="preserve"> </w:t>
      </w:r>
      <w:r>
        <w:t xml:space="preserve">= 9), triathlon (</w:t>
      </w:r>
      <w:r>
        <w:rPr>
          <w:i/>
          <w:iCs/>
        </w:rPr>
        <w:t xml:space="preserve">n</w:t>
      </w:r>
      <w:r>
        <w:t xml:space="preserve"> </w:t>
      </w:r>
      <w:r>
        <w:t xml:space="preserve">= 5), weight training (</w:t>
      </w:r>
      <w:r>
        <w:rPr>
          <w:i/>
          <w:iCs/>
        </w:rPr>
        <w:t xml:space="preserve">n</w:t>
      </w:r>
      <w:r>
        <w:t xml:space="preserve"> </w:t>
      </w:r>
      <w:r>
        <w:t xml:space="preserve">= 2), and other endurance sports (</w:t>
      </w:r>
      <w:r>
        <w:rPr>
          <w:i/>
          <w:iCs/>
        </w:rPr>
        <w:t xml:space="preserve">n</w:t>
      </w:r>
      <w:r>
        <w:t xml:space="preserve"> </w:t>
      </w:r>
      <w:r>
        <w:t xml:space="preserve">= 4). Missing values amounted to 17% of all data.</w:t>
      </w:r>
    </w:p>
    <w:bookmarkEnd w:id="44"/>
    <w:bookmarkStart w:id="45" w:name="measures-1"/>
    <w:p>
      <w:pPr>
        <w:pStyle w:val="Heading2"/>
      </w:pPr>
      <w:r>
        <w:t xml:space="preserve">Measures</w:t>
      </w:r>
    </w:p>
    <w:p>
      <w:pPr>
        <w:pStyle w:val="FirstParagraph"/>
      </w:pPr>
      <w:r>
        <w:t xml:space="preserve">(see article)</w:t>
      </w:r>
    </w:p>
    <w:bookmarkEnd w:id="45"/>
    <w:bookmarkStart w:id="46" w:name="procedure-1"/>
    <w:p>
      <w:pPr>
        <w:pStyle w:val="Heading2"/>
      </w:pPr>
      <w:r>
        <w:t xml:space="preserve">Procedure</w:t>
      </w:r>
    </w:p>
    <w:p>
      <w:pPr>
        <w:pStyle w:val="FirstParagraph"/>
      </w:pPr>
      <w:r>
        <w:t xml:space="preserve">(see article)</w:t>
      </w:r>
    </w:p>
    <w:bookmarkEnd w:id="46"/>
    <w:bookmarkStart w:id="47" w:name="results-1"/>
    <w:p>
      <w:pPr>
        <w:pStyle w:val="Heading2"/>
      </w:pPr>
      <w:r>
        <w:t xml:space="preserve">Results</w:t>
      </w:r>
    </w:p>
    <w:bookmarkEnd w:id="47"/>
    <w:bookmarkStart w:id="48" w:name="session-distance"/>
    <w:p>
      <w:pPr>
        <w:pStyle w:val="Heading2"/>
      </w:pPr>
      <w:r>
        <w:t xml:space="preserve">Session distance</w:t>
      </w:r>
    </w:p>
    <w:p>
      <w:pPr>
        <w:pStyle w:val="FirstParagraph"/>
      </w:pPr>
      <w:r>
        <w:t xml:space="preserve">The running distance was z-standardized within certain session speed groups. If the time and distance that was reported for one session was less than five, it was classified as</w:t>
      </w:r>
      <w:r>
        <w:t xml:space="preserve"> </w:t>
      </w:r>
      <w:r>
        <w:rPr>
          <w:i/>
          <w:iCs/>
        </w:rPr>
        <w:t xml:space="preserve">swimming</w:t>
      </w:r>
      <w:r>
        <w:t xml:space="preserve">, between five and 20km/h was classified as</w:t>
      </w:r>
      <w:r>
        <w:t xml:space="preserve"> </w:t>
      </w:r>
      <w:r>
        <w:rPr>
          <w:i/>
          <w:iCs/>
        </w:rPr>
        <w:t xml:space="preserve">running</w:t>
      </w:r>
      <w:r>
        <w:t xml:space="preserve">, and if the speed was over 20km/h, it was classified as</w:t>
      </w:r>
      <w:r>
        <w:t xml:space="preserve"> </w:t>
      </w:r>
      <w:r>
        <w:rPr>
          <w:i/>
          <w:iCs/>
        </w:rPr>
        <w:t xml:space="preserve">cycling</w:t>
      </w:r>
      <w:r>
        <w:t xml:space="preserve">. The result is presented in</w:t>
      </w:r>
      <w:r>
        <w:t xml:space="preserve"> </w:t>
      </w:r>
      <w:hyperlink w:anchor="tbl-hlmtable_km">
        <w:r>
          <w:rPr>
            <w:rStyle w:val="Hyperlink"/>
          </w:rPr>
          <w:t xml:space="preserve">Table 3</w:t>
        </w:r>
      </w:hyperlink>
      <w:r>
        <w:t xml:space="preserve">.</w:t>
      </w:r>
    </w:p>
    <w:p>
      <w:pPr>
        <w:pStyle w:val="BodyText"/>
      </w:pPr>
      <w:r>
        <w:t xml:space="preserve">The intraclass correlation coefficient was</w:t>
      </w:r>
      <w:r>
        <w:t xml:space="preserve"> </w:t>
      </w:r>
      <w:r>
        <w:rPr>
          <w:i/>
          <w:iCs/>
        </w:rPr>
        <w:t xml:space="preserve">ICC</w:t>
      </w:r>
      <w:r>
        <w:t xml:space="preserve"> </w:t>
      </w:r>
      <w:r>
        <w:t xml:space="preserve">= 0.25.</w:t>
      </w:r>
      <w:r>
        <w:t xml:space="preserve"> </w:t>
      </w:r>
      <w:r>
        <w:t xml:space="preserve">The autoregressive parameter was φ = -0.71, 95% CI [-0.89, -0.368], indicating a tendency that higher values were followed by lower values of session distance, and vice versa.</w:t>
      </w:r>
      <w:r>
        <w:t xml:space="preserve"> </w:t>
      </w:r>
      <w:r>
        <w:t xml:space="preserve">Model 3 included significant predictors and the lowest log-likelihood, it also fit significantly better than the same model without a correlation matrix (χ² = 11.59, df = 18;</w:t>
      </w:r>
      <w:r>
        <w:t xml:space="preserve"> </w:t>
      </w:r>
      <w:r>
        <w:rPr>
          <w:i/>
          <w:iCs/>
        </w:rPr>
        <w:t xml:space="preserve">p</w:t>
      </w:r>
      <w:r>
        <w:t xml:space="preserve"> </w:t>
      </w:r>
      <w:r>
        <w:t xml:space="preserve">&lt; .001). Thus, Model 3 was selected for further analysis of statistical assumptions and the discussion.</w:t>
      </w:r>
    </w:p>
    <w:p>
      <w:pPr>
        <w:pStyle w:val="BodyText"/>
      </w:pPr>
      <w:r>
        <w:t xml:space="preserve">The residuals were normally distributed (</w:t>
      </w:r>
      <w:r>
        <w:rPr>
          <w:i/>
          <w:iCs/>
        </w:rPr>
        <w:t xml:space="preserve">p</w:t>
      </w:r>
      <w:r>
        <w:t xml:space="preserve"> </w:t>
      </w:r>
      <w:r>
        <w:t xml:space="preserve">= .095 ).</w:t>
      </w:r>
      <w:r>
        <w:t xml:space="preserve"> </w:t>
      </w:r>
      <w:hyperlink w:anchor="fig-sessionkm_assumptions">
        <w:r>
          <w:rPr>
            <w:rStyle w:val="Hyperlink"/>
          </w:rPr>
          <w:t xml:space="preserve">Figure 3</w:t>
        </w:r>
      </w:hyperlink>
      <w:r>
        <w:t xml:space="preserve"> </w:t>
      </w:r>
      <w:r>
        <w:t xml:space="preserve">shows a QQ-plot and scatterplot of the residuals. Here, the residuals are skewed to the left, indicating a slight deviation from the assumption of homoscedasticity.</w:t>
      </w:r>
    </w:p>
    <w:p>
      <w:pPr>
        <w:pStyle w:val="BodyText"/>
      </w:pPr>
      <w:r>
        <w:t xml:space="preserve">The variance inflation factor ranged from</w:t>
      </w:r>
      <w:r>
        <w:t xml:space="preserve"> </w:t>
      </w:r>
      <w:r>
        <w:rPr>
          <w:i/>
          <w:iCs/>
        </w:rPr>
        <w:t xml:space="preserve">vif</w:t>
      </w:r>
      <w:r>
        <w:rPr>
          <w:i/>
          <w:iCs/>
          <w:vertAlign w:val="subscript"/>
        </w:rPr>
        <w:t xml:space="preserve">min</w:t>
      </w:r>
      <w:r>
        <w:t xml:space="preserve"> </w:t>
      </w:r>
      <w:r>
        <w:t xml:space="preserve">= 1.38 to</w:t>
      </w:r>
      <w:r>
        <w:t xml:space="preserve"> </w:t>
      </w:r>
      <w:r>
        <w:rPr>
          <w:i/>
          <w:iCs/>
        </w:rPr>
        <w:t xml:space="preserve">vif</w:t>
      </w:r>
      <w:r>
        <w:rPr>
          <w:i/>
          <w:iCs/>
          <w:vertAlign w:val="subscript"/>
        </w:rPr>
        <w:t xml:space="preserve">max</w:t>
      </w:r>
      <w:r>
        <w:t xml:space="preserve"> </w:t>
      </w:r>
      <w:r>
        <w:t xml:space="preserve">= 4.61.</w:t>
      </w:r>
    </w:p>
    <w:p>
      <w:pPr>
        <w:pStyle w:val="BodyText"/>
      </w:pPr>
      <w:hyperlink w:anchor="fig-linearity">
        <w:r>
          <w:rPr>
            <w:rStyle w:val="Hyperlink"/>
          </w:rPr>
          <w:t xml:space="preserve">Figure 4</w:t>
        </w:r>
      </w:hyperlink>
      <w:r>
        <w:t xml:space="preserve"> </w:t>
      </w:r>
      <w:r>
        <w:t xml:space="preserve">shows substantial deviations from linearity.</w:t>
      </w:r>
      <w:r>
        <w:t xml:space="preserve"> </w:t>
      </w:r>
      <w:hyperlink w:anchor="fig-outliers">
        <w:r>
          <w:rPr>
            <w:rStyle w:val="Hyperlink"/>
          </w:rPr>
          <w:t xml:space="preserve">Figure 5</w:t>
        </w:r>
      </w:hyperlink>
      <w:r>
        <w:t xml:space="preserve"> </w:t>
      </w:r>
      <w:r>
        <w:t xml:space="preserve">shows the distribution of outliers in the residuals by each individual.</w:t>
      </w:r>
    </w:p>
    <w:p>
      <w:pPr>
        <w:pStyle w:val="BodyText"/>
      </w:pPr>
      <w:r>
        <w:t xml:space="preserve">The marginal and conditional R-squared values, representing the portion of variance explained by the fixed effects and the random effects respectively, were</w:t>
      </w:r>
      <w:r>
        <w:t xml:space="preserve"> </w:t>
      </w:r>
      <w:r>
        <w:rPr>
          <w:i/>
          <w:iCs/>
        </w:rPr>
        <w:t xml:space="preserve">R</w:t>
      </w:r>
      <w:r>
        <w:rPr>
          <w:i/>
          <w:iCs/>
          <w:vertAlign w:val="superscript"/>
        </w:rPr>
        <w:t xml:space="preserve">2</w:t>
      </w:r>
      <w:r>
        <w:rPr>
          <w:i/>
          <w:iCs/>
          <w:vertAlign w:val="subscript"/>
        </w:rPr>
        <w:t xml:space="preserve">marginal</w:t>
      </w:r>
      <w:r>
        <w:t xml:space="preserve"> </w:t>
      </w:r>
      <w:r>
        <w:t xml:space="preserve">= 0.25 and</w:t>
      </w:r>
      <w:r>
        <w:t xml:space="preserve"> </w:t>
      </w:r>
      <w:r>
        <w:rPr>
          <w:i/>
          <w:iCs/>
        </w:rPr>
        <w:t xml:space="preserve">R</w:t>
      </w:r>
      <w:r>
        <w:rPr>
          <w:i/>
          <w:iCs/>
          <w:vertAlign w:val="superscript"/>
        </w:rPr>
        <w:t xml:space="preserve">2</w:t>
      </w:r>
      <w:r>
        <w:rPr>
          <w:i/>
          <w:iCs/>
          <w:vertAlign w:val="subscript"/>
        </w:rPr>
        <w:t xml:space="preserve">conditional</w:t>
      </w:r>
      <w:r>
        <w:t xml:space="preserve"> </w:t>
      </w:r>
      <w:r>
        <w:t xml:space="preserve">= 0.663.</w:t>
      </w:r>
    </w:p>
    <w:p>
      <w:pPr>
        <w:pStyle w:val="BodyText"/>
      </w:pPr>
      <w:r>
        <w:t xml:space="preserve">On the individual level (level 2), a shapiro-wilk-test showed that residuals were not normally distributed (</w:t>
      </w:r>
      <w:r>
        <w:rPr>
          <w:i/>
          <w:iCs/>
        </w:rPr>
        <w:t xml:space="preserve">p</w:t>
      </w:r>
      <w:r>
        <w:t xml:space="preserve"> </w:t>
      </w:r>
      <w:r>
        <w:t xml:space="preserve">= .017). The distribution of residuals in</w:t>
      </w:r>
      <w:r>
        <w:t xml:space="preserve"> </w:t>
      </w:r>
      <w:hyperlink w:anchor="fig-sessionkm_assumptions_lvl2">
        <w:r>
          <w:rPr>
            <w:rStyle w:val="Hyperlink"/>
          </w:rPr>
          <w:t xml:space="preserve">Figure 6</w:t>
        </w:r>
      </w:hyperlink>
      <w:r>
        <w:t xml:space="preserve"> </w:t>
      </w:r>
      <w:r>
        <w:t xml:space="preserve">show no serious violation of homoscedasticity.</w:t>
      </w:r>
    </w:p>
    <w:p>
      <w:pPr>
        <w:pStyle w:val="BodyText"/>
      </w:pPr>
      <w:r>
        <w:t xml:space="preserve">Several interaction terms emerged as significant predictors:</w:t>
      </w:r>
      <w:r>
        <w:t xml:space="preserve"> </w:t>
      </w:r>
      <w:r>
        <w:t xml:space="preserve">The interactions between pride and positive affect (</w:t>
      </w:r>
      <w:r>
        <w:rPr>
          <w:i/>
          <w:iCs/>
        </w:rPr>
        <w:t xml:space="preserve">b</w:t>
      </w:r>
      <w:r>
        <w:t xml:space="preserve"> </w:t>
      </w:r>
      <w:r>
        <w:t xml:space="preserve">= 0.39,</w:t>
      </w:r>
      <w:r>
        <w:t xml:space="preserve"> </w:t>
      </w:r>
      <w:r>
        <w:rPr>
          <w:i/>
          <w:iCs/>
        </w:rPr>
        <w:t xml:space="preserve">p</w:t>
      </w:r>
      <w:r>
        <w:t xml:space="preserve"> </w:t>
      </w:r>
      <w:r>
        <w:t xml:space="preserve">= .015), and achievement motive (</w:t>
      </w:r>
      <w:r>
        <w:rPr>
          <w:i/>
          <w:iCs/>
        </w:rPr>
        <w:t xml:space="preserve">b</w:t>
      </w:r>
      <w:r>
        <w:t xml:space="preserve"> </w:t>
      </w:r>
      <w:r>
        <w:t xml:space="preserve">= 0.58,</w:t>
      </w:r>
      <w:r>
        <w:t xml:space="preserve"> </w:t>
      </w:r>
      <w:r>
        <w:rPr>
          <w:i/>
          <w:iCs/>
        </w:rPr>
        <w:t xml:space="preserve">p</w:t>
      </w:r>
      <w:r>
        <w:t xml:space="preserve"> </w:t>
      </w:r>
      <w:r>
        <w:t xml:space="preserve">&lt; .001) were positive, meaning that the effect of pride on the training distance in the</w:t>
      </w:r>
      <w:r>
        <w:t xml:space="preserve"> </w:t>
      </w:r>
      <w:r>
        <w:rPr>
          <w:i/>
          <w:iCs/>
        </w:rPr>
        <w:t xml:space="preserve">next</w:t>
      </w:r>
      <w:r>
        <w:t xml:space="preserve"> </w:t>
      </w:r>
      <w:r>
        <w:t xml:space="preserve">session is stronger when there is a high achievement motive or a high positive affect (in the previous session).</w:t>
      </w:r>
      <w:r>
        <w:t xml:space="preserve"> </w:t>
      </w:r>
      <w:r>
        <w:t xml:space="preserve">The interaction terms between pride and globality (</w:t>
      </w:r>
      <w:r>
        <w:rPr>
          <w:i/>
          <w:iCs/>
        </w:rPr>
        <w:t xml:space="preserve">b</w:t>
      </w:r>
      <w:r>
        <w:t xml:space="preserve"> </w:t>
      </w:r>
      <w:r>
        <w:t xml:space="preserve">= 0.393,</w:t>
      </w:r>
      <w:r>
        <w:t xml:space="preserve"> </w:t>
      </w:r>
      <w:r>
        <w:rPr>
          <w:i/>
          <w:iCs/>
        </w:rPr>
        <w:t xml:space="preserve">p</w:t>
      </w:r>
      <w:r>
        <w:t xml:space="preserve"> </w:t>
      </w:r>
      <w:r>
        <w:t xml:space="preserve">= .015), the affiliation motive (</w:t>
      </w:r>
      <w:r>
        <w:rPr>
          <w:i/>
          <w:iCs/>
        </w:rPr>
        <w:t xml:space="preserve">b</w:t>
      </w:r>
      <w:r>
        <w:t xml:space="preserve"> </w:t>
      </w:r>
      <w:r>
        <w:t xml:space="preserve">= -0.72,</w:t>
      </w:r>
      <w:r>
        <w:t xml:space="preserve"> </w:t>
      </w:r>
      <w:r>
        <w:rPr>
          <w:i/>
          <w:iCs/>
        </w:rPr>
        <w:t xml:space="preserve">p</w:t>
      </w:r>
      <w:r>
        <w:t xml:space="preserve"> </w:t>
      </w:r>
      <w:r>
        <w:t xml:space="preserve">= &lt; .001) and the power motive (</w:t>
      </w:r>
      <w:r>
        <w:rPr>
          <w:i/>
          <w:iCs/>
        </w:rPr>
        <w:t xml:space="preserve">b</w:t>
      </w:r>
      <w:r>
        <w:t xml:space="preserve"> </w:t>
      </w:r>
      <w:r>
        <w:t xml:space="preserve">= -0.81,</w:t>
      </w:r>
      <w:r>
        <w:t xml:space="preserve"> </w:t>
      </w:r>
      <w:r>
        <w:rPr>
          <w:i/>
          <w:iCs/>
        </w:rPr>
        <w:t xml:space="preserve">p</w:t>
      </w:r>
      <w:r>
        <w:t xml:space="preserve"> </w:t>
      </w:r>
      <w:r>
        <w:t xml:space="preserve">&lt; .001) were negative: When globality, affiliation or power are high, pride reduced the running distance in the next session.</w:t>
      </w:r>
    </w:p>
    <w:bookmarkEnd w:id="48"/>
    <w:bookmarkStart w:id="49" w:name="session-duration"/>
    <w:p>
      <w:pPr>
        <w:pStyle w:val="Heading2"/>
      </w:pPr>
      <w:r>
        <w:t xml:space="preserve">Session duration</w:t>
      </w:r>
    </w:p>
    <w:p>
      <w:pPr>
        <w:pStyle w:val="FirstParagraph"/>
      </w:pPr>
      <w:r>
        <w:t xml:space="preserve">The parameters for this model that predicted session duration are shown in</w:t>
      </w:r>
      <w:r>
        <w:t xml:space="preserve"> </w:t>
      </w:r>
      <w:hyperlink w:anchor="tbl-hlmtable_h">
        <w:r>
          <w:rPr>
            <w:rStyle w:val="Hyperlink"/>
          </w:rPr>
          <w:t xml:space="preserve">Table 4</w:t>
        </w:r>
      </w:hyperlink>
      <w:r>
        <w:t xml:space="preserve">.</w:t>
      </w:r>
      <w:r>
        <w:t xml:space="preserve"> </w:t>
      </w:r>
      <w:r>
        <w:t xml:space="preserve">The ICC was</w:t>
      </w:r>
      <w:r>
        <w:t xml:space="preserve"> </w:t>
      </w:r>
      <w:r>
        <w:rPr>
          <w:i/>
          <w:iCs/>
        </w:rPr>
        <w:t xml:space="preserve">ICC</w:t>
      </w:r>
      <w:r>
        <w:t xml:space="preserve"> </w:t>
      </w:r>
      <w:r>
        <w:t xml:space="preserve">= 0.48.</w:t>
      </w:r>
    </w:p>
    <w:p>
      <w:pPr>
        <w:pStyle w:val="BodyText"/>
      </w:pPr>
      <w:r>
        <w:t xml:space="preserve">None of the models identified significant predictors of session duration. With an autoregressive coefficient of φ = -0.39, 95% CI [-0.39, 0.32], modelling autocorrelation resulted in a slightly better model fit. However, the improvement was not significant (</w:t>
      </w:r>
      <w:r>
        <w:rPr>
          <w:i/>
          <w:iCs/>
        </w:rPr>
        <w:t xml:space="preserve">p</w:t>
      </w:r>
      <w:r>
        <w:t xml:space="preserve"> </w:t>
      </w:r>
      <w:r>
        <w:t xml:space="preserve">= .817). The model with the correlation matrix (Model 3) was retained for further examination.</w:t>
      </w:r>
    </w:p>
    <w:p>
      <w:pPr>
        <w:pStyle w:val="BodyText"/>
      </w:pPr>
      <w:r>
        <w:t xml:space="preserve">The Shapiro-Wilk-test indicated a deviation from normality (</w:t>
      </w:r>
      <w:r>
        <w:rPr>
          <w:i/>
          <w:iCs/>
        </w:rPr>
        <w:t xml:space="preserve">p</w:t>
      </w:r>
      <w:r>
        <w:t xml:space="preserve"> </w:t>
      </w:r>
      <w:r>
        <w:t xml:space="preserve">&lt; .001). A slight deviation from the normal distribution of residuals and the assumption of homoscedasticity is apparent in</w:t>
      </w:r>
      <w:r>
        <w:t xml:space="preserve"> </w:t>
      </w:r>
      <w:hyperlink w:anchor="fig-sessionh_assumptions">
        <w:r>
          <w:rPr>
            <w:rStyle w:val="Hyperlink"/>
          </w:rPr>
          <w:t xml:space="preserve">Figure 7</w:t>
        </w:r>
      </w:hyperlink>
      <w:r>
        <w:t xml:space="preserve">.</w:t>
      </w:r>
    </w:p>
    <w:p>
      <w:pPr>
        <w:pStyle w:val="BodyText"/>
      </w:pPr>
      <w:r>
        <w:t xml:space="preserve">The variance inflation factor ranged from</w:t>
      </w:r>
      <w:r>
        <w:t xml:space="preserve"> </w:t>
      </w:r>
      <w:r>
        <w:rPr>
          <w:i/>
          <w:iCs/>
        </w:rPr>
        <w:t xml:space="preserve">vif</w:t>
      </w:r>
      <w:r>
        <w:rPr>
          <w:i/>
          <w:iCs/>
          <w:vertAlign w:val="subscript"/>
        </w:rPr>
        <w:t xml:space="preserve">min</w:t>
      </w:r>
      <w:r>
        <w:t xml:space="preserve"> </w:t>
      </w:r>
      <w:r>
        <w:t xml:space="preserve">= 1.08 to</w:t>
      </w:r>
      <w:r>
        <w:t xml:space="preserve"> </w:t>
      </w:r>
      <w:r>
        <w:rPr>
          <w:i/>
          <w:iCs/>
        </w:rPr>
        <w:t xml:space="preserve">vif</w:t>
      </w:r>
      <w:r>
        <w:rPr>
          <w:i/>
          <w:iCs/>
          <w:vertAlign w:val="subscript"/>
        </w:rPr>
        <w:t xml:space="preserve">max</w:t>
      </w:r>
      <w:r>
        <w:t xml:space="preserve"> </w:t>
      </w:r>
      <w:r>
        <w:t xml:space="preserve">= 3.4.</w:t>
      </w:r>
    </w:p>
    <w:p>
      <w:pPr>
        <w:pStyle w:val="BodyText"/>
      </w:pPr>
      <w:hyperlink w:anchor="fig-linearity_h">
        <w:r>
          <w:rPr>
            <w:rStyle w:val="Hyperlink"/>
          </w:rPr>
          <w:t xml:space="preserve">Figure 9</w:t>
        </w:r>
      </w:hyperlink>
      <w:r>
        <w:t xml:space="preserve"> </w:t>
      </w:r>
      <w:r>
        <w:t xml:space="preserve">shows the predictors plotted against session duration to assess linearity.</w:t>
      </w:r>
    </w:p>
    <w:p>
      <w:pPr>
        <w:pStyle w:val="BodyText"/>
      </w:pPr>
      <w:hyperlink w:anchor="fig-outliers_h">
        <w:r>
          <w:rPr>
            <w:rStyle w:val="Hyperlink"/>
          </w:rPr>
          <w:t xml:space="preserve">Figure 8</w:t>
        </w:r>
      </w:hyperlink>
      <w:r>
        <w:t xml:space="preserve"> </w:t>
      </w:r>
      <w:r>
        <w:t xml:space="preserve">shows two outliers in the residuals of the model.</w:t>
      </w:r>
    </w:p>
    <w:p>
      <w:pPr>
        <w:pStyle w:val="BodyText"/>
      </w:pPr>
      <w:r>
        <w:t xml:space="preserve">The marginal and conditional R-squared values were</w:t>
      </w:r>
      <w:r>
        <w:t xml:space="preserve"> </w:t>
      </w:r>
      <w:r>
        <w:rPr>
          <w:i/>
          <w:iCs/>
        </w:rPr>
        <w:t xml:space="preserve">R</w:t>
      </w:r>
      <w:r>
        <w:rPr>
          <w:i/>
          <w:iCs/>
          <w:vertAlign w:val="superscript"/>
        </w:rPr>
        <w:t xml:space="preserve">2</w:t>
      </w:r>
      <w:r>
        <w:rPr>
          <w:i/>
          <w:iCs/>
          <w:vertAlign w:val="subscript"/>
        </w:rPr>
        <w:t xml:space="preserve">marginal</w:t>
      </w:r>
      <w:r>
        <w:t xml:space="preserve"> </w:t>
      </w:r>
      <w:r>
        <w:t xml:space="preserve">= 0.12 and</w:t>
      </w:r>
      <w:r>
        <w:t xml:space="preserve"> </w:t>
      </w:r>
      <w:r>
        <w:rPr>
          <w:i/>
          <w:iCs/>
        </w:rPr>
        <w:t xml:space="preserve">R</w:t>
      </w:r>
      <w:r>
        <w:rPr>
          <w:i/>
          <w:iCs/>
          <w:vertAlign w:val="superscript"/>
        </w:rPr>
        <w:t xml:space="preserve">2</w:t>
      </w:r>
      <w:r>
        <w:rPr>
          <w:i/>
          <w:iCs/>
          <w:vertAlign w:val="subscript"/>
        </w:rPr>
        <w:t xml:space="preserve">conditional</w:t>
      </w:r>
      <w:r>
        <w:t xml:space="preserve"> </w:t>
      </w:r>
      <w:r>
        <w:t xml:space="preserve">= 0.68.</w:t>
      </w:r>
    </w:p>
    <w:p>
      <w:pPr>
        <w:pStyle w:val="BodyText"/>
      </w:pPr>
      <w:r>
        <w:t xml:space="preserve">On the individual level (level 2), the Shapiro-Wilk-test suggested non-normality (</w:t>
      </w:r>
      <w:r>
        <w:rPr>
          <w:i/>
          <w:iCs/>
        </w:rPr>
        <w:t xml:space="preserve">p</w:t>
      </w:r>
      <w:r>
        <w:t xml:space="preserve"> </w:t>
      </w:r>
      <w:r>
        <w:t xml:space="preserve">= .009). The distribution of residuals indicates homoscedasticity, as shown in</w:t>
      </w:r>
      <w:r>
        <w:t xml:space="preserve"> </w:t>
      </w:r>
      <w:hyperlink w:anchor="fig-sessionh_assumptions_lvl2">
        <w:r>
          <w:rPr>
            <w:rStyle w:val="Hyperlink"/>
          </w:rPr>
          <w:t xml:space="preserve">Figure 10</w:t>
        </w:r>
      </w:hyperlink>
      <w:r>
        <w:t xml:space="preserve">.</w:t>
      </w:r>
    </w:p>
    <w:bookmarkEnd w:id="49"/>
    <w:bookmarkStart w:id="50" w:name="session-rate-of-perceived-exhaustion"/>
    <w:p>
      <w:pPr>
        <w:pStyle w:val="Heading2"/>
      </w:pPr>
      <w:r>
        <w:t xml:space="preserve">Session Rate of Perceived Exhaustion</w:t>
      </w:r>
    </w:p>
    <w:p>
      <w:pPr>
        <w:pStyle w:val="FirstParagraph"/>
      </w:pPr>
      <w:r>
        <w:t xml:space="preserve">The regression coefficients are shown in</w:t>
      </w:r>
      <w:r>
        <w:t xml:space="preserve"> </w:t>
      </w:r>
      <w:hyperlink w:anchor="tbl-hlmtable_rpe">
        <w:r>
          <w:rPr>
            <w:rStyle w:val="Hyperlink"/>
          </w:rPr>
          <w:t xml:space="preserve">Table 5</w:t>
        </w:r>
      </w:hyperlink>
      <w:r>
        <w:t xml:space="preserve">. The null model revealed an</w:t>
      </w:r>
      <w:r>
        <w:t xml:space="preserve"> </w:t>
      </w:r>
      <w:r>
        <w:rPr>
          <w:b/>
          <w:bCs/>
        </w:rPr>
        <w:t xml:space="preserve">ICC</w:t>
      </w:r>
      <w:r>
        <w:t xml:space="preserve"> </w:t>
      </w:r>
      <w:r>
        <w:t xml:space="preserve">of 0.196 The third model with all predictors shows the lowest AIC and log likelihood. With φ = -0.42, 95% CI [-0.42, 0.35], a correlation matrix resulted in a worse fit (</w:t>
      </w:r>
      <w:r>
        <w:t xml:space="preserve"> </w:t>
      </w:r>
      <w:r>
        <w:rPr>
          <w:i/>
          <w:iCs/>
        </w:rPr>
        <w:t xml:space="preserve">p</w:t>
      </w:r>
      <w:r>
        <w:t xml:space="preserve"> </w:t>
      </w:r>
      <w:r>
        <w:t xml:space="preserve">0.84), so we used the model without the correlation structure, since it showed the lowest AIC and log likelihood and was tested for statistical assumptions and model quality.</w:t>
      </w:r>
    </w:p>
    <w:p>
      <w:pPr>
        <w:pStyle w:val="BodyText"/>
      </w:pPr>
      <w:r>
        <w:t xml:space="preserve">A more stable attribution style predicted a lower RPE, and so did the interaction terms of pride with positive affect, pride with a more external locus of control, pride with a higher implicit affiliation as well as a higher power motive. Only the interaction between pride and the implicit achievement motive predicted a higher rate of perceived exhaustion for each session.</w:t>
      </w:r>
    </w:p>
    <w:p>
      <w:pPr>
        <w:pStyle w:val="BodyText"/>
      </w:pPr>
      <w:r>
        <w:t xml:space="preserve">The residuals show a deviation from the assumption of normality, as indicated by a Shapiro-Wilk-test (</w:t>
      </w:r>
      <w:r>
        <w:rPr>
          <w:i/>
          <w:iCs/>
        </w:rPr>
        <w:t xml:space="preserve">p</w:t>
      </w:r>
      <w:r>
        <w:t xml:space="preserve"> </w:t>
      </w:r>
      <w:r>
        <w:t xml:space="preserve">= .011).</w:t>
      </w:r>
      <w:r>
        <w:t xml:space="preserve"> </w:t>
      </w:r>
      <w:hyperlink w:anchor="fig-sessionrpe_assumptions">
        <w:r>
          <w:rPr>
            <w:rStyle w:val="Hyperlink"/>
          </w:rPr>
          <w:t xml:space="preserve">Figure 11</w:t>
        </w:r>
      </w:hyperlink>
      <w:r>
        <w:t xml:space="preserve"> </w:t>
      </w:r>
      <w:r>
        <w:t xml:space="preserve">shows the deviation from the normal distribution in a QQ-Plot along with the distribution of residuals. The linear patterns that emerge in the residuals are a result of the discrete values in the session RPE data.</w:t>
      </w:r>
    </w:p>
    <w:p>
      <w:pPr>
        <w:pStyle w:val="BodyText"/>
      </w:pPr>
      <w:r>
        <w:t xml:space="preserve">The variance inflation factor ranged between</w:t>
      </w:r>
      <w:r>
        <w:t xml:space="preserve"> </w:t>
      </w:r>
      <w:r>
        <w:rPr>
          <w:i/>
          <w:iCs/>
        </w:rPr>
        <w:t xml:space="preserve">vif</w:t>
      </w:r>
      <w:r>
        <w:rPr>
          <w:i/>
          <w:iCs/>
          <w:vertAlign w:val="subscript"/>
        </w:rPr>
        <w:t xml:space="preserve">min</w:t>
      </w:r>
      <w:r>
        <w:t xml:space="preserve"> </w:t>
      </w:r>
      <w:r>
        <w:t xml:space="preserve">= 1.09 and</w:t>
      </w:r>
      <w:r>
        <w:t xml:space="preserve"> </w:t>
      </w:r>
      <w:r>
        <w:rPr>
          <w:i/>
          <w:iCs/>
        </w:rPr>
        <w:t xml:space="preserve">vif</w:t>
      </w:r>
      <w:r>
        <w:rPr>
          <w:i/>
          <w:iCs/>
          <w:vertAlign w:val="subscript"/>
        </w:rPr>
        <w:t xml:space="preserve">max</w:t>
      </w:r>
      <w:r>
        <w:t xml:space="preserve"> </w:t>
      </w:r>
      <w:r>
        <w:t xml:space="preserve">= 2.72.</w:t>
      </w:r>
    </w:p>
    <w:p>
      <w:pPr>
        <w:pStyle w:val="BodyText"/>
      </w:pPr>
      <w:r>
        <w:t xml:space="preserve">The marginal and conditional R-squared values, representing the portion of variance explained by the fixed effects and the random effects respectively, were</w:t>
      </w:r>
      <w:r>
        <w:t xml:space="preserve"> </w:t>
      </w:r>
      <w:r>
        <w:rPr>
          <w:i/>
          <w:iCs/>
        </w:rPr>
        <w:t xml:space="preserve">R</w:t>
      </w:r>
      <w:r>
        <w:rPr>
          <w:i/>
          <w:iCs/>
          <w:vertAlign w:val="superscript"/>
        </w:rPr>
        <w:t xml:space="preserve">2</w:t>
      </w:r>
      <w:r>
        <w:rPr>
          <w:i/>
          <w:iCs/>
          <w:vertAlign w:val="subscript"/>
        </w:rPr>
        <w:t xml:space="preserve">marginal</w:t>
      </w:r>
      <w:r>
        <w:t xml:space="preserve"> </w:t>
      </w:r>
      <w:r>
        <w:t xml:space="preserve">= 0.32 and</w:t>
      </w:r>
      <w:r>
        <w:t xml:space="preserve"> </w:t>
      </w:r>
      <w:r>
        <w:rPr>
          <w:i/>
          <w:iCs/>
        </w:rPr>
        <w:t xml:space="preserve">R</w:t>
      </w:r>
      <w:r>
        <w:rPr>
          <w:i/>
          <w:iCs/>
          <w:vertAlign w:val="superscript"/>
        </w:rPr>
        <w:t xml:space="preserve">2</w:t>
      </w:r>
      <w:r>
        <w:rPr>
          <w:i/>
          <w:iCs/>
          <w:vertAlign w:val="subscript"/>
        </w:rPr>
        <w:t xml:space="preserve">conditional</w:t>
      </w:r>
      <w:r>
        <w:t xml:space="preserve"> </w:t>
      </w:r>
      <w:r>
        <w:t xml:space="preserve">= 0.53.</w:t>
      </w:r>
    </w:p>
    <w:p>
      <w:pPr>
        <w:pStyle w:val="BodyText"/>
      </w:pPr>
      <w:hyperlink w:anchor="fig-linearity_rpe">
        <w:r>
          <w:rPr>
            <w:rStyle w:val="Hyperlink"/>
          </w:rPr>
          <w:t xml:space="preserve">Figure 12</w:t>
        </w:r>
      </w:hyperlink>
      <w:r>
        <w:t xml:space="preserve"> </w:t>
      </w:r>
      <w:r>
        <w:t xml:space="preserve">shows the predictors plotted against the target variable.</w:t>
      </w:r>
    </w:p>
    <w:p>
      <w:pPr>
        <w:pStyle w:val="BodyText"/>
      </w:pPr>
      <w:r>
        <w:t xml:space="preserve">On the individual level (level 2), the residuals were not normally distributed (</w:t>
      </w:r>
      <w:r>
        <w:rPr>
          <w:i/>
          <w:iCs/>
        </w:rPr>
        <w:t xml:space="preserve">p</w:t>
      </w:r>
      <w:r>
        <w:t xml:space="preserve"> </w:t>
      </w:r>
      <w:r>
        <w:t xml:space="preserve">= .017). No serious deviation from the assumption of homoscedasticity was present in</w:t>
      </w:r>
      <w:r>
        <w:t xml:space="preserve"> </w:t>
      </w:r>
      <w:hyperlink w:anchor="fig-sessionrpe_assumptions_lvl2">
        <w:r>
          <w:rPr>
            <w:rStyle w:val="Hyperlink"/>
          </w:rPr>
          <w:t xml:space="preserve">Figure 13</w:t>
        </w:r>
      </w:hyperlink>
      <w:r>
        <w:t xml:space="preserve">.</w:t>
      </w:r>
    </w:p>
    <w:p>
      <w:pPr>
        <w:pStyle w:val="BodyText"/>
      </w:pPr>
      <w:r>
        <w:t xml:space="preserve">Several interaction terms emerged as significant predictors:</w:t>
      </w:r>
      <w:r>
        <w:t xml:space="preserve"> </w:t>
      </w:r>
      <w:r>
        <w:t xml:space="preserve">When a person had a tendency to more stable attributions, session RPE was reduced (</w:t>
      </w:r>
      <w:r>
        <w:rPr>
          <w:i/>
          <w:iCs/>
        </w:rPr>
        <w:t xml:space="preserve">b</w:t>
      </w:r>
      <w:r>
        <w:t xml:space="preserve"> </w:t>
      </w:r>
      <w:r>
        <w:t xml:space="preserve">= -0.462,</w:t>
      </w:r>
      <w:r>
        <w:t xml:space="preserve"> </w:t>
      </w:r>
      <w:r>
        <w:rPr>
          <w:i/>
          <w:iCs/>
        </w:rPr>
        <w:t xml:space="preserve">p</w:t>
      </w:r>
      <w:r>
        <w:t xml:space="preserve"> </w:t>
      </w:r>
      <w:r>
        <w:t xml:space="preserve">= .021). Pride predicted the session rate of perceived exhaustion negatively if positive affect in the last session was high (</w:t>
      </w:r>
      <w:r>
        <w:rPr>
          <w:i/>
          <w:iCs/>
        </w:rPr>
        <w:t xml:space="preserve">b</w:t>
      </w:r>
      <w:r>
        <w:t xml:space="preserve"> </w:t>
      </w:r>
      <w:r>
        <w:t xml:space="preserve">= -0.183,</w:t>
      </w:r>
      <w:r>
        <w:t xml:space="preserve"> </w:t>
      </w:r>
      <w:r>
        <w:rPr>
          <w:i/>
          <w:iCs/>
        </w:rPr>
        <w:t xml:space="preserve">p</w:t>
      </w:r>
      <w:r>
        <w:t xml:space="preserve"> </w:t>
      </w:r>
      <w:r>
        <w:t xml:space="preserve">= .009), if people had a more external attribution style (</w:t>
      </w:r>
      <w:r>
        <w:rPr>
          <w:i/>
          <w:iCs/>
        </w:rPr>
        <w:t xml:space="preserve">b</w:t>
      </w:r>
      <w:r>
        <w:t xml:space="preserve"> </w:t>
      </w:r>
      <w:r>
        <w:t xml:space="preserve">= -0.317,</w:t>
      </w:r>
      <w:r>
        <w:t xml:space="preserve"> </w:t>
      </w:r>
      <w:r>
        <w:rPr>
          <w:i/>
          <w:iCs/>
        </w:rPr>
        <w:t xml:space="preserve">p</w:t>
      </w:r>
      <w:r>
        <w:t xml:space="preserve"> </w:t>
      </w:r>
      <w:r>
        <w:t xml:space="preserve">= .003), and if the affiliation motive (</w:t>
      </w:r>
      <w:r>
        <w:rPr>
          <w:i/>
          <w:iCs/>
        </w:rPr>
        <w:t xml:space="preserve">b</w:t>
      </w:r>
      <w:r>
        <w:t xml:space="preserve"> </w:t>
      </w:r>
      <w:r>
        <w:t xml:space="preserve">= -0.521,</w:t>
      </w:r>
      <w:r>
        <w:t xml:space="preserve"> </w:t>
      </w:r>
      <w:r>
        <w:rPr>
          <w:i/>
          <w:iCs/>
        </w:rPr>
        <w:t xml:space="preserve">p</w:t>
      </w:r>
      <w:r>
        <w:t xml:space="preserve"> </w:t>
      </w:r>
      <w:r>
        <w:t xml:space="preserve">= = .013) or power motive (</w:t>
      </w:r>
      <w:r>
        <w:rPr>
          <w:i/>
          <w:iCs/>
        </w:rPr>
        <w:t xml:space="preserve">b</w:t>
      </w:r>
      <w:r>
        <w:t xml:space="preserve"> </w:t>
      </w:r>
      <w:r>
        <w:t xml:space="preserve">= -0.352,</w:t>
      </w:r>
      <w:r>
        <w:t xml:space="preserve"> </w:t>
      </w:r>
      <w:r>
        <w:rPr>
          <w:i/>
          <w:iCs/>
        </w:rPr>
        <w:t xml:space="preserve">p</w:t>
      </w:r>
      <w:r>
        <w:t xml:space="preserve"> </w:t>
      </w:r>
      <w:r>
        <w:t xml:space="preserve">= .048) were high. If the achievement motive was high, higher pride also predicted a higher RPE (</w:t>
      </w:r>
      <w:r>
        <w:rPr>
          <w:i/>
          <w:iCs/>
        </w:rPr>
        <w:t xml:space="preserve">b</w:t>
      </w:r>
      <w:r>
        <w:t xml:space="preserve"> </w:t>
      </w:r>
      <w:r>
        <w:t xml:space="preserve">= 0.406,</w:t>
      </w:r>
      <w:r>
        <w:t xml:space="preserve"> </w:t>
      </w:r>
      <w:r>
        <w:rPr>
          <w:i/>
          <w:iCs/>
        </w:rPr>
        <w:t xml:space="preserve">p</w:t>
      </w:r>
      <w:r>
        <w:t xml:space="preserve"> </w:t>
      </w:r>
      <w:r>
        <w:t xml:space="preserve">= .007).</w:t>
      </w:r>
    </w:p>
    <w:bookmarkEnd w:id="50"/>
    <w:bookmarkEnd w:id="51"/>
    <w:bookmarkStart w:id="54" w:name="discussion"/>
    <w:p>
      <w:pPr>
        <w:pStyle w:val="Heading1"/>
      </w:pPr>
      <w:r>
        <w:t xml:space="preserve">Discussion</w:t>
      </w:r>
    </w:p>
    <w:bookmarkStart w:id="52" w:name="limitations-and-future-directions"/>
    <w:p>
      <w:pPr>
        <w:pStyle w:val="Heading2"/>
      </w:pPr>
      <w:r>
        <w:t xml:space="preserve">Limitations and Future Directions</w:t>
      </w:r>
    </w:p>
    <w:bookmarkEnd w:id="52"/>
    <w:bookmarkStart w:id="53" w:name="conclusion"/>
    <w:p>
      <w:pPr>
        <w:pStyle w:val="Heading2"/>
      </w:pPr>
      <w:r>
        <w:t xml:space="preserve">Conclusion</w:t>
      </w:r>
    </w:p>
    <w:bookmarkEnd w:id="53"/>
    <w:bookmarkEnd w:id="54"/>
    <w:bookmarkStart w:id="55" w:name="references"/>
    <w:p>
      <w:pPr>
        <w:pStyle w:val="Heading1"/>
      </w:pPr>
      <w:r>
        <w:t xml:space="preserve">References</w:t>
      </w:r>
    </w:p>
    <w:bookmarkEnd w:id="55"/>
    <w:bookmarkStart w:id="63" w:name="refs"/>
    <w:bookmarkStart w:id="62" w:name="section"/>
    <w:p>
      <w:pPr>
        <w:pStyle w:val="Heading1"/>
      </w:pPr>
    </w:p>
    <w:bookmarkStart w:id="57" w:name="ref-Faul2007"/>
    <w:p>
      <w:pPr>
        <w:pStyle w:val="Bibliography"/>
      </w:pPr>
      <w:r>
        <w:t xml:space="preserve">Faul, F., Erdfelder, E., Lang, A.-G., &amp; Buchner, A. (2007). G*power 3: A flexible statistical power analysis program for the social, behavioral, and biomedical sciences.</w:t>
      </w:r>
      <w:r>
        <w:t xml:space="preserve"> </w:t>
      </w:r>
      <w:r>
        <w:rPr>
          <w:i/>
          <w:iCs/>
        </w:rPr>
        <w:t xml:space="preserve">Behavior Research Methods</w:t>
      </w:r>
      <w:r>
        <w:t xml:space="preserve">,</w:t>
      </w:r>
      <w:r>
        <w:t xml:space="preserve"> </w:t>
      </w:r>
      <w:r>
        <w:rPr>
          <w:i/>
          <w:iCs/>
        </w:rPr>
        <w:t xml:space="preserve">39</w:t>
      </w:r>
      <w:r>
        <w:t xml:space="preserve">(2), 175–191.</w:t>
      </w:r>
      <w:r>
        <w:t xml:space="preserve"> </w:t>
      </w:r>
      <w:hyperlink r:id="rId56">
        <w:r>
          <w:rPr>
            <w:rStyle w:val="Hyperlink"/>
          </w:rPr>
          <w:t xml:space="preserve">https://doi.org/10.3758/bf03193146</w:t>
        </w:r>
      </w:hyperlink>
    </w:p>
    <w:bookmarkEnd w:id="57"/>
    <w:bookmarkStart w:id="59" w:name="ref-rlanguage2024"/>
    <w:p>
      <w:pPr>
        <w:pStyle w:val="Bibliography"/>
      </w:pPr>
      <w:r>
        <w:t xml:space="preserve">R Core Team. (2024).</w:t>
      </w:r>
      <w:r>
        <w:t xml:space="preserve"> </w:t>
      </w:r>
      <w:r>
        <w:rPr>
          <w:i/>
          <w:iCs/>
        </w:rPr>
        <w:t xml:space="preserve">R: A language and environment for statistical computing</w:t>
      </w:r>
      <w:r>
        <w:t xml:space="preserve">. R Foundation for Statistical Computing.</w:t>
      </w:r>
      <w:r>
        <w:t xml:space="preserve"> </w:t>
      </w:r>
      <w:hyperlink r:id="rId58">
        <w:r>
          <w:rPr>
            <w:rStyle w:val="Hyperlink"/>
          </w:rPr>
          <w:t xml:space="preserve">https://www.R-project.org/</w:t>
        </w:r>
      </w:hyperlink>
    </w:p>
    <w:bookmarkEnd w:id="59"/>
    <w:bookmarkStart w:id="61" w:name="ref-Wang2015"/>
    <w:p>
      <w:pPr>
        <w:pStyle w:val="Bibliography"/>
      </w:pPr>
      <w:r>
        <w:t xml:space="preserve">Wang, L. (Peggy)., &amp; Maxwell, S. E. (2015). On disaggregating between-person and within-person effects with longitudinal data using multilevel models.</w:t>
      </w:r>
      <w:r>
        <w:t xml:space="preserve"> </w:t>
      </w:r>
      <w:r>
        <w:rPr>
          <w:i/>
          <w:iCs/>
        </w:rPr>
        <w:t xml:space="preserve">Psychological Methods</w:t>
      </w:r>
      <w:r>
        <w:t xml:space="preserve">,</w:t>
      </w:r>
      <w:r>
        <w:t xml:space="preserve"> </w:t>
      </w:r>
      <w:r>
        <w:rPr>
          <w:i/>
          <w:iCs/>
        </w:rPr>
        <w:t xml:space="preserve">20</w:t>
      </w:r>
      <w:r>
        <w:t xml:space="preserve">(1), 63–83.</w:t>
      </w:r>
      <w:r>
        <w:t xml:space="preserve"> </w:t>
      </w:r>
      <w:hyperlink r:id="rId60">
        <w:r>
          <w:rPr>
            <w:rStyle w:val="Hyperlink"/>
          </w:rPr>
          <w:t xml:space="preserve">https://doi.org/10.1037/met0000030</w:t>
        </w:r>
      </w:hyperlink>
    </w:p>
    <w:bookmarkEnd w:id="61"/>
    <w:bookmarkEnd w:id="62"/>
    <w:bookmarkEnd w:id="63"/>
    <w:bookmarkStart w:id="64" w:name="tbl-stat"/>
    <w:p>
      <w:pPr>
        <w:pStyle w:val="FigureTitle"/>
      </w:pPr>
      <w:r>
        <w:t xml:space="preserve">Table 1</w:t>
      </w:r>
    </w:p>
    <w:p>
      <w:pPr>
        <w:pStyle w:val="Caption"/>
      </w:pPr>
      <w:r>
        <w:t xml:space="preserve">Descriptive statistics: Mean values with standard deviation and skewness kurtosis for all investigated variables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940"/>
        <w:gridCol w:w="1083"/>
        <w:gridCol w:w="912"/>
        <w:gridCol w:w="1089"/>
        <w:gridCol w:w="906"/>
        <w:gridCol w:w="1278"/>
        <w:gridCol w:w="1156"/>
        <w:gridCol w:w="1346"/>
      </w:tblGrid>
      <w:tr>
        <w:trPr>
          <w:trHeight w:val="588" w:hRule="auto"/>
          <w:tblHeader/>
        </w:trPr>
        header 1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Variable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Median</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Mean</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95% 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SD</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Skewness</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Kurtosis</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normtest.p</w:t>
            </w:r>
          </w:p>
        </w:tc>
      </w:tr>
      <w:tr>
        <w:trPr>
          <w:trHeight w:val="566" w:hRule="auto"/>
        </w:trPr>
        body 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 Pride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3.57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3.56</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0.32</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0.86</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-0.22</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-0.48</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0.55</w:t>
            </w:r>
          </w:p>
        </w:tc>
      </w:tr>
      <w:tr>
        <w:trPr>
          <w:trHeight w:val="566"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2. Hubris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0.09</w:t>
            </w:r>
          </w:p>
        </w:tc>
      </w:tr>
      <w:tr>
        <w:trPr>
          <w:trHeight w:val="611"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3. Session Training Distance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25.00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58.12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30.11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74.56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0.00</w:t>
            </w:r>
          </w:p>
        </w:tc>
      </w:tr>
      <w:tr>
        <w:trPr>
          <w:trHeight w:val="611"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4. Session Training Hours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0.01</w:t>
            </w:r>
          </w:p>
        </w:tc>
      </w:tr>
      <w:tr>
        <w:trPr>
          <w:trHeight w:val="611"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5. Session Training RPE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5.41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0.01</w:t>
            </w:r>
          </w:p>
        </w:tc>
      </w:tr>
      <w:tr>
        <w:trPr>
          <w:trHeight w:val="566"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6. Positive Affect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0.45</w:t>
            </w:r>
          </w:p>
        </w:tc>
      </w:tr>
      <w:tr>
        <w:trPr>
          <w:trHeight w:val="611"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7. Negative Affect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0.00</w:t>
            </w:r>
          </w:p>
        </w:tc>
      </w:tr>
      <w:tr>
        <w:trPr>
          <w:trHeight w:val="566"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8.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3.74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0.01</w:t>
            </w:r>
          </w:p>
        </w:tc>
      </w:tr>
      <w:tr>
        <w:trPr>
          <w:trHeight w:val="566"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9. Affiliation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5.15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0.00</w:t>
            </w:r>
          </w:p>
        </w:tc>
      </w:tr>
      <w:tr>
        <w:trPr>
          <w:trHeight w:val="562"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10. Power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0.00</w:t>
            </w:r>
          </w:p>
        </w:tc>
      </w:tr>
      <w:tr>
        <w:trPr>
          <w:trHeight w:val="61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11. Hope for Success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49.50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50.81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3.74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9.27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0.43</w:t>
            </w:r>
          </w:p>
        </w:tc>
      </w:tr>
      <w:tr>
        <w:trPr>
          <w:trHeight w:val="566"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12. Fear of Failure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56.00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54.91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0.10</w:t>
            </w:r>
          </w:p>
        </w:tc>
      </w:tr>
      <w:tr>
        <w:trPr>
          <w:trHeight w:val="611"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13. Hope for Belonging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53.00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53.15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4.51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0.30</w:t>
            </w:r>
          </w:p>
        </w:tc>
      </w:tr>
      <w:tr>
        <w:trPr>
          <w:trHeight w:val="611"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14. Fear of Rejection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59.00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55.81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0.09</w:t>
            </w:r>
          </w:p>
        </w:tc>
      </w:tr>
      <w:tr>
        <w:trPr>
          <w:trHeight w:val="61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15. Hope for 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54.00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55.69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0.36</w:t>
            </w:r>
          </w:p>
        </w:tc>
      </w:tr>
      <w:tr>
        <w:trPr>
          <w:trHeight w:val="567"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16. Fear of Loss of 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56.00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55.50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0.75</w:t>
            </w:r>
          </w:p>
        </w:tc>
      </w:tr>
      <w:tr>
        <w:trPr>
          <w:trHeight w:val="562"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17. Locus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0.75</w:t>
            </w:r>
          </w:p>
        </w:tc>
      </w:tr>
      <w:tr>
        <w:trPr>
          <w:trHeight w:val="611"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18. Dynamics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5.90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0.34</w:t>
            </w:r>
          </w:p>
        </w:tc>
      </w:tr>
      <w:tr>
        <w:trPr>
          <w:trHeight w:val="611" w:hRule="auto"/>
        </w:trPr>
        body19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19. Controllability</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2.60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2.64</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0.27</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0.75</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0.82</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1.01</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0.16</w:t>
            </w:r>
          </w:p>
        </w:tc>
      </w:tr>
    </w:tbl>
    <w:bookmarkEnd w:id="64"/>
    <w:p>
      <w:pPr>
        <w:pStyle w:val="FigureNote"/>
      </w:pPr>
      <w:r>
        <w:rPr>
          <w:i/>
          <w:iCs/>
        </w:rPr>
        <w:t xml:space="preserve">Note</w:t>
      </w:r>
      <w:r>
        <w:t xml:space="preserve">.</w:t>
      </w:r>
      <w:r>
        <w:t xml:space="preserve"> </w:t>
      </w:r>
      <w:r>
        <w:rPr>
          <w:i/>
          <w:iCs/>
        </w:rPr>
        <w:t xml:space="preserve">N</w:t>
      </w:r>
      <w:r>
        <w:t xml:space="preserve"> </w:t>
      </w:r>
      <w:r>
        <w:t xml:space="preserve">= 32</w:t>
      </w:r>
    </w:p>
    <w:p>
      <w:r>
        <w:br w:type="page"/>
      </w:r>
    </w:p>
    <w:bookmarkStart w:id="65" w:name="tbl-corrtable"/>
    <w:p>
      <w:pPr>
        <w:pStyle w:val="FigureTitle"/>
      </w:pPr>
      <w:r>
        <w:t xml:space="preserve">Table 2</w:t>
      </w:r>
    </w:p>
    <w:p>
      <w:pPr>
        <w:pStyle w:val="Caption"/>
      </w:pPr>
      <w:r>
        <w:t xml:space="preserve">Correlation matrix of Spearman Rho (Ρ) coefficients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211"/>
        <w:gridCol w:w="1083"/>
        <w:gridCol w:w="1010"/>
        <w:gridCol w:w="1010"/>
        <w:gridCol w:w="924"/>
        <w:gridCol w:w="912"/>
        <w:gridCol w:w="912"/>
        <w:gridCol w:w="1010"/>
        <w:gridCol w:w="1010"/>
        <w:gridCol w:w="912"/>
        <w:gridCol w:w="912"/>
        <w:gridCol w:w="912"/>
        <w:gridCol w:w="1010"/>
        <w:gridCol w:w="912"/>
        <w:gridCol w:w="912"/>
        <w:gridCol w:w="912"/>
        <w:gridCol w:w="912"/>
        <w:gridCol w:w="1083"/>
        <w:gridCol w:w="912"/>
        <w:gridCol w:w="655"/>
      </w:tblGrid>
      <w:tr>
        <w:trPr>
          <w:trHeight w:val="574" w:hRule="auto"/>
          <w:tblHeader/>
        </w:trPr>
        header 1
        <w:tc>
          <w:tcPr>
            <w:tcBorders>
              <w:bottom w:val="single" w:sz="8"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tru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
            </w:r>
          </w:p>
        </w:tc>
        <w:tc>
          <w:tcPr>
            <w:gridSpan w:val="19"/>
            <w:tcBorders>
              <w:bottom w:val="single" w:sz="8"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tru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Correlations</w:t>
            </w:r>
          </w:p>
        </w:tc>
      </w:tr>
      <w:tr>
        <w:trPr>
          <w:trHeight w:val="572" w:hRule="auto"/>
          <w:tblHeader/>
        </w:trPr>
        header 2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tru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Measure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tru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tru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2</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tru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3</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tru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4</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tru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5</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tru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6</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tru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7</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tru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8</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tru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9</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tru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10</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tru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11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tru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12</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tru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13</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tru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14</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tru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15</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tru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16</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tru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17</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tru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18</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tru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4"/>
                <w:szCs w:val="24"/>
                <w:color w:val="000000"/>
              </w:rPr>
              <w:t xml:space="preserve">19</w:t>
            </w:r>
          </w:p>
        </w:tc>
      </w:tr>
      <w:tr>
        <w:trPr>
          <w:trHeight w:val="571"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 Pride</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r>
      <w:tr>
        <w:trPr>
          <w:trHeight w:val="571"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2. Hubris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3. Session Training Distance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4. Session Training Hours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r>
      <w:tr>
        <w:trPr>
          <w:trHeight w:val="617"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5. Session Training RPE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r>
      <w:tr>
        <w:trPr>
          <w:trHeight w:val="574"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6. Positive Affect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7. Negative Affect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r>
      <w:tr>
        <w:trPr>
          <w:trHeight w:val="572"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8.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r>
      <w:tr>
        <w:trPr>
          <w:trHeight w:val="57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9. Affiliation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r>
      <w:tr>
        <w:trPr>
          <w:trHeight w:val="574"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10. Power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r>
      <w:tr>
        <w:trPr>
          <w:trHeight w:val="61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11. Hope for Success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r>
      <w:tr>
        <w:trPr>
          <w:trHeight w:val="574"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12. Fear of Failure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r>
      <w:tr>
        <w:trPr>
          <w:trHeight w:val="617"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13. Hope for Belonging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r>
      <w:tr>
        <w:trPr>
          <w:trHeight w:val="617"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14. Fear of Rejection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r>
      <w:tr>
        <w:trPr>
          <w:trHeight w:val="615"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15. Hope for 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r>
      <w:tr>
        <w:trPr>
          <w:trHeight w:val="574"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16. Fear of Loss of 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r>
      <w:tr>
        <w:trPr>
          <w:trHeight w:val="574"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17. Locus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r>
      <w:tr>
        <w:trPr>
          <w:trHeight w:val="615"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18. Dynamics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r>
      <w:tr>
        <w:trPr>
          <w:trHeight w:val="617" w:hRule="auto"/>
        </w:trPr>
        body19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19. Controllability</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0.42*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0.05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-0.79**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-0.29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
            </w:r>
          </w:p>
        </w:tc>
      </w:tr>
    </w:tbl>
    <w:bookmarkEnd w:id="65"/>
    <w:p>
      <w:pPr>
        <w:pStyle w:val="FigureNote"/>
      </w:pPr>
      <w:r>
        <w:rPr>
          <w:i/>
          <w:iCs/>
        </w:rPr>
        <w:t xml:space="preserve">Note</w:t>
      </w:r>
      <w:r>
        <w:t xml:space="preserve">. p &lt; .05, ** p &lt; .01, *** p &lt; .001.</w:t>
      </w:r>
    </w:p>
    <w:p>
      <w:r>
        <w:br w:type="page"/>
      </w:r>
    </w:p>
    <w:bookmarkStart w:id="66" w:name="tbl-hlmtable_km"/>
    <w:p>
      <w:pPr>
        <w:pStyle w:val="FigureTitle"/>
      </w:pPr>
      <w:r>
        <w:t xml:space="preserve">Table 3</w:t>
      </w:r>
    </w:p>
    <w:p>
      <w:pPr>
        <w:pStyle w:val="Caption"/>
      </w:pPr>
      <w:r>
        <w:t xml:space="preserve">Hierarchical Linear Model Coefficients Predicting Running Distance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622"/>
        <w:gridCol w:w="1137"/>
        <w:gridCol w:w="1039"/>
        <w:gridCol w:w="1137"/>
        <w:gridCol w:w="1039"/>
        <w:gridCol w:w="1137"/>
        <w:gridCol w:w="1039"/>
        <w:gridCol w:w="1381"/>
        <w:gridCol w:w="1039"/>
        <w:gridCol w:w="1320"/>
        <w:gridCol w:w="1039"/>
      </w:tblGrid>
      <w:tr>
        <w:trPr>
          <w:trHeight w:val="625" w:hRule="auto"/>
        </w:trPr>
        body 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gridSpan w:val="2"/>
            <w:tcBorders>
              <w:bottom w:val="single" w:sz="3"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Nullmodell</w:t>
            </w:r>
          </w:p>
        </w:tc>
        <w:tc>
          <w:tcPr>
            <w:gridSpan w:val="2"/>
            <w:tcBorders>
              <w:bottom w:val="single" w:sz="3"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Model 1</w:t>
            </w:r>
          </w:p>
        </w:tc>
        <w:tc>
          <w:tcPr>
            <w:gridSpan w:val="2"/>
            <w:tcBorders>
              <w:bottom w:val="single" w:sz="3"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Model 2</w:t>
            </w:r>
          </w:p>
        </w:tc>
        <w:tc>
          <w:tcPr>
            <w:gridSpan w:val="2"/>
            <w:tcBorders>
              <w:bottom w:val="single" w:sz="3"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Model 3</w:t>
            </w:r>
          </w:p>
        </w:tc>
        <w:tc>
          <w:tcPr>
            <w:gridSpan w:val="2"/>
            <w:tcBorders>
              <w:bottom w:val="single" w:sz="3"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Model 4</w:t>
            </w:r>
          </w:p>
        </w:tc>
      </w:tr>
      <w:tr>
        <w:trPr>
          <w:trHeight w:val="67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-0.00</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(0.17)</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-0.10</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(0.19)</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-0.10</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(0.23)</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    </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(0.22)</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-0.26   </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(0.25)</w:t>
            </w:r>
          </w:p>
        </w:tc>
      </w:tr>
      <w:tr>
        <w:trPr>
          <w:trHeight w:val="67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0.14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(0.32)</w:t>
            </w:r>
          </w:p>
        </w:tc>
      </w:tr>
      <w:tr>
        <w:trPr>
          <w:trHeight w:val="67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Positive Affect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0.03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-0.07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(0.19)</w:t>
            </w:r>
          </w:p>
        </w:tc>
      </w:tr>
      <w:tr>
        <w:trPr>
          <w:trHeight w:val="67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Dynamics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0.11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0.09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(0.30)</w:t>
            </w:r>
          </w:p>
        </w:tc>
      </w:tr>
      <w:tr>
        <w:trPr>
          <w:trHeight w:val="67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0.12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0.09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(0.26)</w:t>
            </w:r>
          </w:p>
        </w:tc>
      </w:tr>
      <w:tr>
        <w:trPr>
          <w:trHeight w:val="67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Globality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0.34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0.25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(0.26)</w:t>
            </w:r>
          </w:p>
        </w:tc>
      </w:tr>
      <w:tr>
        <w:trPr>
          <w:trHeight w:val="67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Affiliation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0.42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(0.31)</w:t>
            </w:r>
          </w:p>
        </w:tc>
      </w:tr>
      <w:tr>
        <w:trPr>
          <w:trHeight w:val="67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-0.34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-0.27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(0.30)</w:t>
            </w:r>
          </w:p>
        </w:tc>
      </w:tr>
      <w:tr>
        <w:trPr>
          <w:trHeight w:val="67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Power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0.53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0.44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(0.29)</w:t>
            </w:r>
          </w:p>
        </w:tc>
      </w:tr>
      <w:tr>
        <w:trPr>
          <w:trHeight w:val="67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Pride × Dynamics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-0.04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-0.22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(0.40)</w:t>
            </w:r>
          </w:p>
        </w:tc>
      </w:tr>
      <w:tr>
        <w:trPr>
          <w:trHeight w:val="67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Pride × Positive Affect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0.39 *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0.31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(0.21)</w:t>
            </w:r>
          </w:p>
        </w:tc>
      </w:tr>
      <w:tr>
        <w:trPr>
          <w:trHeight w:val="67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Pride × Locus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-0.14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(0.15)</w:t>
            </w:r>
          </w:p>
        </w:tc>
      </w:tr>
      <w:tr>
        <w:trPr>
          <w:trHeight w:val="67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Pride × Globality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-0.86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-0.57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(0.29)</w:t>
            </w:r>
          </w:p>
        </w:tc>
      </w:tr>
      <w:tr>
        <w:trPr>
          <w:trHeight w:val="67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Pride × Affiliation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-0.72 **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-0.66 *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(0.25)</w:t>
            </w:r>
          </w:p>
        </w:tc>
      </w:tr>
      <w:tr>
        <w:trPr>
          <w:trHeight w:val="67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Pride ×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0.58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0.51 *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(0.20)</w:t>
            </w:r>
          </w:p>
        </w:tc>
      </w:tr>
      <w:tr>
        <w:trPr>
          <w:trHeight w:val="67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Pride × Power</w:t>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-0.81 ***</w:t>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(0.18)</w:t>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-0.74 **</w:t>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(0.24)</w:t>
            </w:r>
          </w:p>
        </w:tc>
      </w:tr>
      <w:tr>
        <w:trPr>
          <w:trHeight w:val="625"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nobs</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56   </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56   </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56   </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54       </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54      </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r>
      <w:tr>
        <w:trPr>
          <w:trHeight w:val="625"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nobs.1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54.00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54.00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r>
      <w:tr>
        <w:trPr>
          <w:trHeight w:val="668"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sigma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0.68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0.76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r>
      <w:tr>
        <w:trPr>
          <w:trHeight w:val="668"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logLik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-76.73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-70.02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-75.82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r>
      <w:tr>
        <w:trPr>
          <w:trHeight w:val="627"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159.45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189.42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178.05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187.64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r>
      <w:tr>
        <w:trPr>
          <w:trHeight w:val="627"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165.53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183.77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213.20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209.16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217.12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r>
      <w:tr>
        <w:trPr>
          <w:trHeight w:val="625"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deviance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r>
      <w:tr>
        <w:trPr>
          <w:trHeight w:val="627" w:hRule="auto"/>
        </w:trPr>
        body25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df.residual</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39.00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36.00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33.00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29.00    </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29.00   </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r>
      <w:tr>
        <w:trPr>
          <w:trHeight w:val="668" w:hRule="auto"/>
        </w:trPr>
        body26
        <w:tc>
          <w:tcPr>
            <w:gridSpan w:val="11"/>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 p &lt; 0.001;  ** p &lt; 0.01;  * p &lt; 0.05.</w:t>
            </w:r>
          </w:p>
        </w:tc>
      </w:tr>
    </w:tbl>
    <w:bookmarkEnd w:id="66"/>
    <w:p>
      <w:pPr>
        <w:pStyle w:val="FigureNote"/>
      </w:pPr>
      <w:r>
        <w:rPr>
          <w:i/>
          <w:iCs/>
        </w:rPr>
        <w:t xml:space="preserve">Note</w:t>
      </w:r>
      <w:r>
        <w:t xml:space="preserve">. The time varying predictors—Pride and Positive Affect— were cluster-mean-centered, fixed predictors were grand mean centered.</w:t>
      </w:r>
    </w:p>
    <w:p>
      <w:r>
        <w:br w:type="page"/>
      </w:r>
    </w:p>
    <w:bookmarkStart w:id="67" w:name="tbl-hlmtable_h"/>
    <w:p>
      <w:pPr>
        <w:pStyle w:val="FigureTitle"/>
      </w:pPr>
      <w:r>
        <w:t xml:space="preserve">Table 4</w:t>
      </w:r>
    </w:p>
    <w:p>
      <w:pPr>
        <w:pStyle w:val="Caption"/>
      </w:pPr>
      <w:r>
        <w:t xml:space="preserve">Hierarchical Linear Model Coefficients Predicting Running Time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622"/>
        <w:gridCol w:w="1137"/>
        <w:gridCol w:w="1039"/>
        <w:gridCol w:w="1137"/>
        <w:gridCol w:w="1039"/>
        <w:gridCol w:w="1210"/>
        <w:gridCol w:w="1039"/>
        <w:gridCol w:w="1137"/>
        <w:gridCol w:w="1039"/>
        <w:gridCol w:w="1137"/>
        <w:gridCol w:w="1039"/>
      </w:tblGrid>
      <w:tr>
        <w:trPr>
          <w:trHeight w:val="625" w:hRule="auto"/>
        </w:trPr>
        body 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gridSpan w:val="2"/>
            <w:tcBorders>
              <w:bottom w:val="single" w:sz="3"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Nullmodell</w:t>
            </w:r>
          </w:p>
        </w:tc>
        <w:tc>
          <w:tcPr>
            <w:gridSpan w:val="2"/>
            <w:tcBorders>
              <w:bottom w:val="single" w:sz="3"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Model 1</w:t>
            </w:r>
          </w:p>
        </w:tc>
        <w:tc>
          <w:tcPr>
            <w:gridSpan w:val="2"/>
            <w:tcBorders>
              <w:bottom w:val="single" w:sz="3"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Model 2</w:t>
            </w:r>
          </w:p>
        </w:tc>
        <w:tc>
          <w:tcPr>
            <w:gridSpan w:val="2"/>
            <w:tcBorders>
              <w:bottom w:val="single" w:sz="3"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Model 3</w:t>
            </w:r>
          </w:p>
        </w:tc>
        <w:tc>
          <w:tcPr>
            <w:gridSpan w:val="2"/>
            <w:tcBorders>
              <w:bottom w:val="single" w:sz="3"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Model 3 without correlation matrix</w:t>
            </w:r>
          </w:p>
        </w:tc>
      </w:tr>
      <w:tr>
        <w:trPr>
          <w:trHeight w:val="67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-0.01</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(0.18)</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-0.04</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(0.19)</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-0.03</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(0.20)</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(0.22)</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(0.22)</w:t>
            </w:r>
          </w:p>
        </w:tc>
      </w:tr>
      <w:tr>
        <w:trPr>
          <w:trHeight w:val="67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w:t>
            </w:r>
          </w:p>
        </w:tc>
      </w:tr>
      <w:tr>
        <w:trPr>
          <w:trHeight w:val="67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Positive Affect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(0.12)</w:t>
            </w:r>
          </w:p>
        </w:tc>
      </w:tr>
      <w:tr>
        <w:trPr>
          <w:trHeight w:val="67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Dynamics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(0.24)</w:t>
            </w:r>
          </w:p>
        </w:tc>
      </w:tr>
      <w:tr>
        <w:trPr>
          <w:trHeight w:val="67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(0.24)</w:t>
            </w:r>
          </w:p>
        </w:tc>
      </w:tr>
      <w:tr>
        <w:trPr>
          <w:trHeight w:val="67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Globality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(0.23)</w:t>
            </w:r>
          </w:p>
        </w:tc>
      </w:tr>
      <w:tr>
        <w:trPr>
          <w:trHeight w:val="67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Affiliation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(0.31)</w:t>
            </w:r>
          </w:p>
        </w:tc>
      </w:tr>
      <w:tr>
        <w:trPr>
          <w:trHeight w:val="67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(0.30)</w:t>
            </w:r>
          </w:p>
        </w:tc>
      </w:tr>
      <w:tr>
        <w:trPr>
          <w:trHeight w:val="67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Power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(0.29)</w:t>
            </w:r>
          </w:p>
        </w:tc>
      </w:tr>
      <w:tr>
        <w:trPr>
          <w:trHeight w:val="67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Pride × Dynamics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(0.09)</w:t>
            </w:r>
          </w:p>
        </w:tc>
      </w:tr>
      <w:tr>
        <w:trPr>
          <w:trHeight w:val="67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Pride × Positive Affect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(0.07)</w:t>
            </w:r>
          </w:p>
        </w:tc>
      </w:tr>
      <w:tr>
        <w:trPr>
          <w:trHeight w:val="67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Pride × Locus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(0.09)</w:t>
            </w:r>
          </w:p>
        </w:tc>
      </w:tr>
      <w:tr>
        <w:trPr>
          <w:trHeight w:val="67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Pride × Globality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w:t>
            </w:r>
          </w:p>
        </w:tc>
      </w:tr>
      <w:tr>
        <w:trPr>
          <w:trHeight w:val="67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Pride × Affiliation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(0.16)</w:t>
            </w:r>
          </w:p>
        </w:tc>
      </w:tr>
      <w:tr>
        <w:trPr>
          <w:trHeight w:val="67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Pride ×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w:t>
            </w:r>
          </w:p>
        </w:tc>
      </w:tr>
      <w:tr>
        <w:trPr>
          <w:trHeight w:val="67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Pride × Power</w:t>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-0.24</w:t>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(0.14)</w:t>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-0.24</w:t>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(0.14)</w:t>
            </w:r>
          </w:p>
        </w:tc>
      </w:tr>
      <w:tr>
        <w:trPr>
          <w:trHeight w:val="625"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nobs</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76   </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76   </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76   </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71   </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71   </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r>
      <w:tr>
        <w:trPr>
          <w:trHeight w:val="625"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nobs.1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r>
      <w:tr>
        <w:trPr>
          <w:trHeight w:val="668"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sigma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r>
      <w:tr>
        <w:trPr>
          <w:trHeight w:val="668"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logLik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-98.48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r>
      <w:tr>
        <w:trPr>
          <w:trHeight w:val="627"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210.97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235.43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229.37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229.37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r>
      <w:tr>
        <w:trPr>
          <w:trHeight w:val="627"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226.91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263.89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267.51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267.51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r>
      <w:tr>
        <w:trPr>
          <w:trHeight w:val="625"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deviance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189.58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r>
      <w:tr>
        <w:trPr>
          <w:trHeight w:val="627" w:hRule="auto"/>
        </w:trPr>
        body25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df.residual</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57.00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54.00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51.00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44.00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44.00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r>
      <w:tr>
        <w:trPr>
          <w:trHeight w:val="668" w:hRule="auto"/>
        </w:trPr>
        body26
        <w:tc>
          <w:tcPr>
            <w:gridSpan w:val="11"/>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 p &lt; 0.001;  ** p &lt; 0.01;  * p &lt; 0.05.</w:t>
            </w:r>
          </w:p>
        </w:tc>
      </w:tr>
    </w:tbl>
    <w:bookmarkEnd w:id="67"/>
    <w:p>
      <w:pPr>
        <w:pStyle w:val="FigureNote"/>
      </w:pPr>
      <w:r>
        <w:rPr>
          <w:i/>
          <w:iCs/>
        </w:rPr>
        <w:t xml:space="preserve">Note</w:t>
      </w:r>
      <w:r>
        <w:t xml:space="preserve">. Time varying predictors Pride and Positive Affect were cluster-mean-centered, fixed predictors were grand mean centered.</w:t>
      </w:r>
    </w:p>
    <w:p>
      <w:r>
        <w:br w:type="page"/>
      </w:r>
    </w:p>
    <w:bookmarkStart w:id="68" w:name="tbl-hlmtable_rpe"/>
    <w:p>
      <w:pPr>
        <w:pStyle w:val="FigureTitle"/>
      </w:pPr>
      <w:r>
        <w:t xml:space="preserve">Table 5</w:t>
      </w:r>
    </w:p>
    <w:p>
      <w:pPr>
        <w:pStyle w:val="Caption"/>
      </w:pPr>
      <w:r>
        <w:t xml:space="preserve">Hierarchical Linear Model Coefficients Predicting Session Rate of Perceived Exhaustion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622"/>
        <w:gridCol w:w="1210"/>
        <w:gridCol w:w="1039"/>
        <w:gridCol w:w="1210"/>
        <w:gridCol w:w="1039"/>
        <w:gridCol w:w="1394"/>
        <w:gridCol w:w="1039"/>
        <w:gridCol w:w="1394"/>
        <w:gridCol w:w="1039"/>
        <w:gridCol w:w="1394"/>
        <w:gridCol w:w="1039"/>
      </w:tblGrid>
      <w:tr>
        <w:trPr>
          <w:trHeight w:val="625" w:hRule="auto"/>
        </w:trPr>
        body 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gridSpan w:val="2"/>
            <w:tcBorders>
              <w:bottom w:val="single" w:sz="3"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Nullmodell</w:t>
            </w:r>
          </w:p>
        </w:tc>
        <w:tc>
          <w:tcPr>
            <w:gridSpan w:val="2"/>
            <w:tcBorders>
              <w:bottom w:val="single" w:sz="3"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Model 1</w:t>
            </w:r>
          </w:p>
        </w:tc>
        <w:tc>
          <w:tcPr>
            <w:gridSpan w:val="2"/>
            <w:tcBorders>
              <w:bottom w:val="single" w:sz="3"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Model 2</w:t>
            </w:r>
          </w:p>
        </w:tc>
        <w:tc>
          <w:tcPr>
            <w:gridSpan w:val="2"/>
            <w:tcBorders>
              <w:bottom w:val="single" w:sz="3"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Model 3</w:t>
            </w:r>
          </w:p>
        </w:tc>
        <w:tc>
          <w:tcPr>
            <w:gridSpan w:val="2"/>
            <w:tcBorders>
              <w:bottom w:val="single" w:sz="3"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Model 3 without correlation matrix</w:t>
            </w:r>
          </w:p>
        </w:tc>
      </w:tr>
      <w:tr>
        <w:trPr>
          <w:trHeight w:val="67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-0.00</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(0.15)</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0.05</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(0.15)</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0.08   </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(0.14)</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0.11   </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(0.17)</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0.12   </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(0.17)</w:t>
            </w:r>
          </w:p>
        </w:tc>
      </w:tr>
      <w:tr>
        <w:trPr>
          <w:trHeight w:val="67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-0.24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-0.26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-0.26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(0.15)</w:t>
            </w:r>
          </w:p>
        </w:tc>
      </w:tr>
      <w:tr>
        <w:trPr>
          <w:trHeight w:val="67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Positive Affect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-0.18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-0.18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-0.18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(0.15)</w:t>
            </w:r>
          </w:p>
        </w:tc>
      </w:tr>
      <w:tr>
        <w:trPr>
          <w:trHeight w:val="67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Dynamics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-0.39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-0.46 *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-0.46 *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(0.17)</w:t>
            </w:r>
          </w:p>
        </w:tc>
      </w:tr>
      <w:tr>
        <w:trPr>
          <w:trHeight w:val="67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0.07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0.09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0.08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(0.18)</w:t>
            </w:r>
          </w:p>
        </w:tc>
      </w:tr>
      <w:tr>
        <w:trPr>
          <w:trHeight w:val="67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Globality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0.10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0.16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0.15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(0.17)</w:t>
            </w:r>
          </w:p>
        </w:tc>
      </w:tr>
      <w:tr>
        <w:trPr>
          <w:trHeight w:val="67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Affiliation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0.08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0.07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(0.23)</w:t>
            </w:r>
          </w:p>
        </w:tc>
      </w:tr>
      <w:tr>
        <w:trPr>
          <w:trHeight w:val="67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-0.19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-0.19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(0.22)</w:t>
            </w:r>
          </w:p>
        </w:tc>
      </w:tr>
      <w:tr>
        <w:trPr>
          <w:trHeight w:val="67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Power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-0.00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-0.01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(0.22)</w:t>
            </w:r>
          </w:p>
        </w:tc>
      </w:tr>
      <w:tr>
        <w:trPr>
          <w:trHeight w:val="67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Pride × Dynamics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-0.17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-0.01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-0.01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(0.12)</w:t>
            </w:r>
          </w:p>
        </w:tc>
      </w:tr>
      <w:tr>
        <w:trPr>
          <w:trHeight w:val="67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Pride × Positive Affect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-0.12 *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-0.18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-0.18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(0.07)</w:t>
            </w:r>
          </w:p>
        </w:tc>
      </w:tr>
      <w:tr>
        <w:trPr>
          <w:trHeight w:val="67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Pride × Locus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-0.12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-0.31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-0.32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(0.10)</w:t>
            </w:r>
          </w:p>
        </w:tc>
      </w:tr>
      <w:tr>
        <w:trPr>
          <w:trHeight w:val="67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Pride × Globality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0.24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0.10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0.10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(0.15)</w:t>
            </w:r>
          </w:p>
        </w:tc>
      </w:tr>
      <w:tr>
        <w:trPr>
          <w:trHeight w:val="67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Pride × Affiliation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-0.52 *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-0.52 *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(0.20)</w:t>
            </w:r>
          </w:p>
        </w:tc>
      </w:tr>
      <w:tr>
        <w:trPr>
          <w:trHeight w:val="67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Pride ×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0.40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0.41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(0.14)</w:t>
            </w:r>
          </w:p>
        </w:tc>
      </w:tr>
      <w:tr>
        <w:trPr>
          <w:trHeight w:val="67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Pride × Power</w:t>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-0.34   </w:t>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(0.17)</w:t>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-0.35 * </w:t>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(0.17)</w:t>
            </w:r>
          </w:p>
        </w:tc>
      </w:tr>
      <w:tr>
        <w:trPr>
          <w:trHeight w:val="625"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nobs</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   </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77   </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77      </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72      </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72      </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r>
      <w:tr>
        <w:trPr>
          <w:trHeight w:val="625"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nobs.1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77.00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72.00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72.00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r>
      <w:tr>
        <w:trPr>
          <w:trHeight w:val="668"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sigma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0.80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0.79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0.80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r>
      <w:tr>
        <w:trPr>
          <w:trHeight w:val="668"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logLik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-107.79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-108.22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-104.24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-104.26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r>
      <w:tr>
        <w:trPr>
          <w:trHeight w:val="627"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221.59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229.51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242.44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246.48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244.52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r>
      <w:tr>
        <w:trPr>
          <w:trHeight w:val="627"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228.66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245.54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271.11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284.96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280.98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r>
      <w:tr>
        <w:trPr>
          <w:trHeight w:val="625"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deviance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215.59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r>
      <w:tr>
        <w:trPr>
          <w:trHeight w:val="627" w:hRule="auto"/>
        </w:trPr>
        body25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df.residual</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59.00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55.00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52.00   </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45.00   </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45.00   </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r>
      <w:tr>
        <w:trPr>
          <w:trHeight w:val="668" w:hRule="auto"/>
        </w:trPr>
        body26
        <w:tc>
          <w:tcPr>
            <w:gridSpan w:val="11"/>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 p &lt; 0.001;  ** p &lt; 0.01;  * p &lt; 0.05.</w:t>
            </w:r>
          </w:p>
        </w:tc>
      </w:tr>
    </w:tbl>
    <w:bookmarkEnd w:id="68"/>
    <w:p>
      <w:pPr>
        <w:pStyle w:val="FigureNote"/>
      </w:pPr>
      <w:r>
        <w:rPr>
          <w:i/>
          <w:iCs/>
        </w:rPr>
        <w:t xml:space="preserve">Note</w:t>
      </w:r>
      <w:r>
        <w:t xml:space="preserve">. Time varying predictors Pride and Positive Affect were cluster-mean-centered, fixed predictors were grand mean centered.</w:t>
      </w:r>
    </w:p>
    <w:p>
      <w:r>
        <w:br w:type="page"/>
      </w:r>
    </w:p>
    <w:bookmarkStart w:id="72" w:name="fig-violin"/>
    <w:p>
      <w:pPr>
        <w:pStyle w:val="FigureTitle"/>
      </w:pPr>
      <w:r>
        <w:t xml:space="preserve">Figure 1</w:t>
      </w:r>
    </w:p>
    <w:p>
      <w:pPr>
        <w:pStyle w:val="Caption"/>
      </w:pPr>
      <w:r>
        <w:t xml:space="preserve">Violin Plot with embedded boxplots for all variables</w:t>
      </w:r>
    </w:p>
    <w:p>
      <w:pPr>
        <w:pStyle w:val="FigureWithNote"/>
      </w:pPr>
      <w:r>
        <w:drawing>
          <wp:inline>
            <wp:extent cx="5943600" cy="8915400"/>
            <wp:effectExtent b="0" l="0" r="0" t="0"/>
            <wp:docPr descr="" title="" id="70" name="Picture"/>
            <a:graphic>
              <a:graphicData uri="http://schemas.openxmlformats.org/drawingml/2006/picture">
                <pic:pic>
                  <pic:nvPicPr>
                    <pic:cNvPr descr="index_files/figure-docx/fig-violin-1.png" id="71" name="Picture"/>
                    <pic:cNvPicPr>
                      <a:picLocks noChangeArrowheads="1" noChangeAspect="1"/>
                    </pic:cNvPicPr>
                  </pic:nvPicPr>
                  <pic:blipFill>
                    <a:blip r:embed="rId69"/>
                    <a:stretch>
                      <a:fillRect/>
                    </a:stretch>
                  </pic:blipFill>
                  <pic:spPr bwMode="auto">
                    <a:xfrm>
                      <a:off x="0" y="0"/>
                      <a:ext cx="5943600" cy="8915400"/>
                    </a:xfrm>
                    <a:prstGeom prst="rect">
                      <a:avLst/>
                    </a:prstGeom>
                    <a:noFill/>
                    <a:ln w="9525">
                      <a:noFill/>
                      <a:headEnd/>
                      <a:tailEnd/>
                    </a:ln>
                  </pic:spPr>
                </pic:pic>
              </a:graphicData>
            </a:graphic>
          </wp:inline>
        </w:drawing>
      </w:r>
    </w:p>
    <w:bookmarkEnd w:id="72"/>
    <w:p>
      <w:pPr>
        <w:pStyle w:val="FigureNote"/>
      </w:pPr>
      <w:r>
        <w:rPr>
          <w:i/>
          <w:iCs/>
        </w:rPr>
        <w:t xml:space="preserve">Note</w:t>
      </w:r>
      <w:r>
        <w:t xml:space="preserve">. The</w:t>
      </w:r>
      <w:r>
        <w:t xml:space="preserve"> </w:t>
      </w:r>
      <w:r>
        <w:t xml:space="preserve">“X”</w:t>
      </w:r>
      <w:r>
        <w:t xml:space="preserve"> </w:t>
      </w:r>
      <w:r>
        <w:t xml:space="preserve">represents the mean. Outliers are shown as grey diamonds.</w:t>
      </w:r>
    </w:p>
    <w:p>
      <w:r>
        <w:br w:type="page"/>
      </w:r>
    </w:p>
    <w:bookmarkStart w:id="76" w:name="fig-corrplot"/>
    <w:p>
      <w:pPr>
        <w:pStyle w:val="FigureTitle"/>
      </w:pPr>
      <w:r>
        <w:t xml:space="preserve">Figure 2</w:t>
      </w:r>
    </w:p>
    <w:p>
      <w:pPr>
        <w:pStyle w:val="Caption"/>
      </w:pPr>
      <w:r>
        <w:t xml:space="preserve">Correlation Plot showing Spearman Rho coefficients between investigated variables.</w:t>
      </w:r>
    </w:p>
    <w:p>
      <w:pPr>
        <w:pStyle w:val="FigureWithNote"/>
      </w:pPr>
      <w:r>
        <w:drawing>
          <wp:inline>
            <wp:extent cx="5943600" cy="5943600"/>
            <wp:effectExtent b="0" l="0" r="0" t="0"/>
            <wp:docPr descr="" title="" id="74" name="Picture"/>
            <a:graphic>
              <a:graphicData uri="http://schemas.openxmlformats.org/drawingml/2006/picture">
                <pic:pic>
                  <pic:nvPicPr>
                    <pic:cNvPr descr="index_files/figure-docx/fig-corrplot-1.png" id="75" name="Picture"/>
                    <pic:cNvPicPr>
                      <a:picLocks noChangeArrowheads="1" noChangeAspect="1"/>
                    </pic:cNvPicPr>
                  </pic:nvPicPr>
                  <pic:blipFill>
                    <a:blip r:embed="rId73"/>
                    <a:stretch>
                      <a:fillRect/>
                    </a:stretch>
                  </pic:blipFill>
                  <pic:spPr bwMode="auto">
                    <a:xfrm>
                      <a:off x="0" y="0"/>
                      <a:ext cx="5943600" cy="5943600"/>
                    </a:xfrm>
                    <a:prstGeom prst="rect">
                      <a:avLst/>
                    </a:prstGeom>
                    <a:noFill/>
                    <a:ln w="9525">
                      <a:noFill/>
                      <a:headEnd/>
                      <a:tailEnd/>
                    </a:ln>
                  </pic:spPr>
                </pic:pic>
              </a:graphicData>
            </a:graphic>
          </wp:inline>
        </w:drawing>
      </w:r>
    </w:p>
    <w:bookmarkEnd w:id="76"/>
    <w:p>
      <w:pPr>
        <w:pStyle w:val="FigureNote"/>
      </w:pPr>
      <w:r>
        <w:rPr>
          <w:i/>
          <w:iCs/>
        </w:rPr>
        <w:t xml:space="preserve">Note</w:t>
      </w:r>
      <w:r>
        <w:t xml:space="preserve">. Bullets depict significant correlations (p &lt; .05) and show positive (darker blue tones) or negative (darker red tones) correlations. Spearman’s rank correlation coefficient was used.</w:t>
      </w:r>
    </w:p>
    <w:p>
      <w:r>
        <w:br w:type="page"/>
      </w:r>
    </w:p>
    <w:bookmarkStart w:id="80" w:name="fig-sessionkm_assumptions"/>
    <w:p>
      <w:pPr>
        <w:pStyle w:val="FigureTitle"/>
      </w:pPr>
      <w:r>
        <w:t xml:space="preserve">Figure 3</w:t>
      </w:r>
    </w:p>
    <w:p>
      <w:pPr>
        <w:pStyle w:val="Caption"/>
      </w:pPr>
      <w:r>
        <w:t xml:space="preserve">QQ-Plot and Scatterplot of Residuals for the HLM predicting running distance</w:t>
      </w:r>
    </w:p>
    <w:p>
      <w:pPr>
        <w:pStyle w:val="FigureWithNote"/>
      </w:pPr>
      <w:r>
        <w:drawing>
          <wp:inline>
            <wp:extent cx="5943600" cy="5943600"/>
            <wp:effectExtent b="0" l="0" r="0" t="0"/>
            <wp:docPr descr="" title="" id="78" name="Picture"/>
            <a:graphic>
              <a:graphicData uri="http://schemas.openxmlformats.org/drawingml/2006/picture">
                <pic:pic>
                  <pic:nvPicPr>
                    <pic:cNvPr descr="index_files/figure-docx/fig-sessionkm_assumptions-1.png" id="79" name="Picture"/>
                    <pic:cNvPicPr>
                      <a:picLocks noChangeArrowheads="1" noChangeAspect="1"/>
                    </pic:cNvPicPr>
                  </pic:nvPicPr>
                  <pic:blipFill>
                    <a:blip r:embed="rId77"/>
                    <a:stretch>
                      <a:fillRect/>
                    </a:stretch>
                  </pic:blipFill>
                  <pic:spPr bwMode="auto">
                    <a:xfrm>
                      <a:off x="0" y="0"/>
                      <a:ext cx="5943600" cy="5943600"/>
                    </a:xfrm>
                    <a:prstGeom prst="rect">
                      <a:avLst/>
                    </a:prstGeom>
                    <a:noFill/>
                    <a:ln w="9525">
                      <a:noFill/>
                      <a:headEnd/>
                      <a:tailEnd/>
                    </a:ln>
                  </pic:spPr>
                </pic:pic>
              </a:graphicData>
            </a:graphic>
          </wp:inline>
        </w:drawing>
      </w:r>
    </w:p>
    <w:bookmarkEnd w:id="80"/>
    <w:p>
      <w:pPr>
        <w:pStyle w:val="FigureNote"/>
      </w:pPr>
      <w:r>
        <w:rPr>
          <w:i/>
          <w:iCs/>
        </w:rPr>
        <w:t xml:space="preserve">Note</w:t>
      </w:r>
      <w:r>
        <w:t xml:space="preserve">. The residuals follow the straight line in the QQ-plot, indicating normal distribution. An even spread in the scatterplots indicates homoscedasticity, here a slight deviation from this assumption is present, with residuals concentrated in the lower range.</w:t>
      </w:r>
    </w:p>
    <w:p>
      <w:r>
        <w:br w:type="page"/>
      </w:r>
    </w:p>
    <w:bookmarkStart w:id="84" w:name="fig-linearity"/>
    <w:p>
      <w:pPr>
        <w:pStyle w:val="FigureTitle"/>
      </w:pPr>
      <w:r>
        <w:t xml:space="preserve">Figure 4</w:t>
      </w:r>
    </w:p>
    <w:p>
      <w:pPr>
        <w:pStyle w:val="Caption"/>
      </w:pPr>
      <w:r>
        <w:t xml:space="preserve">Predictors plottet against the target variable (Session Distance) with LOESS smoothing</w:t>
      </w:r>
    </w:p>
    <w:p>
      <w:pPr>
        <w:pStyle w:val="FigureWithNote"/>
      </w:pPr>
      <w:r>
        <w:drawing>
          <wp:inline>
            <wp:extent cx="5943600" cy="5943600"/>
            <wp:effectExtent b="0" l="0" r="0" t="0"/>
            <wp:docPr descr="" title="" id="82" name="Picture"/>
            <a:graphic>
              <a:graphicData uri="http://schemas.openxmlformats.org/drawingml/2006/picture">
                <pic:pic>
                  <pic:nvPicPr>
                    <pic:cNvPr descr="index_files/figure-docx/fig-linearity-1.png" id="83" name="Picture"/>
                    <pic:cNvPicPr>
                      <a:picLocks noChangeArrowheads="1" noChangeAspect="1"/>
                    </pic:cNvPicPr>
                  </pic:nvPicPr>
                  <pic:blipFill>
                    <a:blip r:embed="rId81"/>
                    <a:stretch>
                      <a:fillRect/>
                    </a:stretch>
                  </pic:blipFill>
                  <pic:spPr bwMode="auto">
                    <a:xfrm>
                      <a:off x="0" y="0"/>
                      <a:ext cx="5943600" cy="5943600"/>
                    </a:xfrm>
                    <a:prstGeom prst="rect">
                      <a:avLst/>
                    </a:prstGeom>
                    <a:noFill/>
                    <a:ln w="9525">
                      <a:noFill/>
                      <a:headEnd/>
                      <a:tailEnd/>
                    </a:ln>
                  </pic:spPr>
                </pic:pic>
              </a:graphicData>
            </a:graphic>
          </wp:inline>
        </w:drawing>
      </w:r>
    </w:p>
    <w:bookmarkEnd w:id="84"/>
    <w:p>
      <w:pPr>
        <w:pStyle w:val="FigureNote"/>
      </w:pPr>
      <w:r>
        <w:rPr>
          <w:i/>
          <w:iCs/>
        </w:rPr>
        <w:t xml:space="preserve">Note</w:t>
      </w:r>
      <w:r>
        <w:t xml:space="preserve">. None of the predictors show a strictly linear association with the target variable.</w:t>
      </w:r>
    </w:p>
    <w:p>
      <w:r>
        <w:br w:type="page"/>
      </w:r>
    </w:p>
    <w:bookmarkStart w:id="88" w:name="fig-outliers"/>
    <w:p>
      <w:pPr>
        <w:pStyle w:val="FigureTitle"/>
      </w:pPr>
      <w:r>
        <w:t xml:space="preserve">Figure 5</w:t>
      </w:r>
    </w:p>
    <w:p>
      <w:pPr>
        <w:pStyle w:val="Caption"/>
      </w:pPr>
      <w:r>
        <w:t xml:space="preserve">Outliers of residuals for each individual</w:t>
      </w:r>
    </w:p>
    <w:p>
      <w:pPr>
        <w:pStyle w:val="FigureWithNote"/>
      </w:pPr>
      <w:r>
        <w:drawing>
          <wp:inline>
            <wp:extent cx="5943600" cy="5943600"/>
            <wp:effectExtent b="0" l="0" r="0" t="0"/>
            <wp:docPr descr="" title="" id="86" name="Picture"/>
            <a:graphic>
              <a:graphicData uri="http://schemas.openxmlformats.org/drawingml/2006/picture">
                <pic:pic>
                  <pic:nvPicPr>
                    <pic:cNvPr descr="index_files/figure-docx/fig-outliers-1.png" id="87" name="Picture"/>
                    <pic:cNvPicPr>
                      <a:picLocks noChangeArrowheads="1" noChangeAspect="1"/>
                    </pic:cNvPicPr>
                  </pic:nvPicPr>
                  <pic:blipFill>
                    <a:blip r:embed="rId85"/>
                    <a:stretch>
                      <a:fillRect/>
                    </a:stretch>
                  </pic:blipFill>
                  <pic:spPr bwMode="auto">
                    <a:xfrm>
                      <a:off x="0" y="0"/>
                      <a:ext cx="5943600" cy="5943600"/>
                    </a:xfrm>
                    <a:prstGeom prst="rect">
                      <a:avLst/>
                    </a:prstGeom>
                    <a:noFill/>
                    <a:ln w="9525">
                      <a:noFill/>
                      <a:headEnd/>
                      <a:tailEnd/>
                    </a:ln>
                  </pic:spPr>
                </pic:pic>
              </a:graphicData>
            </a:graphic>
          </wp:inline>
        </w:drawing>
      </w:r>
    </w:p>
    <w:bookmarkEnd w:id="88"/>
    <w:p>
      <w:pPr>
        <w:pStyle w:val="FigureNote"/>
      </w:pPr>
      <w:r>
        <w:rPr>
          <w:i/>
          <w:iCs/>
        </w:rPr>
        <w:t xml:space="preserve">Note</w:t>
      </w:r>
      <w:r>
        <w:t xml:space="preserve">. Outliers are shown as grey circle. Here, no outliers are present.</w:t>
      </w:r>
    </w:p>
    <w:p>
      <w:r>
        <w:br w:type="page"/>
      </w:r>
    </w:p>
    <w:p>
      <w:pPr>
        <w:pStyle w:val="SourceCode"/>
      </w:pPr>
      <w:r>
        <w:rPr>
          <w:rStyle w:val="VerbatimChar"/>
        </w:rPr>
        <w:t xml:space="preserve">Warning: Removed 4 rows containing missing values or values outside the scale range</w:t>
      </w:r>
      <w:r>
        <w:br/>
      </w:r>
      <w:r>
        <w:rPr>
          <w:rStyle w:val="VerbatimChar"/>
        </w:rPr>
        <w:t xml:space="preserve">(`geom_point()`).</w:t>
      </w:r>
    </w:p>
    <w:bookmarkStart w:id="92" w:name="fig-sessionkm_assumptions_lvl2"/>
    <w:p>
      <w:pPr>
        <w:pStyle w:val="FigureTitle"/>
      </w:pPr>
      <w:r>
        <w:t xml:space="preserve">Figure 6</w:t>
      </w:r>
    </w:p>
    <w:p>
      <w:pPr>
        <w:pStyle w:val="Caption"/>
      </w:pPr>
      <w:r>
        <w:t xml:space="preserve">Residuals on level 2</w:t>
      </w:r>
    </w:p>
    <w:p>
      <w:pPr>
        <w:pStyle w:val="FigureWithNote"/>
      </w:pPr>
      <w:r>
        <w:drawing>
          <wp:inline>
            <wp:extent cx="5943600" cy="5943600"/>
            <wp:effectExtent b="0" l="0" r="0" t="0"/>
            <wp:docPr descr="" title="" id="90" name="Picture"/>
            <a:graphic>
              <a:graphicData uri="http://schemas.openxmlformats.org/drawingml/2006/picture">
                <pic:pic>
                  <pic:nvPicPr>
                    <pic:cNvPr descr="index_files/figure-docx/fig-sessionkm_assumptions_lvl2-1.png" id="91" name="Picture"/>
                    <pic:cNvPicPr>
                      <a:picLocks noChangeArrowheads="1" noChangeAspect="1"/>
                    </pic:cNvPicPr>
                  </pic:nvPicPr>
                  <pic:blipFill>
                    <a:blip r:embed="rId89"/>
                    <a:stretch>
                      <a:fillRect/>
                    </a:stretch>
                  </pic:blipFill>
                  <pic:spPr bwMode="auto">
                    <a:xfrm>
                      <a:off x="0" y="0"/>
                      <a:ext cx="5943600" cy="5943600"/>
                    </a:xfrm>
                    <a:prstGeom prst="rect">
                      <a:avLst/>
                    </a:prstGeom>
                    <a:noFill/>
                    <a:ln w="9525">
                      <a:noFill/>
                      <a:headEnd/>
                      <a:tailEnd/>
                    </a:ln>
                  </pic:spPr>
                </pic:pic>
              </a:graphicData>
            </a:graphic>
          </wp:inline>
        </w:drawing>
      </w:r>
    </w:p>
    <w:bookmarkEnd w:id="92"/>
    <w:p>
      <w:pPr>
        <w:pStyle w:val="FigureNote"/>
      </w:pPr>
      <w:r>
        <w:rPr>
          <w:i/>
          <w:iCs/>
        </w:rPr>
        <w:t xml:space="preserve">Note</w:t>
      </w:r>
      <w:r>
        <w:t xml:space="preserve">. The residuals plotted against random intercepts appear as unsystematic cloud, indicating homoscedasticity.</w:t>
      </w:r>
    </w:p>
    <w:p>
      <w:r>
        <w:br w:type="page"/>
      </w:r>
    </w:p>
    <w:bookmarkStart w:id="96" w:name="fig-sessionh_assumptions"/>
    <w:p>
      <w:pPr>
        <w:pStyle w:val="FigureTitle"/>
      </w:pPr>
      <w:r>
        <w:t xml:space="preserve">Figure 7</w:t>
      </w:r>
    </w:p>
    <w:p>
      <w:pPr>
        <w:pStyle w:val="Caption"/>
      </w:pPr>
      <w:r>
        <w:t xml:space="preserve">QQ-Plot and Scatterplot of Residuals for the HLM predicting running distance</w:t>
      </w:r>
    </w:p>
    <w:p>
      <w:pPr>
        <w:pStyle w:val="FigureWithNote"/>
      </w:pPr>
      <w:r>
        <w:drawing>
          <wp:inline>
            <wp:extent cx="5943600" cy="5943600"/>
            <wp:effectExtent b="0" l="0" r="0" t="0"/>
            <wp:docPr descr="" title="" id="94" name="Picture"/>
            <a:graphic>
              <a:graphicData uri="http://schemas.openxmlformats.org/drawingml/2006/picture">
                <pic:pic>
                  <pic:nvPicPr>
                    <pic:cNvPr descr="index_files/figure-docx/fig-sessionh_assumptions-1.png" id="95" name="Picture"/>
                    <pic:cNvPicPr>
                      <a:picLocks noChangeArrowheads="1" noChangeAspect="1"/>
                    </pic:cNvPicPr>
                  </pic:nvPicPr>
                  <pic:blipFill>
                    <a:blip r:embed="rId93"/>
                    <a:stretch>
                      <a:fillRect/>
                    </a:stretch>
                  </pic:blipFill>
                  <pic:spPr bwMode="auto">
                    <a:xfrm>
                      <a:off x="0" y="0"/>
                      <a:ext cx="5943600" cy="5943600"/>
                    </a:xfrm>
                    <a:prstGeom prst="rect">
                      <a:avLst/>
                    </a:prstGeom>
                    <a:noFill/>
                    <a:ln w="9525">
                      <a:noFill/>
                      <a:headEnd/>
                      <a:tailEnd/>
                    </a:ln>
                  </pic:spPr>
                </pic:pic>
              </a:graphicData>
            </a:graphic>
          </wp:inline>
        </w:drawing>
      </w:r>
    </w:p>
    <w:bookmarkEnd w:id="96"/>
    <w:p>
      <w:pPr>
        <w:pStyle w:val="FigureNote"/>
      </w:pPr>
      <w:r>
        <w:rPr>
          <w:i/>
          <w:iCs/>
        </w:rPr>
        <w:t xml:space="preserve">Note</w:t>
      </w:r>
      <w:r>
        <w:t xml:space="preserve">. The residuals follow the straight line in the QQ-plot, indicating normal distribution. An even spread in the scatterplots indicates homoscedasticity, here a slight deviation from this assumption is present, with residuals concentrated in the lower range of training time.</w:t>
      </w:r>
    </w:p>
    <w:p>
      <w:r>
        <w:br w:type="page"/>
      </w:r>
    </w:p>
    <w:bookmarkStart w:id="100" w:name="fig-outliers_h"/>
    <w:p>
      <w:pPr>
        <w:pStyle w:val="FigureTitle"/>
      </w:pPr>
      <w:r>
        <w:t xml:space="preserve">Figure 8</w:t>
      </w:r>
    </w:p>
    <w:p>
      <w:pPr>
        <w:pStyle w:val="Caption"/>
      </w:pPr>
      <w:r>
        <w:t xml:space="preserve">Outliers of residuals for each individual</w:t>
      </w:r>
    </w:p>
    <w:p>
      <w:pPr>
        <w:pStyle w:val="FigureWithNote"/>
      </w:pPr>
      <w:r>
        <w:drawing>
          <wp:inline>
            <wp:extent cx="5943600" cy="5943600"/>
            <wp:effectExtent b="0" l="0" r="0" t="0"/>
            <wp:docPr descr="" title="" id="98" name="Picture"/>
            <a:graphic>
              <a:graphicData uri="http://schemas.openxmlformats.org/drawingml/2006/picture">
                <pic:pic>
                  <pic:nvPicPr>
                    <pic:cNvPr descr="index_files/figure-docx/fig-outliers_h-1.png" id="99" name="Picture"/>
                    <pic:cNvPicPr>
                      <a:picLocks noChangeArrowheads="1" noChangeAspect="1"/>
                    </pic:cNvPicPr>
                  </pic:nvPicPr>
                  <pic:blipFill>
                    <a:blip r:embed="rId97"/>
                    <a:stretch>
                      <a:fillRect/>
                    </a:stretch>
                  </pic:blipFill>
                  <pic:spPr bwMode="auto">
                    <a:xfrm>
                      <a:off x="0" y="0"/>
                      <a:ext cx="5943600" cy="5943600"/>
                    </a:xfrm>
                    <a:prstGeom prst="rect">
                      <a:avLst/>
                    </a:prstGeom>
                    <a:noFill/>
                    <a:ln w="9525">
                      <a:noFill/>
                      <a:headEnd/>
                      <a:tailEnd/>
                    </a:ln>
                  </pic:spPr>
                </pic:pic>
              </a:graphicData>
            </a:graphic>
          </wp:inline>
        </w:drawing>
      </w:r>
    </w:p>
    <w:bookmarkEnd w:id="100"/>
    <w:p>
      <w:pPr>
        <w:pStyle w:val="FigureNote"/>
      </w:pPr>
      <w:r>
        <w:rPr>
          <w:i/>
          <w:iCs/>
        </w:rPr>
        <w:t xml:space="preserve">Note</w:t>
      </w:r>
      <w:r>
        <w:t xml:space="preserve">. Outliers are shown as grey circle</w:t>
      </w:r>
    </w:p>
    <w:p>
      <w:r>
        <w:br w:type="page"/>
      </w:r>
    </w:p>
    <w:bookmarkStart w:id="104" w:name="fig-linearity_h"/>
    <w:p>
      <w:pPr>
        <w:pStyle w:val="FigureTitle"/>
      </w:pPr>
      <w:r>
        <w:t xml:space="preserve">Figure 9</w:t>
      </w:r>
    </w:p>
    <w:p>
      <w:pPr>
        <w:pStyle w:val="Caption"/>
      </w:pPr>
      <w:r>
        <w:t xml:space="preserve">Predictors plottet against the target variable with LOESS smoothing</w:t>
      </w:r>
    </w:p>
    <w:p>
      <w:pPr>
        <w:pStyle w:val="FigureWithNote"/>
      </w:pPr>
      <w:r>
        <w:drawing>
          <wp:inline>
            <wp:extent cx="5943600" cy="5943600"/>
            <wp:effectExtent b="0" l="0" r="0" t="0"/>
            <wp:docPr descr="" title="" id="102" name="Picture"/>
            <a:graphic>
              <a:graphicData uri="http://schemas.openxmlformats.org/drawingml/2006/picture">
                <pic:pic>
                  <pic:nvPicPr>
                    <pic:cNvPr descr="index_files/figure-docx/fig-linearity_h-1.png" id="103" name="Picture"/>
                    <pic:cNvPicPr>
                      <a:picLocks noChangeArrowheads="1" noChangeAspect="1"/>
                    </pic:cNvPicPr>
                  </pic:nvPicPr>
                  <pic:blipFill>
                    <a:blip r:embed="rId101"/>
                    <a:stretch>
                      <a:fillRect/>
                    </a:stretch>
                  </pic:blipFill>
                  <pic:spPr bwMode="auto">
                    <a:xfrm>
                      <a:off x="0" y="0"/>
                      <a:ext cx="5943600" cy="5943600"/>
                    </a:xfrm>
                    <a:prstGeom prst="rect">
                      <a:avLst/>
                    </a:prstGeom>
                    <a:noFill/>
                    <a:ln w="9525">
                      <a:noFill/>
                      <a:headEnd/>
                      <a:tailEnd/>
                    </a:ln>
                  </pic:spPr>
                </pic:pic>
              </a:graphicData>
            </a:graphic>
          </wp:inline>
        </w:drawing>
      </w:r>
    </w:p>
    <w:bookmarkEnd w:id="104"/>
    <w:p>
      <w:pPr>
        <w:pStyle w:val="FigureNote"/>
      </w:pPr>
      <w:r>
        <w:rPr>
          <w:i/>
          <w:iCs/>
        </w:rPr>
        <w:t xml:space="preserve">Note</w:t>
      </w:r>
      <w:r>
        <w:t xml:space="preserve">. This is the note below the figure.</w:t>
      </w:r>
    </w:p>
    <w:p>
      <w:r>
        <w:br w:type="page"/>
      </w:r>
    </w:p>
    <w:p>
      <w:pPr>
        <w:pStyle w:val="SourceCode"/>
      </w:pPr>
      <w:r>
        <w:rPr>
          <w:rStyle w:val="VerbatimChar"/>
        </w:rPr>
        <w:t xml:space="preserve">Warning: Removed 2 rows containing missing values or values outside the scale range</w:t>
      </w:r>
      <w:r>
        <w:br/>
      </w:r>
      <w:r>
        <w:rPr>
          <w:rStyle w:val="VerbatimChar"/>
        </w:rPr>
        <w:t xml:space="preserve">(`geom_point()`).</w:t>
      </w:r>
    </w:p>
    <w:bookmarkStart w:id="108" w:name="fig-sessionh_assumptions_lvl2"/>
    <w:p>
      <w:pPr>
        <w:pStyle w:val="FigureTitle"/>
      </w:pPr>
      <w:r>
        <w:t xml:space="preserve">Figure 10</w:t>
      </w:r>
    </w:p>
    <w:p>
      <w:pPr>
        <w:pStyle w:val="Caption"/>
      </w:pPr>
      <w:r>
        <w:t xml:space="preserve">Residuals on level 2</w:t>
      </w:r>
    </w:p>
    <w:p>
      <w:pPr>
        <w:pStyle w:val="FigureWithNote"/>
      </w:pPr>
      <w:r>
        <w:drawing>
          <wp:inline>
            <wp:extent cx="5943600" cy="5943600"/>
            <wp:effectExtent b="0" l="0" r="0" t="0"/>
            <wp:docPr descr="" title="" id="106" name="Picture"/>
            <a:graphic>
              <a:graphicData uri="http://schemas.openxmlformats.org/drawingml/2006/picture">
                <pic:pic>
                  <pic:nvPicPr>
                    <pic:cNvPr descr="index_files/figure-docx/fig-sessionh_assumptions_lvl2-1.png" id="107" name="Picture"/>
                    <pic:cNvPicPr>
                      <a:picLocks noChangeArrowheads="1" noChangeAspect="1"/>
                    </pic:cNvPicPr>
                  </pic:nvPicPr>
                  <pic:blipFill>
                    <a:blip r:embed="rId105"/>
                    <a:stretch>
                      <a:fillRect/>
                    </a:stretch>
                  </pic:blipFill>
                  <pic:spPr bwMode="auto">
                    <a:xfrm>
                      <a:off x="0" y="0"/>
                      <a:ext cx="5943600" cy="5943600"/>
                    </a:xfrm>
                    <a:prstGeom prst="rect">
                      <a:avLst/>
                    </a:prstGeom>
                    <a:noFill/>
                    <a:ln w="9525">
                      <a:noFill/>
                      <a:headEnd/>
                      <a:tailEnd/>
                    </a:ln>
                  </pic:spPr>
                </pic:pic>
              </a:graphicData>
            </a:graphic>
          </wp:inline>
        </w:drawing>
      </w:r>
    </w:p>
    <w:bookmarkEnd w:id="108"/>
    <w:p>
      <w:pPr>
        <w:pStyle w:val="FigureNote"/>
      </w:pPr>
      <w:r>
        <w:rPr>
          <w:i/>
          <w:iCs/>
        </w:rPr>
        <w:t xml:space="preserve">Note</w:t>
      </w:r>
      <w:r>
        <w:t xml:space="preserve">. The residuals plotted against random intercepts appear as unsystematic cloud, indicating homoscedasticity.</w:t>
      </w:r>
    </w:p>
    <w:p>
      <w:r>
        <w:br w:type="page"/>
      </w:r>
    </w:p>
    <w:bookmarkStart w:id="112" w:name="fig-sessionrpe_assumptions"/>
    <w:p>
      <w:pPr>
        <w:pStyle w:val="FigureTitle"/>
      </w:pPr>
      <w:r>
        <w:t xml:space="preserve">Figure 11</w:t>
      </w:r>
    </w:p>
    <w:p>
      <w:pPr>
        <w:pStyle w:val="Caption"/>
      </w:pPr>
      <w:r>
        <w:t xml:space="preserve">Histogram of Residuals</w:t>
      </w:r>
    </w:p>
    <w:p>
      <w:pPr>
        <w:pStyle w:val="FigureWithNote"/>
      </w:pPr>
      <w:r>
        <w:drawing>
          <wp:inline>
            <wp:extent cx="5943600" cy="5943600"/>
            <wp:effectExtent b="0" l="0" r="0" t="0"/>
            <wp:docPr descr="" title="" id="110" name="Picture"/>
            <a:graphic>
              <a:graphicData uri="http://schemas.openxmlformats.org/drawingml/2006/picture">
                <pic:pic>
                  <pic:nvPicPr>
                    <pic:cNvPr descr="index_files/figure-docx/fig-sessionrpe_assumptions-1.png" id="111" name="Picture"/>
                    <pic:cNvPicPr>
                      <a:picLocks noChangeArrowheads="1" noChangeAspect="1"/>
                    </pic:cNvPicPr>
                  </pic:nvPicPr>
                  <pic:blipFill>
                    <a:blip r:embed="rId109"/>
                    <a:stretch>
                      <a:fillRect/>
                    </a:stretch>
                  </pic:blipFill>
                  <pic:spPr bwMode="auto">
                    <a:xfrm>
                      <a:off x="0" y="0"/>
                      <a:ext cx="5943600" cy="5943600"/>
                    </a:xfrm>
                    <a:prstGeom prst="rect">
                      <a:avLst/>
                    </a:prstGeom>
                    <a:noFill/>
                    <a:ln w="9525">
                      <a:noFill/>
                      <a:headEnd/>
                      <a:tailEnd/>
                    </a:ln>
                  </pic:spPr>
                </pic:pic>
              </a:graphicData>
            </a:graphic>
          </wp:inline>
        </w:drawing>
      </w:r>
    </w:p>
    <w:bookmarkEnd w:id="112"/>
    <w:p>
      <w:pPr>
        <w:pStyle w:val="FigureNote"/>
      </w:pPr>
      <w:r>
        <w:rPr>
          <w:i/>
          <w:iCs/>
        </w:rPr>
        <w:t xml:space="preserve">Note</w:t>
      </w:r>
      <w:r>
        <w:t xml:space="preserve">. This is the note below the figure.</w:t>
      </w:r>
    </w:p>
    <w:p>
      <w:r>
        <w:br w:type="page"/>
      </w:r>
    </w:p>
    <w:bookmarkStart w:id="116" w:name="fig-linearity_rpe"/>
    <w:p>
      <w:pPr>
        <w:pStyle w:val="FigureTitle"/>
      </w:pPr>
      <w:r>
        <w:t xml:space="preserve">Figure 12</w:t>
      </w:r>
    </w:p>
    <w:p>
      <w:pPr>
        <w:pStyle w:val="Caption"/>
      </w:pPr>
      <w:r>
        <w:t xml:space="preserve">Predictors plottet against the target variable with LOESS smoothing</w:t>
      </w:r>
    </w:p>
    <w:p>
      <w:pPr>
        <w:pStyle w:val="FigureWithNote"/>
      </w:pPr>
      <w:r>
        <w:drawing>
          <wp:inline>
            <wp:extent cx="5943600" cy="5943600"/>
            <wp:effectExtent b="0" l="0" r="0" t="0"/>
            <wp:docPr descr="" title="" id="114" name="Picture"/>
            <a:graphic>
              <a:graphicData uri="http://schemas.openxmlformats.org/drawingml/2006/picture">
                <pic:pic>
                  <pic:nvPicPr>
                    <pic:cNvPr descr="index_files/figure-docx/fig-linearity_rpe-1.png" id="115" name="Picture"/>
                    <pic:cNvPicPr>
                      <a:picLocks noChangeArrowheads="1" noChangeAspect="1"/>
                    </pic:cNvPicPr>
                  </pic:nvPicPr>
                  <pic:blipFill>
                    <a:blip r:embed="rId113"/>
                    <a:stretch>
                      <a:fillRect/>
                    </a:stretch>
                  </pic:blipFill>
                  <pic:spPr bwMode="auto">
                    <a:xfrm>
                      <a:off x="0" y="0"/>
                      <a:ext cx="5943600" cy="5943600"/>
                    </a:xfrm>
                    <a:prstGeom prst="rect">
                      <a:avLst/>
                    </a:prstGeom>
                    <a:noFill/>
                    <a:ln w="9525">
                      <a:noFill/>
                      <a:headEnd/>
                      <a:tailEnd/>
                    </a:ln>
                  </pic:spPr>
                </pic:pic>
              </a:graphicData>
            </a:graphic>
          </wp:inline>
        </w:drawing>
      </w:r>
    </w:p>
    <w:bookmarkEnd w:id="116"/>
    <w:p>
      <w:pPr>
        <w:pStyle w:val="FigureNote"/>
      </w:pPr>
      <w:r>
        <w:rPr>
          <w:i/>
          <w:iCs/>
        </w:rPr>
        <w:t xml:space="preserve">Note</w:t>
      </w:r>
      <w:r>
        <w:t xml:space="preserve">. This is the note below the figure.</w:t>
      </w:r>
    </w:p>
    <w:p>
      <w:r>
        <w:br w:type="page"/>
      </w:r>
    </w:p>
    <w:p>
      <w:pPr>
        <w:pStyle w:val="SourceCode"/>
      </w:pPr>
      <w:r>
        <w:rPr>
          <w:rStyle w:val="VerbatimChar"/>
        </w:rPr>
        <w:t xml:space="preserve">Warning: Removed 2 rows containing missing values or values outside the scale range</w:t>
      </w:r>
      <w:r>
        <w:br/>
      </w:r>
      <w:r>
        <w:rPr>
          <w:rStyle w:val="VerbatimChar"/>
        </w:rPr>
        <w:t xml:space="preserve">(`geom_point()`).</w:t>
      </w:r>
    </w:p>
    <w:bookmarkStart w:id="120" w:name="fig-sessionrpe_assumptions_lvl2"/>
    <w:p>
      <w:pPr>
        <w:pStyle w:val="FigureTitle"/>
      </w:pPr>
      <w:r>
        <w:t xml:space="preserve">Figure 13</w:t>
      </w:r>
    </w:p>
    <w:p>
      <w:pPr>
        <w:pStyle w:val="Caption"/>
      </w:pPr>
      <w:r>
        <w:t xml:space="preserve">Residuals on level 2</w:t>
      </w:r>
    </w:p>
    <w:p>
      <w:pPr>
        <w:pStyle w:val="FigureWithNote"/>
      </w:pPr>
      <w:r>
        <w:drawing>
          <wp:inline>
            <wp:extent cx="5943600" cy="5943600"/>
            <wp:effectExtent b="0" l="0" r="0" t="0"/>
            <wp:docPr descr="" title="" id="118" name="Picture"/>
            <a:graphic>
              <a:graphicData uri="http://schemas.openxmlformats.org/drawingml/2006/picture">
                <pic:pic>
                  <pic:nvPicPr>
                    <pic:cNvPr descr="index_files/figure-docx/fig-sessionrpe_assumptions_lvl2-1.png" id="119" name="Picture"/>
                    <pic:cNvPicPr>
                      <a:picLocks noChangeArrowheads="1" noChangeAspect="1"/>
                    </pic:cNvPicPr>
                  </pic:nvPicPr>
                  <pic:blipFill>
                    <a:blip r:embed="rId117"/>
                    <a:stretch>
                      <a:fillRect/>
                    </a:stretch>
                  </pic:blipFill>
                  <pic:spPr bwMode="auto">
                    <a:xfrm>
                      <a:off x="0" y="0"/>
                      <a:ext cx="5943600" cy="5943600"/>
                    </a:xfrm>
                    <a:prstGeom prst="rect">
                      <a:avLst/>
                    </a:prstGeom>
                    <a:noFill/>
                    <a:ln w="9525">
                      <a:noFill/>
                      <a:headEnd/>
                      <a:tailEnd/>
                    </a:ln>
                  </pic:spPr>
                </pic:pic>
              </a:graphicData>
            </a:graphic>
          </wp:inline>
        </w:drawing>
      </w:r>
    </w:p>
    <w:bookmarkEnd w:id="120"/>
    <w:p>
      <w:pPr>
        <w:pStyle w:val="FigureNote"/>
      </w:pPr>
      <w:r>
        <w:rPr>
          <w:i/>
          <w:iCs/>
        </w:rPr>
        <w:t xml:space="preserve">Note</w:t>
      </w:r>
      <w:r>
        <w:t xml:space="preserve">. The residuals plotted against random intercepts appear as unsystematic cloud, indicating homoscedasticity.</w:t>
      </w:r>
    </w:p>
    <w:p>
      <w:r>
        <w:br w:type="page"/>
      </w:r>
    </w:p>
    <w:sectPr>
      <w:lnNumType w:countBy="1" w:restart="continuous"/>
    </w:sectPr>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1" Target="media/rId21.svg" /><Relationship Type="http://schemas.openxmlformats.org/officeDocument/2006/relationships/image" Id="rId73" Target="media/rId73.png" /><Relationship Type="http://schemas.openxmlformats.org/officeDocument/2006/relationships/image" Id="rId81" Target="media/rId81.png" /><Relationship Type="http://schemas.openxmlformats.org/officeDocument/2006/relationships/image" Id="rId101" Target="media/rId101.png" /><Relationship Type="http://schemas.openxmlformats.org/officeDocument/2006/relationships/image" Id="rId113" Target="media/rId113.png" /><Relationship Type="http://schemas.openxmlformats.org/officeDocument/2006/relationships/image" Id="rId85" Target="media/rId85.png" /><Relationship Type="http://schemas.openxmlformats.org/officeDocument/2006/relationships/image" Id="rId97" Target="media/rId97.png" /><Relationship Type="http://schemas.openxmlformats.org/officeDocument/2006/relationships/image" Id="rId93" Target="media/rId93.png" /><Relationship Type="http://schemas.openxmlformats.org/officeDocument/2006/relationships/image" Id="rId105" Target="media/rId105.png" /><Relationship Type="http://schemas.openxmlformats.org/officeDocument/2006/relationships/image" Id="rId77" Target="media/rId77.png" /><Relationship Type="http://schemas.openxmlformats.org/officeDocument/2006/relationships/image" Id="rId89" Target="media/rId89.png" /><Relationship Type="http://schemas.openxmlformats.org/officeDocument/2006/relationships/image" Id="rId109" Target="media/rId109.png" /><Relationship Type="http://schemas.openxmlformats.org/officeDocument/2006/relationships/image" Id="rId117" Target="media/rId117.png" /><Relationship Type="http://schemas.openxmlformats.org/officeDocument/2006/relationships/image" Id="rId69" Target="media/rId69.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hyperlink" Id="rId60" Target="https://doi.org/10.1037/met0000030" TargetMode="External" /><Relationship Type="http://schemas.openxmlformats.org/officeDocument/2006/relationships/hyperlink" Id="rId56" Target="https://doi.org/10.3758/bf03193146" TargetMode="External" /><Relationship Type="http://schemas.openxmlformats.org/officeDocument/2006/relationships/hyperlink" Id="rId33" Target="https://github.com/Enno-W/Self-Conscious-Emotions-in-Sport-and-Exercise/blob/main/index.qmd" TargetMode="External" /><Relationship Type="http://schemas.openxmlformats.org/officeDocument/2006/relationships/hyperlink" Id="rId58"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60" Target="https://doi.org/10.1037/met0000030" TargetMode="External" /><Relationship Type="http://schemas.openxmlformats.org/officeDocument/2006/relationships/hyperlink" Id="rId56" Target="https://doi.org/10.3758/bf03193146" TargetMode="External" /><Relationship Type="http://schemas.openxmlformats.org/officeDocument/2006/relationships/hyperlink" Id="rId33" Target="https://github.com/Enno-W/Self-Conscious-Emotions-in-Sport-and-Exercise/blob/main/index.qmd" TargetMode="External" /><Relationship Type="http://schemas.openxmlformats.org/officeDocument/2006/relationships/hyperlink" Id="rId58"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SELF-CONSCIOUS EMOTIONS IN SPORT</dc:description>
  <cp:keywords>Affect, Causal Attribution, Exercise Behavior, Recreational Athletes, Well-Being</cp:keywords>
  <dcterms:created xsi:type="dcterms:W3CDTF">2026-04-20T03:27:53Z</dcterms:created>
  <dcterms:modified xsi:type="dcterms:W3CDTF">2026-04-20T03:27:53Z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Self-conscious emotions play a crucial role in sports and exercise by reflecting self-related goal achievements. Traditionally, these emotions are explained through explicit attributional processes. However, implicit processes that influence self-related goal orientation are often overlooked. This research covers two studies to investigate implicit determinants of pride in sports and exercising. First, a cross-sectional correlation study reveals a negative correlation of the implicit affiliation motive with authentic pride in ambitious recreational athletes. Second, a longitudinal study that shows that pride predicted a lower perceived exhaustion if the implicit the affiliation motive was high, and a higher perceived exertion if the achievement motive was high. Therefore, considering implicit processes in recreational athletes as potential determinants of self-conscious emotions appears to be more significant than previously thought.</vt:lpwstr>
  </property>
  <property fmtid="{D5CDD505-2E9C-101B-9397-08002B2CF9AE}" pid="5" name="apaauthor">
    <vt:lpwstr/>
  </property>
  <property fmtid="{D5CDD505-2E9C-101B-9397-08002B2CF9AE}" pid="6" name="apatitle">
    <vt:lpwstr>Self-Conscious Emotions in Sport and Exercise: Relationships of Implicit and Explicit Processes of Authentic and Hubristic Pride and Physical Activity</vt:lpwstr>
  </property>
  <property fmtid="{D5CDD505-2E9C-101B-9397-08002B2CF9AE}" pid="7" name="apatitledisplay">
    <vt:lpwstr>Self-Conscious Emotions in Sport and Exercise: Relationships of Implicit and Explicit Processes of Authentic and Hubristic Pride and Physical Activity</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omments">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fig-cap-location">
    <vt:lpwstr>top</vt:lpwstr>
  </property>
  <property fmtid="{D5CDD505-2E9C-101B-9397-08002B2CF9AE}" pid="18" name="floatsintext">
    <vt:lpwstr>False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no-ampersand-parenthetical">
    <vt:lpwstr>False</vt:lpwstr>
  </property>
  <property fmtid="{D5CDD505-2E9C-101B-9397-08002B2CF9AE}" pid="27" name="numbered-lines">
    <vt:lpwstr>True</vt:lpwstr>
  </property>
  <property fmtid="{D5CDD505-2E9C-101B-9397-08002B2CF9AE}" pid="28" name="oneaffiliation">
    <vt:lpwstr>True</vt:lpwstr>
  </property>
  <property fmtid="{D5CDD505-2E9C-101B-9397-08002B2CF9AE}" pid="29" name="oneauthor">
    <vt:lpwstr>False</vt:lpwstr>
  </property>
  <property fmtid="{D5CDD505-2E9C-101B-9397-08002B2CF9AE}" pid="30" name="references">
    <vt:lpwstr/>
  </property>
  <property fmtid="{D5CDD505-2E9C-101B-9397-08002B2CF9AE}" pid="31" name="revealjs-plugins">
    <vt:lpwstr/>
  </property>
  <property fmtid="{D5CDD505-2E9C-101B-9397-08002B2CF9AE}" pid="32" name="shorttitle">
    <vt:lpwstr>SELF-CONSCIOUS EMOTIONS IN SPORT</vt:lpwstr>
  </property>
  <property fmtid="{D5CDD505-2E9C-101B-9397-08002B2CF9AE}" pid="33" name="suppress-abstract">
    <vt:lpwstr>False</vt:lpwstr>
  </property>
  <property fmtid="{D5CDD505-2E9C-101B-9397-08002B2CF9AE}" pid="34" name="suppress-affiliation">
    <vt:lpwstr>False</vt:lpwstr>
  </property>
  <property fmtid="{D5CDD505-2E9C-101B-9397-08002B2CF9AE}" pid="35" name="suppress-author">
    <vt:lpwstr>False</vt:lpwstr>
  </property>
  <property fmtid="{D5CDD505-2E9C-101B-9397-08002B2CF9AE}" pid="36" name="suppress-author-note">
    <vt:lpwstr>False</vt:lpwstr>
  </property>
  <property fmtid="{D5CDD505-2E9C-101B-9397-08002B2CF9AE}" pid="37" name="suppress-corresponding-address">
    <vt:lpwstr>False</vt:lpwstr>
  </property>
  <property fmtid="{D5CDD505-2E9C-101B-9397-08002B2CF9AE}" pid="38" name="suppress-corresponding-affiliation-name">
    <vt:lpwstr>False</vt:lpwstr>
  </property>
  <property fmtid="{D5CDD505-2E9C-101B-9397-08002B2CF9AE}" pid="39" name="suppress-corresponding-city">
    <vt:lpwstr>False</vt:lpwstr>
  </property>
  <property fmtid="{D5CDD505-2E9C-101B-9397-08002B2CF9AE}" pid="40" name="suppress-corresponding-department">
    <vt:lpwstr>False</vt:lpwstr>
  </property>
  <property fmtid="{D5CDD505-2E9C-101B-9397-08002B2CF9AE}" pid="41" name="suppress-corresponding-email">
    <vt:lpwstr>False</vt:lpwstr>
  </property>
  <property fmtid="{D5CDD505-2E9C-101B-9397-08002B2CF9AE}" pid="42" name="suppress-corresponding-group">
    <vt:lpwstr>False</vt:lpwstr>
  </property>
  <property fmtid="{D5CDD505-2E9C-101B-9397-08002B2CF9AE}" pid="43" name="suppress-corresponding-paragraph">
    <vt:lpwstr>False</vt:lpwstr>
  </property>
  <property fmtid="{D5CDD505-2E9C-101B-9397-08002B2CF9AE}" pid="44" name="suppress-corresponding-postal-code">
    <vt:lpwstr>False</vt:lpwstr>
  </property>
  <property fmtid="{D5CDD505-2E9C-101B-9397-08002B2CF9AE}" pid="45" name="suppress-corresponding-region">
    <vt:lpwstr>False</vt:lpwstr>
  </property>
  <property fmtid="{D5CDD505-2E9C-101B-9397-08002B2CF9AE}" pid="46" name="suppress-credit-statement">
    <vt:lpwstr>False</vt:lpwstr>
  </property>
  <property fmtid="{D5CDD505-2E9C-101B-9397-08002B2CF9AE}" pid="47" name="suppress-disclosures-paragraph">
    <vt:lpwstr>False</vt:lpwstr>
  </property>
  <property fmtid="{D5CDD505-2E9C-101B-9397-08002B2CF9AE}" pid="48" name="suppress-keywords">
    <vt:lpwstr>True</vt:lpwstr>
  </property>
  <property fmtid="{D5CDD505-2E9C-101B-9397-08002B2CF9AE}" pid="49" name="suppress-orcid">
    <vt:lpwstr>False</vt:lpwstr>
  </property>
  <property fmtid="{D5CDD505-2E9C-101B-9397-08002B2CF9AE}" pid="50" name="suppress-short-title">
    <vt:lpwstr>False</vt:lpwstr>
  </property>
  <property fmtid="{D5CDD505-2E9C-101B-9397-08002B2CF9AE}" pid="51" name="suppress-status-change-paragraph">
    <vt:lpwstr>False</vt:lpwstr>
  </property>
  <property fmtid="{D5CDD505-2E9C-101B-9397-08002B2CF9AE}" pid="52" name="suppress-title">
    <vt:lpwstr>False</vt:lpwstr>
  </property>
  <property fmtid="{D5CDD505-2E9C-101B-9397-08002B2CF9AE}" pid="53" name="suppress-title-introduction">
    <vt:lpwstr>False</vt:lpwstr>
  </property>
  <property fmtid="{D5CDD505-2E9C-101B-9397-08002B2CF9AE}" pid="54" name="suppress-title-page">
    <vt:lpwstr>False</vt:lpwstr>
  </property>
  <property fmtid="{D5CDD505-2E9C-101B-9397-08002B2CF9AE}" pid="55" name="suppress-title-page-number">
    <vt:lpwstr>False</vt:lpwstr>
  </property>
  <property fmtid="{D5CDD505-2E9C-101B-9397-08002B2CF9AE}" pid="56" name="tbl-cap-location">
    <vt:lpwstr>top</vt:lpwstr>
  </property>
  <property fmtid="{D5CDD505-2E9C-101B-9397-08002B2CF9AE}" pid="57" name="toc-title">
    <vt:lpwstr>Table of contents</vt:lpwstr>
  </property>
  <property fmtid="{D5CDD505-2E9C-101B-9397-08002B2CF9AE}" pid="58" name="zerocitations">
    <vt:lpwstr>False</vt:lpwstr>
  </property>
</Properties>
</file>