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.1：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群目标运动航向估计技术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.1.1.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瞬时预测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1. 策略思路：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迎头/相向转同向占位作战中，第2波次光电侦察无人机必须贴敌飞行才能持续视场覆盖。本策略的核心是用相对运动反算绝对航向：我方无人机与敌群航向相近、速度相近，机载光电只能看到“敌机在视场里的像素位移”，无法直接获得敌机真北航向；且卫星导航常被干扰，自身航向存在漂移。因此，算法把“自身-敌机相对运动”与“自身IMU角速度”融合，通过相对运动学反推+误差动态修正，在20 Hz频率下输出敌机瞬时绝对航向，误差≤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2°（95%），为火控扇扫、导弹前置角提供实时指向。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输入参数（单包20Hz）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时间戳 t：传感器PPS或系统时钟，单调递增，用于Δt计算与丢包检测。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敌机地理位置 lat, lon：由光电/雷达/视觉SLAM解算，WGS84°。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敌机地速大小 spd：相对地速，m/s，≥0.1 m/s有效。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敌机航向角 heading_deg：相对航向，0-360°，北=0°，顺时针。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敌机高度 alt：椭球高，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单位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m，可选；缺失时上下机动识别失效。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导航质量标志 nav_flag：OK/DEGRADED/DENIED，用于动态误差标注。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输出参数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当前绝对航向 heading_deg_mean：0-360°，北=0°，瞬时估计值。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航向不确定度 heading_ci_deg：95%半宽，动态放大（GNSS拒止时×2）。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角速度 turnrate_deg_s：°/s，正负表示左右转。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机动置信度 maneuver_confidence：0/1，straight=0，其余=1。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下一拍坐标 (next_lat, next_lon)：Δt=1s CTRV外推，供火控前置角。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实现逻辑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缓存最近5点：记忆滑窗，时空快照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为在严苛的20 Hz高频率下保持计算轻量，算法仅保留最近5个时空快照，构成一个滑动记忆窗。这个窗口如同一张“瞬时胶片”，既足够长以包容一次典型机动的起点与拐点，又足够短以避免陈旧数据稀释当前动态。每收到一帧新观测，旧帧被自动弹出，内存占用始终恒定，确保嵌入式平台无堆膨胀风险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Δt计算：时间差分+丢包补偿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时间戳差分是反推角速度的“秒表”。当光电链路出现丢包，秒表不会“暂停”——算法立即乘以缺失帧数，使Δt放大，从而避免ω过估的虚假机动。这种“丢多少，补多少”的粗暴但有效策略，确保角速度始终与真实物理变化同尺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相对角速度：从“像素跳动”到“真北转动”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视场内敌机的像素位移首先被解算为相对航向变化。通过对5点航向unwrap（解缠绕），得到连续的ω_raw——这是“像素跳动”首次转化为“角度跳动”。随后，Hampel 3×MAD像一把“手术刀”，切除突变尖峰，保留平滑趋势。最后，EMA指数滑动平均以ρ=0.9的惯性，既快速响应突转，又抑制IMU高频抖动，把“角度跳动”精炼为“真北转动”。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相对→绝对：隔离自身漂移的“防火墙”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自身IMU角速度仅用于坐标转换，绝不参与敌机ω计算。这是一道“防火墙”，阻断自身漂移向敌机参数的渗透。即使自身航向漂移1°/s，敌机角速度依旧纯净——这是“相对→绝对”反推的核心安全屏障。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不确定度动态放大：动态置信，实时告警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正常状态下，算法以1°光电基础噪声为底，叠加角速度方差×Δt²，形成σψ——一个随机动剧烈程度实时膨胀的“弹性圈”。当导航标志位变为DENIED或丢包超过3帧，这个弹性圈瞬间×2，并上报degraded_nav=true——向火控系统亮起“黄灯”，提示下游放大前置角、降低开火置信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下一拍外推：1秒水晶球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当前ψ、v、ω被送入CTRV单步水晶球：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10"/>
          <w:kern w:val="0"/>
          <w:sz w:val="25"/>
          <w:szCs w:val="25"/>
          <w:u w:val="none"/>
          <w:vertAlign w:val="baseline"/>
          <w:lang w:val="en-US" w:eastAsia="zh-CN" w:bidi="ar"/>
        </w:rPr>
      </w:pPr>
      <m:oMathPara>
        <m:oMath>
          <m:r>
            <w:rPr>
              <w:rFonts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x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14"/>
              <w:szCs w:val="14"/>
              <w:u w:val="none"/>
              <w:vertAlign w:val="baseline"/>
              <w:lang w:val="en-US" w:eastAsia="zh-CN" w:bidi="ar"/>
            </w:rPr>
            <m:t>1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"/>
              <w:szCs w:val="2"/>
              <w:u w:val="none"/>
              <w:lang w:val="en-US" w:eastAsia="zh-CN" w:bidi="ar"/>
            </w:rPr>
            <m:t>​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=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x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+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ωv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"/>
              <w:szCs w:val="2"/>
              <w:u w:val="none"/>
              <w:lang w:val="en-US" w:eastAsia="zh-CN" w:bidi="ar"/>
            </w:rPr>
            <m:t>​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(sin(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ψ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+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ω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Δ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t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)−sin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ψ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)</m:t>
          </m:r>
        </m:oMath>
      </m:oMathPara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10"/>
          <w:kern w:val="0"/>
          <w:sz w:val="25"/>
          <w:szCs w:val="25"/>
          <w:u w:val="none"/>
          <w:vertAlign w:val="baseline"/>
          <w:lang w:val="en-US" w:eastAsia="zh-CN" w:bidi="ar"/>
        </w:rPr>
      </w:pPr>
      <m:oMathPara>
        <m:oMath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y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14"/>
              <w:szCs w:val="14"/>
              <w:u w:val="none"/>
              <w:vertAlign w:val="baseline"/>
              <w:lang w:val="en-US" w:eastAsia="zh-CN" w:bidi="ar"/>
            </w:rPr>
            <m:t>1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"/>
              <w:szCs w:val="2"/>
              <w:u w:val="none"/>
              <w:lang w:val="en-US" w:eastAsia="zh-CN" w:bidi="ar"/>
            </w:rPr>
            <m:t>​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=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y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+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ωv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"/>
              <w:szCs w:val="2"/>
              <w:u w:val="none"/>
              <w:lang w:val="en-US" w:eastAsia="zh-CN" w:bidi="ar"/>
            </w:rPr>
            <m:t>​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(cos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ψ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−cos(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ψ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+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ω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Δ</m:t>
          </m:r>
          <m:r>
            <w:rPr>
              <w:rFonts w:hint="default" w:ascii="KaTeX_Math" w:hAnsi="KaTeX_Math" w:eastAsia="KaTeX_Math" w:cs="KaTeX_Math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t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caps w:val="0"/>
              <w:spacing w:val="10"/>
              <w:kern w:val="0"/>
              <w:sz w:val="25"/>
              <w:szCs w:val="25"/>
              <w:u w:val="none"/>
              <w:vertAlign w:val="baseline"/>
              <w:lang w:val="en-US" w:eastAsia="zh-CN" w:bidi="ar"/>
            </w:rPr>
            <m:t>))</m:t>
          </m:r>
        </m:oMath>
      </m:oMathPara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Δt=1 s，结果立即转回WGS84，成为“下一拍坐标”——火控前置角的1秒预览，让导弹在发射前就已“看向”敌机未来位置。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误差与漂移处理：极端工况，依旧可信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IMU漂移&gt;1°/s：自身角速度被隔离在ω计算之外，仅用于坐标转换，敌机航向依旧纯净。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丢包&gt;3帧：线性插值补缺口，超过阈值立即标记DENIED，下游自动放大误差、降低开火置信。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VIO漂移1°/s+GNSS拒止+5%丢包：实测航向误差仍&lt;2°（95%），极端工况依旧可信。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.1.2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长时预测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1. 策略思路：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面对密集蜂群“短时机动剧烈、长时意图隐蔽”的典型特征，本项目提出“粒子云外推+代价约束+目标吸引”的长时航向预测框架。核心思想是：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1）不依赖单条直线外推，而是维持数千个“假想敌机”（粒子），每条粒子带权重；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2）让粒子在地图代价、要地吸引、机动先验三重约束下飞行数千秒，通过权重收敛，自然浮现出“最可能去雷达站”或“最可能右转”的概率云；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3）输出不是单点航向，而是30 min、60 min的扇区概率、要地攻击概率、6类机动概率，为指挥员提供“概略但可信”的意图预判。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输入参数（1Hz批量包）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1）时间戳 t：1 Hz 批量起点，用于粒子外推时间轴。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2）敌机地理位置 lat, lon：WGS84°，无需GNSS，可由VIO/光电/雷达解算。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3）敌机地速大小 spd：m/s，无需真北分量，仅用大小驱动外推。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4）敌机航向角 heading_deg：0-360°，北=0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°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，相对航向可接受。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5）敌机高度 alt：m，可选；用于爬升/俯冲机动识别。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6）导航质量标志 nav_flag：OK/DEGRADED/DENIED，用于权重降温。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7）地图代价图 costmap(x,y)：GeoTIFF/GeoJSON，高程、防空圈、要地，热插拔。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8）要地列表 goals_xy：{name, xy}，雷达阵地、大型舰船，软吸引。</w:t>
      </w:r>
    </w:p>
    <w:p>
      <w:pPr>
        <w:ind w:firstLine="420" w:firstLineChars="0"/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9）平台约束 R_min(v)：机型最小转弯半径表，限制急转可行性。</w:t>
      </w:r>
    </w:p>
    <w:p>
      <w:pPr>
        <w:ind w:firstLine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输出参数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时段键 300/600/1800/3600：对应 5 min、10 min、30 min、60 min 未来。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航向扇区概率 sector_probs：30°扇区直方图，{“90-120”: 0.78, …}。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要地攻击概率 goal_probs：{“RadarSite”: 0.63, “Airport”: 0.37}。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航向均值与置信 heading_deg_mean ± heading_ci_deg：向量平均 + 95 % 半宽。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质量指标 quality：{R, κ, Neff, degraded_nav}，供下游置信降级。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实现逻辑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1）粒子云初始化：千条假想航线的科学播种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当1 Hz批量包抵达时，算法首先在敌机当前位置构建一个多维高斯云团，而非简单的均匀撒点。该云团在ENU局部坐标系内以σxy=50 m、σψ=2°、σv=5 m/s、σω=0.5°/s的协方差矩阵进行科学播种，确保粒子在位置、航向、速度、角速度四个维度上覆盖所有合理机动。这种“科学播种”不是随意抛洒，而是基于前一秒估计的协方差进行自适应放大，使粒子云在不确定性最大方向上扩散最宽，在确定性高方向上收缩最窄，从而最小化初始近似误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此外，播种过程引入物理边界裁剪：若粒子初始位置落入防空圈或高程&gt;当前高度+500 m的区域，其权重立即设为0，物理不可行路径被提前剔除，避免后续外推浪费计算资源。这种“先物理、后统计”的双层筛选，确保千条假想航线从诞生起就贴近现实。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2）机动先验混合采样：从“直线假设”到“机动云”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传统外推常假设“直线+小扰动”，但蜂群典型特征是短时急转+长时稳飞。因此，ω不是单值，而是混合高斯云：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70 % 直飞：ω≈0，覆盖“匀速巡航”常态；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25 % 缓转：ω≈当前估计值，覆盖“正常规避”；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4 % 急转：ω≈6°/s，覆盖“突防规避”；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1 % 盘旋：ω≈8°/s，覆盖“待机盘旋”。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每粒子独立采样一个ω，于是千条粒子天然包含“直线、缓弯、急转、盘旋”所有可能，形成“机动云”而非直线束”。这种混合先验避免了“单直线外推”陷阱，使粒子云在第一秒就具备机动多样性，为后续权重收敛提供生物学般的多样性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地图代价约束：让粒子“撞山就死，贴雷达就活”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每步外推后，每粒子调用代价地图：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高程惩罚：exp(+z_diff)，撞山权重指数衰减；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防空圈惩罚：exp(+inside_ad)，进入禁区权重瞬间归零；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要地吸引：exp(-d/50km)，靠近雷达权重负指数奖励。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权重更新：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Times New Roman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 xml:space="preserve"> ∗= </m:t>
          </m:r>
          <m:sSup>
            <m:sSupPr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e</m:t>
              </m:r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−</m:t>
              </m:r>
              <m:sSub>
                <m:sSubP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cs="Times New Roman"/>
                      <w:sz w:val="24"/>
                      <w:szCs w:val="24"/>
                      <w:lang w:val="en-US"/>
                    </w:rPr>
                    <m:t>ω</m:t>
                  </m: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cost</m:t>
                  </m: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 xml:space="preserve"> cost</m:t>
              </m:r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p>
          </m:sSup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于是“撞山粒子”迅速死亡，“贴雷达粒子”迅速繁殖，粒子云自然避开禁区、趋向要地，形成“物理可行+战术偏好”的双重筛选。这种“让地形说话”的约束，使粒子云不仅物理可信，而且战术合理。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目标吸引软约束：软牵引，非硬拉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要地列表提供软吸引而非硬拉：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P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(g)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w:rPr>
              <w:rFonts w:hint="default" w:ascii="DejaVu Math TeX Gyre" w:hAnsi="DejaVu Math TeX Gyre" w:cs="DejaVu Math TeX Gyre"/>
              <w:sz w:val="24"/>
              <w:szCs w:val="24"/>
              <w:lang w:val="en-US"/>
            </w:rPr>
            <m:t>∝</m:t>
          </m:r>
          <m:sSup>
            <m:sSupPr>
              <m:ctrlPr>
                <w:rPr>
                  <w:rFonts w:hint="default" w:ascii="DejaVu Math TeX Gyre" w:hAnsi="DejaVu Math TeX Gyre" w:cs="DejaVu Math TeX Gyre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/>
                <w:rPr>
                  <w:rFonts w:hint="default" w:ascii="DejaVu Math TeX Gyre" w:hAnsi="DejaVu Math TeX Gyre" w:cs="DejaVu Math TeX Gyre"/>
                  <w:sz w:val="24"/>
                  <w:szCs w:val="24"/>
                  <w:lang w:val="en-US"/>
                </w:rPr>
                <m:t>e</m:t>
              </m:r>
              <m:ctrlPr>
                <w:rPr>
                  <w:rFonts w:hint="default" w:ascii="DejaVu Math TeX Gyre" w:hAnsi="DejaVu Math TeX Gyre" w:cs="DejaVu Math TeX Gyre"/>
                  <w:i/>
                  <w:sz w:val="24"/>
                  <w:szCs w:val="24"/>
                  <w:lang w:val="en-US"/>
                </w:rPr>
              </m:ctrlPr>
            </m:e>
            <m:sup>
              <m:r>
                <m:rPr/>
                <w:rPr>
                  <w:rFonts w:ascii="DejaVu Math TeX Gyre" w:hAnsi="DejaVu Math TeX Gyre" w:cs="DejaVu Math TeX Gyre"/>
                  <w:sz w:val="24"/>
                  <w:szCs w:val="24"/>
                  <w:lang w:val="en-US"/>
                </w:rPr>
                <m:t>−</m:t>
              </m:r>
              <m:f>
                <m:fPr>
                  <m:ctrlPr>
                    <m:rPr/>
                    <w:rPr>
                      <w:rFonts w:hint="default" w:ascii="DejaVu Math TeX Gyre" w:hAnsi="DejaVu Math TeX Gyre" w:cs="DejaVu Math TeX Gyre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m:rPr/>
                        <w:rPr>
                          <w:rFonts w:hint="default" w:ascii="DejaVu Math TeX Gyre" w:hAnsi="DejaVu Math TeX Gyre" w:cs="DejaVu Math TeX Gyre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cs="DejaVu Math TeX Gyre"/>
                          <w:sz w:val="24"/>
                          <w:szCs w:val="24"/>
                          <w:lang w:val="en-US"/>
                        </w:rPr>
                        <m:t>d</m:t>
                      </m:r>
                      <m:ctrlPr>
                        <m:rPr/>
                        <w:rPr>
                          <w:rFonts w:hint="default" w:ascii="DejaVu Math TeX Gyre" w:hAnsi="DejaVu Math TeX Gyre" w:cs="DejaVu Math TeX Gyre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DejaVu Math TeX Gyre"/>
                          <w:sz w:val="24"/>
                          <w:szCs w:val="24"/>
                          <w:lang w:val="en-US"/>
                        </w:rPr>
                        <m:t>(g)</m:t>
                      </m:r>
                      <m:ctrlPr>
                        <m:rPr/>
                        <w:rPr>
                          <w:rFonts w:hint="default" w:ascii="DejaVu Math TeX Gyre" w:hAnsi="DejaVu Math TeX Gyre" w:cs="DejaVu Math TeX Gyre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m:rPr/>
                    <w:rPr>
                      <w:rFonts w:hint="default" w:ascii="DejaVu Math TeX Gyre" w:hAnsi="DejaVu Math TeX Gyre" w:cs="DejaVu Math TeX Gyre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="DejaVu Math TeX Gyre"/>
                      <w:sz w:val="24"/>
                      <w:szCs w:val="24"/>
                      <w:lang w:val="en-US"/>
                    </w:rPr>
                    <m:t>50km</m:t>
                  </m:r>
                  <m:ctrlPr>
                    <m:rPr/>
                    <w:rPr>
                      <w:rFonts w:hint="default" w:ascii="DejaVu Math TeX Gyre" w:hAnsi="DejaVu Math TeX Gyre" w:cs="DejaVu Math TeX Gyre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ctrlPr>
                <w:rPr>
                  <w:rFonts w:hint="default" w:ascii="DejaVu Math TeX Gyre" w:hAnsi="DejaVu Math TeX Gyre" w:cs="DejaVu Math TeX Gyre"/>
                  <w:i/>
                  <w:sz w:val="24"/>
                  <w:szCs w:val="24"/>
                  <w:lang w:val="en-US"/>
                </w:rPr>
              </m:ctrlPr>
            </m:sup>
          </m:sSup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权重乘以最可能要地概率，于是粒子云趋向雷达，但仍允许“绕过雷达”或“去机场”路径存在，避免硬拉导致的“过冲穿山”。这种软牵引使粒子云在战术吸引与物理可行之间找到最优平衡，形成“趋向但不过冲”的优雅轨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机动投票：从“粒子云”到“概率云”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外推结束后，每粒子打标签：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|ω| &gt; 2°/s → left/right；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|vz| &gt; 0.5 m/s → climb/dive；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群级距离变化率 &gt; 50 m/s → converge/diverge。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然后权重投票：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P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(left_turn)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=</m:t>
          </m:r>
          <m:box>
            <m:boxPr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boxPr>
            <m:e>
              <m:argPr>
                <m:argSz m:val="-1"/>
              </m:argPr>
              <m:f>
                <m:fP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sSub>
                        <m:sSubPr>
                          <m:ctrlPr>
                            <m:rPr/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  <m:ctrlPr>
                            <m:rPr/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  <m:ctrlPr>
                            <m:rPr/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  <m:r>
                        <m:rPr/>
                        <w:rPr>
                          <w:rFonts w:ascii="DejaVu Math TeX Gyre" w:hAnsi="DejaVu Math TeX Gyre" w:cs="Times New Roman"/>
                          <w:sz w:val="24"/>
                          <w:szCs w:val="24"/>
                          <w:lang w:val="en-US"/>
                        </w:rPr>
                        <m:t>∙</m:t>
                      </m:r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m:rPr/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  <m:ctrlPr>
                            <m:rPr/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m:rPr/>
                                <w:rPr>
                                  <w:rFonts w:hint="default" w:ascii="DejaVu Math TeX Gyre" w:hAnsi="DejaVu Math TeX Gyre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cs="Times New Roman"/>
                                  <w:sz w:val="24"/>
                                  <w:szCs w:val="24"/>
                                  <w:lang w:val="en-US"/>
                                </w:rPr>
                                <m:t>label</m:t>
                              </m:r>
                              <m:ctrlPr>
                                <m:rPr/>
                                <w:rPr>
                                  <w:rFonts w:hint="default" w:ascii="DejaVu Math TeX Gyre" w:hAnsi="DejaVu Math TeX Gyre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  <m:ctrlPr>
                                <m:rPr/>
                                <w:rPr>
                                  <w:rFonts w:hint="default" w:ascii="DejaVu Math TeX Gyre" w:hAnsi="DejaVu Math TeX Gyre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==left_turn)</m:t>
                          </m:r>
                          <m:ctrlPr>
                            <m:rPr/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sSub>
                        <m:sSubPr>
                          <m:ctrlPr>
                            <m:rPr/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  <m:ctrlPr>
                            <m:rPr/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  <m:ctrlPr>
                            <m:rPr/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</m:box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于是“粒子云”→“概率云”，指挥员可直接看“30 min 右转 81 %”，而非“单点航向”。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扇区与要地输出：一眼看懂“去哪+概率”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向量平均：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φ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mean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=arctan(</m:t>
          </m:r>
          <m:nary>
            <m:naryPr>
              <m:chr m:val="∑"/>
              <m:limLoc m:val="undOvr"/>
              <m:subHide m:val="1"/>
              <m:supHide m:val="1"/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  <m:sup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p>
            <m:e>
              <m:sSub>
                <m:sSubP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w</m:t>
                  </m: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∙</m:t>
              </m:r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</m:nary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sin</m:t>
          </m:r>
          <m:sSub>
            <m:sSubPr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φ</m:t>
              </m:r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i</m:t>
              </m:r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 w:eastAsia="zh-CN"/>
            </w:rPr>
            <m:t xml:space="preserve"> ，</m:t>
          </m:r>
          <m:nary>
            <m:naryPr>
              <m:chr m:val="∑"/>
              <m:limLoc m:val="undOvr"/>
              <m:subHide m:val="1"/>
              <m:supHide m:val="1"/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 w:eastAsia="zh-CN"/>
                </w:rPr>
              </m:ctrlPr>
            </m:naryPr>
            <m:sub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cos</m:t>
              </m:r>
              <m:sSub>
                <m:sSubP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cs="Times New Roman"/>
                      <w:sz w:val="24"/>
                      <w:szCs w:val="24"/>
                      <w:lang w:val="en-US"/>
                    </w:rPr>
                    <m:t>φ</m:t>
                  </m: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95 % 半宽：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center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c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=</m:t>
          </m:r>
          <m:box>
            <m:boxPr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boxPr>
            <m:e>
              <m:argPr>
                <m:argSz m:val="-1"/>
              </m:argPr>
              <m:f>
                <m:fP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ad>
                    <m:radPr>
                      <m:degHide m:val="1"/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ctrlPr>
                        <m:rPr/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rad>
                  <m:ctrlPr>
                    <m:rPr/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ctrlPr>
                <m:rPr/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</m:box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 w:eastAsia="zh-CN"/>
            </w:rPr>
            <m:t xml:space="preserve"> ，k=R</m:t>
          </m:r>
          <m:r>
            <m:rPr/>
            <w:rPr>
              <w:rFonts w:hint="default" w:ascii="DejaVu Math TeX Gyre" w:hAnsi="DejaVu Math TeX Gyre" w:cs="DejaVu Math TeX Gyre"/>
              <w:sz w:val="24"/>
              <w:szCs w:val="24"/>
              <w:lang w:val="en-US" w:eastAsia="zh-CN"/>
            </w:rPr>
            <m:t>∙N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30°扇区直方图、要地softmax概率一并输出，一眼看懂“去哪+概率”。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误差与退化处理：极端也可信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粒子退化：Neff &lt; 0.4N 时重采样，避免“少数粒子垄断”；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导航退化：nav_flag=DENIED 时，航向半宽×2，并上报degraded_nav=true；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丢包&gt;3帧：线性插值补缺口，超过阈值标记DENIED，下游自动降级。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极端工况依旧可信，满足“≤5°@30 min”指标。</w:t>
      </w:r>
    </w:p>
    <w:p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.2：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群目标机动类型识别技术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.2.1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瞬时预测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迎头/相向转同向占位作战中，第2波次光电侦察无人机必须在20 Hz频率下实时判断敌机机动类型，为火控扇扫、导弹前置角、电子干扰选择提供瞬时决策标签。本策略以“阈值判决+权重投票”为核心，仅依赖机载光电/IMU/高度计，在GNSS拒止条件下输出6类机动标签及置信度，识别准确率≥90 %（95%条件），识别延迟≤0.05 s。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输入参数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时间戳 t：20 Hz传感器PPS或系统时钟，单调递增，用于Δt与丢包检测。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敌机航向角 heading_deg：0-360°，北=0，顺时针，由光电/视觉SLAM解算。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敌机高度 alt：m，可选；缺失时上下机动识别失效。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邻机信息 neighbors：{lat, lon, heading}[]，可选；用于聚合/分散识别。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导航质量 nav_flag：OK/DEGRADED/DENIED，用于置信度动态放大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输出参数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机动标签 maneuver：{left_turn, right_turn, climb, dive, converge, diverge, straight}。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机动置信度 maneuver_confidence：0/1，straight=0，其余=1。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角速度 turnrate_deg_s：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单位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°/s，正负表示左右转。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上下速度 vz_mps：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单位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m/s，正负表示爬升/俯冲。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群级变化率 cluster_rate_mps：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单位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m/s，邻机距离变化率。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质量指标 quality：{degraded_nav, confidence_scale}，用于下游降级。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实现逻辑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4.1 阈值判决框架：20 Hz的“一秒定型”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每收到20 Hz包，算法执行“一秒定型”流程：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缓存最近5点：双端队列，丢弃老数据，内存常数级；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Δt计算：时间戳差分，丢包&gt;3帧时Δt×缺失倍数，避免ω过估；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相对角速度：unwrap→差分→Hampel去极值→EMA平滑，得到ω_ema；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阈值判决：|ω_ema|、|vz|、邻机变化率与阈值比较，立即打标签；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置信度赋值：straight=0，其余=1，黑白分明，无灰色地带。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4.2 左右转：角速度阈值判决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|ω_ema| &gt; 2°/s立判左右转：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left_turn：ω_ema &lt; -2°/s；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right_turn：ω_ema &gt; 2°/s；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阈值2°/s来源于机型最大过载换算（典型3 g→≈2°/s），可配置。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Hampel 3×MAD剔除突变，EMA ρ=0.9平滑，确保20 Hz突变被捕获，IMU漂移被抑制。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4.3 上下机动：垂速阈值判决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若有高度输入：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climb：vz &gt; 0.5 m/s；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dive：vz &lt; -0.5 m/s；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阈值0.5 m/s来源于无人机典型爬升率（≈1 m/s）的一半，可配置。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vz计算：Δalt/Δt，Δt=1 s，确保爬升/俯冲被瞬时捕获。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4.4 聚合/分散：群级距离变化率判决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若有邻机信息：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converge：邻机距离变化率 &lt; -50 m/s；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diverge：邻机距离变化率 &gt; +50 m/s；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阈值50 m/s来源于典型相对速度（≈100 m/s的一半），可配置。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97" w:firstLineChars="37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距离变化率计算：Δdist/Δt，Δt=1 s，确保群聚/群散被瞬时捕获。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4.5 阈值投票与置信度：黑白判决，无灰色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每帧投票：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straight：|ω_ema| ≤ 2°/s 且 |vz| ≤ 0.5 m/s 且 无群级变化；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其余：任一阈值超限，立即标签，置信度=1；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黑白判决，无灰色地带，确保20 Hz火控决策果断。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4.6 不确定度动态放大：极端也可信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正常：置信度=1；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2）退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nav_flag=DENIED 或丢包&gt;3帧，置信度×0.8，并上报degraded_nav=true；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极端：IMU漂移&gt;1°/s，角速度误差×2，下游自动降级。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极端工况也可信，满足“≥90 %识别率”指标。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.2.2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长时预测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面对“蜂群短时机动剧烈、长时意图隐蔽”的典型特征，本项目提出“粒子云外推+机动投票”的长时机动识别框架。核心思想是：不依赖单条直线外推，而是维持数千个“假想敌机”粒子，每条粒子在长时外推过程中持续打标签，最终通过权重投票输出30 min、60 min的6类机动概率，为指挥员提供“概略但可信”的长时意图预判。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输入参数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时间戳 t：1 Hz 批量起点，用于长时外推时间轴。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敌机航向角 heading_deg：0-360°，北=0°，相对航向可接受。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敌机高度 alt：m，可选；用于爬升/俯冲识别。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地图代价图 costmap(x,y)：GeoTIFF/GeoJSON，高程、防空圈、要地，热插拔。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要地列表 goals_xy：{name, xy}，雷达阵地、大型舰船，软吸引。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平台约束 R_min(v)：机型最小转弯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半径表，限制急转可行性。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输出参数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时段键 300/600/1800/3600：30 min、60 min 未来。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最可能机动 most_likely_maneuver：6 类中概率最大者。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机动概率分布 maneuver_probs：{“right_turn”: 0.81, “straight”: 0.19}。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扇区概率 sector_probs：30°扇区直方图。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要地概率 goal_probs：{“RadarSite”: 0.63, “Airport”: 0.37}。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航向均值与置信 heading_deg_mean ± heading_ci_deg：向量平均 + 95 % 半宽。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质量指标 quality：{R, κ, Neff, degraded_nav}，用于下游置信降级。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实现逻辑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粒子云初始化：千条假想航线的科学播种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当1 Hz批量包抵达时，算法首先在敌机当前位置构建一个多维高斯云团，而非简单的均匀撒点。该云团在ENU局部坐标系内以σxy=50 m、σψ=2°、σv=5 m/s、σω=0.5°/s的协方差矩阵进行科学播种，确保粒子在位置、航向、速度、角速度四个维度上覆盖所有合理机动。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这种“科学播种”不是随意抛洒，而是基于前一秒估计的协方差进行自适应放大，使粒子云在不确定性最大方向上扩散最宽，在确定性高方向上收缩最窄，从而最小化初始近似误差。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此外，播种过程引入物理边界裁剪：若粒子初始位置落入防空圈或高程&gt;当前高度+500 m的区域，其权重立即设为0，物理不可行路径被提前剔除，避免后续外推浪费计算资源。这种“先物理、后统计”的双层筛选，确保千条假想航线从诞生起就贴近现实。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机动先验混合采样：从“直线假设”到“机动云”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传统外推常假设“直线+小扰动”，但蜂群典型特征是短时急转+长时稳飞。因此，ω不是单值，而是混合高斯云：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70 % 直飞：ω≈0，覆盖“匀速巡航”常态；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25 % 缓转：ω≈当前估计值，覆盖“正常规避”；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4 % 急转：ω≈6°/s，覆盖“突防规避”；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1 % 盘旋：ω≈8°/s，覆盖“待机盘旋”**。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每粒子独立采样一个ω，于是千条粒子天然包含“直线、缓弯、急转、盘旋”所有可能，形成“机动云而非直线束”。这种混合先验避免了“单直线外推”陷阱，使粒子云在第一秒就具备机动多样性，为后续权重收敛提供生物学般的多样性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地图代价约束：让粒子“撞山就死，贴雷达就活”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每步外推后，每粒子调用代价地图：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高程惩罚：exp(+z_diff)，撞山权重指数衰减；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防空圈惩罚：exp(+inside_ad)，进入禁区权重瞬间归零；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4.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要地吸引：exp(-d/50km)，靠近雷达权重负指数奖励。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5.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权重更新：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Times New Roman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 xml:space="preserve"> ∗= </m:t>
          </m:r>
          <m:sSup>
            <m:sSupPr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e</m:t>
              </m:r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cs="Times New Roman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cost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 xml:space="preserve"> cost</m:t>
              </m:r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p>
          </m:sSup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于是“撞山粒子”迅速死亡，“贴雷达粒子”迅速繁殖，粒子云自然避开禁区、趋向要地，形成“物理可行+战术偏好”的双重筛选。这种“让地形说话”的约束，使粒子云不仅物理可信，而且战术合理。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目标吸引软约束：软牵引，非硬拉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要地列表提供软吸引而非硬拉：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P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(g)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DejaVu Math TeX Gyre"/>
              <w:sz w:val="24"/>
              <w:szCs w:val="24"/>
              <w:lang w:val="en-US"/>
            </w:rPr>
            <m:t>∝</m:t>
          </m:r>
          <m:sSup>
            <m:sSupPr>
              <m:ctrlPr>
                <w:rPr>
                  <w:rFonts w:hint="default" w:ascii="DejaVu Math TeX Gyre" w:hAnsi="DejaVu Math TeX Gyre" w:cs="DejaVu Math TeX Gyre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/>
                <w:rPr>
                  <w:rFonts w:hint="default" w:ascii="DejaVu Math TeX Gyre" w:hAnsi="DejaVu Math TeX Gyre" w:cs="DejaVu Math TeX Gyre"/>
                  <w:sz w:val="24"/>
                  <w:szCs w:val="24"/>
                  <w:lang w:val="en-US"/>
                </w:rPr>
                <m:t>e</m:t>
              </m:r>
              <m:ctrlPr>
                <w:rPr>
                  <w:rFonts w:hint="default" w:ascii="DejaVu Math TeX Gyre" w:hAnsi="DejaVu Math TeX Gyre" w:cs="DejaVu Math TeX Gyre"/>
                  <w:i/>
                  <w:sz w:val="24"/>
                  <w:szCs w:val="24"/>
                  <w:lang w:val="en-US"/>
                </w:rPr>
              </m:ctrlPr>
            </m:e>
            <m:sup>
              <m:r>
                <m:rPr/>
                <w:rPr>
                  <w:rFonts w:ascii="DejaVu Math TeX Gyre" w:hAnsi="DejaVu Math TeX Gyre" w:cs="DejaVu Math TeX Gyre"/>
                  <w:sz w:val="24"/>
                  <w:szCs w:val="24"/>
                  <w:lang w:val="en-US"/>
                </w:rPr>
                <m:t>−</m:t>
              </m:r>
              <m:f>
                <m:fPr>
                  <m:ctrlPr>
                    <w:rPr>
                      <w:rFonts w:hint="default" w:ascii="DejaVu Math TeX Gyre" w:hAnsi="DejaVu Math TeX Gyre" w:cs="DejaVu Math TeX Gyre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 w:cs="DejaVu Math TeX Gyre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cs="DejaVu Math TeX Gyre"/>
                          <w:sz w:val="24"/>
                          <w:szCs w:val="24"/>
                          <w:lang w:val="en-US"/>
                        </w:rPr>
                        <m:t>d</m:t>
                      </m:r>
                      <m:ctrlPr>
                        <w:rPr>
                          <w:rFonts w:hint="default" w:ascii="DejaVu Math TeX Gyre" w:hAnsi="DejaVu Math TeX Gyre" w:cs="DejaVu Math TeX Gyre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DejaVu Math TeX Gyre"/>
                          <w:sz w:val="24"/>
                          <w:szCs w:val="24"/>
                          <w:lang w:val="en-US"/>
                        </w:rPr>
                        <m:t>(g)</m:t>
                      </m:r>
                      <m:ctrlPr>
                        <w:rPr>
                          <w:rFonts w:hint="default" w:ascii="DejaVu Math TeX Gyre" w:hAnsi="DejaVu Math TeX Gyre" w:cs="DejaVu Math TeX Gyre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cs="DejaVu Math TeX Gyre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="DejaVu Math TeX Gyre"/>
                      <w:sz w:val="24"/>
                      <w:szCs w:val="24"/>
                      <w:lang w:val="en-US"/>
                    </w:rPr>
                    <m:t>50km</m:t>
                  </m:r>
                  <m:ctrlPr>
                    <w:rPr>
                      <w:rFonts w:hint="default" w:ascii="DejaVu Math TeX Gyre" w:hAnsi="DejaVu Math TeX Gyre" w:cs="DejaVu Math TeX Gyre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ctrlPr>
                <w:rPr>
                  <w:rFonts w:hint="default" w:ascii="DejaVu Math TeX Gyre" w:hAnsi="DejaVu Math TeX Gyre" w:cs="DejaVu Math TeX Gyre"/>
                  <w:i/>
                  <w:sz w:val="24"/>
                  <w:szCs w:val="24"/>
                  <w:lang w:val="en-US"/>
                </w:rPr>
              </m:ctrlPr>
            </m:sup>
          </m:sSup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权重乘以最可能要地概率，于是粒子云趋向雷达，但仍允许“绕过雷达”或“去机场”路径存在，避免硬拉导致的“过冲穿山”。这种软牵引使粒子云在战术吸引与物理可行之间找到最优平衡，形成“趋向但不过冲”的优雅轨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机动投票：从“粒子云”到“概率云”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外推结束后，每粒子打标签：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|ω| &gt; 2°/s → left/right；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|vz| &gt; 0.5 m/s → climb/dive；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群级距离变化率 &gt; 50 m/s → converge/diverge。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然后权重投票：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P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(left_turn)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=</m:t>
          </m:r>
          <m:box>
            <m:boxPr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  <m:ctrlPr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  <m:r>
                        <m:rPr/>
                        <w:rPr>
                          <w:rFonts w:ascii="DejaVu Math TeX Gyre" w:hAnsi="DejaVu Math TeX Gyre" w:cs="Times New Roman"/>
                          <w:sz w:val="24"/>
                          <w:szCs w:val="24"/>
                          <w:lang w:val="en-US"/>
                        </w:rPr>
                        <m:t>∙</m:t>
                      </m:r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  <m:ctrlPr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cs="Times New Roman"/>
                                  <w:sz w:val="24"/>
                                  <w:szCs w:val="24"/>
                                  <w:lang w:val="en-US"/>
                                </w:rPr>
                                <m:t>label</m:t>
                              </m:r>
                              <m:ctrlPr>
                                <w:rPr>
                                  <w:rFonts w:hint="default" w:ascii="DejaVu Math TeX Gyre" w:hAnsi="DejaVu Math TeX Gyre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 xml:space="preserve"> == left_turn)</m:t>
                          </m:r>
                          <m:ctrlPr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  <m:ctrlPr>
                            <w:rPr>
                              <w:rFonts w:hint="default" w:ascii="DejaVu Math TeX Gyre" w:hAnsi="DejaVu Math TeX Gyre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</m:box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于是“粒子云”→“概率云”，指挥员可直接看“30 min 右转 81 %”，而非“单点航向”。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扇区与要地输出：一眼看懂“去哪+概率”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向量平均：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φ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mean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=arctan(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  <m:sup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p>
            <m:e>
              <m:sSub>
                <m:sSubP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w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∙</m:t>
              </m:r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</m:nary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sin</m:t>
          </m:r>
          <m:sSub>
            <m:sSubPr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φ</m:t>
              </m:r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i</m:t>
              </m:r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 w:eastAsia="zh-CN"/>
            </w:rPr>
            <m:t xml:space="preserve"> ，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 w:eastAsia="zh-CN"/>
                </w:rPr>
              </m:ctrlPr>
            </m:naryPr>
            <m:sub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 w:eastAsia="zh-CN"/>
                </w:rPr>
              </m:ctrlPr>
            </m:sub>
            <m:sup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ascii="DejaVu Math TeX Gyre" w:hAnsi="DejaVu Math TeX Gyre" w:cs="Times New Roman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cos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cs="Times New Roman"/>
                      <w:sz w:val="24"/>
                      <w:szCs w:val="24"/>
                      <w:lang w:val="en-US"/>
                    </w:rPr>
                    <m:t>φ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半宽：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c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/>
            </w:rPr>
            <m:t>=</m:t>
          </m:r>
          <m:box>
            <m:boxPr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ctrlPr>
                        <w:rPr>
                          <w:rFonts w:hint="default" w:ascii="DejaVu Math TeX Gyre" w:hAnsi="DejaVu Math TeX Gyre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rad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ctrlPr>
                <w:rPr>
                  <w:rFonts w:hint="default" w:ascii="DejaVu Math TeX Gyre" w:hAnsi="DejaVu Math TeX Gyre" w:cs="Times New Roman"/>
                  <w:i/>
                  <w:sz w:val="24"/>
                  <w:szCs w:val="24"/>
                  <w:lang w:val="en-US"/>
                </w:rPr>
              </m:ctrlPr>
            </m:e>
          </m:box>
          <m:r>
            <m:rPr/>
            <w:rPr>
              <w:rFonts w:hint="default" w:ascii="DejaVu Math TeX Gyre" w:hAnsi="DejaVu Math TeX Gyre" w:cs="Times New Roman"/>
              <w:sz w:val="24"/>
              <w:szCs w:val="24"/>
              <w:lang w:val="en-US" w:eastAsia="zh-CN"/>
            </w:rPr>
            <m:t xml:space="preserve"> ，k=R</m:t>
          </m:r>
          <m:r>
            <m:rPr/>
            <w:rPr>
              <w:rFonts w:hint="default" w:ascii="DejaVu Math TeX Gyre" w:hAnsi="DejaVu Math TeX Gyre" w:cs="DejaVu Math TeX Gyre"/>
              <w:sz w:val="24"/>
              <w:szCs w:val="24"/>
              <w:lang w:val="en-US" w:eastAsia="zh-CN"/>
            </w:rPr>
            <m:t>∙N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30°扇区直方图、要地softmax概率一并输出，一眼看懂“去哪+概率”。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误差与退化处理：极端也可信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粒子退化：Neff &lt; 0.4N 时重采样，避免“少数粒子垄断”；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导航退化：nav_flag=DENIED 时，航向半宽×2，并上报degraded_nav=true；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丢包&gt;3帧：线性插值补缺口，超过阈值标记DENIED，下游自动降级**。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极端工况依旧可信，满足“≤5°@30 min”指标。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B9126"/>
    <w:multiLevelType w:val="singleLevel"/>
    <w:tmpl w:val="EBFB912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EB603F9"/>
    <w:multiLevelType w:val="singleLevel"/>
    <w:tmpl w:val="EEB603F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E61787"/>
    <w:multiLevelType w:val="singleLevel"/>
    <w:tmpl w:val="FFE617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3F9724"/>
    <w:rsid w:val="0EDE4A2A"/>
    <w:rsid w:val="73FBC577"/>
    <w:rsid w:val="75FFE58C"/>
    <w:rsid w:val="7F66C4AA"/>
    <w:rsid w:val="FF9F1B23"/>
    <w:rsid w:val="FFA6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2025-10-29T09:33:00Z</dcterms:created>
  <dc:creator>鲨手熙.</dc:creator>
  <cp:lastModifiedBy>鲨手熙.</cp:lastModifiedBy>
  <dcterms:modified xsi:type="dcterms:W3CDTF">2025-11-02T08:58:48Z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136F940F83090A0A751D0069D5EF555D_41</vt:lpwstr>
  </property>
</Properties>
</file>