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Global Layoffs Analysis 2020-2023 Readme File.</w:t>
      </w:r>
    </w:p>
    <w:p>
      <w:pPr>
        <w:rPr>
          <w:rFonts w:hint="default" w:ascii="Cambria" w:hAnsi="Cambria" w:cs="Cambria"/>
          <w:color w:val="00B0F0"/>
          <w:sz w:val="28"/>
          <w:szCs w:val="28"/>
          <w:lang w:val="en-US"/>
        </w:rPr>
      </w:pPr>
      <w:r>
        <w:rPr>
          <w:rFonts w:hint="default" w:ascii="Cambria" w:hAnsi="Cambria" w:cs="Cambria"/>
          <w:color w:val="00B0F0"/>
          <w:sz w:val="28"/>
          <w:szCs w:val="28"/>
          <w:lang w:val="en-US"/>
        </w:rPr>
        <w:t>Background and overview</w:t>
      </w:r>
    </w:p>
    <w:p>
      <w:pPr>
        <w:rPr>
          <w:rFonts w:hint="default" w:ascii="Cambria" w:hAnsi="Cambria" w:cs="Cambria"/>
          <w:lang w:val="en-US"/>
        </w:rPr>
      </w:pPr>
      <w:r>
        <w:t>This project presents an exploratory data analysis (EDA) of global layoffs recorded between 2020 and 2023.</w:t>
      </w:r>
      <w:r>
        <w:br w:type="textWrapping"/>
      </w:r>
      <w:r>
        <w:br w:type="textWrapping"/>
      </w:r>
      <w:r>
        <w:t>The dataset was cleaned and aggregated using SQL, analysed through structured queries, transformed in Power BI, enhanced with DAX measures, and visualised through an interactive dashboard.</w:t>
      </w:r>
      <w:r>
        <w:br w:type="textWrapping"/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In the past years, during covid 19 pandemic global companies have experience significant workforce reduction  due to economic uncertainty post covid restructuring and market corrections.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Cambria" w:hAnsi="Cambria" w:cs="Cambria"/>
          <w:lang w:val="en-US"/>
        </w:rPr>
      </w:pPr>
      <w:r>
        <w:t>The objective of this analysis is to identify affected industries, countries, and companies, examine yearly layoff trends, uncover structural patterns, and provide strategic recommendations.</w:t>
      </w:r>
    </w:p>
    <w:p>
      <w:pPr>
        <w:numPr>
          <w:ilvl w:val="0"/>
          <w:numId w:val="0"/>
        </w:numPr>
        <w:ind w:left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Insights and recommendation are provided on the following key area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Trends analysis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Comparison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The why behind numbers</w:t>
      </w:r>
    </w:p>
    <w:p>
      <w:pPr>
        <w:numPr>
          <w:ilvl w:val="0"/>
          <w:numId w:val="0"/>
        </w:numPr>
        <w:ind w:left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drawing>
          <wp:inline distT="0" distB="0" distL="114300" distR="114300">
            <wp:extent cx="5690870" cy="2515870"/>
            <wp:effectExtent l="0" t="0" r="5080" b="17780"/>
            <wp:docPr id="2" name="Picture 2" descr="Screenshot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Cambria" w:hAnsi="Cambria" w:cs="Cambria"/>
          <w:color w:val="00B0F0"/>
          <w:lang w:val="en-US"/>
        </w:rPr>
      </w:pPr>
      <w:r>
        <w:rPr>
          <w:rFonts w:hint="default" w:ascii="Cambria" w:hAnsi="Cambria" w:cs="Cambria"/>
          <w:color w:val="00B0F0"/>
        </w:rPr>
        <w:t>1</w:t>
      </w:r>
      <w:r>
        <w:rPr>
          <w:rFonts w:hint="default" w:ascii="Cambria" w:hAnsi="Cambria" w:cs="Cambria"/>
          <w:color w:val="00B0F0"/>
          <w:lang w:val="en-US"/>
        </w:rPr>
        <w:t xml:space="preserve"> Executive Summary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</w:pPr>
      <w:r>
        <w:t>Between 2020 and 2023, over 1,000 companies reported layoffs affecting approximately 354,000 employees globally.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</w:pPr>
      <w:r>
        <w:t>Layoffs peaked in 2022 following post-pandemic restructuring. The United States accounted for the majority of job losses, while Consumer and Retail sectors were disproportionately affected. Large multinational technology firms contributed significantly to total layoffs.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</w:pPr>
      <w:r>
        <w:t>The most severe workforce reductions occurred during the post-pandemic correction phase rather than the initial 2020 disruption.</w:t>
      </w:r>
    </w:p>
    <w:p>
      <w:pPr>
        <w:pStyle w:val="2"/>
        <w:numPr>
          <w:ilvl w:val="0"/>
          <w:numId w:val="9"/>
        </w:numPr>
        <w:rPr>
          <w:rFonts w:hint="default" w:ascii="Cambria" w:hAnsi="Cambria" w:cs="Cambria"/>
          <w:color w:val="00B0F0"/>
          <w:lang w:val="en-US"/>
        </w:rPr>
      </w:pPr>
      <w:r>
        <w:rPr>
          <w:rFonts w:hint="default" w:ascii="Cambria" w:hAnsi="Cambria" w:cs="Cambria"/>
          <w:color w:val="00B0F0"/>
          <w:lang w:val="en-US"/>
        </w:rPr>
        <w:t>Deep Dive Insights</w:t>
      </w:r>
    </w:p>
    <w:p>
      <w:pPr>
        <w:rPr>
          <w:rFonts w:hint="default"/>
          <w:lang w:val="en-US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  <w:t>Yearly Trends – Global Layoffs (2020–2023)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</w:rPr>
      </w:pPr>
      <w:bookmarkStart w:id="0" w:name="_GoBack"/>
      <w:bookmarkEnd w:id="0"/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spacing w:before="0" w:after="0" w:line="204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  <w:drawing>
          <wp:inline distT="0" distB="0" distL="114300" distR="114300">
            <wp:extent cx="5483225" cy="1271905"/>
            <wp:effectExtent l="0" t="0" r="3175" b="4445"/>
            <wp:docPr id="3" name="Picture 3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4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spacing w:before="0" w:after="0" w:line="204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spacing w:before="0" w:after="0" w:line="204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numPr>
          <w:ilvl w:val="0"/>
          <w:numId w:val="10"/>
        </w:numPr>
        <w:spacing w:before="0" w:after="0" w:line="240" w:lineRule="auto"/>
        <w:ind w:leftChars="0" w:right="0" w:rightChars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The onset of the COVID-19 pandemic in 2020 led to widespread operational disruptions as companies temporarily closed or scaled down their activities due to lockdown measures and movement restrictions. As a result, approximately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70,621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were recorded globally in 2020.</w:t>
      </w:r>
    </w:p>
    <w:p>
      <w:pPr>
        <w:spacing w:before="0" w:after="0" w:line="204" w:lineRule="auto"/>
        <w:ind w:left="0" w:right="0"/>
        <w:jc w:val="left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0"/>
        </w:numPr>
        <w:spacing w:before="0" w:after="0" w:line="240" w:lineRule="auto"/>
        <w:ind w:left="0" w:leftChars="0" w:right="0" w:rightChars="0" w:firstLine="0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In 2021, reported layoffs declined significantly to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6,503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, suggesting a temporary stabilisation period. This reduction may be attributed to the gradual easing of restrictions, government stimulus interventions, and short-term operational adjustments adopted by businesses.</w:t>
      </w:r>
      <w:r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However, 2022 recorded a sharp surge to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135,491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, marking the highest annual total within the observed period. This spike likely reflects post-pandemic market corrections, restructuring efforts, cost optimisation strategies, and delayed closed or scaled down their activities due to lockdown measures and movement restrictions. As a result, approximately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70,621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were recorded globally in 2020.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0"/>
        </w:numPr>
        <w:spacing w:before="0" w:after="0" w:line="240" w:lineRule="auto"/>
        <w:ind w:left="0" w:leftChars="0" w:right="0" w:rightChars="0" w:firstLine="0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In 2021, reported layoffs declined significantly to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6,503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, suggesting a temporary stabilisation period. This reduction may be attributed to the gradual easing of restrictions, government stimulus interventions, and short-term operational adjustments adopted by businesses.However, 2022 recorded a sharp surge to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135,491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, marking the highest annual total within the observed period. This spike likely reflects post-pandemic market corrections, restructuring efforts, cost optimisation strategies, and delayed </w:t>
      </w:r>
    </w:p>
    <w:p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  <w:t>Industry Impact – Comparative Analysis (2020–2023)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  <w:drawing>
          <wp:inline distT="0" distB="0" distL="114300" distR="114300">
            <wp:extent cx="5480685" cy="2890520"/>
            <wp:effectExtent l="0" t="0" r="5715" b="5080"/>
            <wp:docPr id="4" name="Picture 4" descr="Screenshot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0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hanging="425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The implementation of COVID-19 lockdown measures significantly disrupted multiple industries due to movement restrictions, supply chain interruptions, and reduced consumer activity. Businesses reliant on physical presence and discretionary spending experienced notable revenue declines.</w:t>
      </w: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hanging="425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Between 2020 and 2023, the five most affected industries in the </w:t>
      </w:r>
      <w:r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  <w:t>datasets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recorded a combined total of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163,413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A breakdown by industry shows: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2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Consumer: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38,976 layoffs (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23.9%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)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3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Retail: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38,530 layoffs (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23.6%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)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4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Other Industries: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32,969 layoffs (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20.2%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)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5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Transportation: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29,267 layoffs (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17.9%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)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6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Finance: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23,671 layoffs (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14.5%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)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rightChars="0" w:hanging="425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The Consumer</w:t>
      </w:r>
      <w:r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  <w:t xml:space="preserve"> and 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Retail sectors together account for nearly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47.5% of total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, highlighting the disproportionate impact on consumer-facing industries. This pattern suggests that sectors heavily dependent on physical mobility and discretionary spending were more vulnerable to demand contraction during and after the pandemic.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hanging="425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Transportation was also significantly affected due to travel restrictions and trade slowdowns, while Finance, although impacted, showed comparatively lower workforce reductions</w:t>
      </w:r>
      <w:r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  <w:t xml:space="preserve"> and 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financial pressures that materialised after initial recovery attempts.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hanging="425" w:firstLineChars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In 2023, layoffs declined to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112,277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, yet remained substantially higher than pre-spike levels. This suggests that while some stabilisation occurred, many companies continued restructuring in response to sustained economic uncertainty and changing market conditions.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1"/>
        </w:numPr>
        <w:spacing w:before="0" w:after="0" w:line="240" w:lineRule="auto"/>
        <w:ind w:left="425" w:leftChars="0" w:right="0" w:hanging="425" w:firstLineChars="0"/>
        <w:rPr>
          <w:rFonts w:hint="default" w:ascii="Cambria" w:hAnsi="Cambria" w:eastAsia="Arial" w:cs="Cambria"/>
          <w:color w:val="252525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Across the four-year period, a cumulative total of approximately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354,000 reported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was recorded. The trend indicates that although short-term recovery was visible in 2021, many organisations struggled to achieve long-term stability, leading to extended workforce reductions and, in some cases, complete business closures.</w:t>
      </w:r>
    </w:p>
    <w:p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  <w:t>Geographic Impact – Country Analysis (2020–2023)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  <w:drawing>
          <wp:inline distT="0" distB="0" distL="114300" distR="114300">
            <wp:extent cx="5480050" cy="2019935"/>
            <wp:effectExtent l="0" t="0" r="6350" b="18415"/>
            <wp:docPr id="5" name="Picture 5" descr="Screenshot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2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Layoff activity was heavily concentrated in a small number of countries, with the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United States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recording the highest number of workforce reductions at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228,249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. This figure significantly </w:t>
      </w: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exceeds other countries in the dataset and accounts for the overwhelming majority of reported layoffs among the top five nations.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Other affected countries include: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7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India: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20,500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8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Netherlands: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16,750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19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Sweden: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10,782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0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Brazil: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8,998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Combined, the top five countries recorded approximately </w:t>
      </w: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285,279 layoffs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>, with the United States contributing nearly 80% of this total. The disproportionate impact in the United States may reflect the concentration of large multinational</w:t>
      </w: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corporations, particularly in the technology and consumer sectors, which underwent significant post-pandemic restructuring.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While countries such as India and the Netherlands experienced notable workforce reductions, their totals remain substantially lower, suggesting that large-scale layoffs were more concentrated within mature, high-tech and corporate-heavy economies.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  <w:lang w:val="en-US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</w:rPr>
        <w:t>Company-Level Concentration</w:t>
      </w:r>
      <w:r>
        <w:rPr>
          <w:rFonts w:hint="default" w:ascii="Cambria" w:hAnsi="Cambria" w:eastAsia="Arial" w:cs="Cambria"/>
          <w:b/>
          <w:color w:val="252525"/>
          <w:sz w:val="24"/>
          <w:szCs w:val="24"/>
          <w:u w:val="single"/>
          <w:lang w:val="en-US"/>
        </w:rPr>
        <w:t xml:space="preserve"> ( 2020 -2023)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  <w:lang w:val="en-US"/>
        </w:rPr>
        <w:drawing>
          <wp:inline distT="0" distB="0" distL="114300" distR="114300">
            <wp:extent cx="5486400" cy="2292985"/>
            <wp:effectExtent l="0" t="0" r="0" b="12065"/>
            <wp:docPr id="6" name="Picture 6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8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>Layoff activity also appears concentrated among major multinational corporations. The most significant reductions were reported by: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1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Amazon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18,000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2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Google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12,000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3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Meta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11,000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4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Microsoft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10,000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5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Philips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10,000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6"/>
        </w:numPr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Arial" w:cs="Cambria"/>
          <w:b/>
          <w:color w:val="252525"/>
          <w:sz w:val="24"/>
          <w:szCs w:val="24"/>
        </w:rPr>
        <w:t>Salesforce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– 10,000 layoffs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The data indicates that large technology and multinational firms contributed significantly to global layoff volumes. This trend aligns with broader industry-wide restructuring, cost optimisation initiatives, and post-pandemic demand </w:t>
      </w:r>
      <w:r>
        <w:rPr>
          <w:rFonts w:hint="default" w:ascii="Cambria" w:hAnsi="Cambria" w:eastAsia="Arial" w:cs="Cambria"/>
          <w:color w:val="252525"/>
          <w:sz w:val="24"/>
          <w:szCs w:val="24"/>
          <w:lang w:val="en-US"/>
        </w:rPr>
        <w:t>re calibration</w:t>
      </w:r>
      <w:r>
        <w:rPr>
          <w:rFonts w:hint="default" w:ascii="Cambria" w:hAnsi="Cambria" w:eastAsia="Arial" w:cs="Cambria"/>
          <w:color w:val="252525"/>
          <w:sz w:val="24"/>
          <w:szCs w:val="24"/>
        </w:rPr>
        <w:t xml:space="preserve"> within the technology sector.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pStyle w:val="2"/>
        <w:numPr>
          <w:ilvl w:val="0"/>
          <w:numId w:val="9"/>
        </w:numPr>
        <w:rPr>
          <w:rFonts w:hint="default" w:ascii="Cambria" w:hAnsi="Cambria" w:cs="Cambria"/>
          <w:color w:val="00B0F0"/>
          <w:lang w:val="en-US"/>
        </w:rPr>
      </w:pPr>
      <w:r>
        <w:rPr>
          <w:rFonts w:hint="default" w:ascii="Cambria" w:hAnsi="Cambria" w:cs="Cambria"/>
          <w:color w:val="00B0F0"/>
          <w:lang w:val="en-US"/>
        </w:rPr>
        <w:t>Strategic Recommendations</w:t>
      </w: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numPr>
          <w:ilvl w:val="0"/>
          <w:numId w:val="27"/>
        </w:numPr>
      </w:pPr>
      <w:r>
        <w:t>Build multi-year financial resilience buffers.</w:t>
      </w:r>
      <w:r>
        <w:br w:type="textWrapping"/>
      </w:r>
      <w:r>
        <w:t>2. Diversify revenue beyond discretionary consumer spending.</w:t>
      </w:r>
      <w:r>
        <w:br w:type="textWrapping"/>
      </w:r>
      <w:r>
        <w:t>3. Implement workforce scalability models instead of mass layoffs.</w:t>
      </w:r>
      <w:r>
        <w:br w:type="textWrapping"/>
      </w:r>
      <w:r>
        <w:t>4. Strengthen real-time labour and revenue monitoring systems.</w:t>
      </w:r>
      <w:r>
        <w:br w:type="textWrapping"/>
      </w:r>
      <w:r>
        <w:t>5. Diversify geographic operational risk.</w:t>
      </w:r>
    </w:p>
    <w:p>
      <w:pPr>
        <w:spacing w:before="0" w:after="0" w:line="240" w:lineRule="auto"/>
        <w:ind w:left="0" w:right="0"/>
        <w:rPr>
          <w:rFonts w:hint="default" w:ascii="Cambria" w:hAnsi="Cambria" w:eastAsia="Arial" w:cs="Cambria"/>
          <w:color w:val="252525"/>
          <w:sz w:val="24"/>
          <w:szCs w:val="24"/>
        </w:rPr>
      </w:pPr>
    </w:p>
    <w:p>
      <w:pPr>
        <w:pageBreakBefore/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pageBreakBefore/>
        <w:spacing w:before="0" w:after="0" w:line="240" w:lineRule="auto"/>
        <w:ind w:left="0" w:right="0"/>
        <w:rPr>
          <w:rFonts w:hint="default" w:ascii="Cambria" w:hAnsi="Cambria" w:cs="Cambria"/>
          <w:sz w:val="24"/>
          <w:szCs w:val="24"/>
        </w:rPr>
      </w:pPr>
    </w:p>
    <w:p>
      <w:pPr>
        <w:spacing w:before="0" w:after="0" w:line="204" w:lineRule="auto"/>
        <w:ind w:left="0" w:right="0"/>
        <w:rPr>
          <w:rFonts w:hint="default" w:ascii="Cambria" w:hAnsi="Cambria" w:cs="Cambria"/>
          <w:sz w:val="24"/>
          <w:szCs w:val="24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074F8"/>
    <w:multiLevelType w:val="singleLevel"/>
    <w:tmpl w:val="871074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AB7961"/>
    <w:multiLevelType w:val="singleLevel"/>
    <w:tmpl w:val="F3AB796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3B12C9B"/>
    <w:multiLevelType w:val="singleLevel"/>
    <w:tmpl w:val="F3B12C9B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"/>
      <w:lvlJc w:val="left"/>
      <w:pPr>
        <w:ind w:left="360" w:hanging="360"/>
      </w:pPr>
      <w:rPr>
        <w:rFonts w:hint="default" w:ascii="Wingdings" w:hAnsi="Wingdings"/>
        <w:sz w:val="22"/>
      </w:rPr>
    </w:lvl>
  </w:abstractNum>
  <w:abstractNum w:abstractNumId="10">
    <w:nsid w:val="3FA367B9"/>
    <w:multiLevelType w:val="singleLevel"/>
    <w:tmpl w:val="3FA367B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4E464725"/>
    <w:multiLevelType w:val="singleLevel"/>
    <w:tmpl w:val="4E4647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708408A"/>
    <w:multiLevelType w:val="singleLevel"/>
    <w:tmpl w:val="670840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1"/>
  </w:num>
  <w:num w:numId="8">
    <w:abstractNumId w:val="0"/>
  </w:num>
  <w:num w:numId="9">
    <w:abstractNumId w:val="2"/>
  </w:num>
  <w:num w:numId="10">
    <w:abstractNumId w:val="10"/>
  </w:num>
  <w:num w:numId="11">
    <w:abstractNumId w:val="12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A6A74"/>
    <w:rsid w:val="267C27E8"/>
    <w:rsid w:val="29C02A74"/>
    <w:rsid w:val="4B2E736B"/>
    <w:rsid w:val="66AB66D0"/>
    <w:rsid w:val="78B6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sportscene</cp:lastModifiedBy>
  <dcterms:modified xsi:type="dcterms:W3CDTF">2026-03-02T15:35:03Z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D1F305CF7E0D4246B78921EEDA29E222</vt:lpwstr>
  </property>
</Properties>
</file>