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QIS Alpha Report | ML-Driven Equity Signal Framework</w:t>
      </w:r>
    </w:p>
    <w:bookmarkStart w:id="49" w:name="X050ec3f9b68f54199c8ad8cda43143cf1e52e56"/>
    <w:p>
      <w:pPr>
        <w:pStyle w:val="Heading1"/>
      </w:pPr>
      <w:r>
        <w:t xml:space="preserve">Quantitative Investment Strategy (QIS) Alpha Report</w:t>
      </w:r>
      <w:r>
        <w:br/>
      </w:r>
      <w:r>
        <w:t xml:space="preserve">ML-Driven Cluster-Aware Equity Signal Framework</w:t>
      </w:r>
    </w:p>
    <w:p>
      <w:pPr>
        <w:pStyle w:val="FirstParagraph"/>
      </w:pPr>
      <w:r>
        <w:rPr>
          <w:b/>
          <w:bCs/>
        </w:rPr>
        <w:t xml:space="preserve">Institutional Research Style Brief | Markets Quantitative</w:t>
      </w:r>
      <w:r>
        <w:rPr>
          <w:b/>
          <w:bCs/>
        </w:rPr>
        <w:t xml:space="preserve"> </w:t>
      </w:r>
      <w:r>
        <w:rPr>
          <w:b/>
          <w:bCs/>
        </w:rPr>
        <w:t xml:space="preserve">Research</w:t>
      </w:r>
      <w:r>
        <w:br/>
      </w:r>
      <w:r>
        <w:t xml:space="preserve">S&amp;P 500 Universe, Multi-Factor Alpha Construction, Risk-Managed</w:t>
      </w:r>
      <w:r>
        <w:t xml:space="preserve"> </w:t>
      </w:r>
      <w:r>
        <w:t xml:space="preserve">Deployment</w:t>
      </w:r>
      <w:r>
        <w:br/>
      </w:r>
      <w:r>
        <w:t xml:space="preserve">Project Basis: COMP5564 / ML in Finance Implementation Artifacts | Date:</w:t>
      </w:r>
      <w:r>
        <w:t xml:space="preserve"> </w:t>
      </w:r>
      <w:r>
        <w:t xml:space="preserve">April 2026</w:t>
      </w:r>
    </w:p>
    <w:p>
      <w:pPr>
        <w:pStyle w:val="BodyText"/>
      </w:pPr>
      <w:r>
        <w:rPr>
          <w:b/>
          <w:bCs/>
        </w:rPr>
        <w:t xml:space="preserve">Executive Thesis.</w:t>
      </w:r>
    </w:p>
    <w:p>
      <w:pPr>
        <w:pStyle w:val="BodyText"/>
      </w:pPr>
      <w:r>
        <w:t xml:space="preserve">This report summarizes a production-oriented machine-learning alpha</w:t>
      </w:r>
      <w:r>
        <w:t xml:space="preserve"> </w:t>
      </w:r>
      <w:r>
        <w:t xml:space="preserve">framework that combines cluster-aware equity modelling with</w:t>
      </w:r>
      <w:r>
        <w:t xml:space="preserve"> </w:t>
      </w:r>
      <w:r>
        <w:t xml:space="preserve">sentiment-driven residual correction and multi-horizon signal</w:t>
      </w:r>
      <w:r>
        <w:t xml:space="preserve"> </w:t>
      </w:r>
      <w:r>
        <w:t xml:space="preserve">governance. The core insight is that unsupervised clustering can be</w:t>
      </w:r>
      <w:r>
        <w:t xml:space="preserve"> </w:t>
      </w:r>
      <w:r>
        <w:t xml:space="preserve">repurposed from descriptive taxonomy into an active signal-routing</w:t>
      </w:r>
      <w:r>
        <w:t xml:space="preserve"> </w:t>
      </w:r>
      <w:r>
        <w:t xml:space="preserve">layer: sparse single-name news is converted into cluster-pooled</w:t>
      </w:r>
      <w:r>
        <w:t xml:space="preserve"> </w:t>
      </w:r>
      <w:r>
        <w:t xml:space="preserve">information, improving directional signal quality while preserving high</w:t>
      </w:r>
      <w:r>
        <w:t xml:space="preserve"> </w:t>
      </w:r>
      <w:r>
        <w:t xml:space="preserve">fit stability. The final implementation exhibits strong risk-adjusted</w:t>
      </w:r>
      <w:r>
        <w:t xml:space="preserve"> </w:t>
      </w:r>
      <w:r>
        <w:t xml:space="preserve">performance in backtesting, with the learned meta-layer delivering</w:t>
      </w:r>
      <w:r>
        <w:t xml:space="preserve"> </w:t>
      </w:r>
      <w:r>
        <w:t xml:space="preserve">Sharpe ratio expansion and drawdown compression under a controlled</w:t>
      </w:r>
      <w:r>
        <w:t xml:space="preserve"> </w:t>
      </w:r>
      <w:r>
        <w:t xml:space="preserve">turnover profile. Recommended use is as a complementary alpha sleeve</w:t>
      </w:r>
      <w:r>
        <w:t xml:space="preserve"> </w:t>
      </w:r>
      <w:r>
        <w:t xml:space="preserve">within a diversified multifactor stack, rather than as a standalone</w:t>
      </w:r>
      <w:r>
        <w:t xml:space="preserve"> </w:t>
      </w:r>
      <w:r>
        <w:t xml:space="preserve">directional macro bet.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1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ec2">
        <w:r>
          <w:rPr>
            <w:rStyle w:val="Hyperlink"/>
          </w:rPr>
          <w:t xml:space="preserve">Market Microstructure &amp; Data</w:t>
        </w:r>
      </w:hyperlink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Model Architecture &amp; Formulation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Analysis, Backtesting &amp; Evaluation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Execution, Liquidity &amp; TCA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Implementation Path &amp; Tooling Provenance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Conclusion</w:t>
        </w:r>
      </w:hyperlink>
    </w:p>
    <w:bookmarkEnd w:id="9"/>
    <w:bookmarkStart w:id="11" w:name="sec1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propose an ML-driven alpha signal designed for integration into an</w:t>
      </w:r>
      <w:r>
        <w:t xml:space="preserve"> </w:t>
      </w:r>
      <w:r>
        <w:t xml:space="preserve">institutional multifactor equity process. The alpha engine combines three</w:t>
      </w:r>
      <w:r>
        <w:t xml:space="preserve"> </w:t>
      </w:r>
      <w:r>
        <w:t xml:space="preserve">long-term compensated factor channels: price-based technical structure,</w:t>
      </w:r>
      <w:r>
        <w:t xml:space="preserve"> </w:t>
      </w:r>
      <w:r>
        <w:t xml:space="preserve">sentiment-derived narrative structure, and cross-sectional peer-cluster</w:t>
      </w:r>
      <w:r>
        <w:t xml:space="preserve"> </w:t>
      </w:r>
      <w:r>
        <w:t xml:space="preserve">structure. The model architecture is optimized for non-linear interactions</w:t>
      </w:r>
      <w:r>
        <w:t xml:space="preserve"> </w:t>
      </w:r>
      <w:r>
        <w:t xml:space="preserve">and regime dependence, with emphasis on preserving signal monotonicity and</w:t>
      </w:r>
      <w:r>
        <w:t xml:space="preserve"> </w:t>
      </w:r>
      <w:r>
        <w:t xml:space="preserve">implementation realism.</w:t>
      </w:r>
    </w:p>
    <w:p>
      <w:pPr>
        <w:pStyle w:val="BodyText"/>
      </w:pPr>
      <w:r>
        <w:t xml:space="preserve">On held-out testing, the cluster-news stacked model demonstrates</w:t>
      </w:r>
      <w:r>
        <w:t xml:space="preserve"> </w:t>
      </w:r>
      <w:r>
        <w:t xml:space="preserve">consistent directional uplift over baseline technical-only configurations,</w:t>
      </w:r>
      <w:r>
        <w:t xml:space="preserve"> </w:t>
      </w:r>
      <w:r>
        <w:t xml:space="preserve">while the downstream multi-horizon learned meta-layer materially improves</w:t>
      </w:r>
      <w:r>
        <w:t xml:space="preserve"> </w:t>
      </w:r>
      <w:r>
        <w:t xml:space="preserve">risk-adjusted returns. After applying execution-realism corrections (1-day</w:t>
      </w:r>
      <w:r>
        <w:t xml:space="preserve"> </w:t>
      </w:r>
      <w:r>
        <w:t xml:space="preserve">lag, 5 bps one-way cost), the strongest configuration — Learned Meta XGB —</w:t>
      </w:r>
      <w:r>
        <w:t xml:space="preserve"> </w:t>
      </w:r>
      <w:r>
        <w:t xml:space="preserve">recorded Sharpe +4.45 versus Buy &amp; Hold +6.12, Max Drawdown −1.40%,</w:t>
      </w:r>
      <w:r>
        <w:t xml:space="preserve"> </w:t>
      </w:r>
      <w:r>
        <w:t xml:space="preserve">Total Return +6.13%, and Directional Hit Ratio 60.9%. While lower-drawdown</w:t>
      </w:r>
      <w:r>
        <w:t xml:space="preserve"> </w:t>
      </w:r>
      <w:r>
        <w:t xml:space="preserve">than passive, further out-of-sample validation over a full-year window is</w:t>
      </w:r>
      <w:r>
        <w:t xml:space="preserve"> </w:t>
      </w:r>
      <w:r>
        <w:t xml:space="preserve">required before deployment.</w:t>
      </w:r>
    </w:p>
    <w:p>
      <w:pPr>
        <w:pStyle w:val="BodyText"/>
      </w:pPr>
      <w:r>
        <w:rPr>
          <w:b/>
          <w:bCs/>
        </w:rPr>
        <w:t xml:space="preserve">Portfolio Construction Recommendation:</w:t>
      </w:r>
      <w:r>
        <w:t xml:space="preserve"> </w:t>
      </w:r>
      <w:r>
        <w:t xml:space="preserve">Deploy the signal as a medium-conviction tactical overlay (target risk</w:t>
      </w:r>
      <w:r>
        <w:t xml:space="preserve"> </w:t>
      </w:r>
      <w:r>
        <w:t xml:space="preserve">budget: 8-15% of active risk) within an existing multifactor book. Use</w:t>
      </w:r>
      <w:r>
        <w:t xml:space="preserve"> </w:t>
      </w:r>
      <w:r>
        <w:t xml:space="preserve">regime filters to dynamically scale gross exposure during volatility</w:t>
      </w:r>
      <w:r>
        <w:t xml:space="preserve"> </w:t>
      </w:r>
      <w:r>
        <w:t xml:space="preserve">expansion and policy-sensitive macro windows.</w:t>
      </w:r>
    </w:p>
    <w:bookmarkStart w:id="10" w:name="institutional-key-takeaways"/>
    <w:p>
      <w:pPr>
        <w:pStyle w:val="Heading3"/>
      </w:pPr>
      <w:r>
        <w:t xml:space="preserve">1.1 Institutional Key Takeaways</w:t>
      </w:r>
    </w:p>
    <w:p>
      <w:pPr>
        <w:pStyle w:val="Compact"/>
        <w:numPr>
          <w:ilvl w:val="0"/>
          <w:numId w:val="1002"/>
        </w:numPr>
      </w:pPr>
      <w:r>
        <w:t xml:space="preserve">Use case: complementary alpha sleeve, not standalone macro exposure.</w:t>
      </w:r>
    </w:p>
    <w:p>
      <w:pPr>
        <w:pStyle w:val="Compact"/>
        <w:numPr>
          <w:ilvl w:val="0"/>
          <w:numId w:val="1002"/>
        </w:numPr>
      </w:pPr>
      <w:r>
        <w:t xml:space="preserve">Evidence: promising signal quality, but benchmark and uncertainty risks</w:t>
      </w:r>
      <w:r>
        <w:t xml:space="preserve"> </w:t>
      </w:r>
      <w:r>
        <w:t xml:space="preserve">remain.</w:t>
      </w:r>
    </w:p>
    <w:p>
      <w:pPr>
        <w:pStyle w:val="Compact"/>
        <w:numPr>
          <w:ilvl w:val="0"/>
          <w:numId w:val="1002"/>
        </w:numPr>
      </w:pPr>
      <w:r>
        <w:t xml:space="preserve">Decision: suitable for research and controlled paper-trading; not yet</w:t>
      </w:r>
      <w:r>
        <w:t xml:space="preserve"> </w:t>
      </w:r>
      <w:r>
        <w:t xml:space="preserve">full production.</w:t>
      </w:r>
    </w:p>
    <w:bookmarkEnd w:id="10"/>
    <w:bookmarkEnd w:id="11"/>
    <w:bookmarkStart w:id="15" w:name="sec2"/>
    <w:p>
      <w:pPr>
        <w:pStyle w:val="Heading2"/>
      </w:pPr>
      <w:r>
        <w:t xml:space="preserve">2. Market Microstructure &amp; Data</w:t>
      </w:r>
    </w:p>
    <w:bookmarkStart w:id="12" w:name="core-and-alternative-datasets"/>
    <w:p>
      <w:pPr>
        <w:pStyle w:val="Heading3"/>
      </w:pPr>
      <w:r>
        <w:t xml:space="preserve">2.1 Core and Alternative Datasets</w:t>
      </w:r>
    </w:p>
    <w:p>
      <w:pPr>
        <w:pStyle w:val="FirstParagraph"/>
      </w:pPr>
      <w:r>
        <w:t xml:space="preserve">The feature stack combines market microstructure variables (price,</w:t>
      </w:r>
      <w:r>
        <w:t xml:space="preserve"> </w:t>
      </w:r>
      <w:r>
        <w:t xml:space="preserve">volatility, volume), cross-sectional cluster structure, and sentiment</w:t>
      </w:r>
      <w:r>
        <w:t xml:space="preserve"> </w:t>
      </w:r>
      <w:r>
        <w:t xml:space="preserve">features (direct and peer-cluster pooled). This combination is designed to</w:t>
      </w:r>
      <w:r>
        <w:t xml:space="preserve"> </w:t>
      </w:r>
      <w:r>
        <w:t xml:space="preserve">capture both short-horizon technical dynamics and information diffusion</w:t>
      </w:r>
      <w:r>
        <w:t xml:space="preserve"> </w:t>
      </w:r>
      <w:r>
        <w:t xml:space="preserve">effects under sparse single-name news coverage.</w:t>
      </w:r>
    </w:p>
    <w:bookmarkEnd w:id="12"/>
    <w:bookmarkStart w:id="13" w:name="Xdff122489bfffb763343900eefc1f16458142cb"/>
    <w:p>
      <w:pPr>
        <w:pStyle w:val="Heading3"/>
      </w:pPr>
      <w:r>
        <w:t xml:space="preserve">2.2 Causal Data Treatment and Leakage Controls</w:t>
      </w:r>
    </w:p>
    <w:p>
      <w:pPr>
        <w:pStyle w:val="FirstParagraph"/>
      </w:pPr>
      <w:r>
        <w:t xml:space="preserve">All sentiment features are lagged prior to the prediction timestamp, and</w:t>
      </w:r>
      <w:r>
        <w:t xml:space="preserve"> </w:t>
      </w:r>
      <w:r>
        <w:t xml:space="preserve">training-validation-test partitions follow strict chronological ordering.</w:t>
      </w:r>
      <w:r>
        <w:t xml:space="preserve"> </w:t>
      </w:r>
      <w:r>
        <w:t xml:space="preserve">No random shuffle is used. This guards against look-ahead leakage and</w:t>
      </w:r>
      <w:r>
        <w:t xml:space="preserve"> </w:t>
      </w:r>
      <w:r>
        <w:t xml:space="preserve">aligns estimated performance with deployment reality.</w:t>
      </w:r>
    </w:p>
    <w:p>
      <w:pPr>
        <w:pStyle w:val="BodyText"/>
      </w:pPr>
      <w:r>
        <w:t xml:space="preserve">D</w:t>
      </w:r>
      <w:r>
        <w:t xml:space="preserve"> </w:t>
      </w:r>
      <w:r>
        <w:t xml:space="preserve">=</w:t>
      </w:r>
      <w:r>
        <w:t xml:space="preserve"> </w:t>
      </w:r>
      <w:r>
        <w:t xml:space="preserve">D</w:t>
      </w:r>
      <w:r>
        <w:rPr>
          <w:vertAlign w:val="subscript"/>
        </w:rPr>
        <w:t xml:space="preserve">train</w:t>
      </w:r>
      <w:r>
        <w:t xml:space="preserve"> </w:t>
      </w:r>
      <w:r>
        <w:t xml:space="preserve">∪</w:t>
      </w:r>
      <w:r>
        <w:t xml:space="preserve"> </w:t>
      </w:r>
      <w:r>
        <w:t xml:space="preserve">D</w:t>
      </w:r>
      <w:r>
        <w:rPr>
          <w:vertAlign w:val="subscript"/>
        </w:rPr>
        <w:t xml:space="preserve">val</w:t>
      </w:r>
      <w:r>
        <w:t xml:space="preserve"> </w:t>
      </w:r>
      <w:r>
        <w:t xml:space="preserve">∪</w:t>
      </w:r>
      <w:r>
        <w:t xml:space="preserve"> </w:t>
      </w:r>
      <w:r>
        <w:t xml:space="preserve">D</w:t>
      </w:r>
      <w:r>
        <w:rPr>
          <w:vertAlign w:val="subscript"/>
        </w:rPr>
        <w:t xml:space="preserve">test</w:t>
      </w:r>
      <w:r>
        <w:t xml:space="preserve">,</w:t>
      </w:r>
      <w:r>
        <w:t xml:space="preserve"> </w:t>
      </w:r>
      <w:r>
        <w:t xml:space="preserve">t</w:t>
      </w:r>
      <w:r>
        <w:rPr>
          <w:vertAlign w:val="subscript"/>
        </w:rPr>
        <w:t xml:space="preserve">train</w:t>
      </w:r>
      <w:r>
        <w:t xml:space="preserve"> </w:t>
      </w:r>
      <w:r>
        <w:t xml:space="preserve">&lt;</w:t>
      </w:r>
      <w:r>
        <w:t xml:space="preserve"> </w:t>
      </w:r>
      <w:r>
        <w:t xml:space="preserve">t</w:t>
      </w:r>
      <w:r>
        <w:rPr>
          <w:vertAlign w:val="subscript"/>
        </w:rPr>
        <w:t xml:space="preserve">val</w:t>
      </w:r>
      <w:r>
        <w:t xml:space="preserve"> </w:t>
      </w:r>
      <w:r>
        <w:t xml:space="preserve">&lt;</w:t>
      </w:r>
      <w:r>
        <w:t xml:space="preserve"> </w:t>
      </w:r>
      <w:r>
        <w:t xml:space="preserve">t</w:t>
      </w:r>
      <w:r>
        <w:rPr>
          <w:vertAlign w:val="subscript"/>
        </w:rPr>
        <w:t xml:space="preserve">test</w:t>
      </w:r>
    </w:p>
    <w:bookmarkEnd w:id="13"/>
    <w:bookmarkStart w:id="14" w:name="microstructure-interpretation"/>
    <w:p>
      <w:pPr>
        <w:pStyle w:val="Heading3"/>
      </w:pPr>
      <w:r>
        <w:t xml:space="preserve">2.3 Microstructure Interpretation</w:t>
      </w:r>
    </w:p>
    <w:p>
      <w:pPr>
        <w:pStyle w:val="FirstParagraph"/>
      </w:pPr>
      <w:r>
        <w:t xml:space="preserve">The cluster-aware sentiment channel is used as a practical proxy for</w:t>
      </w:r>
      <w:r>
        <w:t xml:space="preserve"> </w:t>
      </w:r>
      <w:r>
        <w:t xml:space="preserve">cross-asset information propagation, where peer repricing often leads</w:t>
      </w:r>
      <w:r>
        <w:t xml:space="preserve"> </w:t>
      </w:r>
      <w:r>
        <w:t xml:space="preserve">single-name fundamental updates.</w:t>
      </w:r>
    </w:p>
    <w:bookmarkEnd w:id="14"/>
    <w:bookmarkEnd w:id="15"/>
    <w:bookmarkStart w:id="22" w:name="sec3"/>
    <w:p>
      <w:pPr>
        <w:pStyle w:val="Heading2"/>
      </w:pPr>
      <w:r>
        <w:t xml:space="preserve">3. Model Architecture &amp; Formulation</w:t>
      </w:r>
    </w:p>
    <w:bookmarkStart w:id="16" w:name="architecture-overview"/>
    <w:p>
      <w:pPr>
        <w:pStyle w:val="Heading3"/>
      </w:pPr>
      <w:r>
        <w:t xml:space="preserve">3.1 Architecture Overview</w:t>
      </w:r>
    </w:p>
    <w:p>
      <w:pPr>
        <w:pStyle w:val="FirstParagraph"/>
      </w:pPr>
      <w:r>
        <w:t xml:space="preserve">The production candidate is a stacked gradient-boosting architecture with</w:t>
      </w:r>
      <w:r>
        <w:t xml:space="preserve"> </w:t>
      </w:r>
      <w:r>
        <w:t xml:space="preserve">three layers: baseline technical regressor, direct/cluster sentiment</w:t>
      </w:r>
      <w:r>
        <w:t xml:space="preserve"> </w:t>
      </w:r>
      <w:r>
        <w:t xml:space="preserve">augmentation, and multi-horizon meta-signal governance. XGBoost is</w:t>
      </w:r>
      <w:r>
        <w:t xml:space="preserve"> </w:t>
      </w:r>
      <w:r>
        <w:t xml:space="preserve">selected over deep sequence alternatives due to superior robustness in</w:t>
      </w:r>
      <w:r>
        <w:t xml:space="preserve"> </w:t>
      </w:r>
      <w:r>
        <w:t xml:space="preserve">tabular, interaction-heavy, medium-sample settings.</w:t>
      </w:r>
    </w:p>
    <w:p>
      <w:pPr>
        <w:pStyle w:val="TableCaption"/>
      </w:pPr>
      <w:r>
        <w:t xml:space="preserve">Table 2. Architecture Components and Functional Purpose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Architecture Components and Functional Purpos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Core</w:t>
            </w:r>
          </w:p>
        </w:tc>
        <w:tc>
          <w:tcPr/>
          <w:p>
            <w:pPr>
              <w:pStyle w:val="Compact"/>
            </w:pPr>
            <w:r>
              <w:t xml:space="preserve">XGBRegressor</w:t>
            </w:r>
          </w:p>
        </w:tc>
        <w:tc>
          <w:tcPr/>
          <w:p>
            <w:pPr>
              <w:pStyle w:val="Compact"/>
            </w:pPr>
            <w:r>
              <w:t xml:space="preserve">Capture non-linear price-feature interactions</w:t>
            </w:r>
          </w:p>
        </w:tc>
        <w:tc>
          <w:tcPr/>
          <w:p>
            <w:pPr>
              <w:pStyle w:val="Compact"/>
            </w:pPr>
            <w:r>
              <w:t xml:space="preserve">T+1 baseline forecast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 Enhancer</w:t>
            </w:r>
          </w:p>
        </w:tc>
        <w:tc>
          <w:tcPr/>
          <w:p>
            <w:pPr>
              <w:pStyle w:val="Compact"/>
            </w:pPr>
            <w:r>
              <w:t xml:space="preserve">Direct + Cluster news stacking</w:t>
            </w:r>
          </w:p>
        </w:tc>
        <w:tc>
          <w:tcPr/>
          <w:p>
            <w:pPr>
              <w:pStyle w:val="Compact"/>
            </w:pPr>
            <w:r>
              <w:t xml:space="preserve">Residual correction from sentiment channels</w:t>
            </w:r>
          </w:p>
        </w:tc>
        <w:tc>
          <w:tcPr/>
          <w:p>
            <w:pPr>
              <w:pStyle w:val="Compact"/>
            </w:pPr>
            <w:r>
              <w:t xml:space="preserve">Directional uplift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Allocation</w:t>
            </w:r>
          </w:p>
        </w:tc>
        <w:tc>
          <w:tcPr/>
          <w:p>
            <w:pPr>
              <w:pStyle w:val="Compact"/>
            </w:pPr>
            <w:r>
              <w:t xml:space="preserve">Learned Ridge / XGB meta-model</w:t>
            </w:r>
          </w:p>
        </w:tc>
        <w:tc>
          <w:tcPr/>
          <w:p>
            <w:pPr>
              <w:pStyle w:val="Compact"/>
            </w:pPr>
            <w:r>
              <w:t xml:space="preserve">Regime-aware horizon combination</w:t>
            </w:r>
          </w:p>
        </w:tc>
        <w:tc>
          <w:tcPr/>
          <w:p>
            <w:pPr>
              <w:pStyle w:val="Compact"/>
            </w:pPr>
            <w:r>
              <w:t xml:space="preserve">Tradeable alpha score</w:t>
            </w:r>
          </w:p>
        </w:tc>
      </w:tr>
    </w:tbl>
    <w:bookmarkEnd w:id="16"/>
    <w:bookmarkStart w:id="17" w:name="formal-signal-definition"/>
    <w:p>
      <w:pPr>
        <w:pStyle w:val="Heading3"/>
      </w:pPr>
      <w:r>
        <w:t xml:space="preserve">3.2 Formal Signal Definition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x</w:t>
      </w:r>
      <w:r>
        <w:rPr>
          <w:vertAlign w:val="superscript"/>
        </w:rPr>
        <w:t xml:space="preserve">tech</w:t>
      </w:r>
      <w:r>
        <w:rPr>
          <w:vertAlign w:val="subscript"/>
        </w:rPr>
        <w:t xml:space="preserve">i,t</w:t>
      </w:r>
      <w:r>
        <w:t xml:space="preserve"> </w:t>
      </w:r>
      <w:r>
        <w:t xml:space="preserve">denote</w:t>
      </w:r>
      <w:r>
        <w:t xml:space="preserve"> </w:t>
      </w:r>
      <w:r>
        <w:t xml:space="preserve">technical factors,</w:t>
      </w:r>
      <w:r>
        <w:t xml:space="preserve"> </w:t>
      </w:r>
      <w:r>
        <w:t xml:space="preserve">S</w:t>
      </w:r>
      <w:r>
        <w:rPr>
          <w:vertAlign w:val="superscript"/>
        </w:rPr>
        <w:t xml:space="preserve">dir</w:t>
      </w:r>
      <w:r>
        <w:rPr>
          <w:vertAlign w:val="subscript"/>
        </w:rPr>
        <w:t xml:space="preserve">i,t</w:t>
      </w:r>
      <w:r>
        <w:t xml:space="preserve"> </w:t>
      </w:r>
      <w:r>
        <w:t xml:space="preserve">direct sentiment, and</w:t>
      </w:r>
      <w:r>
        <w:t xml:space="preserve"> </w:t>
      </w:r>
      <w:r>
        <w:t xml:space="preserve">S</w:t>
      </w:r>
      <w:r>
        <w:rPr>
          <w:vertAlign w:val="superscript"/>
        </w:rPr>
        <w:t xml:space="preserve">clu</w:t>
      </w:r>
      <w:r>
        <w:rPr>
          <w:vertAlign w:val="subscript"/>
        </w:rPr>
        <w:t xml:space="preserve">i,t</w:t>
      </w:r>
      <w:r>
        <w:t xml:space="preserve"> </w:t>
      </w:r>
      <w:r>
        <w:t xml:space="preserve">cluster-pooled sentiment. The model uses</w:t>
      </w:r>
      <w:r>
        <w:t xml:space="preserve"> </w:t>
      </w:r>
      <w:r>
        <w:t xml:space="preserve">exponentially decayed sentiment memory with evidence-driven</w:t>
      </w:r>
      <w:r>
        <w:t xml:space="preserve"> </w:t>
      </w:r>
      <w:r>
        <w:t xml:space="preserve">hyperparameters.</w:t>
      </w:r>
    </w:p>
    <w:p>
      <w:pPr>
        <w:pStyle w:val="BodyText"/>
      </w:pPr>
      <w:r>
        <w:t xml:space="preserve">w</w:t>
      </w:r>
      <w:r>
        <w:rPr>
          <w:vertAlign w:val="subscript"/>
        </w:rPr>
        <w:t xml:space="preserve">k</w:t>
      </w:r>
      <w:r>
        <w:t xml:space="preserve"> </w:t>
      </w:r>
      <w:r>
        <w:t xml:space="preserve">= e</w:t>
      </w:r>
      <w:r>
        <w:rPr>
          <w:vertAlign w:val="superscript"/>
        </w:rPr>
        <w:t xml:space="preserve">−λ(k−1)</w:t>
      </w:r>
      <w:r>
        <w:t xml:space="preserve"> </w:t>
      </w:r>
      <w:r>
        <w:t xml:space="preserve">/ Σ</w:t>
      </w:r>
      <w:r>
        <w:rPr>
          <w:vertAlign w:val="subscript"/>
        </w:rPr>
        <w:t xml:space="preserve">m=1</w:t>
      </w:r>
      <w:r>
        <w:rPr>
          <w:vertAlign w:val="superscript"/>
        </w:rPr>
        <w:t xml:space="preserve">L</w:t>
      </w:r>
      <w:r>
        <w:t xml:space="preserve"> </w:t>
      </w:r>
      <w:r>
        <w:t xml:space="preserve">e</w:t>
      </w:r>
      <w:r>
        <w:rPr>
          <w:vertAlign w:val="superscript"/>
        </w:rPr>
        <w:t xml:space="preserve">−λ(m−1)</w:t>
      </w:r>
      <w:r>
        <w:t xml:space="preserve">,</w:t>
      </w:r>
      <w:r>
        <w:t xml:space="preserve"> </w:t>
      </w:r>
      <w:r>
        <w:t xml:space="preserve">S</w:t>
      </w:r>
      <w:r>
        <w:rPr>
          <w:vertAlign w:val="superscript"/>
        </w:rPr>
        <w:t xml:space="preserve">clu</w:t>
      </w:r>
      <w:r>
        <w:rPr>
          <w:vertAlign w:val="subscript"/>
        </w:rPr>
        <w:t xml:space="preserve">i,t</w:t>
      </w:r>
      <w:r>
        <w:t xml:space="preserve"> </w:t>
      </w:r>
      <w:r>
        <w:t xml:space="preserve">= Σ</w:t>
      </w:r>
      <w:r>
        <w:rPr>
          <w:vertAlign w:val="subscript"/>
        </w:rPr>
        <w:t xml:space="preserve">k=1</w:t>
      </w:r>
      <w:r>
        <w:rPr>
          <w:vertAlign w:val="superscript"/>
        </w:rPr>
        <w:t xml:space="preserve">L</w:t>
      </w:r>
      <w:r>
        <w:t xml:space="preserve"> </w:t>
      </w:r>
      <w:r>
        <w:t xml:space="preserve">w</w:t>
      </w:r>
      <w:r>
        <w:rPr>
          <w:vertAlign w:val="subscript"/>
        </w:rPr>
        <w:t xml:space="preserve">k</w:t>
      </w:r>
      <w:r>
        <w:t xml:space="preserve"> </w:t>
      </w:r>
      <w:r>
        <w:t xml:space="preserve">· 1/|P(i)| ·</w:t>
      </w:r>
      <w:r>
        <w:t xml:space="preserve"> </w:t>
      </w:r>
      <w:r>
        <w:t xml:space="preserve">Σ</w:t>
      </w:r>
      <w:r>
        <w:rPr>
          <w:vertAlign w:val="subscript"/>
        </w:rPr>
        <w:t xml:space="preserve">j∈P(i)</w:t>
      </w:r>
      <w:r>
        <w:t xml:space="preserve"> </w:t>
      </w:r>
      <w:r>
        <w:t xml:space="preserve">s</w:t>
      </w:r>
      <w:r>
        <w:rPr>
          <w:vertAlign w:val="subscript"/>
        </w:rPr>
        <w:t xml:space="preserve">j,t-k</w:t>
      </w:r>
    </w:p>
    <w:p>
      <w:pPr>
        <w:pStyle w:val="BodyText"/>
      </w:pPr>
      <w:r>
        <w:t xml:space="preserve">ŷ</w:t>
      </w:r>
      <w:r>
        <w:rPr>
          <w:vertAlign w:val="subscript"/>
        </w:rPr>
        <w:t xml:space="preserve">i,t+1</w:t>
      </w:r>
      <w:r>
        <w:t xml:space="preserve"> </w:t>
      </w:r>
      <w:r>
        <w:t xml:space="preserve">= f(</w:t>
      </w:r>
      <w:r>
        <w:t xml:space="preserve"> </w:t>
      </w:r>
      <w:r>
        <w:t xml:space="preserve">x</w:t>
      </w:r>
      <w:r>
        <w:rPr>
          <w:vertAlign w:val="superscript"/>
        </w:rPr>
        <w:t xml:space="preserve">tech</w:t>
      </w:r>
      <w:r>
        <w:rPr>
          <w:vertAlign w:val="subscript"/>
        </w:rPr>
        <w:t xml:space="preserve">i,t</w:t>
      </w:r>
      <w:r>
        <w:t xml:space="preserve">,</w:t>
      </w:r>
      <w:r>
        <w:t xml:space="preserve"> </w:t>
      </w:r>
      <w:r>
        <w:t xml:space="preserve">S</w:t>
      </w:r>
      <w:r>
        <w:rPr>
          <w:vertAlign w:val="superscript"/>
        </w:rPr>
        <w:t xml:space="preserve">dir</w:t>
      </w:r>
      <w:r>
        <w:rPr>
          <w:vertAlign w:val="subscript"/>
        </w:rPr>
        <w:t xml:space="preserve">i,t</w:t>
      </w:r>
      <w:r>
        <w:t xml:space="preserve">,</w:t>
      </w:r>
      <w:r>
        <w:t xml:space="preserve"> </w:t>
      </w:r>
      <w:r>
        <w:t xml:space="preserve">S</w:t>
      </w:r>
      <w:r>
        <w:rPr>
          <w:vertAlign w:val="superscript"/>
        </w:rPr>
        <w:t xml:space="preserve">clu</w:t>
      </w:r>
      <w:r>
        <w:rPr>
          <w:vertAlign w:val="subscript"/>
        </w:rPr>
        <w:t xml:space="preserve">i,t</w:t>
      </w:r>
      <w:r>
        <w:t xml:space="preserve">, φ(c(i)))</w:t>
      </w:r>
    </w:p>
    <w:bookmarkEnd w:id="17"/>
    <w:bookmarkStart w:id="21" w:name="handling-fat-tails-and-non-linearity"/>
    <w:p>
      <w:pPr>
        <w:pStyle w:val="Heading3"/>
      </w:pPr>
      <w:r>
        <w:t xml:space="preserve">3.3 Handling Fat Tails and Non-Linearity</w:t>
      </w:r>
    </w:p>
    <w:p>
      <w:pPr>
        <w:pStyle w:val="FirstParagraph"/>
      </w:pPr>
      <w:r>
        <w:t xml:space="preserve">Tree-based models are used to capture nonlinear interaction effects and</w:t>
      </w:r>
      <w:r>
        <w:t xml:space="preserve"> </w:t>
      </w:r>
      <w:r>
        <w:t xml:space="preserve">threshold behavior without rigid parametric assumptions. Walk-forward</w:t>
      </w:r>
      <w:r>
        <w:t xml:space="preserve"> </w:t>
      </w:r>
      <w:r>
        <w:t xml:space="preserve">validation and regime-aware controls are intended to reduce overfitting</w:t>
      </w:r>
      <w:r>
        <w:t xml:space="preserve"> </w:t>
      </w:r>
      <w:r>
        <w:t xml:space="preserve">under volatility clustering and tail-event regimes.</w:t>
      </w:r>
    </w:p>
    <w:p>
      <w:pPr>
        <w:pStyle w:val="BodyText"/>
      </w:pPr>
      <w:r>
        <w:t xml:space="preserve">Figure 3. Cross-Model Benchmark</w:t>
      </w:r>
    </w:p>
    <w:p>
      <w:pPr>
        <w:pStyle w:val="BodyText"/>
      </w:pPr>
      <w:r>
        <w:t xml:space="preserve">XGBoost remains on the best accuracy-stability frontier versus linear</w:t>
      </w:r>
      <w:r>
        <w:t xml:space="preserve"> </w:t>
      </w:r>
      <w:r>
        <w:t xml:space="preserve">and sequence alternatives.</w:t>
      </w:r>
    </w:p>
    <w:p>
      <w:pPr>
        <w:pStyle w:val="BodyText"/>
      </w:pPr>
      <w:r>
        <w:drawing>
          <wp:inline>
            <wp:extent cx="5334000" cy="3812936"/>
            <wp:effectExtent b="0" l="0" r="0" t="0"/>
            <wp:docPr descr="Cross-model benchmark" title="" id="19" name="Picture"/>
            <a:graphic>
              <a:graphicData uri="http://schemas.openxmlformats.org/drawingml/2006/picture">
                <pic:pic>
                  <pic:nvPicPr>
                    <pic:cNvPr descr="02_stock_price_regression/graph/03_regression_metrics_comparis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bookmarkStart w:id="40" w:name="sec4"/>
    <w:p>
      <w:pPr>
        <w:pStyle w:val="Heading2"/>
      </w:pPr>
      <w:r>
        <w:t xml:space="preserve">4. Analysis, Backtesting &amp; Evaluation</w:t>
      </w:r>
    </w:p>
    <w:bookmarkStart w:id="23" w:name="regression-and-directional-evaluation"/>
    <w:p>
      <w:pPr>
        <w:pStyle w:val="Heading3"/>
      </w:pPr>
      <w:r>
        <w:t xml:space="preserve">4.1 Regression and Directional Evaluation</w:t>
      </w:r>
    </w:p>
    <w:p>
      <w:pPr>
        <w:pStyle w:val="FirstParagraph"/>
      </w:pPr>
      <w:r>
        <w:t xml:space="preserve">Evaluation combines point-error metrics (MAE, RMSE, R2) and directional</w:t>
      </w:r>
      <w:r>
        <w:t xml:space="preserve"> </w:t>
      </w:r>
      <w:r>
        <w:t xml:space="preserve">utility (DHR). The cluster-news stacked implementation improved</w:t>
      </w:r>
      <w:r>
        <w:t xml:space="preserve"> </w:t>
      </w:r>
      <w:r>
        <w:t xml:space="preserve">directional accuracy versus baseline while preserving high explanatory</w:t>
      </w:r>
      <w:r>
        <w:t xml:space="preserve"> </w:t>
      </w:r>
      <w:r>
        <w:t xml:space="preserve">fit.</w:t>
      </w:r>
    </w:p>
    <w:p>
      <w:pPr>
        <w:pStyle w:val="BodyText"/>
      </w:pPr>
      <w:r>
        <w:t xml:space="preserve">Implementation detail (02D-linked pipeline): the short-horizon signal is</w:t>
      </w:r>
      <w:r>
        <w:t xml:space="preserve"> </w:t>
      </w:r>
      <w:r>
        <w:t xml:space="preserve">built from a causal blend of price momentum and cluster-news sentiment.</w:t>
      </w:r>
      <w:r>
        <w:t xml:space="preserve"> </w:t>
      </w:r>
      <w:r>
        <w:t xml:space="preserve">The news component uses lagged 10-day features exported by the 02D process</w:t>
      </w:r>
      <w:r>
        <w:t xml:space="preserve"> </w:t>
      </w:r>
      <w:r>
        <w:t xml:space="preserve">(</w:t>
      </w:r>
      <w:r>
        <w:t xml:space="preserve"> </w:t>
      </w:r>
      <w:r>
        <w:rPr>
          <w:i/>
          <w:iCs/>
        </w:rPr>
        <w:t xml:space="preserve">direct_sentiment_10d</w:t>
      </w:r>
      <w:r>
        <w:t xml:space="preserve">,</w:t>
      </w:r>
      <w:r>
        <w:t xml:space="preserve"> </w:t>
      </w:r>
      <w:r>
        <w:rPr>
          <w:i/>
          <w:iCs/>
        </w:rPr>
        <w:t xml:space="preserve">cluster_sentiment_10d</w:t>
      </w:r>
      <w:r>
        <w:t xml:space="preserve">,</w:t>
      </w:r>
      <w:r>
        <w:t xml:space="preserve"> </w:t>
      </w:r>
      <w:r>
        <w:rPr>
          <w:i/>
          <w:iCs/>
        </w:rPr>
        <w:t xml:space="preserve">macro_sentiment_10d</w:t>
      </w:r>
      <w:r>
        <w:t xml:space="preserve">) and forms a composite score</w:t>
      </w:r>
      <w:r>
        <w:t xml:space="preserve"> </w:t>
      </w:r>
      <w:r>
        <w:rPr>
          <w:b/>
          <w:bCs/>
        </w:rPr>
        <w:t xml:space="preserve">0.50 / 0.35 / 0.15</w:t>
      </w:r>
      <w:r>
        <w:t xml:space="preserve">, optionally scaled by news intensity.</w:t>
      </w:r>
      <w:r>
        <w:t xml:space="preserve"> </w:t>
      </w:r>
      <w:r>
        <w:t xml:space="preserve">In 02F integration this becomes a T+1 proxy with</w:t>
      </w:r>
      <w:r>
        <w:t xml:space="preserve"> </w:t>
      </w:r>
      <w:r>
        <w:rPr>
          <w:b/>
          <w:bCs/>
        </w:rPr>
        <w:t xml:space="preserve">70% price + 30% news</w:t>
      </w:r>
      <w:r>
        <w:t xml:space="preserve">, where both components are shifted</w:t>
      </w:r>
      <w:r>
        <w:t xml:space="preserve"> </w:t>
      </w:r>
      <w:r>
        <w:t xml:space="preserve">by one day to maintain causal ordering.</w:t>
      </w:r>
    </w:p>
    <w:p>
      <w:pPr>
        <w:pStyle w:val="BodyText"/>
      </w:pPr>
      <w:r>
        <w:t xml:space="preserve">s</w:t>
      </w:r>
      <w:r>
        <w:rPr>
          <w:vertAlign w:val="superscript"/>
        </w:rPr>
        <w:t xml:space="preserve">news</w:t>
      </w:r>
      <w:r>
        <w:rPr>
          <w:vertAlign w:val="subscript"/>
        </w:rPr>
        <w:t xml:space="preserve">i,t</w:t>
      </w:r>
      <w:r>
        <w:t xml:space="preserve"> </w:t>
      </w:r>
      <w:r>
        <w:t xml:space="preserve">= 0.50</w:t>
      </w:r>
      <w:r>
        <w:t xml:space="preserve"> </w:t>
      </w:r>
      <w:r>
        <w:t xml:space="preserve">S</w:t>
      </w:r>
      <w:r>
        <w:rPr>
          <w:vertAlign w:val="superscript"/>
        </w:rPr>
        <w:t xml:space="preserve">dir</w:t>
      </w:r>
      <w:r>
        <w:rPr>
          <w:vertAlign w:val="subscript"/>
        </w:rPr>
        <w:t xml:space="preserve">i,t</w:t>
      </w:r>
      <w:r>
        <w:t xml:space="preserve"> </w:t>
      </w:r>
      <w:r>
        <w:t xml:space="preserve">+ 0.35</w:t>
      </w:r>
      <w:r>
        <w:t xml:space="preserve"> </w:t>
      </w:r>
      <w:r>
        <w:t xml:space="preserve">S</w:t>
      </w:r>
      <w:r>
        <w:rPr>
          <w:vertAlign w:val="superscript"/>
        </w:rPr>
        <w:t xml:space="preserve">clu</w:t>
      </w:r>
      <w:r>
        <w:rPr>
          <w:vertAlign w:val="subscript"/>
        </w:rPr>
        <w:t xml:space="preserve">i,t</w:t>
      </w:r>
      <w:r>
        <w:t xml:space="preserve"> </w:t>
      </w:r>
      <w:r>
        <w:t xml:space="preserve">+ 0.15</w:t>
      </w:r>
      <w:r>
        <w:t xml:space="preserve"> </w:t>
      </w:r>
      <w:r>
        <w:t xml:space="preserve">S</w:t>
      </w:r>
      <w:r>
        <w:rPr>
          <w:vertAlign w:val="superscript"/>
        </w:rPr>
        <w:t xml:space="preserve">macro</w:t>
      </w:r>
      <w:r>
        <w:rPr>
          <w:vertAlign w:val="subscript"/>
        </w:rPr>
        <w:t xml:space="preserve">i,t</w:t>
      </w:r>
      <w:r>
        <w:t xml:space="preserve">,</w:t>
      </w:r>
      <w:r>
        <w:t xml:space="preserve"> </w:t>
      </w:r>
      <w:r>
        <w:t xml:space="preserve">s</w:t>
      </w:r>
      <w:r>
        <w:rPr>
          <w:vertAlign w:val="superscript"/>
        </w:rPr>
        <w:t xml:space="preserve">T+1</w:t>
      </w:r>
      <w:r>
        <w:rPr>
          <w:vertAlign w:val="subscript"/>
        </w:rPr>
        <w:t xml:space="preserve">i,t</w:t>
      </w:r>
      <w:r>
        <w:t xml:space="preserve"> </w:t>
      </w:r>
      <w:r>
        <w:t xml:space="preserve">= 0.70</w:t>
      </w:r>
      <w:r>
        <w:t xml:space="preserve"> </w:t>
      </w:r>
      <w:r>
        <w:t xml:space="preserve">p</w:t>
      </w:r>
      <w:r>
        <w:rPr>
          <w:vertAlign w:val="superscript"/>
        </w:rPr>
        <w:t xml:space="preserve">mom</w:t>
      </w:r>
      <w:r>
        <w:rPr>
          <w:vertAlign w:val="subscript"/>
        </w:rPr>
        <w:t xml:space="preserve">i,t-1</w:t>
      </w:r>
      <w:r>
        <w:t xml:space="preserve"> </w:t>
      </w:r>
      <w:r>
        <w:t xml:space="preserve">+ 0.30</w:t>
      </w:r>
      <w:r>
        <w:t xml:space="preserve"> </w:t>
      </w:r>
      <w:r>
        <w:t xml:space="preserve">s</w:t>
      </w:r>
      <w:r>
        <w:rPr>
          <w:vertAlign w:val="superscript"/>
        </w:rPr>
        <w:t xml:space="preserve">news</w:t>
      </w:r>
      <w:r>
        <w:rPr>
          <w:vertAlign w:val="subscript"/>
        </w:rPr>
        <w:t xml:space="preserve">i,t-1</w:t>
      </w:r>
    </w:p>
    <w:p>
      <w:pPr>
        <w:pStyle w:val="BodyText"/>
      </w:pPr>
      <w:r>
        <w:t xml:space="preserve">Directional evaluation is computed on sign consistency between signal and</w:t>
      </w:r>
      <w:r>
        <w:t xml:space="preserve"> </w:t>
      </w:r>
      <w:r>
        <w:t xml:space="preserve">realized next-day return, while point metrics (MAE/RMSE/R2) are retained</w:t>
      </w:r>
      <w:r>
        <w:t xml:space="preserve"> </w:t>
      </w:r>
      <w:r>
        <w:t xml:space="preserve">to ensure directional uplift is not achieved by degrading fit stability.</w:t>
      </w:r>
      <w:r>
        <w:t xml:space="preserve"> </w:t>
      </w:r>
      <w:r>
        <w:t xml:space="preserve">This is why the stacked variant is preferred over direct-news-only: it</w:t>
      </w:r>
      <w:r>
        <w:t xml:space="preserve"> </w:t>
      </w:r>
      <w:r>
        <w:t xml:space="preserve">preserves near-baseline fit while improving directional utility.</w:t>
      </w:r>
    </w:p>
    <w:p>
      <w:pPr>
        <w:pStyle w:val="TableCaption"/>
      </w:pPr>
      <w:r>
        <w:t xml:space="preserve">Table 3. Hold-Out Performance Snapshot (02D Framework)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Hold-Out Performance Snapshot (02D Framework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Directional Accuracy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XGB</w:t>
            </w:r>
          </w:p>
        </w:tc>
        <w:tc>
          <w:tcPr/>
          <w:p>
            <w:pPr>
              <w:pStyle w:val="Compact"/>
            </w:pPr>
            <w:r>
              <w:t xml:space="preserve">0.9094</w:t>
            </w:r>
          </w:p>
        </w:tc>
        <w:tc>
          <w:tcPr/>
          <w:p>
            <w:pPr>
              <w:pStyle w:val="Compact"/>
            </w:pPr>
            <w:r>
              <w:t xml:space="preserve">2.2356</w:t>
            </w:r>
          </w:p>
        </w:tc>
        <w:tc>
          <w:tcPr/>
          <w:p>
            <w:pPr>
              <w:pStyle w:val="Compact"/>
            </w:pPr>
            <w:r>
              <w:t xml:space="preserve">0.999693</w:t>
            </w:r>
          </w:p>
        </w:tc>
        <w:tc>
          <w:tcPr/>
          <w:p>
            <w:pPr>
              <w:pStyle w:val="Compact"/>
            </w:pPr>
            <w:r>
              <w:t xml:space="preserve">0.5091</w:t>
            </w:r>
          </w:p>
        </w:tc>
        <w:tc>
          <w:tcPr/>
          <w:p>
            <w:pPr>
              <w:pStyle w:val="Compact"/>
            </w:pPr>
            <w:r>
              <w:t xml:space="preserve">Strong fit, weaker directional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Cluster-News Direct XGB</w:t>
            </w:r>
          </w:p>
        </w:tc>
        <w:tc>
          <w:tcPr/>
          <w:p>
            <w:pPr>
              <w:pStyle w:val="Compact"/>
            </w:pPr>
            <w:r>
              <w:t xml:space="preserve">0.9210</w:t>
            </w:r>
          </w:p>
        </w:tc>
        <w:tc>
          <w:tcPr/>
          <w:p>
            <w:pPr>
              <w:pStyle w:val="Compact"/>
            </w:pPr>
            <w:r>
              <w:t xml:space="preserve">2.2630</w:t>
            </w:r>
          </w:p>
        </w:tc>
        <w:tc>
          <w:tcPr/>
          <w:p>
            <w:pPr>
              <w:pStyle w:val="Compact"/>
            </w:pPr>
            <w:r>
              <w:t xml:space="preserve">0.999686</w:t>
            </w:r>
          </w:p>
        </w:tc>
        <w:tc>
          <w:tcPr/>
          <w:p>
            <w:pPr>
              <w:pStyle w:val="Compact"/>
            </w:pPr>
            <w:r>
              <w:t xml:space="preserve">0.5084</w:t>
            </w:r>
          </w:p>
        </w:tc>
        <w:tc>
          <w:tcPr/>
          <w:p>
            <w:pPr>
              <w:pStyle w:val="Compact"/>
            </w:pPr>
            <w:r>
              <w:t xml:space="preserve">Raw sentiment alone is insufficient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Cluster-News Stacked XGB</w:t>
            </w:r>
          </w:p>
        </w:tc>
        <w:tc>
          <w:tcPr/>
          <w:p>
            <w:pPr>
              <w:pStyle w:val="Compact"/>
            </w:pPr>
            <w:r>
              <w:t xml:space="preserve">0.9179</w:t>
            </w:r>
          </w:p>
        </w:tc>
        <w:tc>
          <w:tcPr/>
          <w:p>
            <w:pPr>
              <w:pStyle w:val="Compact"/>
            </w:pPr>
            <w:r>
              <w:t xml:space="preserve">2.2536</w:t>
            </w:r>
          </w:p>
        </w:tc>
        <w:tc>
          <w:tcPr/>
          <w:p>
            <w:pPr>
              <w:pStyle w:val="Compact"/>
            </w:pPr>
            <w:r>
              <w:t xml:space="preserve">0.999688</w:t>
            </w:r>
          </w:p>
        </w:tc>
        <w:tc>
          <w:tcPr/>
          <w:p>
            <w:pPr>
              <w:pStyle w:val="Compact"/>
            </w:pPr>
            <w:r>
              <w:t xml:space="preserve">0.5150</w:t>
            </w:r>
          </w:p>
        </w:tc>
        <w:tc>
          <w:tcPr/>
          <w:p>
            <w:pPr>
              <w:pStyle w:val="Compact"/>
            </w:pPr>
            <w:r>
              <w:t xml:space="preserve">Best directional-information trade-off</w:t>
            </w:r>
          </w:p>
        </w:tc>
      </w:tr>
    </w:tbl>
    <w:bookmarkEnd w:id="23"/>
    <w:bookmarkStart w:id="30" w:name="Xd890959fa7277ad9074cd46d2c52d2fb894ed5c"/>
    <w:p>
      <w:pPr>
        <w:pStyle w:val="Heading3"/>
      </w:pPr>
      <w:r>
        <w:t xml:space="preserve">4.2 Backtesting Results and Risk-Adjusted Outcomes</w:t>
      </w:r>
    </w:p>
    <w:p>
      <w:pPr>
        <w:pStyle w:val="FirstParagraph"/>
      </w:pPr>
      <w:r>
        <w:t xml:space="preserve">Backtesting in the multi-horizon strategy layer highlights clear</w:t>
      </w:r>
      <w:r>
        <w:t xml:space="preserve"> </w:t>
      </w:r>
      <w:r>
        <w:t xml:space="preserve">improvements from learned meta-combination relative to single-horizon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How 02F works in practice: first, it combines short-horizon T+1 and</w:t>
      </w:r>
      <w:r>
        <w:t xml:space="preserve"> </w:t>
      </w:r>
      <w:r>
        <w:t xml:space="preserve">medium-horizon T+15 views through a regime-aware meta-score. The</w:t>
      </w:r>
      <w:r>
        <w:t xml:space="preserve"> </w:t>
      </w:r>
      <w:r>
        <w:t xml:space="preserve">VIX-conditioned weighting shifts trust from T+1 to T+15 as stress rises</w:t>
      </w:r>
      <w:r>
        <w:t xml:space="preserve"> </w:t>
      </w:r>
      <w:r>
        <w:t xml:space="preserve">(low VIX: 0.70/0.30, medium: 0.50/0.50, high: 0.30/0.70 for T+1/T+15). A</w:t>
      </w:r>
      <w:r>
        <w:t xml:space="preserve"> </w:t>
      </w:r>
      <w:r>
        <w:t xml:space="preserve">direction-agreement filter boosts confidence when horizons agree; under</w:t>
      </w:r>
      <w:r>
        <w:t xml:space="preserve"> </w:t>
      </w:r>
      <w:r>
        <w:t xml:space="preserve">disagreement and high VIX, the filter can become negative, which allows a</w:t>
      </w:r>
      <w:r>
        <w:t xml:space="preserve"> </w:t>
      </w:r>
      <w:r>
        <w:t xml:space="preserve">sign flip to suppress false breakouts. A sentiment-velocity alignment</w:t>
      </w:r>
      <w:r>
        <w:t xml:space="preserve"> </w:t>
      </w:r>
      <w:r>
        <w:t xml:space="preserve">multiplier then discounts signals when narrative momentum conflicts with</w:t>
      </w:r>
      <w:r>
        <w:t xml:space="preserve"> </w:t>
      </w:r>
      <w:r>
        <w:t xml:space="preserve">the short-horizon direction.</w:t>
      </w:r>
    </w:p>
    <w:p>
      <w:pPr>
        <w:pStyle w:val="BodyText"/>
      </w:pPr>
      <w:r>
        <w:t xml:space="preserve">The backtest engine is explicitly execution-realistic: positions are</w:t>
      </w:r>
      <w:r>
        <w:t xml:space="preserve"> </w:t>
      </w:r>
      <w:r>
        <w:t xml:space="preserve">executed with a one-day lag, turnover cost is charged at 5 bps one-way on</w:t>
      </w:r>
      <w:r>
        <w:t xml:space="preserve"> </w:t>
      </w:r>
      <w:r>
        <w:t xml:space="preserve">absolute position change, and portfolio returns are equal-weighted across</w:t>
      </w:r>
      <w:r>
        <w:t xml:space="preserve"> </w:t>
      </w:r>
      <w:r>
        <w:t xml:space="preserve">names each day. PnL is computed as</w:t>
      </w:r>
      <w:r>
        <w:t xml:space="preserve"> </w:t>
      </w:r>
      <w:r>
        <w:rPr>
          <w:i/>
          <w:iCs/>
        </w:rPr>
        <w:t xml:space="preserve">position × simple return − trading cost</w:t>
      </w:r>
      <w:r>
        <w:t xml:space="preserve">, with risk statistics</w:t>
      </w:r>
      <w:r>
        <w:t xml:space="preserve"> </w:t>
      </w:r>
      <w:r>
        <w:t xml:space="preserve">reported as annualized Sharpe, max drawdown, total return, and DHR. In</w:t>
      </w:r>
      <w:r>
        <w:t xml:space="preserve"> </w:t>
      </w:r>
      <w:r>
        <w:t xml:space="preserve">parallel to the rule-based meta signal, 02F also trains learned</w:t>
      </w:r>
      <w:r>
        <w:t xml:space="preserve"> </w:t>
      </w:r>
      <w:r>
        <w:t xml:space="preserve">meta-learners (Ridge and XGBoost) on temporal splits using stress and</w:t>
      </w:r>
      <w:r>
        <w:t xml:space="preserve"> </w:t>
      </w:r>
      <w:r>
        <w:t xml:space="preserve">disagreement features, which explains the stronger risk-adjusted outcomes</w:t>
      </w:r>
      <w:r>
        <w:t xml:space="preserve"> </w:t>
      </w:r>
      <w:r>
        <w:t xml:space="preserve">shown in Table 4.</w:t>
      </w:r>
    </w:p>
    <w:p>
      <w:pPr>
        <w:pStyle w:val="TableCaption"/>
      </w:pPr>
      <w:r>
        <w:t xml:space="preserve">Table 4. Strategy Backtest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Strategy Backtest Metr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</w:pPr>
            <w:r>
              <w:t xml:space="preserve">Total Return</w:t>
            </w:r>
          </w:p>
        </w:tc>
        <w:tc>
          <w:tcPr/>
          <w:p>
            <w:pPr>
              <w:pStyle w:val="Compact"/>
            </w:pPr>
            <w:r>
              <w:t xml:space="preserve">Information Ratio (proxy)</w:t>
            </w:r>
          </w:p>
        </w:tc>
        <w:tc>
          <w:tcPr/>
          <w:p>
            <w:pPr>
              <w:pStyle w:val="Compact"/>
            </w:pPr>
            <w:r>
              <w:t xml:space="preserve">DHR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Only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T+15 Only</w:t>
            </w:r>
          </w:p>
        </w:tc>
        <w:tc>
          <w:tcPr/>
          <w:p>
            <w:pPr>
              <w:pStyle w:val="Compact"/>
            </w:pPr>
            <w:r>
              <w:t xml:space="preserve">-5.85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  <w:tc>
          <w:tcPr/>
          <w:p>
            <w:pPr>
              <w:pStyle w:val="Compact"/>
            </w:pPr>
            <w:r>
              <w:t xml:space="preserve">-7.4%</w:t>
            </w:r>
          </w:p>
        </w:tc>
        <w:tc>
          <w:tcPr/>
          <w:p>
            <w:pPr>
              <w:pStyle w:val="Compact"/>
            </w:pPr>
            <w:r>
              <w:t xml:space="preserve">-0.98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Ridge</w:t>
            </w:r>
          </w:p>
        </w:tc>
        <w:tc>
          <w:tcPr/>
          <w:p>
            <w:pPr>
              <w:pStyle w:val="Compact"/>
            </w:pPr>
            <w:r>
              <w:t xml:space="preserve">3.91</w:t>
            </w:r>
          </w:p>
        </w:tc>
        <w:tc>
          <w:tcPr/>
          <w:p>
            <w:pPr>
              <w:pStyle w:val="Compact"/>
            </w:pPr>
            <w:r>
              <w:t xml:space="preserve">−1.6%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XGB (02F) ★</w:t>
            </w:r>
          </w:p>
        </w:tc>
        <w:tc>
          <w:tcPr/>
          <w:p>
            <w:pPr>
              <w:pStyle w:val="Compact"/>
            </w:pPr>
            <w:r>
              <w:t xml:space="preserve">+4.45</w:t>
            </w:r>
          </w:p>
        </w:tc>
        <w:tc>
          <w:tcPr/>
          <w:p>
            <w:pPr>
              <w:pStyle w:val="Compact"/>
            </w:pPr>
            <w:r>
              <w:t xml:space="preserve">−1.40%</w:t>
            </w:r>
          </w:p>
        </w:tc>
        <w:tc>
          <w:tcPr/>
          <w:p>
            <w:pPr>
              <w:pStyle w:val="Compact"/>
            </w:pPr>
            <w:r>
              <w:t xml:space="preserve">+6.13%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Buy-and-Hold Benchmark</w:t>
            </w:r>
          </w:p>
        </w:tc>
        <w:tc>
          <w:tcPr/>
          <w:p>
            <w:pPr>
              <w:pStyle w:val="Compact"/>
            </w:pPr>
            <w:r>
              <w:t xml:space="preserve">+6.12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+8.24%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</w:tr>
    </w:tbl>
    <w:p>
      <w:pPr>
        <w:pStyle w:val="BodyText"/>
      </w:pPr>
      <w:r>
        <w:t xml:space="preserve">Figure 4. Cumulative Return Comparison</w:t>
      </w:r>
    </w:p>
    <w:p>
      <w:pPr>
        <w:pStyle w:val="BodyText"/>
      </w:pPr>
      <w:r>
        <w:t xml:space="preserve">The learned meta-layer exhibits smoother compounding and superior</w:t>
      </w:r>
      <w:r>
        <w:t xml:space="preserve"> </w:t>
      </w:r>
      <w:r>
        <w:t xml:space="preserve">downside protection.</w:t>
      </w:r>
    </w:p>
    <w:p>
      <w:pPr>
        <w:pStyle w:val="BodyText"/>
      </w:pPr>
      <w:r>
        <w:drawing>
          <wp:inline>
            <wp:extent cx="5334000" cy="2102539"/>
            <wp:effectExtent b="0" l="0" r="0" t="0"/>
            <wp:docPr descr="Cumulative returns" title="" id="25" name="Picture"/>
            <a:graphic>
              <a:graphicData uri="http://schemas.openxmlformats.org/drawingml/2006/picture">
                <pic:pic>
                  <pic:nvPicPr>
                    <pic:cNvPr descr="02_stock_price_regression/graph/02F_01_cumulative_return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 5. Drawdown Dynamics</w:t>
      </w:r>
    </w:p>
    <w:p>
      <w:pPr>
        <w:pStyle w:val="BodyText"/>
      </w:pPr>
      <w:r>
        <w:t xml:space="preserve">The learned meta-layer remains more resilient than single-horizon</w:t>
      </w:r>
      <w:r>
        <w:t xml:space="preserve"> </w:t>
      </w:r>
      <w:r>
        <w:t xml:space="preserve">variants during local stress episodes.</w:t>
      </w:r>
    </w:p>
    <w:p>
      <w:pPr>
        <w:pStyle w:val="BodyText"/>
      </w:pPr>
      <w:r>
        <w:drawing>
          <wp:inline>
            <wp:extent cx="5334000" cy="1747138"/>
            <wp:effectExtent b="0" l="0" r="0" t="0"/>
            <wp:docPr descr="Drawdown chart" title="" id="28" name="Picture"/>
            <a:graphic>
              <a:graphicData uri="http://schemas.openxmlformats.org/drawingml/2006/picture">
                <pic:pic>
                  <pic:nvPicPr>
                    <pic:cNvPr descr="02_stock_price_regression/graph/02F_02_drawdow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quantitative-risk-appetite-under-stress"/>
    <w:p>
      <w:pPr>
        <w:pStyle w:val="Heading3"/>
      </w:pPr>
      <w:r>
        <w:t xml:space="preserve">4.3 Quantitative Risk Appetite Under Stress</w:t>
      </w:r>
    </w:p>
    <w:p>
      <w:pPr>
        <w:pStyle w:val="FirstParagraph"/>
      </w:pPr>
      <w:r>
        <w:t xml:space="preserve">Under stressed volatility regimes, the strategy uses explicit confidence</w:t>
      </w:r>
      <w:r>
        <w:t xml:space="preserve"> </w:t>
      </w:r>
      <w:r>
        <w:t xml:space="preserve">suppression. Position scaling is reduced when medium-horizon direction</w:t>
      </w:r>
      <w:r>
        <w:t xml:space="preserve"> </w:t>
      </w:r>
      <w:r>
        <w:t xml:space="preserve">disagrees with short-horizon conviction or when volatility state exceeds</w:t>
      </w:r>
      <w:r>
        <w:t xml:space="preserve"> </w:t>
      </w:r>
      <w:r>
        <w:t xml:space="preserve">predefined thresholds. This reduces false breakout participation and</w:t>
      </w:r>
      <w:r>
        <w:t xml:space="preserve"> </w:t>
      </w:r>
      <w:r>
        <w:t xml:space="preserve">supports drawdown discipline.</w:t>
      </w:r>
    </w:p>
    <w:bookmarkEnd w:id="31"/>
    <w:bookmarkStart w:id="35" w:name="Xa3cae995ba129bf110b1024740ea8e74c9a207a"/>
    <w:p>
      <w:pPr>
        <w:pStyle w:val="Heading3"/>
      </w:pPr>
      <w:r>
        <w:t xml:space="preserve">4.4 Walk-Forward OOS Validation (13 Expanding Windows)</w:t>
      </w:r>
    </w:p>
    <w:p>
      <w:pPr>
        <w:pStyle w:val="FirstParagraph"/>
      </w:pPr>
      <w:r>
        <w:t xml:space="preserve">To reduce single-split fragility, the evaluation was extended to an</w:t>
      </w:r>
      <w:r>
        <w:t xml:space="preserve"> </w:t>
      </w:r>
      <w:r>
        <w:t xml:space="preserve">expanding-window walk-forward protocol with 15-day OOS slices and a 15-day</w:t>
      </w:r>
      <w:r>
        <w:t xml:space="preserve"> </w:t>
      </w:r>
      <w:r>
        <w:t xml:space="preserve">step size. This produced</w:t>
      </w:r>
      <w:r>
        <w:t xml:space="preserve"> </w:t>
      </w:r>
      <w:r>
        <w:rPr>
          <w:b/>
          <w:bCs/>
        </w:rPr>
        <w:t xml:space="preserve">13 complete windows</w:t>
      </w:r>
      <w:r>
        <w:t xml:space="preserve"> </w:t>
      </w:r>
      <w:r>
        <w:t xml:space="preserve">(195 OOS trading days), materially improving robustness versus the</w:t>
      </w:r>
      <w:r>
        <w:t xml:space="preserve"> </w:t>
      </w:r>
      <w:r>
        <w:t xml:space="preserve">original 47-day holdout.</w:t>
      </w:r>
    </w:p>
    <w:p>
      <w:pPr>
        <w:pStyle w:val="BodyText"/>
      </w:pPr>
      <w:r>
        <w:t xml:space="preserve">The Buy &amp; Hold mean Sharpe across rolling windows was</w:t>
      </w:r>
      <w:r>
        <w:t xml:space="preserve"> </w:t>
      </w:r>
      <w:r>
        <w:rPr>
          <w:b/>
          <w:bCs/>
        </w:rPr>
        <w:t xml:space="preserve">+2.89</w:t>
      </w:r>
      <w:r>
        <w:t xml:space="preserve">. Learned Meta XGB recorded the highest WFO</w:t>
      </w:r>
      <w:r>
        <w:t xml:space="preserve"> </w:t>
      </w:r>
      <w:r>
        <w:t xml:space="preserve">consistency with</w:t>
      </w:r>
      <w:r>
        <w:t xml:space="preserve"> </w:t>
      </w:r>
      <w:r>
        <w:rPr>
          <w:b/>
          <w:bCs/>
        </w:rPr>
        <w:t xml:space="preserve">~69%</w:t>
      </w:r>
      <w:r>
        <w:t xml:space="preserve"> </w:t>
      </w:r>
      <w:r>
        <w:t xml:space="preserve">win-rate (fraction of windows with</w:t>
      </w:r>
      <w:r>
        <w:t xml:space="preserve"> </w:t>
      </w:r>
      <w:r>
        <w:t xml:space="preserve">Sharpe &gt; 0), and was the only strategy clearly above the 50% baseline.</w:t>
      </w:r>
    </w:p>
    <w:p>
      <w:pPr>
        <w:pStyle w:val="TableCaption"/>
      </w:pPr>
      <w:r>
        <w:t xml:space="preserve">Table 4A. Walk-Forward OOS Summary (13 Windows × 15-Day OOS)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A. Walk-Forward OOS Summary (13 Windows × 15-Day OO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Fixed Split Sharpe (47d)</w:t>
            </w:r>
          </w:p>
        </w:tc>
        <w:tc>
          <w:tcPr/>
          <w:p>
            <w:pPr>
              <w:pStyle w:val="Compact"/>
            </w:pPr>
            <w:r>
              <w:t xml:space="preserve">WFO Win-Rate (%)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Only (02D)</w:t>
            </w:r>
          </w:p>
        </w:tc>
        <w:tc>
          <w:tcPr/>
          <w:p>
            <w:pPr>
              <w:pStyle w:val="Compact"/>
            </w:pPr>
            <w:r>
              <w:t xml:space="preserve">+2.42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Inconsistent across rolling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T+15 Only (02E)</w:t>
            </w:r>
          </w:p>
        </w:tc>
        <w:tc>
          <w:tcPr/>
          <w:p>
            <w:pPr>
              <w:pStyle w:val="Compact"/>
            </w:pPr>
            <w:r>
              <w:t xml:space="preserve">−5.85</w:t>
            </w:r>
          </w:p>
        </w:tc>
        <w:tc>
          <w:tcPr/>
          <w:p>
            <w:pPr>
              <w:pStyle w:val="Compact"/>
            </w:pPr>
            <w:r>
              <w:t xml:space="preserve">~53%</w:t>
            </w:r>
          </w:p>
        </w:tc>
        <w:tc>
          <w:tcPr/>
          <w:p>
            <w:pPr>
              <w:pStyle w:val="Compact"/>
            </w:pPr>
            <w:r>
              <w:t xml:space="preserve">Marginal consistency; weak fixed-split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 Meta (02F)</w:t>
            </w:r>
          </w:p>
        </w:tc>
        <w:tc>
          <w:tcPr/>
          <w:p>
            <w:pPr>
              <w:pStyle w:val="Compact"/>
            </w:pPr>
            <w:r>
              <w:t xml:space="preserve">+2.42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No lift over T+1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Ridge (02F)</w:t>
            </w:r>
          </w:p>
        </w:tc>
        <w:tc>
          <w:tcPr/>
          <w:p>
            <w:pPr>
              <w:pStyle w:val="Compact"/>
            </w:pPr>
            <w:r>
              <w:t xml:space="preserve">+3.91</w:t>
            </w:r>
          </w:p>
        </w:tc>
        <w:tc>
          <w:tcPr/>
          <w:p>
            <w:pPr>
              <w:pStyle w:val="Compact"/>
            </w:pPr>
            <w:r>
              <w:t xml:space="preserve">~38%</w:t>
            </w:r>
          </w:p>
        </w:tc>
        <w:tc>
          <w:tcPr/>
          <w:p>
            <w:pPr>
              <w:pStyle w:val="Compact"/>
            </w:pPr>
            <w:r>
              <w:t xml:space="preserve">Moderate; fixed split appears optimistic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XGB (02F) ★</w:t>
            </w:r>
          </w:p>
        </w:tc>
        <w:tc>
          <w:tcPr/>
          <w:p>
            <w:pPr>
              <w:pStyle w:val="Compact"/>
            </w:pPr>
            <w:r>
              <w:t xml:space="preserve">+4.45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~69%</w:t>
            </w:r>
          </w:p>
        </w:tc>
        <w:tc>
          <w:tcPr/>
          <w:p>
            <w:pPr>
              <w:pStyle w:val="Compact"/>
            </w:pPr>
            <w:r>
              <w:t xml:space="preserve">Highest OOS consistency; only strategy &gt;50%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 &amp; Hold (reference)</w:t>
            </w:r>
          </w:p>
        </w:tc>
        <w:tc>
          <w:tcPr/>
          <w:p>
            <w:pPr>
              <w:pStyle w:val="Compact"/>
            </w:pPr>
            <w:r>
              <w:t xml:space="preserve">+6.12</w:t>
            </w:r>
          </w:p>
        </w:tc>
        <w:tc>
          <w:tcPr/>
          <w:p>
            <w:pPr>
              <w:pStyle w:val="Compact"/>
            </w:pPr>
            <w:r>
              <w:t xml:space="preserve">Mean Sharpe +2.89</w:t>
            </w:r>
          </w:p>
        </w:tc>
        <w:tc>
          <w:tcPr/>
          <w:p>
            <w:pPr>
              <w:pStyle w:val="Compact"/>
            </w:pPr>
            <w:r>
              <w:t xml:space="preserve">Rolling benchmark context</w:t>
            </w:r>
          </w:p>
        </w:tc>
      </w:tr>
    </w:tbl>
    <w:p>
      <w:pPr>
        <w:pStyle w:val="BodyText"/>
      </w:pPr>
      <w:r>
        <w:t xml:space="preserve">Figure 6A. Fixed Split vs Walk-Forward OOS (13 Windows)</w:t>
      </w:r>
    </w:p>
    <w:p>
      <w:pPr>
        <w:pStyle w:val="BodyText"/>
      </w:pPr>
      <w:r>
        <w:t xml:space="preserve">Three-panel comparison: fixed-split Sharpe vs WFO mean±std, WFO</w:t>
      </w:r>
      <w:r>
        <w:t xml:space="preserve"> </w:t>
      </w:r>
      <w:r>
        <w:t xml:space="preserve">Sharpe distributions, and WFO win-rate by strategy.</w:t>
      </w:r>
    </w:p>
    <w:p>
      <w:pPr>
        <w:pStyle w:val="BodyText"/>
      </w:pPr>
      <w:r>
        <w:drawing>
          <wp:inline>
            <wp:extent cx="5334000" cy="1841795"/>
            <wp:effectExtent b="0" l="0" r="0" t="0"/>
            <wp:docPr descr="Fixed split vs walk-forward OOS" title="" id="33" name="Picture"/>
            <a:graphic>
              <a:graphicData uri="http://schemas.openxmlformats.org/drawingml/2006/picture">
                <pic:pic>
                  <pic:nvPicPr>
                    <pic:cNvPr descr="02_stock_price_regression/graph/02F_12_final_comparison_fixed_vs_wfo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X0dc74e6b5ef2c4b8c055806f59b2f6d19e50328"/>
    <w:p>
      <w:pPr>
        <w:pStyle w:val="Heading3"/>
      </w:pPr>
      <w:r>
        <w:t xml:space="preserve">4.5 Cross-Sectional Stock Selection Alpha (IC / ICIR)</w:t>
      </w:r>
    </w:p>
    <w:p>
      <w:pPr>
        <w:pStyle w:val="FirstParagraph"/>
      </w:pPr>
      <w:r>
        <w:t xml:space="preserve">In addition to time-series PnL, stock-ranking quality was tested with</w:t>
      </w:r>
      <w:r>
        <w:t xml:space="preserve"> </w:t>
      </w:r>
      <w:r>
        <w:t xml:space="preserve">daily cross-sectional Spearman IC across active names. ICIR (IC mean / IC</w:t>
      </w:r>
      <w:r>
        <w:t xml:space="preserve"> </w:t>
      </w:r>
      <w:r>
        <w:t xml:space="preserve">std) was used as the primary stock-selection signal-quality measure.</w:t>
      </w:r>
    </w:p>
    <w:p>
      <w:pPr>
        <w:pStyle w:val="TableCaption"/>
      </w:pPr>
      <w:r>
        <w:t xml:space="preserve">Table 4B. IC / ICIR Summary (47 OOS Portfolio Days, Cross-Sectional)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B. IC / ICIR Summary (47 OOS Portfolio Days, Cross-Sectional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IC Mean</w:t>
            </w:r>
          </w:p>
        </w:tc>
        <w:tc>
          <w:tcPr/>
          <w:p>
            <w:pPr>
              <w:pStyle w:val="Compact"/>
            </w:pPr>
            <w:r>
              <w:t xml:space="preserve">IC Std</w:t>
            </w:r>
          </w:p>
        </w:tc>
        <w:tc>
          <w:tcPr/>
          <w:p>
            <w:pPr>
              <w:pStyle w:val="Compact"/>
            </w:pPr>
            <w:r>
              <w:t xml:space="preserve">ICIR</w:t>
            </w:r>
          </w:p>
        </w:tc>
        <w:tc>
          <w:tcPr/>
          <w:p>
            <w:pPr>
              <w:pStyle w:val="Compact"/>
            </w:pPr>
            <w:r>
              <w:t xml:space="preserve">IC &gt; 0 Rate</w:t>
            </w:r>
          </w:p>
        </w:tc>
        <w:tc>
          <w:tcPr/>
          <w:p>
            <w:pPr>
              <w:pStyle w:val="Compact"/>
            </w:pPr>
            <w:r>
              <w:t xml:space="preserve">|IC| &gt; 0.02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Only (02D)</w:t>
            </w:r>
          </w:p>
        </w:tc>
        <w:tc>
          <w:tcPr/>
          <w:p>
            <w:pPr>
              <w:pStyle w:val="Compact"/>
            </w:pPr>
            <w:r>
              <w:t xml:space="preserve">+0.0010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  <w:tc>
          <w:tcPr/>
          <w:p>
            <w:pPr>
              <w:pStyle w:val="Compact"/>
            </w:pPr>
            <w:r>
              <w:t xml:space="preserve">51.1%</w:t>
            </w:r>
          </w:p>
        </w:tc>
        <w:tc>
          <w:tcPr/>
          <w:p>
            <w:pPr>
              <w:pStyle w:val="Compact"/>
            </w:pPr>
            <w:r>
              <w:t xml:space="preserve">85.1%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T+15 Only (02E)</w:t>
            </w:r>
          </w:p>
        </w:tc>
        <w:tc>
          <w:tcPr/>
          <w:p>
            <w:pPr>
              <w:pStyle w:val="Compact"/>
            </w:pPr>
            <w:r>
              <w:t xml:space="preserve">−0.1067</w:t>
            </w:r>
          </w:p>
        </w:tc>
        <w:tc>
          <w:tcPr/>
          <w:p>
            <w:pPr>
              <w:pStyle w:val="Compact"/>
            </w:pPr>
            <w:r>
              <w:t xml:space="preserve">0.0774</w:t>
            </w:r>
          </w:p>
        </w:tc>
        <w:tc>
          <w:tcPr/>
          <w:p>
            <w:pPr>
              <w:pStyle w:val="Compact"/>
            </w:pPr>
            <w:r>
              <w:t xml:space="preserve">−1.378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 Meta (02F)</w:t>
            </w:r>
          </w:p>
        </w:tc>
        <w:tc>
          <w:tcPr/>
          <w:p>
            <w:pPr>
              <w:pStyle w:val="Compact"/>
            </w:pPr>
            <w:r>
              <w:t xml:space="preserve">+0.0010</w:t>
            </w:r>
          </w:p>
        </w:tc>
        <w:tc>
          <w:tcPr/>
          <w:p>
            <w:pPr>
              <w:pStyle w:val="Compact"/>
            </w:pPr>
            <w:r>
              <w:t xml:space="preserve">0.1497</w:t>
            </w:r>
          </w:p>
        </w:tc>
        <w:tc>
          <w:tcPr/>
          <w:p>
            <w:pPr>
              <w:pStyle w:val="Compact"/>
            </w:pPr>
            <w:r>
              <w:t xml:space="preserve">+0.007</w:t>
            </w:r>
          </w:p>
        </w:tc>
        <w:tc>
          <w:tcPr/>
          <w:p>
            <w:pPr>
              <w:pStyle w:val="Compact"/>
            </w:pPr>
            <w:r>
              <w:t xml:space="preserve">51.1%</w:t>
            </w:r>
          </w:p>
        </w:tc>
        <w:tc>
          <w:tcPr/>
          <w:p>
            <w:pPr>
              <w:pStyle w:val="Compact"/>
            </w:pPr>
            <w:r>
              <w:t xml:space="preserve">85.1%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Ridge (02F)</w:t>
            </w:r>
          </w:p>
        </w:tc>
        <w:tc>
          <w:tcPr/>
          <w:p>
            <w:pPr>
              <w:pStyle w:val="Compact"/>
            </w:pPr>
            <w:r>
              <w:t xml:space="preserve">+0.0902</w:t>
            </w:r>
          </w:p>
        </w:tc>
        <w:tc>
          <w:tcPr/>
          <w:p>
            <w:pPr>
              <w:pStyle w:val="Compact"/>
            </w:pPr>
            <w:r>
              <w:t xml:space="preserve">0.0879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+1.025</w:t>
            </w:r>
          </w:p>
        </w:tc>
        <w:tc>
          <w:tcPr/>
          <w:p>
            <w:pPr>
              <w:pStyle w:val="Compact"/>
            </w:pPr>
            <w:r>
              <w:t xml:space="preserve">83.0%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Meta XGB (02F)</w:t>
            </w:r>
          </w:p>
        </w:tc>
        <w:tc>
          <w:tcPr/>
          <w:p>
            <w:pPr>
              <w:pStyle w:val="Compact"/>
            </w:pPr>
            <w:r>
              <w:t xml:space="preserve">+0.1041</w:t>
            </w:r>
          </w:p>
        </w:tc>
        <w:tc>
          <w:tcPr/>
          <w:p>
            <w:pPr>
              <w:pStyle w:val="Compact"/>
            </w:pPr>
            <w:r>
              <w:t xml:space="preserve">0.0887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+1.174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91.5%</w:t>
            </w:r>
          </w:p>
        </w:tc>
      </w:tr>
    </w:tbl>
    <w:p>
      <w:pPr>
        <w:pStyle w:val="BodyText"/>
      </w:pPr>
      <w:r>
        <w:t xml:space="preserve">Figure 6B. Stock Selection Alpha: Rolling IC and ICIR by Strategy</w:t>
      </w:r>
    </w:p>
    <w:p>
      <w:pPr>
        <w:pStyle w:val="BodyText"/>
      </w:pPr>
      <w:r>
        <w:t xml:space="preserve">Learned Meta Ridge and XGB maintain positive rolling IC and clear ICIR</w:t>
      </w:r>
      <w:r>
        <w:t xml:space="preserve"> </w:t>
      </w:r>
      <w:r>
        <w:t xml:space="preserve">thresholds, while rule-based and T+1 remain near zero.</w:t>
      </w:r>
    </w:p>
    <w:p>
      <w:pPr>
        <w:pStyle w:val="BodyText"/>
      </w:pPr>
      <w:r>
        <w:drawing>
          <wp:inline>
            <wp:extent cx="5334000" cy="1651906"/>
            <wp:effectExtent b="0" l="0" r="0" t="0"/>
            <wp:docPr descr="Cross-sectional IC and ICIR" title="" id="37" name="Picture"/>
            <a:graphic>
              <a:graphicData uri="http://schemas.openxmlformats.org/drawingml/2006/picture">
                <pic:pic>
                  <pic:nvPicPr>
                    <pic:cNvPr descr="02_stock_price_regression/graph/02F_13_stock_selection_alpha_i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1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End w:id="40"/>
    <w:bookmarkStart w:id="44" w:name="sec5"/>
    <w:p>
      <w:pPr>
        <w:pStyle w:val="Heading2"/>
      </w:pPr>
      <w:r>
        <w:t xml:space="preserve">5. Execution, Liquidity &amp; Transaction Cost Analysis</w:t>
      </w:r>
    </w:p>
    <w:bookmarkStart w:id="41" w:name="execution-framework"/>
    <w:p>
      <w:pPr>
        <w:pStyle w:val="Heading3"/>
      </w:pPr>
      <w:r>
        <w:t xml:space="preserve">5.1 Execution Framework</w:t>
      </w:r>
    </w:p>
    <w:p>
      <w:pPr>
        <w:pStyle w:val="FirstParagraph"/>
      </w:pPr>
      <w:r>
        <w:t xml:space="preserve">The alpha score is intended for liquid large-cap US equities with daily</w:t>
      </w:r>
      <w:r>
        <w:t xml:space="preserve"> </w:t>
      </w:r>
      <w:r>
        <w:t xml:space="preserve">rebalance tolerance. Execution should be integrated with</w:t>
      </w:r>
      <w:r>
        <w:t xml:space="preserve"> </w:t>
      </w:r>
      <w:r>
        <w:t xml:space="preserve">participation-rate limits, opening-auction concentration caps, and</w:t>
      </w:r>
      <w:r>
        <w:t xml:space="preserve"> </w:t>
      </w:r>
      <w:r>
        <w:t xml:space="preserve">volatility-adjusted order slicing.</w:t>
      </w:r>
    </w:p>
    <w:bookmarkEnd w:id="41"/>
    <w:bookmarkStart w:id="42" w:name="liquidity-reallocation-logic"/>
    <w:p>
      <w:pPr>
        <w:pStyle w:val="Heading3"/>
      </w:pPr>
      <w:r>
        <w:t xml:space="preserve">5.2 Liquidity Reallocation Logic</w:t>
      </w:r>
    </w:p>
    <w:p>
      <w:pPr>
        <w:pStyle w:val="FirstParagraph"/>
      </w:pPr>
      <w:r>
        <w:t xml:space="preserve">Portfolio turnover and sizing should be concentrated in high-confidence,</w:t>
      </w:r>
      <w:r>
        <w:t xml:space="preserve"> </w:t>
      </w:r>
      <w:r>
        <w:t xml:space="preserve">liquid names, with reduced participation where expected impact dominates</w:t>
      </w:r>
      <w:r>
        <w:t xml:space="preserve"> </w:t>
      </w:r>
      <w:r>
        <w:t xml:space="preserve">expected alpha.</w:t>
      </w:r>
    </w:p>
    <w:bookmarkEnd w:id="42"/>
    <w:bookmarkStart w:id="43" w:name="tca-design-implementation-proposal"/>
    <w:p>
      <w:pPr>
        <w:pStyle w:val="Heading3"/>
      </w:pPr>
      <w:r>
        <w:t xml:space="preserve">5.3 TCA Design (Implementation Proposal)</w:t>
      </w:r>
    </w:p>
    <w:p>
      <w:pPr>
        <w:pStyle w:val="FirstParagraph"/>
      </w:pPr>
      <w:r>
        <w:t xml:space="preserve">Ex-post and simulated TCA should include: effective spread, temporary</w:t>
      </w:r>
      <w:r>
        <w:t xml:space="preserve"> </w:t>
      </w:r>
      <w:r>
        <w:t xml:space="preserve">impact, adverse selection, and slippage versus decision price. A practical</w:t>
      </w:r>
      <w:r>
        <w:t xml:space="preserve"> </w:t>
      </w:r>
      <w:r>
        <w:t xml:space="preserve">pre-trade approximation can be expressed as:</w:t>
      </w:r>
    </w:p>
    <w:p>
      <w:pPr>
        <w:pStyle w:val="BodyText"/>
      </w:pPr>
      <w:r>
        <w:t xml:space="preserve">Cost</w:t>
      </w:r>
      <w:r>
        <w:rPr>
          <w:vertAlign w:val="subscript"/>
        </w:rPr>
        <w:t xml:space="preserve">i,t</w:t>
      </w:r>
      <w:r>
        <w:t xml:space="preserve"> </w:t>
      </w:r>
      <w:r>
        <w:t xml:space="preserve">= a · Spread</w:t>
      </w:r>
      <w:r>
        <w:rPr>
          <w:vertAlign w:val="subscript"/>
        </w:rPr>
        <w:t xml:space="preserve">i,t</w:t>
      </w:r>
      <w:r>
        <w:t xml:space="preserve"> </w:t>
      </w:r>
      <w:r>
        <w:t xml:space="preserve">+ b · (Size</w:t>
      </w:r>
      <w:r>
        <w:rPr>
          <w:vertAlign w:val="subscript"/>
        </w:rPr>
        <w:t xml:space="preserve">i,t</w:t>
      </w:r>
      <w:r>
        <w:t xml:space="preserve"> </w:t>
      </w:r>
      <w:r>
        <w:t xml:space="preserve">/</w:t>
      </w:r>
      <w:r>
        <w:t xml:space="preserve"> </w:t>
      </w:r>
      <w:r>
        <w:t xml:space="preserve">ADV</w:t>
      </w:r>
      <w:r>
        <w:rPr>
          <w:vertAlign w:val="subscript"/>
        </w:rPr>
        <w:t xml:space="preserve">i,t</w:t>
      </w:r>
      <w:r>
        <w:t xml:space="preserve">)</w:t>
      </w:r>
      <w:r>
        <w:rPr>
          <w:vertAlign w:val="superscript"/>
        </w:rPr>
        <w:t xml:space="preserve">γ</w:t>
      </w:r>
      <w:r>
        <w:t xml:space="preserve"> </w:t>
      </w:r>
      <w:r>
        <w:t xml:space="preserve">+ c · σ</w:t>
      </w:r>
      <w:r>
        <w:rPr>
          <w:vertAlign w:val="subscript"/>
        </w:rPr>
        <w:t xml:space="preserve">i,t</w:t>
      </w:r>
    </w:p>
    <w:p>
      <w:pPr>
        <w:pStyle w:val="BodyText"/>
      </w:pPr>
      <w:r>
        <w:t xml:space="preserve">Orders are accepted only when expected alpha net of expected costs remains</w:t>
      </w:r>
      <w:r>
        <w:t xml:space="preserve"> </w:t>
      </w:r>
      <w:r>
        <w:t xml:space="preserve">positive and exceeds a minimum confidence threshold.</w:t>
      </w:r>
    </w:p>
    <w:p>
      <w:pPr>
        <w:pStyle w:val="TableCaption"/>
      </w:pPr>
      <w:r>
        <w:t xml:space="preserve">Table 5. Implementation Hurdles and Mitigation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 Implementation Hurdles and Mitig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Hurdle</w:t>
            </w:r>
          </w:p>
        </w:tc>
        <w:tc>
          <w:tcPr/>
          <w:p>
            <w:pPr>
              <w:pStyle w:val="Compact"/>
            </w:pPr>
            <w:r>
              <w:t xml:space="preserve">Observed 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Crowding</w:t>
            </w:r>
          </w:p>
        </w:tc>
        <w:tc>
          <w:tcPr/>
          <w:p>
            <w:pPr>
              <w:pStyle w:val="Compact"/>
            </w:pPr>
            <w:r>
              <w:t xml:space="preserve">Factor decay in consensus names</w:t>
            </w:r>
          </w:p>
        </w:tc>
        <w:tc>
          <w:tcPr/>
          <w:p>
            <w:pPr>
              <w:pStyle w:val="Compact"/>
            </w:pPr>
            <w:r>
              <w:t xml:space="preserve">Crowding penalty and turnover throttle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Shock</w:t>
            </w:r>
          </w:p>
        </w:tc>
        <w:tc>
          <w:tcPr/>
          <w:p>
            <w:pPr>
              <w:pStyle w:val="Compact"/>
            </w:pPr>
            <w:r>
              <w:t xml:space="preserve">Spread expansion and impact convexity</w:t>
            </w:r>
          </w:p>
        </w:tc>
        <w:tc>
          <w:tcPr/>
          <w:p>
            <w:pPr>
              <w:pStyle w:val="Compact"/>
            </w:pPr>
            <w:r>
              <w:t xml:space="preserve">Dynamic participation and no-trade bands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Latency</w:t>
            </w:r>
          </w:p>
        </w:tc>
        <w:tc>
          <w:tcPr/>
          <w:p>
            <w:pPr>
              <w:pStyle w:val="Compact"/>
            </w:pPr>
            <w:r>
              <w:t xml:space="preserve">Signal staleness in fast tape</w:t>
            </w:r>
          </w:p>
        </w:tc>
        <w:tc>
          <w:tcPr/>
          <w:p>
            <w:pPr>
              <w:pStyle w:val="Compact"/>
            </w:pPr>
            <w:r>
              <w:t xml:space="preserve">Timestamp gating and recency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Gap Risk</w:t>
            </w:r>
          </w:p>
        </w:tc>
        <w:tc>
          <w:tcPr/>
          <w:p>
            <w:pPr>
              <w:pStyle w:val="Compact"/>
            </w:pPr>
            <w:r>
              <w:t xml:space="preserve">Overnight jumps, policy repricing</w:t>
            </w:r>
          </w:p>
        </w:tc>
        <w:tc>
          <w:tcPr/>
          <w:p>
            <w:pPr>
              <w:pStyle w:val="Compact"/>
            </w:pPr>
            <w:r>
              <w:t xml:space="preserve">Gross reduction and index hedge overlay</w:t>
            </w:r>
          </w:p>
        </w:tc>
      </w:tr>
    </w:tbl>
    <w:bookmarkEnd w:id="43"/>
    <w:bookmarkEnd w:id="44"/>
    <w:bookmarkStart w:id="47" w:name="sec6"/>
    <w:p>
      <w:pPr>
        <w:pStyle w:val="Heading2"/>
      </w:pPr>
      <w:r>
        <w:t xml:space="preserve">6. Implementation Path &amp; Tooling Provenance</w:t>
      </w:r>
    </w:p>
    <w:bookmarkStart w:id="45" w:name="final-implementation-journey"/>
    <w:p>
      <w:pPr>
        <w:pStyle w:val="Heading3"/>
      </w:pPr>
      <w:r>
        <w:t xml:space="preserve">6.1 Final Implementation Journey</w:t>
      </w:r>
    </w:p>
    <w:p>
      <w:pPr>
        <w:pStyle w:val="FirstParagraph"/>
      </w:pPr>
      <w:r>
        <w:t xml:space="preserve">The final stack was reached through staged notebook development and</w:t>
      </w:r>
      <w:r>
        <w:t xml:space="preserve"> </w:t>
      </w:r>
      <w:r>
        <w:t xml:space="preserve">controlled ablation: baseline regression, cluster-aware extension,</w:t>
      </w:r>
      <w:r>
        <w:t xml:space="preserve"> </w:t>
      </w:r>
      <w:r>
        <w:t xml:space="preserve">sentiment fusion, dynamic cluster-news stacking, and multi-horizon</w:t>
      </w:r>
      <w:r>
        <w:t xml:space="preserve"> </w:t>
      </w:r>
      <w:r>
        <w:t xml:space="preserve">meta-layer integration.</w:t>
      </w:r>
    </w:p>
    <w:p>
      <w:pPr>
        <w:pStyle w:val="TableCaption"/>
      </w:pPr>
      <w:r>
        <w:t xml:space="preserve">Table 6. Build Path from Baseline to Final Alpha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 Build Path from Baseline to Final Alph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Notebook / Module</w:t>
            </w:r>
          </w:p>
        </w:tc>
        <w:tc>
          <w:tcPr/>
          <w:p>
            <w:pPr>
              <w:pStyle w:val="Compact"/>
            </w:pPr>
            <w:r>
              <w:t xml:space="preserve">What Was Added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02_Stock_Price_Regression</w:t>
            </w:r>
          </w:p>
        </w:tc>
        <w:tc>
          <w:tcPr/>
          <w:p>
            <w:pPr>
              <w:pStyle w:val="Compact"/>
            </w:pPr>
            <w:r>
              <w:t xml:space="preserve">Technical baseline XGBoost</w:t>
            </w:r>
          </w:p>
        </w:tc>
        <w:tc>
          <w:tcPr/>
          <w:p>
            <w:pPr>
              <w:pStyle w:val="Compact"/>
            </w:pPr>
            <w:r>
              <w:t xml:space="preserve">Reference fit and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02B_Cluster_Aware_Regression</w:t>
            </w:r>
          </w:p>
        </w:tc>
        <w:tc>
          <w:tcPr/>
          <w:p>
            <w:pPr>
              <w:pStyle w:val="Compact"/>
            </w:pPr>
            <w:r>
              <w:t xml:space="preserve">Cluster features and specialist experts</w:t>
            </w:r>
          </w:p>
        </w:tc>
        <w:tc>
          <w:tcPr/>
          <w:p>
            <w:pPr>
              <w:pStyle w:val="Compact"/>
            </w:pPr>
            <w:r>
              <w:t xml:space="preserve">Regime-specific error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02C_Sentiment_Enhanced_Cluster_Regression</w:t>
            </w:r>
          </w:p>
        </w:tc>
        <w:tc>
          <w:tcPr/>
          <w:p>
            <w:pPr>
              <w:pStyle w:val="Compact"/>
            </w:pPr>
            <w:r>
              <w:t xml:space="preserve">Lag-decay sentiment fusion, grid search</w:t>
            </w:r>
          </w:p>
        </w:tc>
        <w:tc>
          <w:tcPr/>
          <w:p>
            <w:pPr>
              <w:pStyle w:val="Compact"/>
            </w:pPr>
            <w:r>
              <w:t xml:space="preserve">Stability improvement in sparse-news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02D + 02E + 02F stack</w:t>
            </w:r>
          </w:p>
        </w:tc>
        <w:tc>
          <w:tcPr/>
          <w:p>
            <w:pPr>
              <w:pStyle w:val="Compact"/>
            </w:pPr>
            <w:r>
              <w:t xml:space="preserve">Dynamic cluster-news + multi-horizon meta-learning</w:t>
            </w:r>
          </w:p>
        </w:tc>
        <w:tc>
          <w:tcPr/>
          <w:p>
            <w:pPr>
              <w:pStyle w:val="Compact"/>
            </w:pPr>
            <w:r>
              <w:t xml:space="preserve">Highest risk-adjusted strategy quality</w:t>
            </w:r>
          </w:p>
        </w:tc>
      </w:tr>
    </w:tbl>
    <w:bookmarkEnd w:id="45"/>
    <w:bookmarkStart w:id="46" w:name="tooling-and-implementation-notes-concise"/>
    <w:p>
      <w:pPr>
        <w:pStyle w:val="Heading3"/>
      </w:pPr>
      <w:r>
        <w:t xml:space="preserve">6.2 Tooling and Implementation Notes (Concise)</w:t>
      </w:r>
    </w:p>
    <w:p>
      <w:pPr>
        <w:pStyle w:val="FirstParagraph"/>
      </w:pPr>
      <w:r>
        <w:t xml:space="preserve">Implementation used a Python 3.10 stack (pandas, numpy, scikit-learn,</w:t>
      </w:r>
      <w:r>
        <w:t xml:space="preserve"> </w:t>
      </w:r>
      <w:r>
        <w:t xml:space="preserve">xgboost, matplotlib) with Bayesian hyperparameter tuning and</w:t>
      </w:r>
      <w:r>
        <w:t xml:space="preserve"> </w:t>
      </w:r>
      <w:r>
        <w:t xml:space="preserve">notebook-based experiment tracking. Core code covered causal feature</w:t>
      </w:r>
      <w:r>
        <w:t xml:space="preserve"> </w:t>
      </w:r>
      <w:r>
        <w:t xml:space="preserve">lagging, cluster-news routing, residual stacking, regime controls, and</w:t>
      </w:r>
      <w:r>
        <w:t xml:space="preserve"> </w:t>
      </w:r>
      <w:r>
        <w:t xml:space="preserve">leakage-safe backtesting routines.</w:t>
      </w:r>
    </w:p>
    <w:bookmarkEnd w:id="46"/>
    <w:bookmarkEnd w:id="47"/>
    <w:bookmarkStart w:id="48" w:name="sec7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report presents a coherent ML-driven equity signal framework</w:t>
      </w:r>
      <w:r>
        <w:t xml:space="preserve"> </w:t>
      </w:r>
      <w:r>
        <w:t xml:space="preserve">combining technical, sentiment, and cluster-aware components. The learned</w:t>
      </w:r>
      <w:r>
        <w:t xml:space="preserve"> </w:t>
      </w:r>
      <w:r>
        <w:t xml:space="preserve">meta-layer remains the strongest contributor to incremental signal quality</w:t>
      </w:r>
      <w:r>
        <w:t xml:space="preserve"> </w:t>
      </w:r>
      <w:r>
        <w:t xml:space="preserve">versus single-horizon alternatives.</w:t>
      </w:r>
    </w:p>
    <w:p>
      <w:pPr>
        <w:pStyle w:val="BodyText"/>
      </w:pPr>
      <w:r>
        <w:t xml:space="preserve">Walk-forward and cross-sectional IC/ICIR diagnostics provide encouraging</w:t>
      </w:r>
      <w:r>
        <w:t xml:space="preserve"> </w:t>
      </w:r>
      <w:r>
        <w:t xml:space="preserve">evidence, but this should still be treated as research-stage output.</w:t>
      </w:r>
      <w:r>
        <w:t xml:space="preserve"> </w:t>
      </w:r>
      <w:r>
        <w:t xml:space="preserve">Remaining work before institutional deployment includes stronger</w:t>
      </w:r>
      <w:r>
        <w:t xml:space="preserve"> </w:t>
      </w:r>
      <w:r>
        <w:t xml:space="preserve">uncertainty reporting, explicit benchmark-active attribution, and fuller</w:t>
      </w:r>
      <w:r>
        <w:t xml:space="preserve"> </w:t>
      </w:r>
      <w:r>
        <w:t xml:space="preserve">execution feasibility validation.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QIS Alpha Report | ML-Driven Equity Signal Framework</dc:title>
  <dc:creator/>
  <dc:language>en</dc:language>
  <cp:keywords/>
  <dcterms:created xsi:type="dcterms:W3CDTF">2026-04-11T18:21:01Z</dcterms:created>
  <dcterms:modified xsi:type="dcterms:W3CDTF">2026-04-11T18:21:01Z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