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FIFA World Cup 2026</w:t>
      </w:r>
    </w:p>
    <w:p>
      <w:pPr>
        <w:spacing w:after="240"/>
        <w:jc w:val="center"/>
      </w:pPr>
      <w:r>
        <w:rPr>
          <w:rFonts w:ascii="Times New Roman" w:hAnsi="Times New Roman"/>
          <w:b/>
          <w:sz w:val="28"/>
        </w:rPr>
        <w:t>Analytic Task: Discipline of Advanced and Eliminated Teams</w:t>
      </w:r>
    </w:p>
    <w:p>
      <w:pPr>
        <w:spacing w:before="200" w:after="100"/>
      </w:pPr>
      <w:r>
        <w:rPr>
          <w:rFonts w:ascii="Times New Roman" w:hAnsi="Times New Roman"/>
          <w:b/>
          <w:sz w:val="28"/>
        </w:rPr>
        <w:t>1. Analytic Question</w:t>
      </w:r>
    </w:p>
    <w:p>
      <w:pPr>
        <w:spacing w:after="120" w:line="276" w:lineRule="auto"/>
        <w:ind w:firstLine="360"/>
      </w:pPr>
      <w:r>
        <w:rPr>
          <w:rFonts w:ascii="Times New Roman" w:hAnsi="Times New Roman"/>
          <w:sz w:val="24"/>
        </w:rPr>
        <w:t>This task investigates whether disciplinary behaviour differed between teams that progressed beyond the group stage and those that were eliminated.</w:t>
      </w:r>
    </w:p>
    <w:p>
      <w:pPr>
        <w:spacing w:after="120" w:line="276" w:lineRule="auto"/>
      </w:pPr>
      <w:r>
        <w:rPr>
          <w:rFonts w:ascii="Times New Roman" w:hAnsi="Times New Roman"/>
          <w:sz w:val="24"/>
        </w:rPr>
      </w:r>
      <w:r>
        <w:rPr>
          <w:rFonts w:ascii="Times New Roman" w:hAnsi="Times New Roman"/>
          <w:b/>
          <w:sz w:val="24"/>
        </w:rPr>
        <w:t xml:space="preserve">Analytic question: </w:t>
      </w:r>
      <w:r>
        <w:rPr>
          <w:rFonts w:ascii="Times New Roman" w:hAnsi="Times New Roman"/>
          <w:i/>
          <w:sz w:val="24"/>
        </w:rPr>
        <w:t>Is there a statistically significant difference in the mean number of fouls committed per match between teams that advanced to the Round of 32 and teams that were eliminated during the FIFA World Cup 2026 group stage?</w:t>
      </w:r>
    </w:p>
    <w:p>
      <w:pPr>
        <w:spacing w:after="120" w:line="276" w:lineRule="auto"/>
        <w:ind w:firstLine="360"/>
      </w:pPr>
      <w:r>
        <w:rPr>
          <w:rFonts w:ascii="Times New Roman" w:hAnsi="Times New Roman"/>
          <w:sz w:val="24"/>
        </w:rPr>
        <w:t>Discipline was operationalised using fouls committed, as this was the disciplinary variable available in the dataset. A higher number of fouls was interpreted as indicating less disciplined play. However, fouls do not capture all aspects of discipline, such as yellow and red cards, which is a limitation of this analysis.</w:t>
      </w:r>
    </w:p>
    <w:p>
      <w:pPr>
        <w:spacing w:before="200" w:after="100"/>
      </w:pPr>
      <w:r>
        <w:rPr>
          <w:rFonts w:ascii="Times New Roman" w:hAnsi="Times New Roman"/>
          <w:b/>
          <w:sz w:val="28"/>
        </w:rPr>
        <w:t>2. Data Wrangling</w:t>
      </w:r>
    </w:p>
    <w:p>
      <w:pPr>
        <w:spacing w:after="120" w:line="276" w:lineRule="auto"/>
        <w:ind w:firstLine="360"/>
      </w:pPr>
      <w:r>
        <w:rPr>
          <w:rFonts w:ascii="Times New Roman" w:hAnsi="Times New Roman"/>
          <w:sz w:val="24"/>
        </w:rPr>
        <w:t>Three datasets were used during data preparation: match-level information containing match identifiers and tournament stages; team-level metadata containing team_id, team name and group; and match-team statistics containing the number of fouls committed by each team in each match.</w:t>
      </w:r>
    </w:p>
    <w:p>
      <w:pPr>
        <w:spacing w:after="120" w:line="276" w:lineRule="auto"/>
        <w:ind w:firstLine="360"/>
      </w:pPr>
      <w:r>
        <w:rPr>
          <w:rFonts w:ascii="Times New Roman" w:hAnsi="Times New Roman"/>
          <w:sz w:val="24"/>
        </w:rPr>
        <w:t>Python and the pandas library were used to clean and organise the data. The match dataset was first filtered to retain only the 72 group-stage matches. The corresponding match identifiers were then used to filter the team-statistics dataset, resulting in 144 team-match observations.</w:t>
      </w:r>
    </w:p>
    <w:p>
      <w:pPr>
        <w:spacing w:before="60" w:after="120"/>
        <w:jc w:val="center"/>
      </w:pPr>
      <w:r>
        <w:rPr>
          <w:rFonts w:ascii="Times New Roman" w:hAnsi="Times New Roman"/>
          <w:i/>
          <w:sz w:val="24"/>
        </w:rPr>
        <w:t>72 matches x 2 teams = 144 team-match observations</w:t>
      </w:r>
    </w:p>
    <w:p>
      <w:pPr>
        <w:spacing w:after="120" w:line="276" w:lineRule="auto"/>
        <w:ind w:firstLine="360"/>
      </w:pPr>
      <w:r>
        <w:rPr>
          <w:rFonts w:ascii="Times New Roman" w:hAnsi="Times New Roman"/>
          <w:sz w:val="24"/>
        </w:rPr>
        <w:t>Team information was merged with the match statistics using team_id. Each team was also classified as either Advanced or Eliminated according to whether it qualified for the Round of 32.</w:t>
      </w:r>
    </w:p>
    <w:p>
      <w:pPr>
        <w:spacing w:after="120" w:line="276" w:lineRule="auto"/>
        <w:ind w:firstLine="360"/>
      </w:pPr>
      <w:r>
        <w:rPr>
          <w:rFonts w:ascii="Times New Roman" w:hAnsi="Times New Roman"/>
          <w:sz w:val="24"/>
        </w:rPr>
        <w:t>The 144 match-level observations were then aggregated so that each of the 48 teams represented one observation. For each team, total fouls across its three group-stage matches and mean fouls per match were calculated:</w:t>
      </w:r>
    </w:p>
    <w:p>
      <w:pPr>
        <w:spacing w:before="60" w:after="120"/>
        <w:jc w:val="center"/>
      </w:pPr>
      <w:r>
        <w:rPr>
          <w:rFonts w:ascii="Times New Roman" w:hAnsi="Times New Roman"/>
          <w:i/>
          <w:sz w:val="24"/>
        </w:rPr>
        <w:t>Mean Fouls per Match = Total Group-Stage Fouls / 3</w:t>
      </w:r>
    </w:p>
    <w:p>
      <w:pPr>
        <w:spacing w:after="120" w:line="276" w:lineRule="auto"/>
        <w:ind w:firstLine="360"/>
      </w:pPr>
      <w:r>
        <w:rPr>
          <w:rFonts w:ascii="Times New Roman" w:hAnsi="Times New Roman"/>
          <w:sz w:val="24"/>
        </w:rPr>
        <w:t>This produced an analysis-ready dataset containing 48 team-level observations.</w:t>
      </w:r>
    </w:p>
    <w:p>
      <w:pPr>
        <w:spacing w:before="200" w:after="100"/>
      </w:pPr>
      <w:r>
        <w:rPr>
          <w:rFonts w:ascii="Times New Roman" w:hAnsi="Times New Roman"/>
          <w:b/>
          <w:sz w:val="28"/>
        </w:rPr>
        <w:t>3. Data Preparation and Sampling</w:t>
      </w:r>
    </w:p>
    <w:p>
      <w:pPr>
        <w:spacing w:after="120" w:line="276" w:lineRule="auto"/>
        <w:ind w:firstLine="360"/>
      </w:pPr>
      <w:r>
        <w:rPr>
          <w:rFonts w:ascii="Times New Roman" w:hAnsi="Times New Roman"/>
          <w:sz w:val="24"/>
        </w:rPr>
        <w:t>The observational unit for this analysis was an individual FIFA World Cup team. All 48 teams that participated in the 2026 World Cup group stage were included. Therefore, no random subsampling of tournament teams was performed.</w:t>
      </w:r>
    </w:p>
    <w:p>
      <w:pPr>
        <w:spacing w:after="120" w:line="276" w:lineRule="auto"/>
        <w:ind w:firstLine="360"/>
      </w:pPr>
      <w:r>
        <w:rPr>
          <w:rFonts w:ascii="Times New Roman" w:hAnsi="Times New Roman"/>
          <w:sz w:val="24"/>
        </w:rPr>
        <w:t>The teams were divided into two independent comparison groups: Advanced teams (n = 32) and Eliminated teams (n = 16).</w:t>
      </w:r>
    </w:p>
    <w:p>
      <w:pPr>
        <w:spacing w:after="120" w:line="276" w:lineRule="auto"/>
        <w:ind w:firstLine="360"/>
      </w:pPr>
      <w:r>
        <w:rPr>
          <w:rFonts w:ascii="Times New Roman" w:hAnsi="Times New Roman"/>
          <w:sz w:val="24"/>
        </w:rPr>
        <w:t>Mean_Fouls_Per_Match was selected as the primary numerical variable because all teams played exactly three group-stage matches. Using a per-match measure also provides a straightforward interpretation of disciplinary behaviour.</w:t>
      </w:r>
    </w:p>
    <w:p>
      <w:pPr>
        <w:spacing w:after="120" w:line="276" w:lineRule="auto"/>
        <w:ind w:firstLine="360"/>
      </w:pPr>
      <w:r>
        <w:rPr>
          <w:rFonts w:ascii="Times New Roman" w:hAnsi="Times New Roman"/>
          <w:sz w:val="24"/>
        </w:rPr>
        <w:t>For the inferential procedures required by the task, these observed team performances were treated as two independent samples representing Advanced and Eliminated team performance.</w:t>
      </w:r>
    </w:p>
    <w:p>
      <w:pPr>
        <w:spacing w:before="200" w:after="100"/>
      </w:pPr>
      <w:r>
        <w:rPr>
          <w:rFonts w:ascii="Times New Roman" w:hAnsi="Times New Roman"/>
          <w:b/>
          <w:sz w:val="28"/>
        </w:rPr>
        <w:t>4. Descriptive Statistics</w:t>
      </w:r>
    </w:p>
    <w:p>
      <w:pPr>
        <w:spacing w:after="120" w:line="276" w:lineRule="auto"/>
        <w:ind w:firstLine="360"/>
      </w:pPr>
      <w:r>
        <w:rPr>
          <w:rFonts w:ascii="Times New Roman" w:hAnsi="Times New Roman"/>
          <w:sz w:val="24"/>
        </w:rPr>
        <w:t>Descriptive statistics for mean fouls per match are presented below.</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shd w:fill="D9E2F3"/>
            <w:vAlign w:val="center"/>
            <w:tcMar>
              <w:top w:w="80" w:type="dxa"/>
              <w:start w:w="90" w:type="dxa"/>
              <w:bottom w:w="80" w:type="dxa"/>
              <w:end w:w="90" w:type="dxa"/>
            </w:tcMar>
          </w:tcPr>
          <w:p>
            <w:pPr>
              <w:jc w:val="center"/>
            </w:pPr>
            <w:r>
              <w:rPr>
                <w:rFonts w:ascii="Times New Roman" w:hAnsi="Times New Roman"/>
                <w:b/>
                <w:sz w:val="20"/>
              </w:rPr>
              <w:t>Status</w:t>
            </w:r>
          </w:p>
        </w:tc>
        <w:tc>
          <w:tcPr>
            <w:tcW w:type="dxa" w:w="1399"/>
            <w:shd w:fill="D9E2F3"/>
            <w:vAlign w:val="center"/>
            <w:tcMar>
              <w:top w:w="80" w:type="dxa"/>
              <w:start w:w="90" w:type="dxa"/>
              <w:bottom w:w="80" w:type="dxa"/>
              <w:end w:w="90" w:type="dxa"/>
            </w:tcMar>
          </w:tcPr>
          <w:p>
            <w:pPr>
              <w:jc w:val="center"/>
            </w:pPr>
            <w:r>
              <w:rPr>
                <w:rFonts w:ascii="Times New Roman" w:hAnsi="Times New Roman"/>
                <w:b/>
                <w:sz w:val="20"/>
              </w:rPr>
              <w:t>n</w:t>
            </w:r>
          </w:p>
        </w:tc>
        <w:tc>
          <w:tcPr>
            <w:tcW w:type="dxa" w:w="1399"/>
            <w:shd w:fill="D9E2F3"/>
            <w:vAlign w:val="center"/>
            <w:tcMar>
              <w:top w:w="80" w:type="dxa"/>
              <w:start w:w="90" w:type="dxa"/>
              <w:bottom w:w="80" w:type="dxa"/>
              <w:end w:w="90" w:type="dxa"/>
            </w:tcMar>
          </w:tcPr>
          <w:p>
            <w:pPr>
              <w:jc w:val="center"/>
            </w:pPr>
            <w:r>
              <w:rPr>
                <w:rFonts w:ascii="Times New Roman" w:hAnsi="Times New Roman"/>
                <w:b/>
                <w:sz w:val="20"/>
              </w:rPr>
              <w:t>Mean</w:t>
            </w:r>
          </w:p>
        </w:tc>
        <w:tc>
          <w:tcPr>
            <w:tcW w:type="dxa" w:w="1399"/>
            <w:shd w:fill="D9E2F3"/>
            <w:vAlign w:val="center"/>
            <w:tcMar>
              <w:top w:w="80" w:type="dxa"/>
              <w:start w:w="90" w:type="dxa"/>
              <w:bottom w:w="80" w:type="dxa"/>
              <w:end w:w="90" w:type="dxa"/>
            </w:tcMar>
          </w:tcPr>
          <w:p>
            <w:pPr>
              <w:jc w:val="center"/>
            </w:pPr>
            <w:r>
              <w:rPr>
                <w:rFonts w:ascii="Times New Roman" w:hAnsi="Times New Roman"/>
                <w:b/>
                <w:sz w:val="20"/>
              </w:rPr>
              <w:t>Median</w:t>
            </w:r>
          </w:p>
        </w:tc>
        <w:tc>
          <w:tcPr>
            <w:tcW w:type="dxa" w:w="1399"/>
            <w:shd w:fill="D9E2F3"/>
            <w:vAlign w:val="center"/>
            <w:tcMar>
              <w:top w:w="80" w:type="dxa"/>
              <w:start w:w="90" w:type="dxa"/>
              <w:bottom w:w="80" w:type="dxa"/>
              <w:end w:w="90" w:type="dxa"/>
            </w:tcMar>
          </w:tcPr>
          <w:p>
            <w:pPr>
              <w:jc w:val="center"/>
            </w:pPr>
            <w:r>
              <w:rPr>
                <w:rFonts w:ascii="Times New Roman" w:hAnsi="Times New Roman"/>
                <w:b/>
                <w:sz w:val="20"/>
              </w:rPr>
              <w:t>Standard Deviation</w:t>
            </w:r>
          </w:p>
        </w:tc>
        <w:tc>
          <w:tcPr>
            <w:tcW w:type="dxa" w:w="1399"/>
            <w:shd w:fill="D9E2F3"/>
            <w:vAlign w:val="center"/>
            <w:tcMar>
              <w:top w:w="80" w:type="dxa"/>
              <w:start w:w="90" w:type="dxa"/>
              <w:bottom w:w="80" w:type="dxa"/>
              <w:end w:w="90" w:type="dxa"/>
            </w:tcMar>
          </w:tcPr>
          <w:p>
            <w:pPr>
              <w:jc w:val="center"/>
            </w:pPr>
            <w:r>
              <w:rPr>
                <w:rFonts w:ascii="Times New Roman" w:hAnsi="Times New Roman"/>
                <w:b/>
                <w:sz w:val="20"/>
              </w:rPr>
              <w:t>Minimum</w:t>
            </w:r>
          </w:p>
        </w:tc>
        <w:tc>
          <w:tcPr>
            <w:tcW w:type="dxa" w:w="1399"/>
            <w:shd w:fill="D9E2F3"/>
            <w:vAlign w:val="center"/>
            <w:tcMar>
              <w:top w:w="80" w:type="dxa"/>
              <w:start w:w="90" w:type="dxa"/>
              <w:bottom w:w="80" w:type="dxa"/>
              <w:end w:w="90" w:type="dxa"/>
            </w:tcMar>
          </w:tcPr>
          <w:p>
            <w:pPr>
              <w:jc w:val="center"/>
            </w:pPr>
            <w:r>
              <w:rPr>
                <w:rFonts w:ascii="Times New Roman" w:hAnsi="Times New Roman"/>
                <w:b/>
                <w:sz w:val="20"/>
              </w:rPr>
              <w:t>Maximum</w:t>
            </w:r>
          </w:p>
        </w:tc>
      </w:tr>
      <w:tr>
        <w:tc>
          <w:tcPr>
            <w:tcW w:type="dxa" w:w="1399"/>
            <w:vAlign w:val="center"/>
            <w:tcMar>
              <w:top w:w="80" w:type="dxa"/>
              <w:start w:w="90" w:type="dxa"/>
              <w:bottom w:w="80" w:type="dxa"/>
              <w:end w:w="90" w:type="dxa"/>
            </w:tcMar>
          </w:tcPr>
          <w:p>
            <w:pPr>
              <w:jc w:val="center"/>
            </w:pPr>
            <w:r>
              <w:rPr>
                <w:rFonts w:ascii="Times New Roman" w:hAnsi="Times New Roman"/>
                <w:sz w:val="20"/>
              </w:rPr>
              <w:t>Advanced</w:t>
            </w:r>
          </w:p>
        </w:tc>
        <w:tc>
          <w:tcPr>
            <w:tcW w:type="dxa" w:w="1399"/>
            <w:vAlign w:val="center"/>
            <w:tcMar>
              <w:top w:w="80" w:type="dxa"/>
              <w:start w:w="90" w:type="dxa"/>
              <w:bottom w:w="80" w:type="dxa"/>
              <w:end w:w="90" w:type="dxa"/>
            </w:tcMar>
          </w:tcPr>
          <w:p>
            <w:pPr>
              <w:jc w:val="center"/>
            </w:pPr>
            <w:r>
              <w:rPr>
                <w:rFonts w:ascii="Times New Roman" w:hAnsi="Times New Roman"/>
                <w:sz w:val="20"/>
              </w:rPr>
              <w:t>32</w:t>
            </w:r>
          </w:p>
        </w:tc>
        <w:tc>
          <w:tcPr>
            <w:tcW w:type="dxa" w:w="1399"/>
            <w:vAlign w:val="center"/>
            <w:tcMar>
              <w:top w:w="80" w:type="dxa"/>
              <w:start w:w="90" w:type="dxa"/>
              <w:bottom w:w="80" w:type="dxa"/>
              <w:end w:w="90" w:type="dxa"/>
            </w:tcMar>
          </w:tcPr>
          <w:p>
            <w:pPr>
              <w:jc w:val="center"/>
            </w:pPr>
            <w:r>
              <w:rPr>
                <w:rFonts w:ascii="Times New Roman" w:hAnsi="Times New Roman"/>
                <w:sz w:val="20"/>
              </w:rPr>
              <w:t>10.365</w:t>
            </w:r>
          </w:p>
        </w:tc>
        <w:tc>
          <w:tcPr>
            <w:tcW w:type="dxa" w:w="1399"/>
            <w:vAlign w:val="center"/>
            <w:tcMar>
              <w:top w:w="80" w:type="dxa"/>
              <w:start w:w="90" w:type="dxa"/>
              <w:bottom w:w="80" w:type="dxa"/>
              <w:end w:w="90" w:type="dxa"/>
            </w:tcMar>
          </w:tcPr>
          <w:p>
            <w:pPr>
              <w:jc w:val="center"/>
            </w:pPr>
            <w:r>
              <w:rPr>
                <w:rFonts w:ascii="Times New Roman" w:hAnsi="Times New Roman"/>
                <w:sz w:val="20"/>
              </w:rPr>
              <w:t>10.833</w:t>
            </w:r>
          </w:p>
        </w:tc>
        <w:tc>
          <w:tcPr>
            <w:tcW w:type="dxa" w:w="1399"/>
            <w:vAlign w:val="center"/>
            <w:tcMar>
              <w:top w:w="80" w:type="dxa"/>
              <w:start w:w="90" w:type="dxa"/>
              <w:bottom w:w="80" w:type="dxa"/>
              <w:end w:w="90" w:type="dxa"/>
            </w:tcMar>
          </w:tcPr>
          <w:p>
            <w:pPr>
              <w:jc w:val="center"/>
            </w:pPr>
            <w:r>
              <w:rPr>
                <w:rFonts w:ascii="Times New Roman" w:hAnsi="Times New Roman"/>
                <w:sz w:val="20"/>
              </w:rPr>
              <w:t>1.961</w:t>
            </w:r>
          </w:p>
        </w:tc>
        <w:tc>
          <w:tcPr>
            <w:tcW w:type="dxa" w:w="1399"/>
            <w:vAlign w:val="center"/>
            <w:tcMar>
              <w:top w:w="80" w:type="dxa"/>
              <w:start w:w="90" w:type="dxa"/>
              <w:bottom w:w="80" w:type="dxa"/>
              <w:end w:w="90" w:type="dxa"/>
            </w:tcMar>
          </w:tcPr>
          <w:p>
            <w:pPr>
              <w:jc w:val="center"/>
            </w:pPr>
            <w:r>
              <w:rPr>
                <w:rFonts w:ascii="Times New Roman" w:hAnsi="Times New Roman"/>
                <w:sz w:val="20"/>
              </w:rPr>
              <w:t>5.000</w:t>
            </w:r>
          </w:p>
        </w:tc>
        <w:tc>
          <w:tcPr>
            <w:tcW w:type="dxa" w:w="1399"/>
            <w:vAlign w:val="center"/>
            <w:tcMar>
              <w:top w:w="80" w:type="dxa"/>
              <w:start w:w="90" w:type="dxa"/>
              <w:bottom w:w="80" w:type="dxa"/>
              <w:end w:w="90" w:type="dxa"/>
            </w:tcMar>
          </w:tcPr>
          <w:p>
            <w:pPr>
              <w:jc w:val="center"/>
            </w:pPr>
            <w:r>
              <w:rPr>
                <w:rFonts w:ascii="Times New Roman" w:hAnsi="Times New Roman"/>
                <w:sz w:val="20"/>
              </w:rPr>
              <w:t>13.667</w:t>
            </w:r>
          </w:p>
        </w:tc>
      </w:tr>
      <w:tr>
        <w:tc>
          <w:tcPr>
            <w:tcW w:type="dxa" w:w="1399"/>
            <w:vAlign w:val="center"/>
            <w:tcMar>
              <w:top w:w="80" w:type="dxa"/>
              <w:start w:w="90" w:type="dxa"/>
              <w:bottom w:w="80" w:type="dxa"/>
              <w:end w:w="90" w:type="dxa"/>
            </w:tcMar>
          </w:tcPr>
          <w:p>
            <w:pPr>
              <w:jc w:val="center"/>
            </w:pPr>
            <w:r>
              <w:rPr>
                <w:rFonts w:ascii="Times New Roman" w:hAnsi="Times New Roman"/>
                <w:sz w:val="20"/>
              </w:rPr>
              <w:t>Eliminated</w:t>
            </w:r>
          </w:p>
        </w:tc>
        <w:tc>
          <w:tcPr>
            <w:tcW w:type="dxa" w:w="1399"/>
            <w:vAlign w:val="center"/>
            <w:tcMar>
              <w:top w:w="80" w:type="dxa"/>
              <w:start w:w="90" w:type="dxa"/>
              <w:bottom w:w="80" w:type="dxa"/>
              <w:end w:w="90" w:type="dxa"/>
            </w:tcMar>
          </w:tcPr>
          <w:p>
            <w:pPr>
              <w:jc w:val="center"/>
            </w:pPr>
            <w:r>
              <w:rPr>
                <w:rFonts w:ascii="Times New Roman" w:hAnsi="Times New Roman"/>
                <w:sz w:val="20"/>
              </w:rPr>
              <w:t>16</w:t>
            </w:r>
          </w:p>
        </w:tc>
        <w:tc>
          <w:tcPr>
            <w:tcW w:type="dxa" w:w="1399"/>
            <w:vAlign w:val="center"/>
            <w:tcMar>
              <w:top w:w="80" w:type="dxa"/>
              <w:start w:w="90" w:type="dxa"/>
              <w:bottom w:w="80" w:type="dxa"/>
              <w:end w:w="90" w:type="dxa"/>
            </w:tcMar>
          </w:tcPr>
          <w:p>
            <w:pPr>
              <w:jc w:val="center"/>
            </w:pPr>
            <w:r>
              <w:rPr>
                <w:rFonts w:ascii="Times New Roman" w:hAnsi="Times New Roman"/>
                <w:sz w:val="20"/>
              </w:rPr>
              <w:t>11.167</w:t>
            </w:r>
          </w:p>
        </w:tc>
        <w:tc>
          <w:tcPr>
            <w:tcW w:type="dxa" w:w="1399"/>
            <w:vAlign w:val="center"/>
            <w:tcMar>
              <w:top w:w="80" w:type="dxa"/>
              <w:start w:w="90" w:type="dxa"/>
              <w:bottom w:w="80" w:type="dxa"/>
              <w:end w:w="90" w:type="dxa"/>
            </w:tcMar>
          </w:tcPr>
          <w:p>
            <w:pPr>
              <w:jc w:val="center"/>
            </w:pPr>
            <w:r>
              <w:rPr>
                <w:rFonts w:ascii="Times New Roman" w:hAnsi="Times New Roman"/>
                <w:sz w:val="20"/>
              </w:rPr>
              <w:t>11.000</w:t>
            </w:r>
          </w:p>
        </w:tc>
        <w:tc>
          <w:tcPr>
            <w:tcW w:type="dxa" w:w="1399"/>
            <w:vAlign w:val="center"/>
            <w:tcMar>
              <w:top w:w="80" w:type="dxa"/>
              <w:start w:w="90" w:type="dxa"/>
              <w:bottom w:w="80" w:type="dxa"/>
              <w:end w:w="90" w:type="dxa"/>
            </w:tcMar>
          </w:tcPr>
          <w:p>
            <w:pPr>
              <w:jc w:val="center"/>
            </w:pPr>
            <w:r>
              <w:rPr>
                <w:rFonts w:ascii="Times New Roman" w:hAnsi="Times New Roman"/>
                <w:sz w:val="20"/>
              </w:rPr>
              <w:t>1.695</w:t>
            </w:r>
          </w:p>
        </w:tc>
        <w:tc>
          <w:tcPr>
            <w:tcW w:type="dxa" w:w="1399"/>
            <w:vAlign w:val="center"/>
            <w:tcMar>
              <w:top w:w="80" w:type="dxa"/>
              <w:start w:w="90" w:type="dxa"/>
              <w:bottom w:w="80" w:type="dxa"/>
              <w:end w:w="90" w:type="dxa"/>
            </w:tcMar>
          </w:tcPr>
          <w:p>
            <w:pPr>
              <w:jc w:val="center"/>
            </w:pPr>
            <w:r>
              <w:rPr>
                <w:rFonts w:ascii="Times New Roman" w:hAnsi="Times New Roman"/>
                <w:sz w:val="20"/>
              </w:rPr>
              <w:t>8.667</w:t>
            </w:r>
          </w:p>
        </w:tc>
        <w:tc>
          <w:tcPr>
            <w:tcW w:type="dxa" w:w="1399"/>
            <w:vAlign w:val="center"/>
            <w:tcMar>
              <w:top w:w="80" w:type="dxa"/>
              <w:start w:w="90" w:type="dxa"/>
              <w:bottom w:w="80" w:type="dxa"/>
              <w:end w:w="90" w:type="dxa"/>
            </w:tcMar>
          </w:tcPr>
          <w:p>
            <w:pPr>
              <w:jc w:val="center"/>
            </w:pPr>
            <w:r>
              <w:rPr>
                <w:rFonts w:ascii="Times New Roman" w:hAnsi="Times New Roman"/>
                <w:sz w:val="20"/>
              </w:rPr>
              <w:t>14.000</w:t>
            </w:r>
          </w:p>
        </w:tc>
      </w:tr>
    </w:tbl>
    <w:p>
      <w:pPr>
        <w:spacing w:before="120" w:after="120" w:line="276" w:lineRule="auto"/>
        <w:ind w:firstLine="360"/>
      </w:pPr>
      <w:r>
        <w:rPr>
          <w:rFonts w:ascii="Times New Roman" w:hAnsi="Times New Roman"/>
          <w:sz w:val="24"/>
        </w:rPr>
        <w:t>Advanced teams committed approximately 10.365 fouls per match, compared with 11.167 fouls per match for Eliminated teams.</w:t>
      </w:r>
    </w:p>
    <w:p>
      <w:pPr>
        <w:spacing w:after="120" w:line="276" w:lineRule="auto"/>
        <w:ind w:firstLine="360"/>
      </w:pPr>
      <w:r>
        <w:rPr>
          <w:rFonts w:ascii="Times New Roman" w:hAnsi="Times New Roman"/>
          <w:sz w:val="24"/>
        </w:rPr>
        <w:t>The observed difference in means was:</w:t>
      </w:r>
    </w:p>
    <w:p>
      <w:pPr>
        <w:spacing w:before="60" w:after="120"/>
        <w:jc w:val="center"/>
      </w:pPr>
      <w:r>
        <w:rPr>
          <w:rFonts w:ascii="Times New Roman" w:hAnsi="Times New Roman"/>
          <w:i/>
          <w:sz w:val="24"/>
        </w:rPr>
        <w:t>10.365 - 11.167 = -0.802</w:t>
      </w:r>
    </w:p>
    <w:p>
      <w:pPr>
        <w:spacing w:after="120" w:line="276" w:lineRule="auto"/>
        <w:ind w:firstLine="360"/>
      </w:pPr>
      <w:r>
        <w:rPr>
          <w:rFonts w:ascii="Times New Roman" w:hAnsi="Times New Roman"/>
          <w:sz w:val="24"/>
        </w:rPr>
        <w:t>Therefore, Advanced teams committed approximately 0.802 fewer fouls per match on average.</w:t>
      </w:r>
    </w:p>
    <w:p>
      <w:pPr>
        <w:spacing w:after="120" w:line="276" w:lineRule="auto"/>
        <w:ind w:firstLine="360"/>
      </w:pPr>
      <w:r>
        <w:rPr>
          <w:rFonts w:ascii="Times New Roman" w:hAnsi="Times New Roman"/>
          <w:sz w:val="24"/>
        </w:rPr>
        <w:t>The boxplot also showed considerable overlap between the two groups. Their medians were similar, although the Advanced group contained some teams with particularly low foul rates. Overall, the descriptive results suggested a modest difference rather than a substantial separation between the groups.</w:t>
      </w:r>
    </w:p>
    <w:p>
      <w:pPr>
        <w:spacing w:before="200" w:after="100"/>
      </w:pPr>
      <w:r>
        <w:rPr>
          <w:rFonts w:ascii="Times New Roman" w:hAnsi="Times New Roman"/>
          <w:b/>
          <w:sz w:val="28"/>
        </w:rPr>
        <w:t>5. 95% Confidence Interval</w:t>
      </w:r>
    </w:p>
    <w:p>
      <w:pPr>
        <w:spacing w:after="120" w:line="276" w:lineRule="auto"/>
        <w:ind w:firstLine="360"/>
      </w:pPr>
      <w:r>
        <w:rPr>
          <w:rFonts w:ascii="Times New Roman" w:hAnsi="Times New Roman"/>
          <w:sz w:val="24"/>
        </w:rPr>
        <w:t>A 95% confidence interval was calculated for the difference between the mean fouls per match of Advanced and Eliminated teams. The difference was defined as:</w:t>
      </w:r>
    </w:p>
    <w:p>
      <w:pPr>
        <w:spacing w:before="60" w:after="120"/>
        <w:jc w:val="center"/>
      </w:pPr>
      <w:r>
        <w:rPr>
          <w:rFonts w:ascii="Times New Roman" w:hAnsi="Times New Roman"/>
          <w:i/>
          <w:sz w:val="24"/>
        </w:rPr>
        <w:t>x̄Advanced - x̄Eliminated</w:t>
      </w:r>
    </w:p>
    <w:p>
      <w:pPr>
        <w:spacing w:after="120" w:line="276" w:lineRule="auto"/>
        <w:ind w:firstLine="360"/>
      </w:pPr>
      <w:r>
        <w:rPr>
          <w:rFonts w:ascii="Times New Roman" w:hAnsi="Times New Roman"/>
          <w:sz w:val="24"/>
        </w:rPr>
        <w:t>The estimated difference was -0.802, with a 95% confidence interval of:</w:t>
      </w:r>
    </w:p>
    <w:p>
      <w:pPr>
        <w:spacing w:before="60" w:after="120"/>
        <w:jc w:val="center"/>
      </w:pPr>
      <w:r>
        <w:rPr>
          <w:rFonts w:ascii="Times New Roman" w:hAnsi="Times New Roman"/>
          <w:i/>
          <w:sz w:val="24"/>
        </w:rPr>
        <w:t>95% CI = (-1.914, 0.310)</w:t>
      </w:r>
    </w:p>
    <w:p>
      <w:pPr>
        <w:spacing w:after="120" w:line="276" w:lineRule="auto"/>
        <w:ind w:firstLine="360"/>
      </w:pPr>
      <w:r>
        <w:rPr>
          <w:rFonts w:ascii="Times New Roman" w:hAnsi="Times New Roman"/>
          <w:sz w:val="24"/>
        </w:rPr>
        <w:t>This interval suggests that the true difference could range from Advanced teams committing approximately 1.914 fewer fouls per match to approximately 0.310 more fouls per match.</w:t>
      </w:r>
    </w:p>
    <w:p>
      <w:pPr>
        <w:spacing w:after="120" w:line="276" w:lineRule="auto"/>
        <w:ind w:firstLine="360"/>
      </w:pPr>
      <w:r>
        <w:rPr>
          <w:rFonts w:ascii="Times New Roman" w:hAnsi="Times New Roman"/>
          <w:sz w:val="24"/>
        </w:rPr>
        <w:t>Importantly, the confidence interval contains zero. Therefore, a true difference of zero between the two groups remains plausible based on the observed data.</w:t>
      </w:r>
    </w:p>
    <w:p>
      <w:pPr>
        <w:spacing w:before="200" w:after="100"/>
      </w:pPr>
      <w:r>
        <w:rPr>
          <w:rFonts w:ascii="Times New Roman" w:hAnsi="Times New Roman"/>
          <w:b/>
          <w:sz w:val="28"/>
        </w:rPr>
        <w:t>6. Two-Sample t-Test</w:t>
      </w:r>
    </w:p>
    <w:p>
      <w:pPr>
        <w:spacing w:after="120" w:line="276" w:lineRule="auto"/>
        <w:ind w:firstLine="360"/>
      </w:pPr>
      <w:r>
        <w:rPr>
          <w:rFonts w:ascii="Times New Roman" w:hAnsi="Times New Roman"/>
          <w:sz w:val="24"/>
        </w:rPr>
        <w:t>A Welch two-sample t-test was performed because the two groups had different sample sizes and equal population variances were not assumed.</w:t>
      </w:r>
    </w:p>
    <w:p>
      <w:pPr>
        <w:spacing w:after="120" w:line="276" w:lineRule="auto"/>
        <w:ind w:firstLine="360"/>
      </w:pPr>
      <w:r>
        <w:rPr>
          <w:rFonts w:ascii="Times New Roman" w:hAnsi="Times New Roman"/>
          <w:sz w:val="24"/>
        </w:rPr>
        <w:t>The hypotheses were:</w:t>
      </w:r>
    </w:p>
    <w:p>
      <w:pPr>
        <w:spacing w:before="60" w:after="120"/>
        <w:jc w:val="center"/>
      </w:pPr>
      <w:r>
        <w:rPr>
          <w:rFonts w:ascii="Times New Roman" w:hAnsi="Times New Roman"/>
          <w:i/>
          <w:sz w:val="24"/>
        </w:rPr>
        <w:t>H0: μAdvanced = μEliminated</w:t>
      </w:r>
    </w:p>
    <w:p>
      <w:pPr>
        <w:spacing w:after="120" w:line="276" w:lineRule="auto"/>
      </w:pPr>
      <w:r>
        <w:rPr>
          <w:rFonts w:ascii="Times New Roman" w:hAnsi="Times New Roman"/>
          <w:sz w:val="24"/>
        </w:rPr>
        <w:t>There is no difference in mean fouls per match between Advanced and Eliminated teams.</w:t>
      </w:r>
    </w:p>
    <w:p>
      <w:pPr>
        <w:spacing w:before="60" w:after="120"/>
        <w:jc w:val="center"/>
      </w:pPr>
      <w:r>
        <w:rPr>
          <w:rFonts w:ascii="Times New Roman" w:hAnsi="Times New Roman"/>
          <w:i/>
          <w:sz w:val="24"/>
        </w:rPr>
        <w:t>H1: μAdvanced ≠ μEliminated</w:t>
      </w:r>
    </w:p>
    <w:p>
      <w:pPr>
        <w:spacing w:after="120" w:line="276" w:lineRule="auto"/>
      </w:pPr>
      <w:r>
        <w:rPr>
          <w:rFonts w:ascii="Times New Roman" w:hAnsi="Times New Roman"/>
          <w:sz w:val="24"/>
        </w:rPr>
        <w:t>There is a difference in mean fouls per match between Advanced and Eliminated teams.</w:t>
      </w:r>
    </w:p>
    <w:p>
      <w:pPr>
        <w:spacing w:after="120" w:line="276" w:lineRule="auto"/>
        <w:ind w:firstLine="360"/>
      </w:pPr>
      <w:r>
        <w:rPr>
          <w:rFonts w:ascii="Times New Roman" w:hAnsi="Times New Roman"/>
          <w:sz w:val="24"/>
        </w:rPr>
        <w:t>A significance level of α = 0.05 was used. The test produced:</w:t>
      </w:r>
    </w:p>
    <w:p>
      <w:pPr>
        <w:spacing w:before="60" w:after="120"/>
        <w:jc w:val="center"/>
      </w:pPr>
      <w:r>
        <w:rPr>
          <w:rFonts w:ascii="Times New Roman" w:hAnsi="Times New Roman"/>
          <w:i/>
          <w:sz w:val="24"/>
        </w:rPr>
        <w:t>t = -1.465      p = 0.152</w:t>
      </w:r>
    </w:p>
    <w:p>
      <w:pPr>
        <w:spacing w:after="120" w:line="276" w:lineRule="auto"/>
        <w:ind w:firstLine="360"/>
      </w:pPr>
      <w:r>
        <w:rPr>
          <w:rFonts w:ascii="Times New Roman" w:hAnsi="Times New Roman"/>
          <w:sz w:val="24"/>
        </w:rPr>
        <w:t>Because p = 0.152 &gt; 0.05, the null hypothesis was not rejected. Therefore, the analysis did not find a statistically significant difference in mean fouls per match between Advanced and Eliminated teams.</w:t>
      </w:r>
    </w:p>
    <w:p>
      <w:pPr>
        <w:spacing w:before="200" w:after="100"/>
      </w:pPr>
      <w:r>
        <w:rPr>
          <w:rFonts w:ascii="Times New Roman" w:hAnsi="Times New Roman"/>
          <w:b/>
          <w:sz w:val="28"/>
        </w:rPr>
        <w:t>7. Conclusion</w:t>
      </w:r>
    </w:p>
    <w:p>
      <w:pPr>
        <w:spacing w:after="120" w:line="276" w:lineRule="auto"/>
        <w:ind w:firstLine="360"/>
      </w:pPr>
      <w:r>
        <w:rPr>
          <w:rFonts w:ascii="Times New Roman" w:hAnsi="Times New Roman"/>
          <w:sz w:val="24"/>
        </w:rPr>
        <w:t>Advanced teams committed fewer fouls during the group stage, averaging 10.365 fouls per match, compared with 11.167 fouls per match for Eliminated teams. This represented a mean difference of approximately -0.802 fouls per match.</w:t>
      </w:r>
    </w:p>
    <w:p>
      <w:pPr>
        <w:spacing w:after="120" w:line="276" w:lineRule="auto"/>
        <w:ind w:firstLine="360"/>
      </w:pPr>
      <w:r>
        <w:rPr>
          <w:rFonts w:ascii="Times New Roman" w:hAnsi="Times New Roman"/>
          <w:sz w:val="24"/>
        </w:rPr>
        <w:t>However, the 95% confidence interval for the difference, (-1.914, 0.310), included zero. Consistently, Welch's two-sample t-test produced t = -1.465 and p = 0.152, which was greater than the 0.05 significance level.</w:t>
      </w:r>
    </w:p>
    <w:p>
      <w:pPr>
        <w:spacing w:after="120" w:line="276" w:lineRule="auto"/>
        <w:ind w:firstLine="360"/>
      </w:pPr>
      <w:r>
        <w:rPr>
          <w:rFonts w:ascii="Times New Roman" w:hAnsi="Times New Roman"/>
          <w:sz w:val="24"/>
        </w:rPr>
        <w:t>Consequently, there was insufficient statistical evidence to conclude that Advanced and Eliminated teams differed in their mean number of fouls committed per match during the FIFA World Cup 2026 group stage.</w:t>
      </w:r>
    </w:p>
    <w:p>
      <w:pPr>
        <w:spacing w:after="120" w:line="276" w:lineRule="auto"/>
        <w:ind w:firstLine="360"/>
      </w:pPr>
      <w:r>
        <w:rPr>
          <w:rFonts w:ascii="Times New Roman" w:hAnsi="Times New Roman"/>
          <w:sz w:val="24"/>
        </w:rPr>
        <w:t>The results indicate that although Advanced teams displayed a slightly lower foul rate descriptively, advancement status was not associated with a statistically significant difference in foul-based discipline in this dataset.</w:t>
      </w:r>
    </w:p>
    <w:p>
      <w:pPr>
        <w:spacing w:after="120" w:line="276" w:lineRule="auto"/>
        <w:ind w:firstLine="360"/>
      </w:pPr>
      <w:r>
        <w:rPr>
          <w:rFonts w:ascii="Times New Roman" w:hAnsi="Times New Roman"/>
          <w:sz w:val="24"/>
        </w:rPr>
        <w:t>One limitation is that discipline was measured only through fouls committed. Other indicators such as yellow cards, red cards and disciplinary points were unavailable and therefore were not included.</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