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AI Meeting Memory Decision Reconstruction System</w:t>
      </w:r>
    </w:p>
    <w:p w:rsidR="00000000" w:rsidDel="00000000" w:rsidP="00000000" w:rsidRDefault="00000000" w:rsidRPr="00000000" w14:paraId="00000002">
      <w:pPr>
        <w:spacing w:after="160" w:lineRule="auto"/>
        <w:jc w:val="center"/>
        <w:rPr>
          <w:color w:val="000000"/>
        </w:rPr>
      </w:pPr>
      <w:r w:rsidDel="00000000" w:rsidR="00000000" w:rsidRPr="00000000">
        <w:rPr>
          <w:rFonts w:ascii="Arial" w:cs="Arial" w:eastAsia="Arial" w:hAnsi="Arial"/>
          <w:i w:val="1"/>
          <w:iCs w:val="1"/>
          <w:rtl w:val="0"/>
        </w:rPr>
        <w:t xml:space="preserve">AI-Powered Meeting Memory and Decision Reconstruction System · Project Abstract </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3">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Assignee </w:t>
            </w:r>
          </w:p>
          <w:p w:rsidR="00000000" w:rsidDel="00000000" w:rsidP="00000000" w:rsidRDefault="00000000" w:rsidRPr="00000000" w14:paraId="00000004">
            <w:pPr>
              <w:jc w:val="center"/>
              <w:rPr>
                <w:color w:val="000000"/>
              </w:rPr>
            </w:pPr>
            <w:r w:rsidDel="00000000" w:rsidR="00000000" w:rsidRPr="00000000">
              <w:rPr>
                <w:rFonts w:ascii="Arial" w:cs="Arial" w:eastAsia="Arial" w:hAnsi="Arial"/>
                <w:sz w:val="18"/>
                <w:szCs w:val="18"/>
                <w:rtl w:val="0"/>
              </w:rPr>
              <w:t xml:space="preserve">Enosh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5">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Assigned By </w:t>
            </w:r>
          </w:p>
          <w:p w:rsidR="00000000" w:rsidDel="00000000" w:rsidP="00000000" w:rsidRDefault="00000000" w:rsidRPr="00000000" w14:paraId="00000006">
            <w:pPr>
              <w:jc w:val="center"/>
              <w:rPr>
                <w:color w:val="000000"/>
              </w:rPr>
            </w:pPr>
            <w:r w:rsidDel="00000000" w:rsidR="00000000" w:rsidRPr="00000000">
              <w:rPr>
                <w:rFonts w:ascii="Arial" w:cs="Arial" w:eastAsia="Arial" w:hAnsi="Arial"/>
                <w:color w:val="000000"/>
                <w:sz w:val="18"/>
                <w:szCs w:val="18"/>
                <w:rtl w:val="0"/>
              </w:rPr>
              <w:t xml:space="preserve">Taruna Sree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Assigned On </w:t>
            </w:r>
          </w:p>
          <w:p w:rsidR="00000000" w:rsidDel="00000000" w:rsidP="00000000" w:rsidRDefault="00000000" w:rsidRPr="00000000" w14:paraId="00000008">
            <w:pPr>
              <w:jc w:val="center"/>
              <w:rPr>
                <w:color w:val="000000"/>
              </w:rPr>
            </w:pPr>
            <w:r w:rsidDel="00000000" w:rsidR="00000000" w:rsidRPr="00000000">
              <w:rPr>
                <w:rFonts w:ascii="Arial" w:cs="Arial" w:eastAsia="Arial" w:hAnsi="Arial"/>
                <w:sz w:val="18"/>
                <w:szCs w:val="18"/>
                <w:rtl w:val="0"/>
              </w:rPr>
              <w:t xml:space="preserve">25th August</w:t>
            </w:r>
            <w:r w:rsidDel="00000000" w:rsidR="00000000" w:rsidRPr="00000000">
              <w:rPr>
                <w:rtl w:val="0"/>
              </w:rPr>
            </w:r>
          </w:p>
        </w:tc>
      </w:tr>
    </w:tbl>
    <w:p w:rsidR="00000000" w:rsidDel="00000000" w:rsidP="00000000" w:rsidRDefault="00000000" w:rsidRPr="00000000" w14:paraId="00000009">
      <w:pPr>
        <w:spacing w:before="160" w:lineRule="auto"/>
        <w:rPr>
          <w:color w:val="000000"/>
        </w:rPr>
      </w:pPr>
      <w:r w:rsidDel="00000000" w:rsidR="00000000" w:rsidRPr="00000000">
        <w:rPr>
          <w:rtl w:val="0"/>
        </w:rPr>
      </w:r>
    </w:p>
    <w:p w:rsidR="00000000" w:rsidDel="00000000" w:rsidP="00000000" w:rsidRDefault="00000000" w:rsidRPr="00000000" w14:paraId="0000000A">
      <w:pPr>
        <w:pBdr>
          <w:bottom w:color="000000" w:space="1" w:sz="6" w:val="single"/>
        </w:pBdr>
        <w:spacing w:after="80" w:before="160" w:lineRule="auto"/>
        <w:rPr/>
      </w:pPr>
      <w:r w:rsidDel="00000000" w:rsidR="00000000" w:rsidRPr="00000000">
        <w:rPr>
          <w:b w:val="1"/>
          <w:bCs w:val="1"/>
          <w:color w:val="000000"/>
          <w:sz w:val="22"/>
          <w:szCs w:val="22"/>
          <w:rtl w:val="0"/>
        </w:rPr>
        <w:t xml:space="preserve">PROJECT DESCRIPTION</w:t>
      </w:r>
      <w:r w:rsidDel="00000000" w:rsidR="00000000" w:rsidRPr="00000000">
        <w:rPr>
          <w:rtl w:val="0"/>
        </w:rPr>
      </w:r>
    </w:p>
    <w:p w:rsidR="00000000" w:rsidDel="00000000" w:rsidP="00000000" w:rsidRDefault="00000000" w:rsidRPr="00000000" w14:paraId="0000000B">
      <w:pPr>
        <w:pBdr>
          <w:bottom w:color="000000" w:space="1" w:sz="6" w:val="single"/>
        </w:pBdr>
        <w:spacing w:after="240" w:before="240" w:lineRule="auto"/>
        <w:rPr/>
      </w:pPr>
      <w:r w:rsidDel="00000000" w:rsidR="00000000" w:rsidRPr="00000000">
        <w:rPr>
          <w:rtl w:val="0"/>
        </w:rPr>
        <w:t xml:space="preserve">The AI Meeting Memory &amp; Decision Reconstruction System is an enterprise-grade Generative AI platform designed to transform unstructured and ephemeral meeting discussions into persistent, structured organizational memory. Traditional meeting summarization systems primarily generate high-level summaries but often fail to preserve the reasoning behind important decisions, including technical rationale, evaluated alternatives, trade-offs, participant involvement, constraints, and follow-up actions. The proposed system addresses this limitation through an end-to-end pipeline consisting of Whisper-based Speech-to-Text, structured meeting understanding and entity extraction using Pydantic models, persistent storage using SQLite and ChromaDB, hybrid Retrieval-Augmented Generation (RAG), and a Decision Reconstruction Engine. Meeting audio or transcripts are processed to extract executive summaries, decisions, rationale, alternatives, participants, action items, risks, and discussion topics. Dense embeddings generated using Sentence-Transformers </w:t>
      </w:r>
      <w:r w:rsidDel="00000000" w:rsidR="00000000" w:rsidRPr="00000000">
        <w:rPr>
          <w:rFonts w:ascii="Roboto Mono" w:cs="Roboto Mono" w:eastAsia="Roboto Mono" w:hAnsi="Roboto Mono"/>
          <w:color w:val="188038"/>
          <w:rtl w:val="0"/>
        </w:rPr>
        <w:t xml:space="preserve">all-MiniLM-L6-v2</w:t>
      </w:r>
      <w:r w:rsidDel="00000000" w:rsidR="00000000" w:rsidRPr="00000000">
        <w:rPr>
          <w:rtl w:val="0"/>
        </w:rPr>
        <w:t xml:space="preserve"> are stored in ChromaDB, while structured organizational entities are maintained in SQLite. A hybrid retrieval mechanism combines dense semantic similarity with SQL keyword and entity matching, followed by document reranking to retrieve the most relevant historical evidence. The Decision Reconstruction Engine then uses Generative AI models such as Google Gemini 1.5 Flash or OpenAI GPT to answer historical questions with source attribution and timestamps. The system additionally provides chronological decision timelines, alternative and trade-off tracking, decision evolution and superseding detection, contradiction analysis, and evidence-based confidence scoring, with hallucination-prevention guardrails that require answers to be grounded in retrieved meeting evidence. The platform is implemented using a FastAPI backend and multi-page Streamlit interface, enabling users to upload meetings, explore persistent organizational memory, investigate decisions, query historical context, and visualize decision evolution. Evaluation of the implemented system achieved 94% precision, 91% recall, and 92.5% F1-score for decision extraction, 96% Precision@5 with an MRR of 0.94 for retrieval, and a hallucination rate below 2%. Overall, the AI Meeting Memory &amp; Decision Reconstruction System provides a practical foundation for converting organizational conversations into explainable, searchable, and persistent decision intelligence.</w:t>
      </w:r>
    </w:p>
    <w:p w:rsidR="00000000" w:rsidDel="00000000" w:rsidP="00000000" w:rsidRDefault="00000000" w:rsidRPr="00000000" w14:paraId="0000000C">
      <w:pPr>
        <w:pBdr>
          <w:bottom w:color="000000" w:space="1" w:sz="6" w:val="single"/>
        </w:pBdr>
        <w:spacing w:after="80" w:before="160" w:lineRule="auto"/>
        <w:rPr/>
      </w:pPr>
      <w:r w:rsidDel="00000000" w:rsidR="00000000" w:rsidRPr="00000000">
        <w:rPr>
          <w:rtl w:val="0"/>
        </w:rPr>
      </w:r>
    </w:p>
    <w:p w:rsidR="00000000" w:rsidDel="00000000" w:rsidP="00000000" w:rsidRDefault="00000000" w:rsidRPr="00000000" w14:paraId="0000000D">
      <w:pPr>
        <w:pBdr>
          <w:bottom w:color="000000" w:space="1" w:sz="6" w:val="single"/>
        </w:pBdr>
        <w:spacing w:after="80" w:before="160" w:lineRule="auto"/>
        <w:rPr/>
      </w:pPr>
      <w:r w:rsidDel="00000000" w:rsidR="00000000" w:rsidRPr="00000000">
        <w:rPr>
          <w:b w:val="1"/>
          <w:bCs w:val="1"/>
          <w:color w:val="000000"/>
          <w:sz w:val="22"/>
          <w:szCs w:val="22"/>
          <w:rtl w:val="0"/>
        </w:rPr>
        <w:t xml:space="preserve">PROJECT SCENARIO</w:t>
      </w:r>
      <w:r w:rsidDel="00000000" w:rsidR="00000000" w:rsidRPr="00000000">
        <w:rPr>
          <w:rtl w:val="0"/>
        </w:rPr>
      </w:r>
    </w:p>
    <w:p w:rsidR="00000000" w:rsidDel="00000000" w:rsidP="00000000" w:rsidRDefault="00000000" w:rsidRPr="00000000" w14:paraId="0000000E">
      <w:pPr>
        <w:pBdr>
          <w:bottom w:color="000000" w:space="1" w:sz="6" w:val="single"/>
        </w:pBdr>
        <w:spacing w:after="240" w:before="240" w:lineRule="auto"/>
        <w:rPr/>
      </w:pPr>
      <w:r w:rsidDel="00000000" w:rsidR="00000000" w:rsidRPr="00000000">
        <w:rPr>
          <w:rtl w:val="0"/>
        </w:rPr>
        <w:t xml:space="preserve">In modern organizations, important technical and business decisions are often made across multiple meetings, but the reasoning behind those decisions is difficult to preserve and retrieve later. Conventional meeting recording and summarization tools generally provide high-level summaries without retaining the complete decision context, such as why a decision was made, what alternatives were evaluated, which trade-offs were considered, who participated, and what actions were assigned. As time passes, this can make it difficult for new team members and existing stakeholders to understand the historical reasoning behind an architectural or business decision.</w:t>
      </w:r>
    </w:p>
    <w:p w:rsidR="00000000" w:rsidDel="00000000" w:rsidP="00000000" w:rsidRDefault="00000000" w:rsidRPr="00000000" w14:paraId="0000000F">
      <w:pPr>
        <w:pBdr>
          <w:bottom w:color="000000" w:space="1" w:sz="6" w:val="single"/>
        </w:pBdr>
        <w:spacing w:after="240" w:before="240" w:lineRule="auto"/>
        <w:rPr/>
      </w:pPr>
      <w:r w:rsidDel="00000000" w:rsidR="00000000" w:rsidRPr="00000000">
        <w:rPr>
          <w:rtl w:val="0"/>
        </w:rPr>
        <w:t xml:space="preserve">The AI Meeting Memory &amp; Decision Reconstruction System addresses this problem by transforming meeting recordings and transcripts into persistent organizational memory. A user can upload a meeting recording or transcript along with metadata such as the meeting title, date, project, and participants. The system uses Whisper to convert audio into timestamped transcript segments and applies Generative AI-based extraction to identify meeting summaries, key topics, decisions, rationale, alternatives, participants, action items, and risks. The extracted information is stored as structured organizational memory using SQLite, while transcript segments, summaries, and decision records are converted into dense embeddings using Sentence-Transformers and indexed in ChromaDB.</w:t>
      </w:r>
    </w:p>
    <w:p w:rsidR="00000000" w:rsidDel="00000000" w:rsidP="00000000" w:rsidRDefault="00000000" w:rsidRPr="00000000" w14:paraId="00000010">
      <w:pPr>
        <w:pBdr>
          <w:bottom w:color="000000" w:space="1" w:sz="6" w:val="single"/>
        </w:pBdr>
        <w:spacing w:after="240" w:before="240" w:lineRule="auto"/>
        <w:rPr/>
      </w:pPr>
      <w:r w:rsidDel="00000000" w:rsidR="00000000" w:rsidRPr="00000000">
        <w:rPr>
          <w:rtl w:val="0"/>
        </w:rPr>
        <w:t xml:space="preserve">When a user later asks a historical question such as “Why did we choose PostgreSQL instead of MongoDB three months ago?”, the system performs hybrid retrieval by combining semantic vector search with SQL-based keyword and entity matching. Retrieved evidence is reranked before being passed to the Decision Reconstruction Engine, which reconstructs the decision, its rationale, rejected alternatives, participants, follow-up actions, and supporting meeting sources with timestamps. The system can also trace decisions across multiple meetings, generate chronological decision timelines, identify when previous decisions have been superseded, detect contradictions between meetings, and calculate evidence-based confidence scores.</w:t>
      </w:r>
    </w:p>
    <w:p w:rsidR="00000000" w:rsidDel="00000000" w:rsidP="00000000" w:rsidRDefault="00000000" w:rsidRPr="00000000" w14:paraId="00000011">
      <w:pPr>
        <w:pBdr>
          <w:bottom w:color="000000" w:space="1" w:sz="6" w:val="single"/>
        </w:pBdr>
        <w:spacing w:after="240" w:before="240" w:lineRule="auto"/>
        <w:rPr/>
      </w:pPr>
      <w:r w:rsidDel="00000000" w:rsidR="00000000" w:rsidRPr="00000000">
        <w:rPr>
          <w:rtl w:val="0"/>
        </w:rPr>
        <w:t xml:space="preserve">The platform provides a multi-page Streamlit interface for uploading meetings, viewing persistent meeting memory, exploring decisions and trade-offs, asking questions through a source-grounded RAG interface, and examining historical decision timelines. A FastAPI backend manages the processing and retrieval pipeline, while hallucination-prevention guardrails ensure that generated responses remain grounded in available meeting evidence and source citations. This enables organizations to convert previously fragmented meeting discussions into a searchable, explainable, and persistent organizational decision memory.</w:t>
      </w:r>
      <w:r w:rsidDel="00000000" w:rsidR="00000000" w:rsidRPr="00000000">
        <w:rPr>
          <w:rtl w:val="0"/>
        </w:rPr>
      </w:r>
    </w:p>
    <w:p w:rsidR="00000000" w:rsidDel="00000000" w:rsidP="00000000" w:rsidRDefault="00000000" w:rsidRPr="00000000" w14:paraId="00000012">
      <w:pPr>
        <w:pBdr>
          <w:bottom w:color="000000" w:space="1" w:sz="6" w:val="single"/>
        </w:pBdr>
        <w:spacing w:after="80" w:before="160" w:lineRule="auto"/>
        <w:rPr/>
      </w:pPr>
      <w:r w:rsidDel="00000000" w:rsidR="00000000" w:rsidRPr="00000000">
        <w:rPr>
          <w:rFonts w:ascii="Arial" w:cs="Arial" w:eastAsia="Arial" w:hAnsi="Arial"/>
          <w:rtl w:val="0"/>
        </w:rPr>
        <w:t xml:space="preserve">.</w:t>
      </w:r>
      <w:r w:rsidDel="00000000" w:rsidR="00000000" w:rsidRPr="00000000">
        <w:rPr>
          <w:b w:val="1"/>
          <w:bCs w:val="1"/>
          <w:color w:val="000000"/>
          <w:sz w:val="22"/>
          <w:szCs w:val="22"/>
          <w:rtl w:val="0"/>
        </w:rPr>
        <w:t xml:space="preserve">KEY FUNCTIONS &amp; MODULAR COMPONENTS</w:t>
      </w:r>
      <w:r w:rsidDel="00000000" w:rsidR="00000000" w:rsidRPr="00000000">
        <w:rPr>
          <w:rtl w:val="0"/>
        </w:rPr>
      </w:r>
    </w:p>
    <w:p w:rsidR="00000000" w:rsidDel="00000000" w:rsidP="00000000" w:rsidRDefault="00000000" w:rsidRPr="00000000" w14:paraId="00000013">
      <w:pPr>
        <w:spacing w:before="100" w:lineRule="auto"/>
        <w:rPr>
          <w:color w:val="000000"/>
        </w:rPr>
      </w:pPr>
      <w:r w:rsidDel="00000000" w:rsidR="00000000" w:rsidRPr="00000000">
        <w:rPr>
          <w:rtl w:val="0"/>
        </w:rPr>
      </w:r>
    </w:p>
    <w:tbl>
      <w:tblPr>
        <w:tblStyle w:val="Table2"/>
        <w:tblW w:w="1020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98"/>
        <w:gridCol w:w="284"/>
        <w:gridCol w:w="4819"/>
        <w:tblGridChange w:id="0">
          <w:tblGrid>
            <w:gridCol w:w="5098"/>
            <w:gridCol w:w="284"/>
            <w:gridCol w:w="481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4">
            <w:pPr>
              <w:rPr>
                <w:b w:val="1"/>
                <w:bCs w:val="1"/>
              </w:rPr>
            </w:pPr>
            <w:r w:rsidDel="00000000" w:rsidR="00000000" w:rsidRPr="00000000">
              <w:rPr>
                <w:b w:val="1"/>
                <w:bCs w:val="1"/>
                <w:rtl w:val="0"/>
              </w:rPr>
              <w:t xml:space="preserve">Meeting Audio &amp; Transcript Upload</w:t>
            </w:r>
          </w:p>
          <w:p w:rsidR="00000000" w:rsidDel="00000000" w:rsidP="00000000" w:rsidRDefault="00000000" w:rsidRPr="00000000" w14:paraId="00000015">
            <w:pPr>
              <w:rPr>
                <w:b w:val="1"/>
                <w:bCs w:val="1"/>
              </w:rPr>
            </w:pPr>
            <w:r w:rsidDel="00000000" w:rsidR="00000000" w:rsidRPr="00000000">
              <w:rPr>
                <w:rtl w:val="0"/>
              </w:rPr>
              <w:t xml:space="preserve">Allows users to upload meeting recordings in formats such as MP3, WAV, M4A, MP4, and WEBM, or directly provide transcript text along with meeting metadata.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16">
            <w:pPr>
              <w:rPr>
                <w:color w:val="00000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7">
            <w:pPr>
              <w:rPr>
                <w:b w:val="1"/>
                <w:bCs w:val="1"/>
              </w:rPr>
            </w:pPr>
            <w:r w:rsidDel="00000000" w:rsidR="00000000" w:rsidRPr="00000000">
              <w:rPr>
                <w:b w:val="1"/>
                <w:bCs w:val="1"/>
                <w:rtl w:val="0"/>
              </w:rPr>
              <w:t xml:space="preserve">Speech-to-Text Transcription</w:t>
            </w:r>
          </w:p>
          <w:p w:rsidR="00000000" w:rsidDel="00000000" w:rsidP="00000000" w:rsidRDefault="00000000" w:rsidRPr="00000000" w14:paraId="00000018">
            <w:pPr>
              <w:rPr/>
            </w:pPr>
            <w:r w:rsidDel="00000000" w:rsidR="00000000" w:rsidRPr="00000000">
              <w:rPr>
                <w:rtl w:val="0"/>
              </w:rPr>
              <w:t xml:space="preserve">Uses </w:t>
            </w:r>
            <w:r w:rsidDel="00000000" w:rsidR="00000000" w:rsidRPr="00000000">
              <w:rPr>
                <w:b w:val="1"/>
                <w:bCs w:val="1"/>
                <w:rtl w:val="0"/>
              </w:rPr>
              <w:t xml:space="preserve">OpenAI Whisper</w:t>
            </w:r>
            <w:r w:rsidDel="00000000" w:rsidR="00000000" w:rsidRPr="00000000">
              <w:rPr>
                <w:rtl w:val="0"/>
              </w:rPr>
              <w:t xml:space="preserve"> to convert meeting audio into timestamped transcript segments while preserving start and end timestamps.</w:t>
            </w:r>
            <w:r w:rsidDel="00000000" w:rsidR="00000000" w:rsidRPr="00000000">
              <w:rPr>
                <w:rFonts w:ascii="Arial" w:cs="Arial" w:eastAsia="Arial" w:hAnsi="Arial"/>
                <w:sz w:val="19"/>
                <w:szCs w:val="19"/>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19">
            <w:pPr>
              <w:spacing w:after="60" w:lineRule="auto"/>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1A">
            <w:pP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1B">
            <w:pPr>
              <w:rPr>
                <w:color w:val="000000"/>
              </w:rPr>
            </w:pPr>
            <w:r w:rsidDel="00000000" w:rsidR="00000000" w:rsidRPr="00000000">
              <w:rPr>
                <w:rtl w:val="0"/>
              </w:rPr>
            </w:r>
          </w:p>
        </w:tc>
      </w:tr>
      <w:tr>
        <w:trPr>
          <w:cantSplit w:val="0"/>
          <w:trHeight w:val="888"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C">
            <w:pPr>
              <w:rPr>
                <w:b w:val="1"/>
                <w:bCs w:val="1"/>
              </w:rPr>
            </w:pPr>
            <w:r w:rsidDel="00000000" w:rsidR="00000000" w:rsidRPr="00000000">
              <w:rPr>
                <w:b w:val="1"/>
                <w:bCs w:val="1"/>
                <w:rtl w:val="0"/>
              </w:rPr>
              <w:t xml:space="preserve">Participant Identification &amp; Role Inference</w:t>
            </w:r>
          </w:p>
          <w:p w:rsidR="00000000" w:rsidDel="00000000" w:rsidP="00000000" w:rsidRDefault="00000000" w:rsidRPr="00000000" w14:paraId="0000001D">
            <w:pPr>
              <w:rPr>
                <w:b w:val="1"/>
                <w:bCs w:val="1"/>
              </w:rPr>
            </w:pPr>
            <w:r w:rsidDel="00000000" w:rsidR="00000000" w:rsidRPr="00000000">
              <w:rPr>
                <w:rtl w:val="0"/>
              </w:rPr>
              <w:t xml:space="preserve">Identifies participants using meeting metadata, speaker diarization, and contextual role inference to associate speakers with organizational roles</w:t>
            </w: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1E">
            <w:pPr>
              <w:rPr>
                <w:color w:val="00000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F">
            <w:pPr>
              <w:rPr>
                <w:b w:val="1"/>
                <w:bCs w:val="1"/>
                <w:sz w:val="19"/>
                <w:szCs w:val="19"/>
              </w:rPr>
            </w:pPr>
            <w:r w:rsidDel="00000000" w:rsidR="00000000" w:rsidRPr="00000000">
              <w:rPr>
                <w:b w:val="1"/>
                <w:bCs w:val="1"/>
                <w:sz w:val="19"/>
                <w:szCs w:val="19"/>
                <w:rtl w:val="0"/>
              </w:rPr>
              <w:t xml:space="preserve">Meeting Understanding &amp; Summarization</w:t>
            </w:r>
          </w:p>
          <w:p w:rsidR="00000000" w:rsidDel="00000000" w:rsidP="00000000" w:rsidRDefault="00000000" w:rsidRPr="00000000" w14:paraId="00000020">
            <w:pPr>
              <w:rPr>
                <w:b w:val="1"/>
                <w:bCs w:val="1"/>
                <w:sz w:val="19"/>
                <w:szCs w:val="19"/>
              </w:rPr>
            </w:pPr>
            <w:r w:rsidDel="00000000" w:rsidR="00000000" w:rsidRPr="00000000">
              <w:rPr>
                <w:sz w:val="19"/>
                <w:szCs w:val="19"/>
                <w:rtl w:val="0"/>
              </w:rPr>
              <w:t xml:space="preserve">Extracts executive summaries, key discussion topics, technical risks, and unresolved questions from meeting transcripts.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21">
            <w:pPr>
              <w:spacing w:after="60" w:lineRule="auto"/>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22">
            <w:pP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23">
            <w:pPr>
              <w:rPr>
                <w:color w:val="00000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4">
            <w:pPr>
              <w:rPr>
                <w:b w:val="1"/>
                <w:bCs w:val="1"/>
              </w:rPr>
            </w:pPr>
            <w:r w:rsidDel="00000000" w:rsidR="00000000" w:rsidRPr="00000000">
              <w:rPr>
                <w:b w:val="1"/>
                <w:bCs w:val="1"/>
                <w:rtl w:val="0"/>
              </w:rPr>
              <w:t xml:space="preserve">Decision Extraction</w:t>
            </w:r>
          </w:p>
          <w:p w:rsidR="00000000" w:rsidDel="00000000" w:rsidP="00000000" w:rsidRDefault="00000000" w:rsidRPr="00000000" w14:paraId="00000025">
            <w:pPr>
              <w:rPr/>
            </w:pPr>
            <w:r w:rsidDel="00000000" w:rsidR="00000000" w:rsidRPr="00000000">
              <w:rPr>
                <w:rtl w:val="0"/>
              </w:rPr>
              <w:t xml:space="preserve">Identifies explicit and implicit decisions and captures the decision statement, rationale, alternatives, participants, status, confidence, and source timestamp.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26">
            <w:pPr>
              <w:rPr>
                <w:color w:val="00000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7">
            <w:pPr>
              <w:rPr>
                <w:b w:val="1"/>
                <w:bCs w:val="1"/>
              </w:rPr>
            </w:pPr>
            <w:r w:rsidDel="00000000" w:rsidR="00000000" w:rsidRPr="00000000">
              <w:rPr>
                <w:b w:val="1"/>
                <w:bCs w:val="1"/>
                <w:rtl w:val="0"/>
              </w:rPr>
              <w:t xml:space="preserve">Action-Item Extraction</w:t>
            </w:r>
          </w:p>
          <w:p w:rsidR="00000000" w:rsidDel="00000000" w:rsidP="00000000" w:rsidRDefault="00000000" w:rsidRPr="00000000" w14:paraId="00000028">
            <w:pPr>
              <w:rPr/>
            </w:pPr>
            <w:r w:rsidDel="00000000" w:rsidR="00000000" w:rsidRPr="00000000">
              <w:rPr>
                <w:rtl w:val="0"/>
              </w:rPr>
              <w:t xml:space="preserve">Detects follow-up tasks and extracts their assignees, deadlines, priorities, and status to support accountability. </w:t>
            </w:r>
          </w:p>
        </w:tc>
      </w:tr>
    </w:tbl>
    <w:p w:rsidR="00000000" w:rsidDel="00000000" w:rsidP="00000000" w:rsidRDefault="00000000" w:rsidRPr="00000000" w14:paraId="00000029">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A">
      <w:pPr>
        <w:pBdr>
          <w:bottom w:color="000000" w:space="1" w:sz="6" w:val="single"/>
        </w:pBdr>
        <w:spacing w:after="80" w:before="160" w:lineRule="auto"/>
        <w:rPr/>
      </w:pPr>
      <w:r w:rsidDel="00000000" w:rsidR="00000000" w:rsidRPr="00000000">
        <w:rPr>
          <w:b w:val="1"/>
          <w:bCs w:val="1"/>
          <w:sz w:val="22"/>
          <w:szCs w:val="22"/>
          <w:rtl w:val="0"/>
        </w:rPr>
        <w:t xml:space="preserve">TOOLS &amp; TECHNOLOGIES</w:t>
      </w:r>
      <w:r w:rsidDel="00000000" w:rsidR="00000000" w:rsidRPr="00000000">
        <w:rPr>
          <w:rtl w:val="0"/>
        </w:rPr>
      </w:r>
    </w:p>
    <w:p w:rsidR="00000000" w:rsidDel="00000000" w:rsidP="00000000" w:rsidRDefault="00000000" w:rsidRPr="00000000" w14:paraId="0000002B">
      <w:pPr>
        <w:spacing w:before="100" w:lineRule="auto"/>
        <w:rPr/>
      </w:pPr>
      <w:r w:rsidDel="00000000" w:rsidR="00000000" w:rsidRPr="00000000">
        <w:rPr>
          <w:rtl w:val="0"/>
        </w:rPr>
      </w:r>
    </w:p>
    <w:sdt>
      <w:sdtPr>
        <w:lock w:val="contentLocked"/>
        <w:id w:val="131671227"/>
        <w:tag w:val="goog_rdk_0"/>
      </w:sdtPr>
      <w:sdtContent>
        <w:tbl>
          <w:tblPr>
            <w:tblStyle w:val="Table3"/>
            <w:tblW w:w="1020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6"/>
            <w:gridCol w:w="283"/>
            <w:gridCol w:w="3260"/>
            <w:gridCol w:w="284"/>
            <w:gridCol w:w="3118"/>
            <w:tblGridChange w:id="0">
              <w:tblGrid>
                <w:gridCol w:w="3256"/>
                <w:gridCol w:w="283"/>
                <w:gridCol w:w="3260"/>
                <w:gridCol w:w="284"/>
                <w:gridCol w:w="3118"/>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C">
                <w:pPr>
                  <w:jc w:val="center"/>
                  <w:rPr/>
                </w:pPr>
                <w:r w:rsidDel="00000000" w:rsidR="00000000" w:rsidRPr="00000000">
                  <w:rPr>
                    <w:b w:val="1"/>
                    <w:bCs w:val="1"/>
                    <w:rtl w:val="0"/>
                  </w:rPr>
                  <w:t xml:space="preserve">GenAI /Framework:</w:t>
                </w:r>
                <w:r w:rsidDel="00000000" w:rsidR="00000000" w:rsidRPr="00000000">
                  <w:rPr>
                    <w:rtl w:val="0"/>
                  </w:rPr>
                  <w:t xml:space="preserve"> Gemini / OpenAI API/Python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E">
                <w:pPr>
                  <w:jc w:val="center"/>
                  <w:rPr/>
                </w:pPr>
                <w:r w:rsidDel="00000000" w:rsidR="00000000" w:rsidRPr="00000000">
                  <w:rPr>
                    <w:b w:val="1"/>
                    <w:bCs w:val="1"/>
                    <w:rtl w:val="0"/>
                  </w:rPr>
                  <w:t xml:space="preserve">Database:</w:t>
                </w:r>
                <w:r w:rsidDel="00000000" w:rsidR="00000000" w:rsidRPr="00000000">
                  <w:rPr>
                    <w:rtl w:val="0"/>
                  </w:rPr>
                  <w:t xml:space="preserve"> SQLite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b w:val="1"/>
                    <w:bCs w:val="1"/>
                    <w:rtl w:val="0"/>
                  </w:rPr>
                  <w:t xml:space="preserve">Output:</w:t>
                </w:r>
                <w:r w:rsidDel="00000000" w:rsidR="00000000" w:rsidRPr="00000000">
                  <w:rPr>
                    <w:rtl w:val="0"/>
                  </w:rPr>
                  <w:t xml:space="preserve"> Persistent meeting memory, reconstructed decisions, rationale, alternatives, action items.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1">
                <w:pPr>
                  <w:jc w:val="center"/>
                  <w:rPr>
                    <w:sz w:val="18"/>
                    <w:szCs w:val="18"/>
                  </w:rPr>
                </w:pPr>
                <w:r w:rsidDel="00000000" w:rsidR="00000000" w:rsidRPr="00000000">
                  <w:rPr>
                    <w:b w:val="1"/>
                    <w:bCs w:val="1"/>
                    <w:sz w:val="18"/>
                    <w:szCs w:val="18"/>
                    <w:rtl w:val="0"/>
                  </w:rPr>
                  <w:t xml:space="preserve">Backend &amp; Data Processing:</w:t>
                </w:r>
                <w:r w:rsidDel="00000000" w:rsidR="00000000" w:rsidRPr="00000000">
                  <w:rPr>
                    <w:sz w:val="18"/>
                    <w:szCs w:val="18"/>
                    <w:rtl w:val="0"/>
                  </w:rPr>
                  <w:t xml:space="preserve"> Python, FastAPI, Univcorn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3">
                <w:pPr>
                  <w:jc w:val="center"/>
                  <w:rPr/>
                </w:pPr>
                <w:r w:rsidDel="00000000" w:rsidR="00000000" w:rsidRPr="00000000">
                  <w:rPr>
                    <w:b w:val="1"/>
                    <w:bCs w:val="1"/>
                    <w:rtl w:val="0"/>
                  </w:rPr>
                  <w:t xml:space="preserve">Frontend:</w:t>
                </w:r>
                <w:r w:rsidDel="00000000" w:rsidR="00000000" w:rsidRPr="00000000">
                  <w:rPr>
                    <w:rtl w:val="0"/>
                  </w:rPr>
                  <w:t xml:space="preserve"> HTML / CSS / JavaScript/Streamlit)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5">
                <w:pPr>
                  <w:jc w:val="center"/>
                  <w:rPr>
                    <w:b w:val="1"/>
                    <w:bCs w:val="1"/>
                    <w:sz w:val="18"/>
                    <w:szCs w:val="18"/>
                  </w:rPr>
                </w:pPr>
                <w:r w:rsidDel="00000000" w:rsidR="00000000" w:rsidRPr="00000000">
                  <w:rPr>
                    <w:b w:val="1"/>
                    <w:bCs w:val="1"/>
                    <w:sz w:val="18"/>
                    <w:szCs w:val="18"/>
                    <w:rtl w:val="0"/>
                  </w:rPr>
                  <w:t xml:space="preserve">Deployment </w:t>
                </w:r>
              </w:p>
              <w:p w:rsidR="00000000" w:rsidDel="00000000" w:rsidP="00000000" w:rsidRDefault="00000000" w:rsidRPr="00000000" w14:paraId="00000036">
                <w:pPr>
                  <w:jc w:val="center"/>
                  <w:rPr/>
                </w:pPr>
                <w:r w:rsidDel="00000000" w:rsidR="00000000" w:rsidRPr="00000000">
                  <w:rPr>
                    <w:sz w:val="18"/>
                    <w:szCs w:val="18"/>
                    <w:rtl w:val="0"/>
                  </w:rPr>
                  <w:t xml:space="preserve">Docker/Web App / Local Server</w:t>
                </w:r>
                <w:r w:rsidDel="00000000" w:rsidR="00000000" w:rsidRPr="00000000">
                  <w:rPr>
                    <w:rtl w:val="0"/>
                  </w:rPr>
                </w:r>
              </w:p>
            </w:tc>
          </w:tr>
        </w:tbl>
      </w:sdtContent>
    </w:sdt>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rFonts w:ascii="Arial" w:cs="Arial" w:eastAsia="Arial" w:hAnsi="Arial"/>
          <w:b w:val="1"/>
          <w:bCs w:val="1"/>
          <w:sz w:val="22"/>
          <w:szCs w:val="22"/>
        </w:rPr>
      </w:pPr>
      <w:r w:rsidDel="00000000" w:rsidR="00000000" w:rsidRPr="00000000">
        <w:rPr>
          <w:rtl w:val="0"/>
        </w:rPr>
      </w:r>
    </w:p>
    <w:sectPr>
      <w:headerReference r:id="rId7" w:type="default"/>
      <w:pgSz w:h="15840" w:w="12240" w:orient="portrait"/>
      <w:pgMar w:bottom="900" w:top="9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spacing w:line="276" w:lineRule="auto"/>
      <w:ind w:left="-900" w:right="-810" w:firstLine="0"/>
      <w:rPr/>
    </w:pPr>
    <w:r w:rsidDel="00000000" w:rsidR="00000000" w:rsidRPr="00000000">
      <w:rPr>
        <w:sz w:val="22"/>
        <w:szCs w:val="22"/>
        <w:rtl w:val="0"/>
      </w:rPr>
      <w:t xml:space="preserve">         </w:t>
    </w:r>
    <w:r w:rsidDel="00000000" w:rsidR="00000000" w:rsidRPr="00000000">
      <w:rPr>
        <w:sz w:val="22"/>
        <w:szCs w:val="22"/>
      </w:rPr>
      <w:drawing>
        <wp:inline distB="114300" distT="114300" distL="114300" distR="114300">
          <wp:extent cx="1376363" cy="58987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6363" cy="589870"/>
                  </a:xfrm>
                  <a:prstGeom prst="rect"/>
                  <a:ln/>
                </pic:spPr>
              </pic:pic>
            </a:graphicData>
          </a:graphic>
        </wp:inline>
      </w:drawing>
    </w:r>
    <w:r w:rsidDel="00000000" w:rsidR="00000000" w:rsidRPr="00000000">
      <w:rPr>
        <w:sz w:val="22"/>
        <w:szCs w:val="22"/>
        <w:rtl w:val="0"/>
      </w:rPr>
      <w:t xml:space="preserve">                                                                                                                  </w:t>
    </w:r>
    <w:r w:rsidDel="00000000" w:rsidR="00000000" w:rsidRPr="00000000">
      <w:rPr>
        <w:sz w:val="22"/>
        <w:szCs w:val="22"/>
      </w:rPr>
      <w:drawing>
        <wp:inline distB="114300" distT="114300" distL="114300" distR="114300">
          <wp:extent cx="864691" cy="395288"/>
          <wp:effectExtent b="0" l="0" r="0" t="0"/>
          <wp:docPr id="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864691" cy="3952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0.0" w:type="dxa"/>
        <w:bottom w:w="0.0" w:type="dxa"/>
        <w:right w:w="10.0" w:type="dxa"/>
      </w:tblCellMar>
    </w:tblPr>
  </w:style>
  <w:style w:type="table" w:styleId="a0" w:customStyle="1">
    <w:basedOn w:val="TableNormal0"/>
    <w:tblPr>
      <w:tblStyleRowBandSize w:val="1"/>
      <w:tblStyleColBandSize w:val="1"/>
      <w:tblCellMar>
        <w:top w:w="0.0" w:type="dxa"/>
        <w:left w:w="10.0" w:type="dxa"/>
        <w:bottom w:w="0.0" w:type="dxa"/>
        <w:right w:w="10.0" w:type="dxa"/>
      </w:tblCellMar>
    </w:tblPr>
  </w:style>
  <w:style w:type="table" w:styleId="a1" w:customStyle="1">
    <w:basedOn w:val="TableNormal0"/>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FABrecsL8zzteTLTss7I7idgmA==">CgMxLjAaHgoBMBIZChcICVITChF0YWJsZS5sNnFpd3A0eDY5bTgAciExNnNJalRSNjMwMms3UDFiaTNseks3S0ZpdzBFOVd6Qm4=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2026-08-24T06:37:00Z</dcterms:created>
</cp:coreProperties>
</file>