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Взаимодействие компонентов страницы, практика</w:t>
      </w:r>
    </w:p>
    <w:p w:rsidR="00000000" w:rsidDel="00000000" w:rsidP="00000000" w:rsidRDefault="00000000" w:rsidRPr="00000000" w14:paraId="00000001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i w:val="0"/>
        </w:rPr>
      </w:pPr>
      <w:r w:rsidDel="00000000" w:rsidR="00000000" w:rsidRPr="00000000">
        <w:rPr>
          <w:i w:val="0"/>
          <w:rtl w:val="0"/>
        </w:rPr>
        <w:t xml:space="preserve">Изучение правил и практик составления системной документации. Реализация механизмов взаимодействия элементов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jc w:val="both"/>
        <w:rPr>
          <w:b w:val="0"/>
          <w:color w:val="2e75b5"/>
          <w:sz w:val="22"/>
          <w:szCs w:val="22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b w:val="0"/>
              <w:color w:val="2e75b5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Соглашения и документация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Спецификация модуля корзины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Подготовка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sz w:val="22"/>
              <w:szCs w:val="22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after="80" w:before="200" w:line="240" w:lineRule="auto"/>
            <w:ind w:left="0" w:firstLine="0"/>
            <w:rPr>
              <w:color w:val="1155cc"/>
              <w:sz w:val="22"/>
              <w:szCs w:val="22"/>
              <w:u w:val="single"/>
            </w:rPr>
          </w:pPr>
          <w:hyperlink w:anchor="_qexjje8hfm7x">
            <w:r w:rsidDel="00000000" w:rsidR="00000000" w:rsidRPr="00000000">
              <w:rPr>
                <w:color w:val="1155cc"/>
                <w:sz w:val="22"/>
                <w:szCs w:val="22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2"/>
          <w:szCs w:val="22"/>
        </w:rPr>
      </w:pPr>
      <w:r w:rsidDel="00000000" w:rsidR="00000000" w:rsidRPr="00000000">
        <w:fldChar w:fldCharType="begin"/>
        <w:instrText xml:space="preserve"> HYPERLINK \l "_Toc464557688"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\l "_Toc464557688" </w:instrText>
        <w:fldChar w:fldCharType="separate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предыдущих уроках мы овладели объектной моделью AJAX и мощным инструментом регулярных выражений</w:t>
      </w:r>
      <w:r w:rsidDel="00000000" w:rsidR="00000000" w:rsidRPr="00000000">
        <w:rPr>
          <w:rtl w:val="0"/>
        </w:rPr>
        <w:t xml:space="preserve">, н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 пока все эти технологии мы рассматривали по отдельности. Теперь стоит собрать всё воедино и применить полученные знания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Для начала мы создадим один из ключевых модулей для любого интернет-магазина – корзину покупателя.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2et92p0" w:id="1"/>
      <w:bookmarkEnd w:id="1"/>
      <w:r w:rsidDel="00000000" w:rsidR="00000000" w:rsidRPr="00000000">
        <w:rPr>
          <w:rtl w:val="0"/>
        </w:rPr>
        <w:t xml:space="preserve">Соглашения и документация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 работе над сайтом очень часто участвует далеко не один человек. Как правило, есть один или несколько разработчиков на </w:t>
      </w:r>
      <w:r w:rsidDel="00000000" w:rsidR="00000000" w:rsidRPr="00000000">
        <w:rPr>
          <w:rtl w:val="0"/>
        </w:rPr>
        <w:t xml:space="preserve">бэкенд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и на </w:t>
      </w:r>
      <w:r w:rsidDel="00000000" w:rsidR="00000000" w:rsidRPr="00000000">
        <w:rPr>
          <w:rtl w:val="0"/>
        </w:rPr>
        <w:t xml:space="preserve">фронтенд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Э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ти два мира умеют общаться посредством </w:t>
      </w:r>
      <w:r w:rsidDel="00000000" w:rsidR="00000000" w:rsidRPr="00000000">
        <w:rPr>
          <w:rtl w:val="0"/>
        </w:rPr>
        <w:t xml:space="preserve">определенных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протоколов, например JSON.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Допустим, какой-то функционал уже реализован, но у </w:t>
      </w:r>
      <w:r w:rsidDel="00000000" w:rsidR="00000000" w:rsidRPr="00000000">
        <w:rPr>
          <w:rtl w:val="0"/>
        </w:rPr>
        <w:t xml:space="preserve">фронтенд-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программиста появляется потребность в получении нового параметра в JSON-ответе. Он 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 к </w:t>
      </w:r>
      <w:r w:rsidDel="00000000" w:rsidR="00000000" w:rsidRPr="00000000">
        <w:rPr>
          <w:rtl w:val="0"/>
        </w:rPr>
        <w:t xml:space="preserve">бэкенд-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программисту, договаривается с ним, свойство реализуется. При продолжении разработки метод дорабатывают, поле меняется или вовсе уходит, а функционал на релизе разваливается.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Чтобы избежать подобной ошибки, при работе с AJAX (и не только) используется особый тип документации – спецификация. Она описывает все виды общения </w:t>
      </w:r>
      <w:r w:rsidDel="00000000" w:rsidR="00000000" w:rsidRPr="00000000">
        <w:rPr>
          <w:rtl w:val="0"/>
        </w:rPr>
        <w:t xml:space="preserve">фронтенд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и бэкенд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6660"/>
        <w:tblGridChange w:id="0">
          <w:tblGrid>
            <w:gridCol w:w="2850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user_id : 1,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product_id : 2,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price: 123,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quantity : 1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error_code : 100,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“Невозможно добавить товар в корзину”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Коды ошибок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100 – ошибка SQL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Подобная таблица решает целый комплекс возможных проблем.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Во-первых, программисты становятся более независимы друг от друга. </w:t>
      </w:r>
      <w:r w:rsidDel="00000000" w:rsidR="00000000" w:rsidRPr="00000000">
        <w:rPr>
          <w:rtl w:val="0"/>
        </w:rPr>
        <w:t xml:space="preserve">Фронтенд-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разработчик может спокойно разрабатывать свой код, не обращая внимания на то, готова ли принимающая часть на </w:t>
      </w:r>
      <w:r w:rsidDel="00000000" w:rsidR="00000000" w:rsidRPr="00000000">
        <w:rPr>
          <w:rtl w:val="0"/>
        </w:rPr>
        <w:t xml:space="preserve">бэкенд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 Всегда можно подменить ответ заглушкой с нужной структурой, а структура уже зафиксирована.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Во-вторых, реализуется возможность автоматического тестирования, ведь протокол не меняется, а значит, его можно запрограммировать.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В-третьих, другие разработчики, которые ранее никогда не работали с данным функционалом, спокойно могут прочесть документацию и понять суть того, с чем им предстоит работать.</w:t>
        <w:br w:type="textWrapping"/>
        <w:t xml:space="preserve">Именно поэтому обширная и подробная спецификация является залогом над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жного ПО и крепкого сна программиста.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Такую же спецификацию мы завед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для нашего модуля корзины, чтобы знать, к чему мы ид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в итоге.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tyjcwt" w:id="2"/>
      <w:bookmarkEnd w:id="2"/>
      <w:r w:rsidDel="00000000" w:rsidR="00000000" w:rsidRPr="00000000">
        <w:rPr>
          <w:rtl w:val="0"/>
        </w:rPr>
        <w:t xml:space="preserve">Спецификация модуля корзины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Логично, что сама по себе сущность корзины обладает тремя методами: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Получить текущую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Положить товар в корзину.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Удалить товар из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ind w:left="0" w:firstLine="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Их мы и опишем в спецификации.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3.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6660"/>
        <w:tblGridChange w:id="0">
          <w:tblGrid>
            <w:gridCol w:w="2820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commentRangeStart w:id="0"/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/basket/get/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basket : [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id_product : 123,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    price : 100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],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amount: 100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20"/>
        <w:gridCol w:w="6660"/>
        <w:tblGridChange w:id="0">
          <w:tblGrid>
            <w:gridCol w:w="2820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Добавление товара в корзину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"id_product" : 123,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"quantity" : 1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result: 1,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full_price : 123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5"/>
        <w:gridCol w:w="6660"/>
        <w:tblGridChange w:id="0">
          <w:tblGrid>
            <w:gridCol w:w="280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Удаление товара из корзины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/basket/add/   /* но пока заменим заглушкой */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id_product : 123,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full_price : 321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result: 1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error_message : “ Сообщение об ошибке 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данном этапе опустим создание кодов ошибок, т.к. наш проект не настолько богат кодом. Более того, нарастить коды достаточно легко при наличии спецификации и возвращаемого ответа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Сама по себе корзина традиционно представляет собой блок HTML-кода в шапке страницы, который отображает количество товара в корзине и его общую стоимость. Поскольку работаем мы через AJAX, нам надо будет предусмотреть </w:t>
      </w:r>
      <w:r w:rsidDel="00000000" w:rsidR="00000000" w:rsidRPr="00000000">
        <w:rPr>
          <w:rtl w:val="0"/>
        </w:rPr>
        <w:t xml:space="preserve">легкий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доступ к необходимым элементам страницы для их изменения по факту получения ответа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3dy6vkm" w:id="3"/>
      <w:bookmarkEnd w:id="3"/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стороне HTML корзина будет представлена простым блоком: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&lt;div id=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"basket"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div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Е</w:t>
      </w:r>
      <w:r w:rsidDel="00000000" w:rsidR="00000000" w:rsidRPr="00000000">
        <w:rPr>
          <w:rtl w:val="0"/>
        </w:rPr>
        <w:t xml:space="preserve">е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мы намеренно оставляем пустой, т.к. корзина у нас будет заполняться серверными скриптами. При загрузке основного контента страницы мы будем сразу же посылать запрос на получение корзины, чтобы разгрузить обмен данными и отдать страницу максимально быстро.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уверены, что получение корзины не займ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 много серверного времени, смело можете добавлять получение корзин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в функционал загрузки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Также нам потребуются три заглушки с данными: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сходная корзина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добавление товара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твет на удаление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jc w:val="both"/>
        <w:rPr/>
      </w:pPr>
      <w:bookmarkStart w:colFirst="0" w:colLast="0" w:name="_1t3h5sf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 занятии по AJAX мы формировали элемент, содержащий в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рстку прямо в JS-коде. С точки зрения читаемости и стандартизации кода это очень плохой подход</w:t>
      </w:r>
      <w:r w:rsidDel="00000000" w:rsidR="00000000" w:rsidRPr="00000000">
        <w:rPr>
          <w:rtl w:val="0"/>
        </w:rPr>
        <w:t xml:space="preserve">, т.к.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залог спокойствия в разделении логики на слои.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счастью, JavaScript предоставляет нам отличные инструменты работы с DOM-моделью. А учитывая то, что мы уже знакомы с jQuery, можно применять весь комплекс доступного функционала сразу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Создание нового элемента в jQuery делается через встроенный метод, который замкнут сам на себя.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ы можем создать div следующим образом: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my_div = $(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'&lt;div/&gt;'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{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'foo'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'http://google.com'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'Become a Googler'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'external'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'Go to Google!'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После этого достаточно просто поместить полученный элемент в DOM-модель при помощи метода appendTo():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my_div.appendTo(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'#my_selector'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Таким же образом мы сможем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создавать нужные элементы в модуле корзины сразу же по получени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ответа от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ста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тся переписать обращение по AJAX к серверу и обработку ответа.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Как только мы получили содержимое корзины, нужно научиться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м управлять. Для этого в объекте корзины создадим параметр, который будет содержать в себе текущие товары.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Здесь будет иметь место один очень важный нюанс.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Когда мы получаем данные о корзине внутри AJAX-запроса, передать их в прототип сразу же не получится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ссылка this будет указывать не на текущий объект корзины, а на объект AJAX. Здесь нам поможет параметр context.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05.0" w:type="dxa"/>
        <w:jc w:val="left"/>
        <w:tblInd w:w="100.0" w:type="pc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405"/>
        <w:tblGridChange w:id="0">
          <w:tblGrid>
            <w:gridCol w:w="9405"/>
          </w:tblGrid>
        </w:tblGridChange>
      </w:tblGrid>
      <w:tr>
        <w:trPr>
          <w:trHeight w:val="2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$.get({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'basket.content.json'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</w:t>
              <w:br w:type="textWrapping"/>
              <w:t xml:space="preserve">             ...</w:t>
              <w:br w:type="textWrapping"/>
              <w:tab/>
              <w:tab/>
              <w:t xml:space="preserve">dataType: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"json"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ab/>
              <w:t xml:space="preserve">});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Такая запись говорит о том, что this будет обращаться к внешней области видимости. Таким образом, ответ сможет общаться с прототипом напрямую.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Научим наше приложение добавлять товар в корзину. Эта процедура будет состоять из следующих шагов: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Отловить событие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добавлени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 товара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Собрать данные о товаре.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Добавить товар в составляющие элементы корзины.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jc w:val="both"/>
        <w:rPr/>
      </w:pPr>
      <w:r w:rsidDel="00000000" w:rsidR="00000000" w:rsidRPr="00000000">
        <w:rPr>
          <w:b w:val="0"/>
          <w:color w:val="2c2d30"/>
          <w:sz w:val="20"/>
          <w:szCs w:val="20"/>
          <w:rtl w:val="0"/>
        </w:rPr>
        <w:t xml:space="preserve">Обновить общую стоимость корзины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d34og8" w:id="5"/>
      <w:bookmarkEnd w:id="5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метод удаления товара из корзины.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модуль сбора отзывов: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выводить отзывы (пока из JSON-заглушки).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добавлять отзывы.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одобрять отзывы.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может удалять отзывы.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Модуль подчиняется следующим соглашениям.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95.0" w:type="dxa"/>
        <w:jc w:val="left"/>
        <w:tblInd w:w="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5"/>
        <w:gridCol w:w="6660"/>
        <w:tblGridChange w:id="0">
          <w:tblGrid>
            <w:gridCol w:w="283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Добавить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review.add.json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"id_user" : 123,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“text” : “”</w:t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 </w:t>
              <w:br w:type="textWrapping"/>
              <w:t xml:space="preserve">  result: 1, </w:t>
              <w:br w:type="textWrapping"/>
              <w:t xml:space="preserve">  userMessage: "Ваш отзыв был передан на модерацию" 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2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660"/>
        <w:tblGridChange w:id="0">
          <w:tblGrid>
            <w:gridCol w:w="286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Одобрить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review.submit.json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" id_comment" : 123, // ID отзыва, который одобряется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 </w:t>
              <w:br w:type="textWrapping"/>
              <w:t xml:space="preserve">  result: 1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660"/>
        <w:tblGridChange w:id="0">
          <w:tblGrid>
            <w:gridCol w:w="286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Удалить отзыв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review.delete.json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" id_comment" : 123, // ID отзыва, который удаляется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 </w:t>
              <w:br w:type="textWrapping"/>
              <w:t xml:space="preserve">  result: 1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525.0" w:type="dxa"/>
        <w:jc w:val="left"/>
        <w:tblInd w:w="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65"/>
        <w:gridCol w:w="6660"/>
        <w:tblGridChange w:id="0">
          <w:tblGrid>
            <w:gridCol w:w="2865"/>
            <w:gridCol w:w="6660"/>
          </w:tblGrid>
        </w:tblGridChange>
      </w:tblGrid>
      <w:tr>
        <w:tc>
          <w:tcPr/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Название обмена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c2d30"/>
                <w:sz w:val="20"/>
                <w:szCs w:val="20"/>
                <w:rtl w:val="0"/>
              </w:rPr>
              <w:t xml:space="preserve">Показать все отзывы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review.list.json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Тип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POST, asynchronous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Передаваемые данные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Ожидаемый ответ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{ </w:t>
              <w:br w:type="textWrapping"/>
              <w:t xml:space="preserve">  comments: [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id_comment: 123,</w:t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text: ‘Текст отзыва’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sz w:val="20"/>
                <w:szCs w:val="20"/>
                <w:rtl w:val="0"/>
              </w:rPr>
              <w:t xml:space="preserve">Ответ в случае системной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result : 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/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   error_message : “Сообщение об ошибке”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jc w:val="both"/>
              <w:rPr>
                <w:b w:val="0"/>
                <w:color w:val="2c2d30"/>
              </w:rPr>
            </w:pPr>
            <w:r w:rsidDel="00000000" w:rsidR="00000000" w:rsidRPr="00000000">
              <w:rPr>
                <w:b w:val="0"/>
                <w:color w:val="2c2d3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0C">
      <w:pPr>
        <w:spacing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qexjje8hfm7x" w:id="6"/>
      <w:bookmarkEnd w:id="6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Беэр Бибо, Иегуда Кац.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jQuery. Подробное руководство по продвинутому JavaScript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/>
      <w:pgMar w:bottom="1134" w:top="1134" w:left="1134" w:right="1134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Абакумова" w:id="0" w:date="2018-11-29T17:58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Получение текущей корзины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2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720" w:before="0" w:line="240" w:lineRule="auto"/>
      <w:rPr/>
    </w:pPr>
    <w:r w:rsidDel="00000000" w:rsidR="00000000" w:rsidRPr="00000000">
      <w:rPr>
        <w:rFonts w:ascii="Arial" w:cs="Arial" w:eastAsia="Arial" w:hAnsi="Arial"/>
        <w:b w:val="0"/>
        <w:color w:val="abb1b9"/>
        <w:sz w:val="16"/>
        <w:szCs w:val="16"/>
        <w:rtl w:val="0"/>
      </w:rPr>
      <w:t xml:space="preserve">© geekbrains.ru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72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144" y="3186583"/>
                        <a:ext cx="7563713" cy="1186834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-66674</wp:posOffset>
              </wp:positionV>
              <wp:extent cx="7569200" cy="1193800"/>
              <wp:effectExtent b="0" l="0" r="0" t="0"/>
              <wp:wrapSquare wrapText="bothSides" distB="0" distT="0" distL="0" distR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9200" cy="1193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593275" y="3048480"/>
                        <a:ext cx="5505450" cy="146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Продвинутый курс Javascript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-47624</wp:posOffset>
              </wp:positionH>
              <wp:positionV relativeFrom="paragraph">
                <wp:posOffset>685800</wp:posOffset>
              </wp:positionV>
              <wp:extent cx="5511800" cy="1482484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1800" cy="148248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4779645</wp:posOffset>
              </wp:positionH>
              <wp:positionV relativeFrom="paragraph">
                <wp:posOffset>466725</wp:posOffset>
              </wp:positionV>
              <wp:extent cx="1346200" cy="1346200"/>
              <wp:effectExtent b="0" l="0" r="0" t="0"/>
              <wp:wrapTopAndBottom distB="57150" distT="5715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907725" y="2341725"/>
                        <a:ext cx="1346200" cy="1346200"/>
                        <a:chOff x="3907725" y="2341725"/>
                        <a:chExt cx="2876550" cy="2876550"/>
                      </a:xfrm>
                    </wpg:grpSpPr>
                    <wpg:grpSp>
                      <wpg:cNvGrpSpPr/>
                      <wpg:grpSpPr>
                        <a:xfrm>
                          <a:off x="4669294" y="3103294"/>
                          <a:ext cx="1353413" cy="1353413"/>
                          <a:chOff x="3438525" y="2219325"/>
                          <a:chExt cx="2876550" cy="28765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438525" y="2219325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grpSp>
                    <pic:pic>
                      <pic:nvPicPr>
                        <pic:cNvPr descr="JavaScript_logo.png" id="5" name="Shape 5"/>
                        <pic:cNvPicPr preferRelativeResize="0"/>
                      </pic:nvPicPr>
                      <pic:blipFill>
                        <a:blip r:embed="rId3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907725" y="23417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1" locked="0" relativeHeight="0" simplePos="0">
              <wp:simplePos x="0" y="0"/>
              <wp:positionH relativeFrom="column">
                <wp:posOffset>4779645</wp:posOffset>
              </wp:positionH>
              <wp:positionV relativeFrom="paragraph">
                <wp:posOffset>466725</wp:posOffset>
              </wp:positionV>
              <wp:extent cx="1346200" cy="1346200"/>
              <wp:effectExtent b="0" l="0" r="0" t="0"/>
              <wp:wrapTopAndBottom distB="57150" distT="5715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6200" cy="134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00" w:line="276" w:lineRule="auto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="276" w:lineRule="auto"/>
    </w:pPr>
    <w:rPr>
      <w:rFonts w:ascii="Calibri" w:cs="Calibri" w:eastAsia="Calibri" w:hAnsi="Calibri"/>
      <w:b w:val="0"/>
      <w:i w:val="1"/>
      <w:color w:val="2e75b5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200" w:before="200" w:line="276" w:lineRule="auto"/>
    </w:pPr>
    <w:rPr>
      <w:rFonts w:ascii="Arial" w:cs="Arial" w:eastAsia="Arial" w:hAnsi="Arial"/>
      <w:b w:val="0"/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76" w:lineRule="auto"/>
    </w:pPr>
    <w:rPr>
      <w:rFonts w:ascii="Arial" w:cs="Arial" w:eastAsia="Arial" w:hAnsi="Arial"/>
      <w:b w:val="0"/>
      <w:i w:val="1"/>
      <w:color w:val="abb1b9"/>
      <w:sz w:val="32"/>
      <w:szCs w:val="32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zon.ru/context/detail/id/4234012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