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A51C94">
      <w:pPr>
        <w:spacing w:line="360" w:lineRule="auto"/>
        <w:jc w:val="center"/>
        <w:rPr>
          <w:rFonts w:hint="default" w:ascii="Times New Roman" w:hAnsi="Times New Roman" w:cs="Times New Roman"/>
          <w:sz w:val="28"/>
          <w:szCs w:val="28"/>
          <w:lang w:val="ru-RU"/>
        </w:rPr>
      </w:pPr>
      <w:r>
        <w:rPr>
          <w:rFonts w:hint="default" w:ascii="Times New Roman" w:hAnsi="Times New Roman" w:cs="Times New Roman"/>
          <w:sz w:val="28"/>
          <w:szCs w:val="28"/>
          <w:lang w:val="ru-RU"/>
        </w:rPr>
        <w:t>Содержание</w:t>
      </w:r>
    </w:p>
    <w:p w14:paraId="70CC9B97">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Глава 1. Организационно-управленческая (экономическая) деятельность ООО «Лайф Медиа».................................................................................................</w:t>
      </w:r>
    </w:p>
    <w:p w14:paraId="51A80BA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Глава 2. Анализ системы управления персоналом предприятия ООО «Лайф Медиа»......................................................................................................................</w:t>
      </w:r>
    </w:p>
    <w:p>
      <w:pPr>
        <w:spacing w:after="120" w:line="360" w:lineRule="auto"/>
        <w:jc w:val="center"/>
      </w:pPr>
      <w:r>
        <w:rPr>
          <w:rFonts w:ascii="Times New Roman" w:hAnsi="Times New Roman"/>
          <w:b/>
          <w:i w:val="0"/>
          <w:sz w:val="28"/>
        </w:rPr>
        <w:t>Глава 3. Система обучения и развития тендерных специалистов ООО «Лайф Медиа»</w:t>
      </w:r>
    </w:p>
    <w:p>
      <w:pPr>
        <w:spacing w:after="120" w:line="360" w:lineRule="auto"/>
        <w:jc w:val="center"/>
      </w:pPr>
      <w:r>
        <w:rPr>
          <w:rFonts w:ascii="Times New Roman" w:hAnsi="Times New Roman"/>
          <w:b/>
          <w:i w:val="0"/>
          <w:sz w:val="28"/>
        </w:rPr>
        <w:t>3.1. Фактическое состояние обучения и развития персонала тендерного отдела</w:t>
      </w:r>
    </w:p>
    <w:p>
      <w:pPr>
        <w:spacing w:after="120" w:line="360" w:lineRule="auto"/>
        <w:ind w:firstLine="700"/>
      </w:pPr>
      <w:r>
        <w:rPr>
          <w:rFonts w:ascii="Times New Roman" w:hAnsi="Times New Roman"/>
          <w:b w:val="0"/>
          <w:i w:val="0"/>
          <w:sz w:val="28"/>
        </w:rPr>
        <w:t>Тендерный отдел ООО «Лайф Медиа» является ключевым подразделением компании, так как именно через участие в государственных и корпоративных закупках формируется основная часть выручки. Работа специалистов отдела связана с постоянным анализом документации заказчиков, отслеживанием изменений в законодательстве, расчетом ценовых предложений, подготовкой комплекта документов и технической подачей заявок на электронных торговых площадках. При таком характере деятельности квалификация сотрудников напрямую влияет не только на качество выполнения отдельных операций, но и на финансовый результат компании.</w:t>
      </w:r>
    </w:p>
    <w:p>
      <w:pPr>
        <w:spacing w:after="120" w:line="360" w:lineRule="auto"/>
        <w:ind w:firstLine="700"/>
      </w:pPr>
      <w:r>
        <w:rPr>
          <w:rFonts w:ascii="Times New Roman" w:hAnsi="Times New Roman"/>
          <w:b w:val="0"/>
          <w:i w:val="0"/>
          <w:sz w:val="28"/>
        </w:rPr>
        <w:t>Несмотря на высокую значимость тендерного отдела, в компании отсутствует целостная система обучения и развития персонала. Под системой обучения в данном случае понимается не разовое направление сотрудников на вебинар или самостоятельное изучение материалов, а совокупность взаимосвязанных элементов: вводная адаптация новых работников, регулярное обновление знаний, единые учебные материалы, проверка усвоения информации, разбор ошибок, наставничество и оценка влияния обучения на рабочие показатели. В ООО «Лайф Медиа» такие элементы либо отсутствуют полностью, либо существуют фрагментарно и не связаны между собой.</w:t>
      </w:r>
    </w:p>
    <w:p>
      <w:pPr>
        <w:spacing w:after="120" w:line="360" w:lineRule="auto"/>
        <w:ind w:firstLine="700"/>
      </w:pPr>
      <w:r>
        <w:rPr>
          <w:rFonts w:ascii="Times New Roman" w:hAnsi="Times New Roman"/>
          <w:b w:val="0"/>
          <w:i w:val="0"/>
          <w:sz w:val="28"/>
        </w:rPr>
        <w:t>Фактически обучение тендерных специалистов строится преимущественно на самостоятельном поиске информации и передаче опыта от более опытных сотрудников к новым работникам в процессе текущей работы. Такой формат нельзя считать устойчивой системой, поскольку он зависит от личной инициативы конкретных сотрудников, загруженности руководителя отдела и наличия свободного времени у коллег. Если новый специалист сталкивается с нестандартной закупкой, изменением формы документа или особенностями конкретной электронной площадки, он чаще всего получает информацию ситуативно: через устное пояснение, поиск в открытых источниках или просмотр ранее поданных заявок.</w:t>
      </w:r>
    </w:p>
    <w:p>
      <w:pPr>
        <w:spacing w:after="120" w:line="360" w:lineRule="auto"/>
        <w:ind w:firstLine="700"/>
      </w:pPr>
      <w:r>
        <w:rPr>
          <w:rFonts w:ascii="Times New Roman" w:hAnsi="Times New Roman"/>
          <w:b w:val="0"/>
          <w:i w:val="0"/>
          <w:sz w:val="28"/>
        </w:rPr>
        <w:t>Отсутствие системности проявляется прежде всего в том, что в компании нет утвержденной программы адаптации тендерного специалиста. Новый сотрудник не проходит последовательный маршрут введения в должность, где были бы закреплены темы, сроки освоения, ответственные лица и критерии готовности к самостоятельной работе. В результате скорость включения в работу зависит от первоначального уровня подготовки человека и от того, насколько подробно коллеги объяснят ему внутренние правила подготовки заявок.</w:t>
      </w:r>
    </w:p>
    <w:p>
      <w:pPr>
        <w:spacing w:after="120" w:line="360" w:lineRule="auto"/>
        <w:ind w:firstLine="700"/>
      </w:pPr>
      <w:r>
        <w:rPr>
          <w:rFonts w:ascii="Times New Roman" w:hAnsi="Times New Roman"/>
          <w:b w:val="0"/>
          <w:i w:val="0"/>
          <w:sz w:val="28"/>
        </w:rPr>
        <w:t>Второй важный признак отсутствия системы обучения связан с тем, что в компании нет единой базы актуальных учебных и рабочих материалов. Документы, шаблоны, образцы заполнения форм и инструкции хранятся разрозненно. Часть материалов может находиться в общих папках, часть — у отдельных сотрудников, часть — в переписке или в задачах Битрикс24. При этом не закреплен порядок регулярного обновления таких материалов после изменений в 44-ФЗ, 223-ФЗ, требованиях заказчиков или правилах электронных площадок. Это создает риск использования устаревших форм и неодинакового подхода к подготовке заявок.</w:t>
      </w:r>
    </w:p>
    <w:p>
      <w:pPr>
        <w:spacing w:after="120" w:line="360" w:lineRule="auto"/>
        <w:ind w:firstLine="700"/>
      </w:pPr>
      <w:r>
        <w:rPr>
          <w:rFonts w:ascii="Times New Roman" w:hAnsi="Times New Roman"/>
          <w:b w:val="0"/>
          <w:i w:val="0"/>
          <w:sz w:val="28"/>
        </w:rPr>
        <w:t>Третья проблема заключается в отсутствии регулярной проверки знаний. В компании не проводится тестирование по изменениям законодательства, не фиксируются результаты изучения обучающих материалов, не оценивается готовность специалиста к самостоятельной работе с отдельными типами закупок. Поэтому руководство не получает объективной информации о том, какие темы сотрудники знают уверенно, а по каким направлениям возникают пробелы.</w:t>
      </w:r>
    </w:p>
    <w:p>
      <w:pPr>
        <w:spacing w:after="120" w:line="360" w:lineRule="auto"/>
        <w:ind w:firstLine="700"/>
      </w:pPr>
      <w:r>
        <w:rPr>
          <w:rFonts w:ascii="Times New Roman" w:hAnsi="Times New Roman"/>
          <w:b w:val="0"/>
          <w:i w:val="0"/>
          <w:sz w:val="28"/>
        </w:rPr>
        <w:t>Четвертый элемент, который также отсутствует в оформленном виде, — системный разбор ошибок. Если заявка отклоняется, ошибка обсуждается устно и, как правило, в привязке к конкретному случаю. Такая информация не превращается в общую базу знаний отдела: не фиксируется причина отклонения, не формируется перечень типовых ошибок, не анализируется повторяемость нарушений по сотрудникам и по видам закупок. В результате один и тот же тип ошибки может повторяться у разных специалистов, потому что опыт отдельного случая не становится общим знанием подразделения.</w:t>
      </w:r>
    </w:p>
    <w:p>
      <w:pPr>
        <w:spacing w:after="120" w:line="360" w:lineRule="auto"/>
        <w:ind w:firstLine="700"/>
        <w:jc w:val="center"/>
      </w:pPr>
      <w:r>
        <w:rPr>
          <w:rFonts w:ascii="Times New Roman" w:hAnsi="Times New Roman"/>
          <w:b w:val="0"/>
          <w:i w:val="0"/>
          <w:sz w:val="28"/>
        </w:rPr>
        <w:t>Таблица 3.1. Характеристика фактического состояния обучения тендерных специалистов ООО «Лайф Медиа»</w:t>
      </w:r>
    </w:p>
    <w:tbl>
      <w:tblPr>
        <w:tblStyle w:val="6"/>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4"/>
              </w:rPr>
              <w:t>Элемент системы обучения</w:t>
            </w:r>
          </w:p>
        </w:tc>
        <w:tc>
          <w:tcPr>
            <w:tcW w:type="dxa" w:w="3118"/>
          </w:tcPr>
          <w:p>
            <w:r>
              <w:rPr>
                <w:rFonts w:ascii="Times New Roman" w:hAnsi="Times New Roman"/>
                <w:b/>
                <w:sz w:val="24"/>
              </w:rPr>
              <w:t>Фактическое состояние в компании</w:t>
            </w:r>
          </w:p>
        </w:tc>
        <w:tc>
          <w:tcPr>
            <w:tcW w:type="dxa" w:w="3118"/>
          </w:tcPr>
          <w:p>
            <w:r>
              <w:rPr>
                <w:rFonts w:ascii="Times New Roman" w:hAnsi="Times New Roman"/>
                <w:b/>
                <w:sz w:val="24"/>
              </w:rPr>
              <w:t>Проявление в работе отдела</w:t>
            </w:r>
          </w:p>
        </w:tc>
      </w:tr>
      <w:tr>
        <w:tc>
          <w:tcPr>
            <w:tcW w:type="dxa" w:w="3118"/>
          </w:tcPr>
          <w:p>
            <w:r>
              <w:rPr>
                <w:rFonts w:ascii="Times New Roman" w:hAnsi="Times New Roman"/>
                <w:sz w:val="24"/>
              </w:rPr>
              <w:t>Вводная адаптация</w:t>
            </w:r>
          </w:p>
        </w:tc>
        <w:tc>
          <w:tcPr>
            <w:tcW w:type="dxa" w:w="3118"/>
          </w:tcPr>
          <w:p>
            <w:r>
              <w:rPr>
                <w:rFonts w:ascii="Times New Roman" w:hAnsi="Times New Roman"/>
                <w:sz w:val="24"/>
              </w:rPr>
              <w:t>Единая программа адаптации отсутствует</w:t>
            </w:r>
          </w:p>
        </w:tc>
        <w:tc>
          <w:tcPr>
            <w:tcW w:type="dxa" w:w="3118"/>
          </w:tcPr>
          <w:p>
            <w:r>
              <w:rPr>
                <w:rFonts w:ascii="Times New Roman" w:hAnsi="Times New Roman"/>
                <w:sz w:val="24"/>
              </w:rPr>
              <w:t>Новый сотрудник осваивает работу через устные пояснения и текущие задачи</w:t>
            </w:r>
          </w:p>
        </w:tc>
      </w:tr>
      <w:tr>
        <w:tc>
          <w:tcPr>
            <w:tcW w:type="dxa" w:w="3118"/>
          </w:tcPr>
          <w:p>
            <w:r>
              <w:rPr>
                <w:rFonts w:ascii="Times New Roman" w:hAnsi="Times New Roman"/>
                <w:sz w:val="24"/>
              </w:rPr>
              <w:t>Учебные материалы</w:t>
            </w:r>
          </w:p>
        </w:tc>
        <w:tc>
          <w:tcPr>
            <w:tcW w:type="dxa" w:w="3118"/>
          </w:tcPr>
          <w:p>
            <w:r>
              <w:rPr>
                <w:rFonts w:ascii="Times New Roman" w:hAnsi="Times New Roman"/>
                <w:sz w:val="24"/>
              </w:rPr>
              <w:t>Единая база актуальных материалов не сформирована</w:t>
            </w:r>
          </w:p>
        </w:tc>
        <w:tc>
          <w:tcPr>
            <w:tcW w:type="dxa" w:w="3118"/>
          </w:tcPr>
          <w:p>
            <w:r>
              <w:rPr>
                <w:rFonts w:ascii="Times New Roman" w:hAnsi="Times New Roman"/>
                <w:sz w:val="24"/>
              </w:rPr>
              <w:t>Сотрудники используют разные источники, часть шаблонов может устаревать</w:t>
            </w:r>
          </w:p>
        </w:tc>
      </w:tr>
      <w:tr>
        <w:tc>
          <w:tcPr>
            <w:tcW w:type="dxa" w:w="3118"/>
          </w:tcPr>
          <w:p>
            <w:r>
              <w:rPr>
                <w:rFonts w:ascii="Times New Roman" w:hAnsi="Times New Roman"/>
                <w:sz w:val="24"/>
              </w:rPr>
              <w:t>Обновление знаний</w:t>
            </w:r>
          </w:p>
        </w:tc>
        <w:tc>
          <w:tcPr>
            <w:tcW w:type="dxa" w:w="3118"/>
          </w:tcPr>
          <w:p>
            <w:r>
              <w:rPr>
                <w:rFonts w:ascii="Times New Roman" w:hAnsi="Times New Roman"/>
                <w:sz w:val="24"/>
              </w:rPr>
              <w:t>Происходит эпизодически через вебинары и самостоятельный поиск информации</w:t>
            </w:r>
          </w:p>
        </w:tc>
        <w:tc>
          <w:tcPr>
            <w:tcW w:type="dxa" w:w="3118"/>
          </w:tcPr>
          <w:p>
            <w:r>
              <w:rPr>
                <w:rFonts w:ascii="Times New Roman" w:hAnsi="Times New Roman"/>
                <w:sz w:val="24"/>
              </w:rPr>
              <w:t>Изменения законодательства не всегда одинаково быстро доходят до всех сотрудников</w:t>
            </w:r>
          </w:p>
        </w:tc>
      </w:tr>
      <w:tr>
        <w:tc>
          <w:tcPr>
            <w:tcW w:type="dxa" w:w="3118"/>
          </w:tcPr>
          <w:p>
            <w:r>
              <w:rPr>
                <w:rFonts w:ascii="Times New Roman" w:hAnsi="Times New Roman"/>
                <w:sz w:val="24"/>
              </w:rPr>
              <w:t>Проверка знаний</w:t>
            </w:r>
          </w:p>
        </w:tc>
        <w:tc>
          <w:tcPr>
            <w:tcW w:type="dxa" w:w="3118"/>
          </w:tcPr>
          <w:p>
            <w:r>
              <w:rPr>
                <w:rFonts w:ascii="Times New Roman" w:hAnsi="Times New Roman"/>
                <w:sz w:val="24"/>
              </w:rPr>
              <w:t>Регулярное тестирование не проводится</w:t>
            </w:r>
          </w:p>
        </w:tc>
        <w:tc>
          <w:tcPr>
            <w:tcW w:type="dxa" w:w="3118"/>
          </w:tcPr>
          <w:p>
            <w:r>
              <w:rPr>
                <w:rFonts w:ascii="Times New Roman" w:hAnsi="Times New Roman"/>
                <w:sz w:val="24"/>
              </w:rPr>
              <w:t>Руководитель не имеет точной картины по пробелам в знаниях специалистов</w:t>
            </w:r>
          </w:p>
        </w:tc>
      </w:tr>
      <w:tr>
        <w:tc>
          <w:tcPr>
            <w:tcW w:type="dxa" w:w="3118"/>
          </w:tcPr>
          <w:p>
            <w:r>
              <w:rPr>
                <w:rFonts w:ascii="Times New Roman" w:hAnsi="Times New Roman"/>
                <w:sz w:val="24"/>
              </w:rPr>
              <w:t>Разбор ошибок</w:t>
            </w:r>
          </w:p>
        </w:tc>
        <w:tc>
          <w:tcPr>
            <w:tcW w:type="dxa" w:w="3118"/>
          </w:tcPr>
          <w:p>
            <w:r>
              <w:rPr>
                <w:rFonts w:ascii="Times New Roman" w:hAnsi="Times New Roman"/>
                <w:sz w:val="24"/>
              </w:rPr>
              <w:t>Ошибки обсуждаются устно и не фиксируются в единой базе</w:t>
            </w:r>
          </w:p>
        </w:tc>
        <w:tc>
          <w:tcPr>
            <w:tcW w:type="dxa" w:w="3118"/>
          </w:tcPr>
          <w:p>
            <w:r>
              <w:rPr>
                <w:rFonts w:ascii="Times New Roman" w:hAnsi="Times New Roman"/>
                <w:sz w:val="24"/>
              </w:rPr>
              <w:t>Повторяющиеся ошибки не превращаются в общий опыт отдела</w:t>
            </w:r>
          </w:p>
        </w:tc>
      </w:tr>
      <w:tr>
        <w:tc>
          <w:tcPr>
            <w:tcW w:type="dxa" w:w="3118"/>
          </w:tcPr>
          <w:p>
            <w:r>
              <w:rPr>
                <w:rFonts w:ascii="Times New Roman" w:hAnsi="Times New Roman"/>
                <w:sz w:val="24"/>
              </w:rPr>
              <w:t>Наставничество</w:t>
            </w:r>
          </w:p>
        </w:tc>
        <w:tc>
          <w:tcPr>
            <w:tcW w:type="dxa" w:w="3118"/>
          </w:tcPr>
          <w:p>
            <w:r>
              <w:rPr>
                <w:rFonts w:ascii="Times New Roman" w:hAnsi="Times New Roman"/>
                <w:sz w:val="24"/>
              </w:rPr>
              <w:t>Формально не закреплено</w:t>
            </w:r>
          </w:p>
        </w:tc>
        <w:tc>
          <w:tcPr>
            <w:tcW w:type="dxa" w:w="3118"/>
          </w:tcPr>
          <w:p>
            <w:r>
              <w:rPr>
                <w:rFonts w:ascii="Times New Roman" w:hAnsi="Times New Roman"/>
                <w:sz w:val="24"/>
              </w:rPr>
              <w:t>Передача опыта зависит от личной инициативы опытных сотрудников</w:t>
            </w:r>
          </w:p>
        </w:tc>
      </w:tr>
      <w:tr>
        <w:tc>
          <w:tcPr>
            <w:tcW w:type="dxa" w:w="3118"/>
          </w:tcPr>
          <w:p>
            <w:r>
              <w:rPr>
                <w:rFonts w:ascii="Times New Roman" w:hAnsi="Times New Roman"/>
                <w:sz w:val="24"/>
              </w:rPr>
              <w:t>Оценка эффективности обучения</w:t>
            </w:r>
          </w:p>
        </w:tc>
        <w:tc>
          <w:tcPr>
            <w:tcW w:type="dxa" w:w="3118"/>
          </w:tcPr>
          <w:p>
            <w:r>
              <w:rPr>
                <w:rFonts w:ascii="Times New Roman" w:hAnsi="Times New Roman"/>
                <w:sz w:val="24"/>
              </w:rPr>
              <w:t>Не проводится</w:t>
            </w:r>
          </w:p>
        </w:tc>
        <w:tc>
          <w:tcPr>
            <w:tcW w:type="dxa" w:w="3118"/>
          </w:tcPr>
          <w:p>
            <w:r>
              <w:rPr>
                <w:rFonts w:ascii="Times New Roman" w:hAnsi="Times New Roman"/>
                <w:sz w:val="24"/>
              </w:rPr>
              <w:t>Невозможно определить, влияет ли обучение на качество заявок и количество отклонений</w:t>
            </w:r>
          </w:p>
        </w:tc>
      </w:tr>
    </w:tbl>
    <w:p>
      <w:pPr>
        <w:spacing w:after="120" w:line="360" w:lineRule="auto"/>
      </w:pPr>
      <w:r>
        <w:rPr>
          <w:rFonts w:ascii="Times New Roman" w:hAnsi="Times New Roman"/>
          <w:b w:val="0"/>
          <w:i w:val="0"/>
          <w:sz w:val="28"/>
        </w:rPr>
      </w:r>
    </w:p>
    <w:p>
      <w:pPr>
        <w:spacing w:after="120" w:line="360" w:lineRule="auto"/>
        <w:ind w:firstLine="700"/>
      </w:pPr>
      <w:r>
        <w:rPr>
          <w:rFonts w:ascii="Times New Roman" w:hAnsi="Times New Roman"/>
          <w:b w:val="0"/>
          <w:i w:val="0"/>
          <w:sz w:val="28"/>
        </w:rPr>
        <w:t>Таким образом, в тендерном отделе ООО «Лайф Медиа» присутствуют отдельные обучающие действия, но они не образуют целостной системы. Компания несет затраты на обучение, однако эти затраты имеют эпизодический характер и не сопровождаются управленческим циклом «выявление потребности — обучение — проверка знаний — применение в работе — анализ результата». Для отдела, работающего в условиях удаленного формата и высокой нормативной изменчивости, такая ситуация усиливает зависимость результатов от личного опыта каждого сотрудника.</w:t>
      </w:r>
    </w:p>
    <w:p>
      <w:pPr>
        <w:spacing w:after="120" w:line="360" w:lineRule="auto"/>
        <w:jc w:val="center"/>
      </w:pPr>
      <w:r>
        <w:rPr>
          <w:rFonts w:ascii="Times New Roman" w:hAnsi="Times New Roman"/>
          <w:b/>
          <w:i w:val="0"/>
          <w:sz w:val="28"/>
        </w:rPr>
        <w:t>3.2. Анализ результатов тендерной деятельности как индикатора проблем в обучении</w:t>
      </w:r>
    </w:p>
    <w:p>
      <w:pPr>
        <w:spacing w:after="120" w:line="360" w:lineRule="auto"/>
        <w:ind w:firstLine="700"/>
      </w:pPr>
      <w:r>
        <w:rPr>
          <w:rFonts w:ascii="Times New Roman" w:hAnsi="Times New Roman"/>
          <w:b w:val="0"/>
          <w:i w:val="0"/>
          <w:sz w:val="28"/>
        </w:rPr>
        <w:t>Чтобы оценить, насколько отсутствие системного обучения отражается на деятельности тендерного отдела, необходимо рассмотреть показатели участия компании в закупках. Для ООО «Лайф Медиа» важны не только количество поданных заявок и число выигранных контрактов, но и доля заявок, признанных соответствующими требованиям заказчика. Именно этот показатель показывает, насколько качественно сотрудники выполняют подготовительный этап работы: проверяют документацию, собирают обязательные формы, соблюдают требования к файлам, срокам и электронной подписи.</w:t>
      </w:r>
    </w:p>
    <w:p>
      <w:pPr>
        <w:spacing w:after="120" w:line="360" w:lineRule="auto"/>
        <w:ind w:firstLine="700"/>
        <w:jc w:val="center"/>
      </w:pPr>
      <w:r>
        <w:rPr>
          <w:rFonts w:ascii="Times New Roman" w:hAnsi="Times New Roman"/>
          <w:b w:val="0"/>
          <w:i w:val="0"/>
          <w:sz w:val="28"/>
        </w:rPr>
        <w:t>Таблица 3.2. Результаты участия ООО «Лайф Медиа» в тендерах за 2023-2025 гг.</w:t>
      </w:r>
    </w:p>
    <w:tbl>
      <w:tblPr>
        <w:tblStyle w:val="6"/>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b/>
                <w:sz w:val="24"/>
              </w:rPr>
              <w:t>Год</w:t>
            </w:r>
          </w:p>
        </w:tc>
        <w:tc>
          <w:tcPr>
            <w:tcW w:type="dxa" w:w="1336"/>
          </w:tcPr>
          <w:p>
            <w:r>
              <w:rPr>
                <w:rFonts w:ascii="Times New Roman" w:hAnsi="Times New Roman"/>
                <w:b/>
                <w:sz w:val="24"/>
              </w:rPr>
              <w:t>Подано заявок</w:t>
            </w:r>
          </w:p>
        </w:tc>
        <w:tc>
          <w:tcPr>
            <w:tcW w:type="dxa" w:w="1336"/>
          </w:tcPr>
          <w:p>
            <w:r>
              <w:rPr>
                <w:rFonts w:ascii="Times New Roman" w:hAnsi="Times New Roman"/>
                <w:b/>
                <w:sz w:val="24"/>
              </w:rPr>
              <w:t>Признано соответствующими</w:t>
            </w:r>
          </w:p>
        </w:tc>
        <w:tc>
          <w:tcPr>
            <w:tcW w:type="dxa" w:w="1336"/>
          </w:tcPr>
          <w:p>
            <w:r>
              <w:rPr>
                <w:rFonts w:ascii="Times New Roman" w:hAnsi="Times New Roman"/>
                <w:b/>
                <w:sz w:val="24"/>
              </w:rPr>
              <w:t>Отклонено на этапе допуска</w:t>
            </w:r>
          </w:p>
        </w:tc>
        <w:tc>
          <w:tcPr>
            <w:tcW w:type="dxa" w:w="1336"/>
          </w:tcPr>
          <w:p>
            <w:r>
              <w:rPr>
                <w:rFonts w:ascii="Times New Roman" w:hAnsi="Times New Roman"/>
                <w:b/>
                <w:sz w:val="24"/>
              </w:rPr>
              <w:t>Выиграно контрактов</w:t>
            </w:r>
          </w:p>
        </w:tc>
        <w:tc>
          <w:tcPr>
            <w:tcW w:type="dxa" w:w="1336"/>
          </w:tcPr>
          <w:p>
            <w:r>
              <w:rPr>
                <w:rFonts w:ascii="Times New Roman" w:hAnsi="Times New Roman"/>
                <w:b/>
                <w:sz w:val="24"/>
              </w:rPr>
              <w:t>Конверсия из заявки в победу, %</w:t>
            </w:r>
          </w:p>
        </w:tc>
        <w:tc>
          <w:tcPr>
            <w:tcW w:type="dxa" w:w="1336"/>
          </w:tcPr>
          <w:p>
            <w:r>
              <w:rPr>
                <w:rFonts w:ascii="Times New Roman" w:hAnsi="Times New Roman"/>
                <w:b/>
                <w:sz w:val="24"/>
              </w:rPr>
              <w:t>Доля отклоненных заявок, %</w:t>
            </w:r>
          </w:p>
        </w:tc>
      </w:tr>
      <w:tr>
        <w:tc>
          <w:tcPr>
            <w:tcW w:type="dxa" w:w="1336"/>
          </w:tcPr>
          <w:p>
            <w:r>
              <w:rPr>
                <w:rFonts w:ascii="Times New Roman" w:hAnsi="Times New Roman"/>
                <w:sz w:val="24"/>
              </w:rPr>
              <w:t>2023</w:t>
            </w:r>
          </w:p>
        </w:tc>
        <w:tc>
          <w:tcPr>
            <w:tcW w:type="dxa" w:w="1336"/>
          </w:tcPr>
          <w:p>
            <w:r>
              <w:rPr>
                <w:rFonts w:ascii="Times New Roman" w:hAnsi="Times New Roman"/>
                <w:sz w:val="24"/>
              </w:rPr>
              <w:t>168</w:t>
            </w:r>
          </w:p>
        </w:tc>
        <w:tc>
          <w:tcPr>
            <w:tcW w:type="dxa" w:w="1336"/>
          </w:tcPr>
          <w:p>
            <w:r>
              <w:rPr>
                <w:rFonts w:ascii="Times New Roman" w:hAnsi="Times New Roman"/>
                <w:sz w:val="24"/>
              </w:rPr>
              <w:t>142</w:t>
            </w:r>
          </w:p>
        </w:tc>
        <w:tc>
          <w:tcPr>
            <w:tcW w:type="dxa" w:w="1336"/>
          </w:tcPr>
          <w:p>
            <w:r>
              <w:rPr>
                <w:rFonts w:ascii="Times New Roman" w:hAnsi="Times New Roman"/>
                <w:sz w:val="24"/>
              </w:rPr>
              <w:t>26</w:t>
            </w:r>
          </w:p>
        </w:tc>
        <w:tc>
          <w:tcPr>
            <w:tcW w:type="dxa" w:w="1336"/>
          </w:tcPr>
          <w:p>
            <w:r>
              <w:rPr>
                <w:rFonts w:ascii="Times New Roman" w:hAnsi="Times New Roman"/>
                <w:sz w:val="24"/>
              </w:rPr>
              <w:t>35</w:t>
            </w:r>
          </w:p>
        </w:tc>
        <w:tc>
          <w:tcPr>
            <w:tcW w:type="dxa" w:w="1336"/>
          </w:tcPr>
          <w:p>
            <w:r>
              <w:rPr>
                <w:rFonts w:ascii="Times New Roman" w:hAnsi="Times New Roman"/>
                <w:sz w:val="24"/>
              </w:rPr>
              <w:t>20,8</w:t>
            </w:r>
          </w:p>
        </w:tc>
        <w:tc>
          <w:tcPr>
            <w:tcW w:type="dxa" w:w="1336"/>
          </w:tcPr>
          <w:p>
            <w:r>
              <w:rPr>
                <w:rFonts w:ascii="Times New Roman" w:hAnsi="Times New Roman"/>
                <w:sz w:val="24"/>
              </w:rPr>
              <w:t>15,5</w:t>
            </w:r>
          </w:p>
        </w:tc>
      </w:tr>
      <w:tr>
        <w:tc>
          <w:tcPr>
            <w:tcW w:type="dxa" w:w="1336"/>
          </w:tcPr>
          <w:p>
            <w:r>
              <w:rPr>
                <w:rFonts w:ascii="Times New Roman" w:hAnsi="Times New Roman"/>
                <w:sz w:val="24"/>
              </w:rPr>
              <w:t>2024</w:t>
            </w:r>
          </w:p>
        </w:tc>
        <w:tc>
          <w:tcPr>
            <w:tcW w:type="dxa" w:w="1336"/>
          </w:tcPr>
          <w:p>
            <w:r>
              <w:rPr>
                <w:rFonts w:ascii="Times New Roman" w:hAnsi="Times New Roman"/>
                <w:sz w:val="24"/>
              </w:rPr>
              <w:t>185</w:t>
            </w:r>
          </w:p>
        </w:tc>
        <w:tc>
          <w:tcPr>
            <w:tcW w:type="dxa" w:w="1336"/>
          </w:tcPr>
          <w:p>
            <w:r>
              <w:rPr>
                <w:rFonts w:ascii="Times New Roman" w:hAnsi="Times New Roman"/>
                <w:sz w:val="24"/>
              </w:rPr>
              <w:t>158</w:t>
            </w:r>
          </w:p>
        </w:tc>
        <w:tc>
          <w:tcPr>
            <w:tcW w:type="dxa" w:w="1336"/>
          </w:tcPr>
          <w:p>
            <w:r>
              <w:rPr>
                <w:rFonts w:ascii="Times New Roman" w:hAnsi="Times New Roman"/>
                <w:sz w:val="24"/>
              </w:rPr>
              <w:t>27</w:t>
            </w:r>
          </w:p>
        </w:tc>
        <w:tc>
          <w:tcPr>
            <w:tcW w:type="dxa" w:w="1336"/>
          </w:tcPr>
          <w:p>
            <w:r>
              <w:rPr>
                <w:rFonts w:ascii="Times New Roman" w:hAnsi="Times New Roman"/>
                <w:sz w:val="24"/>
              </w:rPr>
              <w:t>42</w:t>
            </w:r>
          </w:p>
        </w:tc>
        <w:tc>
          <w:tcPr>
            <w:tcW w:type="dxa" w:w="1336"/>
          </w:tcPr>
          <w:p>
            <w:r>
              <w:rPr>
                <w:rFonts w:ascii="Times New Roman" w:hAnsi="Times New Roman"/>
                <w:sz w:val="24"/>
              </w:rPr>
              <w:t>22,7</w:t>
            </w:r>
          </w:p>
        </w:tc>
        <w:tc>
          <w:tcPr>
            <w:tcW w:type="dxa" w:w="1336"/>
          </w:tcPr>
          <w:p>
            <w:r>
              <w:rPr>
                <w:rFonts w:ascii="Times New Roman" w:hAnsi="Times New Roman"/>
                <w:sz w:val="24"/>
              </w:rPr>
              <w:t>14,6</w:t>
            </w:r>
          </w:p>
        </w:tc>
      </w:tr>
      <w:tr>
        <w:tc>
          <w:tcPr>
            <w:tcW w:type="dxa" w:w="1336"/>
          </w:tcPr>
          <w:p>
            <w:r>
              <w:rPr>
                <w:rFonts w:ascii="Times New Roman" w:hAnsi="Times New Roman"/>
                <w:sz w:val="24"/>
              </w:rPr>
              <w:t>2025</w:t>
            </w:r>
          </w:p>
        </w:tc>
        <w:tc>
          <w:tcPr>
            <w:tcW w:type="dxa" w:w="1336"/>
          </w:tcPr>
          <w:p>
            <w:r>
              <w:rPr>
                <w:rFonts w:ascii="Times New Roman" w:hAnsi="Times New Roman"/>
                <w:sz w:val="24"/>
              </w:rPr>
              <w:t>152</w:t>
            </w:r>
          </w:p>
        </w:tc>
        <w:tc>
          <w:tcPr>
            <w:tcW w:type="dxa" w:w="1336"/>
          </w:tcPr>
          <w:p>
            <w:r>
              <w:rPr>
                <w:rFonts w:ascii="Times New Roman" w:hAnsi="Times New Roman"/>
                <w:sz w:val="24"/>
              </w:rPr>
              <w:t>128</w:t>
            </w:r>
          </w:p>
        </w:tc>
        <w:tc>
          <w:tcPr>
            <w:tcW w:type="dxa" w:w="1336"/>
          </w:tcPr>
          <w:p>
            <w:r>
              <w:rPr>
                <w:rFonts w:ascii="Times New Roman" w:hAnsi="Times New Roman"/>
                <w:sz w:val="24"/>
              </w:rPr>
              <w:t>24</w:t>
            </w:r>
          </w:p>
        </w:tc>
        <w:tc>
          <w:tcPr>
            <w:tcW w:type="dxa" w:w="1336"/>
          </w:tcPr>
          <w:p>
            <w:r>
              <w:rPr>
                <w:rFonts w:ascii="Times New Roman" w:hAnsi="Times New Roman"/>
                <w:sz w:val="24"/>
              </w:rPr>
              <w:t>35</w:t>
            </w:r>
          </w:p>
        </w:tc>
        <w:tc>
          <w:tcPr>
            <w:tcW w:type="dxa" w:w="1336"/>
          </w:tcPr>
          <w:p>
            <w:r>
              <w:rPr>
                <w:rFonts w:ascii="Times New Roman" w:hAnsi="Times New Roman"/>
                <w:sz w:val="24"/>
              </w:rPr>
              <w:t>23,0</w:t>
            </w:r>
          </w:p>
        </w:tc>
        <w:tc>
          <w:tcPr>
            <w:tcW w:type="dxa" w:w="1336"/>
          </w:tcPr>
          <w:p>
            <w:r>
              <w:rPr>
                <w:rFonts w:ascii="Times New Roman" w:hAnsi="Times New Roman"/>
                <w:sz w:val="24"/>
              </w:rPr>
              <w:t>15,8</w:t>
            </w:r>
          </w:p>
        </w:tc>
      </w:tr>
    </w:tbl>
    <w:p>
      <w:pPr>
        <w:spacing w:after="120" w:line="360" w:lineRule="auto"/>
      </w:pPr>
      <w:r>
        <w:rPr>
          <w:rFonts w:ascii="Times New Roman" w:hAnsi="Times New Roman"/>
          <w:b w:val="0"/>
          <w:i w:val="0"/>
          <w:sz w:val="28"/>
        </w:rPr>
      </w:r>
    </w:p>
    <w:p>
      <w:pPr>
        <w:spacing w:after="120" w:line="360" w:lineRule="auto"/>
        <w:ind w:firstLine="700"/>
      </w:pPr>
      <w:r>
        <w:rPr>
          <w:rFonts w:ascii="Times New Roman" w:hAnsi="Times New Roman"/>
          <w:b w:val="0"/>
          <w:i w:val="0"/>
          <w:sz w:val="28"/>
        </w:rPr>
        <w:t>Данные таблицы показывают, что доля выигранных тендеров за анализируемый период находится примерно на одном уровне: от 20,8% в 2023 году до 23,0% в 2025 году. Небольшой рост конверсии сам по себе не свидетельствует о качественном развитии системы подготовки персонала, поскольку одновременно сохраняется высокая доля заявок, отклоненных еще до стадии торгов. В 2023 году таких заявок было 26, в 2024 году — 27, в 2025 году — 24. В относительном выражении показатель отклонений держится в диапазоне 14,6-15,8%.</w:t>
      </w:r>
    </w:p>
    <w:p>
      <w:pPr>
        <w:spacing w:after="120" w:line="360" w:lineRule="auto"/>
        <w:ind w:firstLine="700"/>
      </w:pPr>
      <w:r>
        <w:rPr>
          <w:rFonts w:ascii="Times New Roman" w:hAnsi="Times New Roman"/>
          <w:b w:val="0"/>
          <w:i w:val="0"/>
          <w:sz w:val="28"/>
        </w:rPr>
        <w:t>Для тендерной деятельности отклонение заявки на этапе допуска является особенно значимым показателем. Если компания проигрывает торги по цене или условиям исполнения, это может быть связано с рыночной конкуренцией. Но если заявка не допускается до торгов, то причина чаще всего находится внутри процесса подготовки: неправильно выбранная форма документа, отсутствие обязательного файла, некорректная электронная подпись, арифметическая ошибка, неверное толкование требования заказчика. Такие ошибки относятся к управляемым, то есть их можно выявлять, учитывать и снижать за счет стандартизации работы и накопления знаний внутри отдела.</w:t>
      </w:r>
    </w:p>
    <w:p>
      <w:pPr>
        <w:spacing w:after="120" w:line="360" w:lineRule="auto"/>
        <w:ind w:firstLine="700"/>
      </w:pPr>
      <w:r>
        <w:rPr>
          <w:rFonts w:ascii="Times New Roman" w:hAnsi="Times New Roman"/>
          <w:b w:val="0"/>
          <w:i w:val="0"/>
          <w:sz w:val="28"/>
        </w:rPr>
        <w:t>Для более точного понимания характера проблем были обобщены причины отклонения заявок за 2023-2025 годы. Всего за три года было выявлено 77 случаев отклонения заявок на этапе допуска. Анализ причин показывает, что ошибки распределяются по нескольким устойчивым группам.</w:t>
      </w:r>
    </w:p>
    <w:p>
      <w:pPr>
        <w:spacing w:after="120" w:line="360" w:lineRule="auto"/>
        <w:ind w:firstLine="700"/>
        <w:jc w:val="center"/>
      </w:pPr>
      <w:r>
        <w:rPr>
          <w:rFonts w:ascii="Times New Roman" w:hAnsi="Times New Roman"/>
          <w:b w:val="0"/>
          <w:i w:val="0"/>
          <w:sz w:val="28"/>
        </w:rPr>
        <w:t>Таблица 3.3. Структура причин отклонения заявок ООО «Лайф Медиа» за 2023-2025 гг.</w:t>
      </w:r>
    </w:p>
    <w:tbl>
      <w:tblPr>
        <w:tblStyle w:val="6"/>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b/>
                <w:sz w:val="24"/>
              </w:rPr>
              <w:t>Группа ошибок</w:t>
            </w:r>
          </w:p>
        </w:tc>
        <w:tc>
          <w:tcPr>
            <w:tcW w:type="dxa" w:w="2339"/>
          </w:tcPr>
          <w:p>
            <w:r>
              <w:rPr>
                <w:rFonts w:ascii="Times New Roman" w:hAnsi="Times New Roman"/>
                <w:b/>
                <w:sz w:val="24"/>
              </w:rPr>
              <w:t>Количество случаев</w:t>
            </w:r>
          </w:p>
        </w:tc>
        <w:tc>
          <w:tcPr>
            <w:tcW w:type="dxa" w:w="2339"/>
          </w:tcPr>
          <w:p>
            <w:r>
              <w:rPr>
                <w:rFonts w:ascii="Times New Roman" w:hAnsi="Times New Roman"/>
                <w:b/>
                <w:sz w:val="24"/>
              </w:rPr>
              <w:t>Доля, %</w:t>
            </w:r>
          </w:p>
        </w:tc>
        <w:tc>
          <w:tcPr>
            <w:tcW w:type="dxa" w:w="2339"/>
          </w:tcPr>
          <w:p>
            <w:r>
              <w:rPr>
                <w:rFonts w:ascii="Times New Roman" w:hAnsi="Times New Roman"/>
                <w:b/>
                <w:sz w:val="24"/>
              </w:rPr>
              <w:t>Содержание ошибки</w:t>
            </w:r>
          </w:p>
        </w:tc>
      </w:tr>
      <w:tr>
        <w:tc>
          <w:tcPr>
            <w:tcW w:type="dxa" w:w="2339"/>
          </w:tcPr>
          <w:p>
            <w:r>
              <w:rPr>
                <w:rFonts w:ascii="Times New Roman" w:hAnsi="Times New Roman"/>
                <w:sz w:val="24"/>
              </w:rPr>
              <w:t>Ошибки, связанные с требованиями законодательства и документации</w:t>
            </w:r>
          </w:p>
        </w:tc>
        <w:tc>
          <w:tcPr>
            <w:tcW w:type="dxa" w:w="2339"/>
          </w:tcPr>
          <w:p>
            <w:r>
              <w:rPr>
                <w:rFonts w:ascii="Times New Roman" w:hAnsi="Times New Roman"/>
                <w:sz w:val="24"/>
              </w:rPr>
              <w:t>25</w:t>
            </w:r>
          </w:p>
        </w:tc>
        <w:tc>
          <w:tcPr>
            <w:tcW w:type="dxa" w:w="2339"/>
          </w:tcPr>
          <w:p>
            <w:r>
              <w:rPr>
                <w:rFonts w:ascii="Times New Roman" w:hAnsi="Times New Roman"/>
                <w:sz w:val="24"/>
              </w:rPr>
              <w:t>32,5</w:t>
            </w:r>
          </w:p>
        </w:tc>
        <w:tc>
          <w:tcPr>
            <w:tcW w:type="dxa" w:w="2339"/>
          </w:tcPr>
          <w:p>
            <w:r>
              <w:rPr>
                <w:rFonts w:ascii="Times New Roman" w:hAnsi="Times New Roman"/>
                <w:sz w:val="24"/>
              </w:rPr>
              <w:t>Неверное применение требований 44-ФЗ/223-ФЗ, использование устаревших форм, неполное подтверждение опыта</w:t>
            </w:r>
          </w:p>
        </w:tc>
      </w:tr>
      <w:tr>
        <w:tc>
          <w:tcPr>
            <w:tcW w:type="dxa" w:w="2339"/>
          </w:tcPr>
          <w:p>
            <w:r>
              <w:rPr>
                <w:rFonts w:ascii="Times New Roman" w:hAnsi="Times New Roman"/>
                <w:sz w:val="24"/>
              </w:rPr>
              <w:t>Технические ошибки при работе с ЭТП</w:t>
            </w:r>
          </w:p>
        </w:tc>
        <w:tc>
          <w:tcPr>
            <w:tcW w:type="dxa" w:w="2339"/>
          </w:tcPr>
          <w:p>
            <w:r>
              <w:rPr>
                <w:rFonts w:ascii="Times New Roman" w:hAnsi="Times New Roman"/>
                <w:sz w:val="24"/>
              </w:rPr>
              <w:t>28</w:t>
            </w:r>
          </w:p>
        </w:tc>
        <w:tc>
          <w:tcPr>
            <w:tcW w:type="dxa" w:w="2339"/>
          </w:tcPr>
          <w:p>
            <w:r>
              <w:rPr>
                <w:rFonts w:ascii="Times New Roman" w:hAnsi="Times New Roman"/>
                <w:sz w:val="24"/>
              </w:rPr>
              <w:t>36,4</w:t>
            </w:r>
          </w:p>
        </w:tc>
        <w:tc>
          <w:tcPr>
            <w:tcW w:type="dxa" w:w="2339"/>
          </w:tcPr>
          <w:p>
            <w:r>
              <w:rPr>
                <w:rFonts w:ascii="Times New Roman" w:hAnsi="Times New Roman"/>
                <w:sz w:val="24"/>
              </w:rPr>
              <w:t>Неполная загрузка документов, неверный формат файла, ошибки при подписании электронной подписью</w:t>
            </w:r>
          </w:p>
        </w:tc>
      </w:tr>
      <w:tr>
        <w:tc>
          <w:tcPr>
            <w:tcW w:type="dxa" w:w="2339"/>
          </w:tcPr>
          <w:p>
            <w:r>
              <w:rPr>
                <w:rFonts w:ascii="Times New Roman" w:hAnsi="Times New Roman"/>
                <w:sz w:val="24"/>
              </w:rPr>
              <w:t>Ошибки в расчетах и ценовом предложении</w:t>
            </w:r>
          </w:p>
        </w:tc>
        <w:tc>
          <w:tcPr>
            <w:tcW w:type="dxa" w:w="2339"/>
          </w:tcPr>
          <w:p>
            <w:r>
              <w:rPr>
                <w:rFonts w:ascii="Times New Roman" w:hAnsi="Times New Roman"/>
                <w:sz w:val="24"/>
              </w:rPr>
              <w:t>14</w:t>
            </w:r>
          </w:p>
        </w:tc>
        <w:tc>
          <w:tcPr>
            <w:tcW w:type="dxa" w:w="2339"/>
          </w:tcPr>
          <w:p>
            <w:r>
              <w:rPr>
                <w:rFonts w:ascii="Times New Roman" w:hAnsi="Times New Roman"/>
                <w:sz w:val="24"/>
              </w:rPr>
              <w:t>18,2</w:t>
            </w:r>
          </w:p>
        </w:tc>
        <w:tc>
          <w:tcPr>
            <w:tcW w:type="dxa" w:w="2339"/>
          </w:tcPr>
          <w:p>
            <w:r>
              <w:rPr>
                <w:rFonts w:ascii="Times New Roman" w:hAnsi="Times New Roman"/>
                <w:sz w:val="24"/>
              </w:rPr>
              <w:t>Несоответствие итоговой суммы, арифметические расхождения, некорректное отражение НДС</w:t>
            </w:r>
          </w:p>
        </w:tc>
      </w:tr>
      <w:tr>
        <w:tc>
          <w:tcPr>
            <w:tcW w:type="dxa" w:w="2339"/>
          </w:tcPr>
          <w:p>
            <w:r>
              <w:rPr>
                <w:rFonts w:ascii="Times New Roman" w:hAnsi="Times New Roman"/>
                <w:sz w:val="24"/>
              </w:rPr>
              <w:t>Организационные ошибки подготовки заявки</w:t>
            </w:r>
          </w:p>
        </w:tc>
        <w:tc>
          <w:tcPr>
            <w:tcW w:type="dxa" w:w="2339"/>
          </w:tcPr>
          <w:p>
            <w:r>
              <w:rPr>
                <w:rFonts w:ascii="Times New Roman" w:hAnsi="Times New Roman"/>
                <w:sz w:val="24"/>
              </w:rPr>
              <w:t>10</w:t>
            </w:r>
          </w:p>
        </w:tc>
        <w:tc>
          <w:tcPr>
            <w:tcW w:type="dxa" w:w="2339"/>
          </w:tcPr>
          <w:p>
            <w:r>
              <w:rPr>
                <w:rFonts w:ascii="Times New Roman" w:hAnsi="Times New Roman"/>
                <w:sz w:val="24"/>
              </w:rPr>
              <w:t>12,9</w:t>
            </w:r>
          </w:p>
        </w:tc>
        <w:tc>
          <w:tcPr>
            <w:tcW w:type="dxa" w:w="2339"/>
          </w:tcPr>
          <w:p>
            <w:r>
              <w:rPr>
                <w:rFonts w:ascii="Times New Roman" w:hAnsi="Times New Roman"/>
                <w:sz w:val="24"/>
              </w:rPr>
              <w:t>Нарушение внутренней последовательности проверки, отсутствие финального контроля перед отправкой</w:t>
            </w:r>
          </w:p>
        </w:tc>
      </w:tr>
      <w:tr>
        <w:tc>
          <w:tcPr>
            <w:tcW w:type="dxa" w:w="2339"/>
          </w:tcPr>
          <w:p>
            <w:r>
              <w:rPr>
                <w:rFonts w:ascii="Times New Roman" w:hAnsi="Times New Roman"/>
                <w:sz w:val="24"/>
              </w:rPr>
              <w:t>Итого</w:t>
            </w:r>
          </w:p>
        </w:tc>
        <w:tc>
          <w:tcPr>
            <w:tcW w:type="dxa" w:w="2339"/>
          </w:tcPr>
          <w:p>
            <w:r>
              <w:rPr>
                <w:rFonts w:ascii="Times New Roman" w:hAnsi="Times New Roman"/>
                <w:sz w:val="24"/>
              </w:rPr>
              <w:t>77</w:t>
            </w:r>
          </w:p>
        </w:tc>
        <w:tc>
          <w:tcPr>
            <w:tcW w:type="dxa" w:w="2339"/>
          </w:tcPr>
          <w:p>
            <w:r>
              <w:rPr>
                <w:rFonts w:ascii="Times New Roman" w:hAnsi="Times New Roman"/>
                <w:sz w:val="24"/>
              </w:rPr>
              <w:t>100,0</w:t>
            </w:r>
          </w:p>
        </w:tc>
        <w:tc>
          <w:tcPr>
            <w:tcW w:type="dxa" w:w="2339"/>
          </w:tcPr>
          <w:p>
            <w:r>
              <w:rPr>
                <w:rFonts w:ascii="Times New Roman" w:hAnsi="Times New Roman"/>
                <w:sz w:val="24"/>
              </w:rPr>
              <w:t>-</w:t>
            </w:r>
          </w:p>
        </w:tc>
      </w:tr>
    </w:tbl>
    <w:p>
      <w:pPr>
        <w:spacing w:after="120" w:line="360" w:lineRule="auto"/>
      </w:pPr>
      <w:r>
        <w:rPr>
          <w:rFonts w:ascii="Times New Roman" w:hAnsi="Times New Roman"/>
          <w:b w:val="0"/>
          <w:i w:val="0"/>
          <w:sz w:val="28"/>
        </w:rPr>
      </w:r>
    </w:p>
    <w:p>
      <w:pPr>
        <w:spacing w:after="120" w:line="360" w:lineRule="auto"/>
        <w:ind w:firstLine="700"/>
      </w:pPr>
      <w:r>
        <w:rPr>
          <w:rFonts w:ascii="Times New Roman" w:hAnsi="Times New Roman"/>
          <w:b w:val="0"/>
          <w:i w:val="0"/>
          <w:sz w:val="28"/>
        </w:rPr>
        <w:t>Наибольшая доля приходится на технические ошибки при работе с электронными торговыми площадками — 36,4%. Это означает, что значительная часть отклонений связана не с отсутствием коммерческой возможности выиграть контракт, а с процедурными нарушениями при подаче заявки. Второе место занимают ошибки, связанные с законодательством и требованиями документации, — 32,5%. Такая структура показывает, что сотрудники сталкиваются с трудностями как в содержательной части подготовки заявки, так и в техническом оформлении документов.</w:t>
      </w:r>
    </w:p>
    <w:p>
      <w:pPr>
        <w:spacing w:after="120" w:line="360" w:lineRule="auto"/>
        <w:ind w:firstLine="700"/>
      </w:pPr>
      <w:r>
        <w:rPr>
          <w:rFonts w:ascii="Times New Roman" w:hAnsi="Times New Roman"/>
          <w:b w:val="0"/>
          <w:i w:val="0"/>
          <w:sz w:val="28"/>
        </w:rPr>
        <w:t>Примером ошибки первой группы является ситуация, когда в закупке требовалось подтвердить опыт исполнения контракта на определенную сумму, но специалист приложил договор без корректного учета НДС. Сотрудник исходил из собственного понимания суммы, тогда как заказчик оценивал документ по фактически указанным условиям. В результате заявка не прошла допуск. Подобные случаи показывают, что проблема находится не только в невнимательности, но и в недостаточном понимании логики проверки документов заказчиком.</w:t>
      </w:r>
    </w:p>
    <w:p>
      <w:pPr>
        <w:spacing w:after="120" w:line="360" w:lineRule="auto"/>
        <w:ind w:firstLine="700"/>
      </w:pPr>
      <w:r>
        <w:rPr>
          <w:rFonts w:ascii="Times New Roman" w:hAnsi="Times New Roman"/>
          <w:b w:val="0"/>
          <w:i w:val="0"/>
          <w:sz w:val="28"/>
        </w:rPr>
        <w:t>Другой пример связан с использованием устаревшей формы декларации. В 2025 году часть заявок была отклонена из-за того, что сотрудник взял шаблон из общей папки, где находилась форма прошлого периода. Так как порядок обновления шаблонов не закреплен, сотрудник формально использовал доступный документ, но этот документ уже не соответствовал актуальным требованиям. Такая ошибка демонстрирует связь между отсутствием единой базы актуальных материалов и качеством подготовки заявок.</w:t>
      </w:r>
    </w:p>
    <w:p>
      <w:pPr>
        <w:spacing w:after="120" w:line="360" w:lineRule="auto"/>
        <w:ind w:firstLine="700"/>
      </w:pPr>
      <w:r>
        <w:rPr>
          <w:rFonts w:ascii="Times New Roman" w:hAnsi="Times New Roman"/>
          <w:b w:val="0"/>
          <w:i w:val="0"/>
          <w:sz w:val="28"/>
        </w:rPr>
        <w:t>Технические ошибки также имеют повторяющийся характер. В отдельных случаях сотрудники загружали не полный комплект документов, выбирали неверный формат файла или подписывали заявку до завершения загрузки всех приложений. Эти нарушения можно обнаружить при финальной проверке, однако в компании отсутствует единый обязательный порядок такой проверки. Поэтому качество заявки зависит от личной внимательности специалиста, а не от закрепленного алгоритма работы.</w:t>
      </w:r>
    </w:p>
    <w:p>
      <w:pPr>
        <w:spacing w:after="120" w:line="360" w:lineRule="auto"/>
        <w:ind w:firstLine="700"/>
      </w:pPr>
      <w:r>
        <w:rPr>
          <w:rFonts w:ascii="Times New Roman" w:hAnsi="Times New Roman"/>
          <w:b w:val="0"/>
          <w:i w:val="0"/>
          <w:sz w:val="28"/>
        </w:rPr>
        <w:t>Ошибки в расчетах составляют меньшую долю, но имеют существенное значение, поскольку связаны с финансовой частью заявки. Арифметические расхождения между суммой позиций и итоговой ценой создают риск признания информации недостоверной. Для компании, которая работает с тендерами и рассчитывает маржу по каждому лоту, такие ошибки затрагивают не только допуск к торгам, но и общую надежность экономического анализа закупки.</w:t>
      </w:r>
    </w:p>
    <w:p>
      <w:pPr>
        <w:spacing w:after="120" w:line="360" w:lineRule="auto"/>
        <w:ind w:firstLine="700"/>
      </w:pPr>
      <w:r>
        <w:rPr>
          <w:rFonts w:ascii="Times New Roman" w:hAnsi="Times New Roman"/>
          <w:b w:val="0"/>
          <w:i w:val="0"/>
          <w:sz w:val="28"/>
        </w:rPr>
        <w:t>Следовательно, результаты тендерной деятельности подтверждают, что отсутствие системы обучения проявляется не абстрактно, а через конкретные рабочие последствия: повторяемость однотипных ошибок, сохранение доли отклоненных заявок на уровне около 15%, зависимость качества подготовки от индивидуального опыта и отсутствие накопления общего знания внутри отдела. При этом сам факт повторения ошибок в течение трех лет показывает, что устные объяснения и разовые вебинары не обеспечивают устойчивого изменения рабочих практик.</w:t>
      </w:r>
    </w:p>
    <w:p>
      <w:pPr>
        <w:spacing w:after="120" w:line="360" w:lineRule="auto"/>
        <w:jc w:val="center"/>
      </w:pPr>
      <w:r>
        <w:rPr>
          <w:rFonts w:ascii="Times New Roman" w:hAnsi="Times New Roman"/>
          <w:b/>
          <w:i w:val="0"/>
          <w:sz w:val="28"/>
        </w:rPr>
        <w:t>3.3. Опрос сотрудников тендерного отдела о состоянии обучения и потребностях в профессиональном развитии</w:t>
      </w:r>
    </w:p>
    <w:p>
      <w:pPr>
        <w:spacing w:after="120" w:line="360" w:lineRule="auto"/>
        <w:ind w:firstLine="700"/>
      </w:pPr>
      <w:r>
        <w:rPr>
          <w:rFonts w:ascii="Times New Roman" w:hAnsi="Times New Roman"/>
          <w:b w:val="0"/>
          <w:i w:val="0"/>
          <w:sz w:val="28"/>
        </w:rPr>
        <w:t>Для уточнения внутренней оценки ситуации был проведен опрос сотрудников тендерного отдела ООО «Лайф Медиа». В опросе участвовали все 8 специалистов отдела. Цель опроса состояла в том, чтобы определить, как сами сотрудники оценивают действующий порядок обучения, какие источники знаний используют в работе, с какими трудностями сталкиваются и какие профессиональные темы считают наиболее значимыми для дальнейшего освоения. Опрос носил диагностический характер и не был направлен на разработку рекомендаций.</w:t>
      </w:r>
    </w:p>
    <w:p>
      <w:pPr>
        <w:spacing w:after="120" w:line="360" w:lineRule="auto"/>
        <w:ind w:firstLine="700"/>
      </w:pPr>
      <w:r>
        <w:rPr>
          <w:rFonts w:ascii="Times New Roman" w:hAnsi="Times New Roman"/>
          <w:b w:val="0"/>
          <w:i w:val="0"/>
          <w:sz w:val="28"/>
        </w:rPr>
        <w:t>Анкета включала вопросы закрытого и полузакрытого типа. Сотрудники отвечали анонимно, чтобы снизить влияние должностной зависимости и получить более точные ответы. Вопросы были сгруппированы по четырем блокам: наличие системы обучения, источники получения знаний, трудности в работе и профессиональные потребности сотрудников.</w:t>
      </w:r>
    </w:p>
    <w:p>
      <w:pPr>
        <w:spacing w:after="120" w:line="360" w:lineRule="auto"/>
        <w:ind w:firstLine="700"/>
        <w:jc w:val="center"/>
      </w:pPr>
      <w:r>
        <w:rPr>
          <w:rFonts w:ascii="Times New Roman" w:hAnsi="Times New Roman"/>
          <w:b w:val="0"/>
          <w:i w:val="0"/>
          <w:sz w:val="28"/>
        </w:rPr>
        <w:t>Таблица 3.4. Общая оценка сотрудниками состояния обучения в тендерном отделе</w:t>
      </w:r>
    </w:p>
    <w:tbl>
      <w:tblPr>
        <w:tblStyle w:val="6"/>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b/>
                <w:sz w:val="24"/>
              </w:rPr>
              <w:t>Вопрос анкеты</w:t>
            </w:r>
          </w:p>
        </w:tc>
        <w:tc>
          <w:tcPr>
            <w:tcW w:type="dxa" w:w="2339"/>
          </w:tcPr>
          <w:p>
            <w:r>
              <w:rPr>
                <w:rFonts w:ascii="Times New Roman" w:hAnsi="Times New Roman"/>
                <w:b/>
                <w:sz w:val="24"/>
              </w:rPr>
              <w:t>Вариант ответа</w:t>
            </w:r>
          </w:p>
        </w:tc>
        <w:tc>
          <w:tcPr>
            <w:tcW w:type="dxa" w:w="2339"/>
          </w:tcPr>
          <w:p>
            <w:r>
              <w:rPr>
                <w:rFonts w:ascii="Times New Roman" w:hAnsi="Times New Roman"/>
                <w:b/>
                <w:sz w:val="24"/>
              </w:rPr>
              <w:t>Количество ответов</w:t>
            </w:r>
          </w:p>
        </w:tc>
        <w:tc>
          <w:tcPr>
            <w:tcW w:type="dxa" w:w="2339"/>
          </w:tcPr>
          <w:p>
            <w:r>
              <w:rPr>
                <w:rFonts w:ascii="Times New Roman" w:hAnsi="Times New Roman"/>
                <w:b/>
                <w:sz w:val="24"/>
              </w:rPr>
              <w:t>Доля, %</w:t>
            </w:r>
          </w:p>
        </w:tc>
      </w:tr>
      <w:tr>
        <w:tc>
          <w:tcPr>
            <w:tcW w:type="dxa" w:w="2339"/>
          </w:tcPr>
          <w:p>
            <w:r>
              <w:rPr>
                <w:rFonts w:ascii="Times New Roman" w:hAnsi="Times New Roman"/>
                <w:sz w:val="24"/>
              </w:rPr>
              <w:t>Есть ли в компании утвержденная программа обучения тендерных специалистов?</w:t>
            </w:r>
          </w:p>
        </w:tc>
        <w:tc>
          <w:tcPr>
            <w:tcW w:type="dxa" w:w="2339"/>
          </w:tcPr>
          <w:p>
            <w:r>
              <w:rPr>
                <w:rFonts w:ascii="Times New Roman" w:hAnsi="Times New Roman"/>
                <w:sz w:val="24"/>
              </w:rPr>
              <w:t>Да</w:t>
            </w:r>
          </w:p>
        </w:tc>
        <w:tc>
          <w:tcPr>
            <w:tcW w:type="dxa" w:w="2339"/>
          </w:tcPr>
          <w:p>
            <w:r>
              <w:rPr>
                <w:rFonts w:ascii="Times New Roman" w:hAnsi="Times New Roman"/>
                <w:sz w:val="24"/>
              </w:rPr>
              <w:t>0</w:t>
            </w:r>
          </w:p>
        </w:tc>
        <w:tc>
          <w:tcPr>
            <w:tcW w:type="dxa" w:w="2339"/>
          </w:tcPr>
          <w:p>
            <w:r>
              <w:rPr>
                <w:rFonts w:ascii="Times New Roman" w:hAnsi="Times New Roman"/>
                <w:sz w:val="24"/>
              </w:rPr>
              <w:t>0,0</w:t>
            </w:r>
          </w:p>
        </w:tc>
      </w:tr>
      <w:tr>
        <w:tc>
          <w:tcPr>
            <w:tcW w:type="dxa" w:w="2339"/>
          </w:tcPr>
          <w:p>
            <w:r>
              <w:rPr>
                <w:rFonts w:ascii="Times New Roman" w:hAnsi="Times New Roman"/>
                <w:sz w:val="24"/>
              </w:rPr>
              <w:t>Есть ли в компании утвержденная программа обучения тендерных специалистов?</w:t>
            </w:r>
          </w:p>
        </w:tc>
        <w:tc>
          <w:tcPr>
            <w:tcW w:type="dxa" w:w="2339"/>
          </w:tcPr>
          <w:p>
            <w:r>
              <w:rPr>
                <w:rFonts w:ascii="Times New Roman" w:hAnsi="Times New Roman"/>
                <w:sz w:val="24"/>
              </w:rPr>
              <w:t>Нет</w:t>
            </w:r>
          </w:p>
        </w:tc>
        <w:tc>
          <w:tcPr>
            <w:tcW w:type="dxa" w:w="2339"/>
          </w:tcPr>
          <w:p>
            <w:r>
              <w:rPr>
                <w:rFonts w:ascii="Times New Roman" w:hAnsi="Times New Roman"/>
                <w:sz w:val="24"/>
              </w:rPr>
              <w:t>8</w:t>
            </w:r>
          </w:p>
        </w:tc>
        <w:tc>
          <w:tcPr>
            <w:tcW w:type="dxa" w:w="2339"/>
          </w:tcPr>
          <w:p>
            <w:r>
              <w:rPr>
                <w:rFonts w:ascii="Times New Roman" w:hAnsi="Times New Roman"/>
                <w:sz w:val="24"/>
              </w:rPr>
              <w:t>100,0</w:t>
            </w:r>
          </w:p>
        </w:tc>
      </w:tr>
      <w:tr>
        <w:tc>
          <w:tcPr>
            <w:tcW w:type="dxa" w:w="2339"/>
          </w:tcPr>
          <w:p>
            <w:r>
              <w:rPr>
                <w:rFonts w:ascii="Times New Roman" w:hAnsi="Times New Roman"/>
                <w:sz w:val="24"/>
              </w:rPr>
              <w:t>Проходили ли вы вводное обучение по единому плану при приеме на работу?</w:t>
            </w:r>
          </w:p>
        </w:tc>
        <w:tc>
          <w:tcPr>
            <w:tcW w:type="dxa" w:w="2339"/>
          </w:tcPr>
          <w:p>
            <w:r>
              <w:rPr>
                <w:rFonts w:ascii="Times New Roman" w:hAnsi="Times New Roman"/>
                <w:sz w:val="24"/>
              </w:rPr>
              <w:t>Да, полностью</w:t>
            </w:r>
          </w:p>
        </w:tc>
        <w:tc>
          <w:tcPr>
            <w:tcW w:type="dxa" w:w="2339"/>
          </w:tcPr>
          <w:p>
            <w:r>
              <w:rPr>
                <w:rFonts w:ascii="Times New Roman" w:hAnsi="Times New Roman"/>
                <w:sz w:val="24"/>
              </w:rPr>
              <w:t>0</w:t>
            </w:r>
          </w:p>
        </w:tc>
        <w:tc>
          <w:tcPr>
            <w:tcW w:type="dxa" w:w="2339"/>
          </w:tcPr>
          <w:p>
            <w:r>
              <w:rPr>
                <w:rFonts w:ascii="Times New Roman" w:hAnsi="Times New Roman"/>
                <w:sz w:val="24"/>
              </w:rPr>
              <w:t>0,0</w:t>
            </w:r>
          </w:p>
        </w:tc>
      </w:tr>
      <w:tr>
        <w:tc>
          <w:tcPr>
            <w:tcW w:type="dxa" w:w="2339"/>
          </w:tcPr>
          <w:p>
            <w:r>
              <w:rPr>
                <w:rFonts w:ascii="Times New Roman" w:hAnsi="Times New Roman"/>
                <w:sz w:val="24"/>
              </w:rPr>
              <w:t>Проходили ли вы вводное обучение по единому плану при приеме на работу?</w:t>
            </w:r>
          </w:p>
        </w:tc>
        <w:tc>
          <w:tcPr>
            <w:tcW w:type="dxa" w:w="2339"/>
          </w:tcPr>
          <w:p>
            <w:r>
              <w:rPr>
                <w:rFonts w:ascii="Times New Roman" w:hAnsi="Times New Roman"/>
                <w:sz w:val="24"/>
              </w:rPr>
              <w:t>Частично</w:t>
            </w:r>
          </w:p>
        </w:tc>
        <w:tc>
          <w:tcPr>
            <w:tcW w:type="dxa" w:w="2339"/>
          </w:tcPr>
          <w:p>
            <w:r>
              <w:rPr>
                <w:rFonts w:ascii="Times New Roman" w:hAnsi="Times New Roman"/>
                <w:sz w:val="24"/>
              </w:rPr>
              <w:t>2</w:t>
            </w:r>
          </w:p>
        </w:tc>
        <w:tc>
          <w:tcPr>
            <w:tcW w:type="dxa" w:w="2339"/>
          </w:tcPr>
          <w:p>
            <w:r>
              <w:rPr>
                <w:rFonts w:ascii="Times New Roman" w:hAnsi="Times New Roman"/>
                <w:sz w:val="24"/>
              </w:rPr>
              <w:t>25,0</w:t>
            </w:r>
          </w:p>
        </w:tc>
      </w:tr>
      <w:tr>
        <w:tc>
          <w:tcPr>
            <w:tcW w:type="dxa" w:w="2339"/>
          </w:tcPr>
          <w:p>
            <w:r>
              <w:rPr>
                <w:rFonts w:ascii="Times New Roman" w:hAnsi="Times New Roman"/>
                <w:sz w:val="24"/>
              </w:rPr>
              <w:t>Проходили ли вы вводное обучение по единому плану при приеме на работу?</w:t>
            </w:r>
          </w:p>
        </w:tc>
        <w:tc>
          <w:tcPr>
            <w:tcW w:type="dxa" w:w="2339"/>
          </w:tcPr>
          <w:p>
            <w:r>
              <w:rPr>
                <w:rFonts w:ascii="Times New Roman" w:hAnsi="Times New Roman"/>
                <w:sz w:val="24"/>
              </w:rPr>
              <w:t>Нет</w:t>
            </w:r>
          </w:p>
        </w:tc>
        <w:tc>
          <w:tcPr>
            <w:tcW w:type="dxa" w:w="2339"/>
          </w:tcPr>
          <w:p>
            <w:r>
              <w:rPr>
                <w:rFonts w:ascii="Times New Roman" w:hAnsi="Times New Roman"/>
                <w:sz w:val="24"/>
              </w:rPr>
              <w:t>6</w:t>
            </w:r>
          </w:p>
        </w:tc>
        <w:tc>
          <w:tcPr>
            <w:tcW w:type="dxa" w:w="2339"/>
          </w:tcPr>
          <w:p>
            <w:r>
              <w:rPr>
                <w:rFonts w:ascii="Times New Roman" w:hAnsi="Times New Roman"/>
                <w:sz w:val="24"/>
              </w:rPr>
              <w:t>75,0</w:t>
            </w:r>
          </w:p>
        </w:tc>
      </w:tr>
      <w:tr>
        <w:tc>
          <w:tcPr>
            <w:tcW w:type="dxa" w:w="2339"/>
          </w:tcPr>
          <w:p>
            <w:r>
              <w:rPr>
                <w:rFonts w:ascii="Times New Roman" w:hAnsi="Times New Roman"/>
                <w:sz w:val="24"/>
              </w:rPr>
              <w:t>Проводится ли регулярная проверка знаний по 44-ФЗ/223-ФЗ и ЭТП?</w:t>
            </w:r>
          </w:p>
        </w:tc>
        <w:tc>
          <w:tcPr>
            <w:tcW w:type="dxa" w:w="2339"/>
          </w:tcPr>
          <w:p>
            <w:r>
              <w:rPr>
                <w:rFonts w:ascii="Times New Roman" w:hAnsi="Times New Roman"/>
                <w:sz w:val="24"/>
              </w:rPr>
              <w:t>Да</w:t>
            </w:r>
          </w:p>
        </w:tc>
        <w:tc>
          <w:tcPr>
            <w:tcW w:type="dxa" w:w="2339"/>
          </w:tcPr>
          <w:p>
            <w:r>
              <w:rPr>
                <w:rFonts w:ascii="Times New Roman" w:hAnsi="Times New Roman"/>
                <w:sz w:val="24"/>
              </w:rPr>
              <w:t>0</w:t>
            </w:r>
          </w:p>
        </w:tc>
        <w:tc>
          <w:tcPr>
            <w:tcW w:type="dxa" w:w="2339"/>
          </w:tcPr>
          <w:p>
            <w:r>
              <w:rPr>
                <w:rFonts w:ascii="Times New Roman" w:hAnsi="Times New Roman"/>
                <w:sz w:val="24"/>
              </w:rPr>
              <w:t>0,0</w:t>
            </w:r>
          </w:p>
        </w:tc>
      </w:tr>
      <w:tr>
        <w:tc>
          <w:tcPr>
            <w:tcW w:type="dxa" w:w="2339"/>
          </w:tcPr>
          <w:p>
            <w:r>
              <w:rPr>
                <w:rFonts w:ascii="Times New Roman" w:hAnsi="Times New Roman"/>
                <w:sz w:val="24"/>
              </w:rPr>
              <w:t>Проводится ли регулярная проверка знаний по 44-ФЗ/223-ФЗ и ЭТП?</w:t>
            </w:r>
          </w:p>
        </w:tc>
        <w:tc>
          <w:tcPr>
            <w:tcW w:type="dxa" w:w="2339"/>
          </w:tcPr>
          <w:p>
            <w:r>
              <w:rPr>
                <w:rFonts w:ascii="Times New Roman" w:hAnsi="Times New Roman"/>
                <w:sz w:val="24"/>
              </w:rPr>
              <w:t>Нет</w:t>
            </w:r>
          </w:p>
        </w:tc>
        <w:tc>
          <w:tcPr>
            <w:tcW w:type="dxa" w:w="2339"/>
          </w:tcPr>
          <w:p>
            <w:r>
              <w:rPr>
                <w:rFonts w:ascii="Times New Roman" w:hAnsi="Times New Roman"/>
                <w:sz w:val="24"/>
              </w:rPr>
              <w:t>8</w:t>
            </w:r>
          </w:p>
        </w:tc>
        <w:tc>
          <w:tcPr>
            <w:tcW w:type="dxa" w:w="2339"/>
          </w:tcPr>
          <w:p>
            <w:r>
              <w:rPr>
                <w:rFonts w:ascii="Times New Roman" w:hAnsi="Times New Roman"/>
                <w:sz w:val="24"/>
              </w:rPr>
              <w:t>100,0</w:t>
            </w:r>
          </w:p>
        </w:tc>
      </w:tr>
      <w:tr>
        <w:tc>
          <w:tcPr>
            <w:tcW w:type="dxa" w:w="2339"/>
          </w:tcPr>
          <w:p>
            <w:r>
              <w:rPr>
                <w:rFonts w:ascii="Times New Roman" w:hAnsi="Times New Roman"/>
                <w:sz w:val="24"/>
              </w:rPr>
              <w:t>Есть ли единая база актуальных шаблонов и инструкций?</w:t>
            </w:r>
          </w:p>
        </w:tc>
        <w:tc>
          <w:tcPr>
            <w:tcW w:type="dxa" w:w="2339"/>
          </w:tcPr>
          <w:p>
            <w:r>
              <w:rPr>
                <w:rFonts w:ascii="Times New Roman" w:hAnsi="Times New Roman"/>
                <w:sz w:val="24"/>
              </w:rPr>
              <w:t>Да, удобная и актуальная</w:t>
            </w:r>
          </w:p>
        </w:tc>
        <w:tc>
          <w:tcPr>
            <w:tcW w:type="dxa" w:w="2339"/>
          </w:tcPr>
          <w:p>
            <w:r>
              <w:rPr>
                <w:rFonts w:ascii="Times New Roman" w:hAnsi="Times New Roman"/>
                <w:sz w:val="24"/>
              </w:rPr>
              <w:t>0</w:t>
            </w:r>
          </w:p>
        </w:tc>
        <w:tc>
          <w:tcPr>
            <w:tcW w:type="dxa" w:w="2339"/>
          </w:tcPr>
          <w:p>
            <w:r>
              <w:rPr>
                <w:rFonts w:ascii="Times New Roman" w:hAnsi="Times New Roman"/>
                <w:sz w:val="24"/>
              </w:rPr>
              <w:t>0,0</w:t>
            </w:r>
          </w:p>
        </w:tc>
      </w:tr>
      <w:tr>
        <w:tc>
          <w:tcPr>
            <w:tcW w:type="dxa" w:w="2339"/>
          </w:tcPr>
          <w:p>
            <w:r>
              <w:rPr>
                <w:rFonts w:ascii="Times New Roman" w:hAnsi="Times New Roman"/>
                <w:sz w:val="24"/>
              </w:rPr>
              <w:t>Есть ли единая база актуальных шаблонов и инструкций?</w:t>
            </w:r>
          </w:p>
        </w:tc>
        <w:tc>
          <w:tcPr>
            <w:tcW w:type="dxa" w:w="2339"/>
          </w:tcPr>
          <w:p>
            <w:r>
              <w:rPr>
                <w:rFonts w:ascii="Times New Roman" w:hAnsi="Times New Roman"/>
                <w:sz w:val="24"/>
              </w:rPr>
              <w:t>Есть отдельные материалы, но они разрознены</w:t>
            </w:r>
          </w:p>
        </w:tc>
        <w:tc>
          <w:tcPr>
            <w:tcW w:type="dxa" w:w="2339"/>
          </w:tcPr>
          <w:p>
            <w:r>
              <w:rPr>
                <w:rFonts w:ascii="Times New Roman" w:hAnsi="Times New Roman"/>
                <w:sz w:val="24"/>
              </w:rPr>
              <w:t>6</w:t>
            </w:r>
          </w:p>
        </w:tc>
        <w:tc>
          <w:tcPr>
            <w:tcW w:type="dxa" w:w="2339"/>
          </w:tcPr>
          <w:p>
            <w:r>
              <w:rPr>
                <w:rFonts w:ascii="Times New Roman" w:hAnsi="Times New Roman"/>
                <w:sz w:val="24"/>
              </w:rPr>
              <w:t>75,0</w:t>
            </w:r>
          </w:p>
        </w:tc>
      </w:tr>
      <w:tr>
        <w:tc>
          <w:tcPr>
            <w:tcW w:type="dxa" w:w="2339"/>
          </w:tcPr>
          <w:p>
            <w:r>
              <w:rPr>
                <w:rFonts w:ascii="Times New Roman" w:hAnsi="Times New Roman"/>
                <w:sz w:val="24"/>
              </w:rPr>
              <w:t>Есть ли единая база актуальных шаблонов и инструкций?</w:t>
            </w:r>
          </w:p>
        </w:tc>
        <w:tc>
          <w:tcPr>
            <w:tcW w:type="dxa" w:w="2339"/>
          </w:tcPr>
          <w:p>
            <w:r>
              <w:rPr>
                <w:rFonts w:ascii="Times New Roman" w:hAnsi="Times New Roman"/>
                <w:sz w:val="24"/>
              </w:rPr>
              <w:t>Нет</w:t>
            </w:r>
          </w:p>
        </w:tc>
        <w:tc>
          <w:tcPr>
            <w:tcW w:type="dxa" w:w="2339"/>
          </w:tcPr>
          <w:p>
            <w:r>
              <w:rPr>
                <w:rFonts w:ascii="Times New Roman" w:hAnsi="Times New Roman"/>
                <w:sz w:val="24"/>
              </w:rPr>
              <w:t>2</w:t>
            </w:r>
          </w:p>
        </w:tc>
        <w:tc>
          <w:tcPr>
            <w:tcW w:type="dxa" w:w="2339"/>
          </w:tcPr>
          <w:p>
            <w:r>
              <w:rPr>
                <w:rFonts w:ascii="Times New Roman" w:hAnsi="Times New Roman"/>
                <w:sz w:val="24"/>
              </w:rPr>
              <w:t>25,0</w:t>
            </w:r>
          </w:p>
        </w:tc>
      </w:tr>
    </w:tbl>
    <w:p>
      <w:pPr>
        <w:spacing w:after="120" w:line="360" w:lineRule="auto"/>
      </w:pPr>
      <w:r>
        <w:rPr>
          <w:rFonts w:ascii="Times New Roman" w:hAnsi="Times New Roman"/>
          <w:b w:val="0"/>
          <w:i w:val="0"/>
          <w:sz w:val="28"/>
        </w:rPr>
      </w:r>
    </w:p>
    <w:p>
      <w:pPr>
        <w:spacing w:after="120" w:line="360" w:lineRule="auto"/>
        <w:ind w:firstLine="700"/>
      </w:pPr>
      <w:r>
        <w:rPr>
          <w:rFonts w:ascii="Times New Roman" w:hAnsi="Times New Roman"/>
          <w:b w:val="0"/>
          <w:i w:val="0"/>
          <w:sz w:val="28"/>
        </w:rPr>
        <w:t>Ответы сотрудников подтверждают вывод о том, что обучение в отделе не оформлено как система. Все 8 опрошенных указали, что утвержденной программы обучения нет. При этом 6 сотрудников из 8 сообщили, что не проходили вводное обучение по единому плану при приеме на работу. Еще 2 сотрудника отметили, что обучение было частичным и выражалось в объяснении отдельных задач, а не в последовательном освоении должности. Также все респонденты указали, что регулярная проверка знаний по законодательству и работе с электронными площадками не проводится.</w:t>
      </w:r>
    </w:p>
    <w:p>
      <w:pPr>
        <w:spacing w:after="120" w:line="360" w:lineRule="auto"/>
        <w:ind w:firstLine="700"/>
      </w:pPr>
      <w:r>
        <w:rPr>
          <w:rFonts w:ascii="Times New Roman" w:hAnsi="Times New Roman"/>
          <w:b w:val="0"/>
          <w:i w:val="0"/>
          <w:sz w:val="28"/>
        </w:rPr>
        <w:t>Особое значение имеет оценка базы материалов. Ни один сотрудник не выбрал вариант, что в компании существует удобная и актуальная база шаблонов и инструкций. Большинство работников отметили наличие отдельных материалов, но подчеркнули их разрозненность. Это соответствует ранее выявленной проблеме: информация в отделе существует, но она не структурирована и не всегда воспринимается сотрудниками как надежный рабочий инструмент.</w:t>
      </w:r>
    </w:p>
    <w:p>
      <w:pPr>
        <w:spacing w:after="120" w:line="360" w:lineRule="auto"/>
        <w:ind w:firstLine="700"/>
        <w:jc w:val="center"/>
      </w:pPr>
      <w:r>
        <w:rPr>
          <w:rFonts w:ascii="Times New Roman" w:hAnsi="Times New Roman"/>
          <w:b w:val="0"/>
          <w:i w:val="0"/>
          <w:sz w:val="28"/>
        </w:rPr>
        <w:t>Таблица 3.5. Источники получения профессиональных знаний сотрудниками тендерного отдела</w:t>
      </w:r>
    </w:p>
    <w:tbl>
      <w:tblPr>
        <w:tblStyle w:val="6"/>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4"/>
              </w:rPr>
              <w:t>Источник информации</w:t>
            </w:r>
          </w:p>
        </w:tc>
        <w:tc>
          <w:tcPr>
            <w:tcW w:type="dxa" w:w="3118"/>
          </w:tcPr>
          <w:p>
            <w:r>
              <w:rPr>
                <w:rFonts w:ascii="Times New Roman" w:hAnsi="Times New Roman"/>
                <w:b/>
                <w:sz w:val="24"/>
              </w:rPr>
              <w:t>Количество сотрудников, отметивших источник</w:t>
            </w:r>
          </w:p>
        </w:tc>
        <w:tc>
          <w:tcPr>
            <w:tcW w:type="dxa" w:w="3118"/>
          </w:tcPr>
          <w:p>
            <w:r>
              <w:rPr>
                <w:rFonts w:ascii="Times New Roman" w:hAnsi="Times New Roman"/>
                <w:b/>
                <w:sz w:val="24"/>
              </w:rPr>
              <w:t>Доля от численности отдела, %</w:t>
            </w:r>
          </w:p>
        </w:tc>
      </w:tr>
      <w:tr>
        <w:tc>
          <w:tcPr>
            <w:tcW w:type="dxa" w:w="3118"/>
          </w:tcPr>
          <w:p>
            <w:r>
              <w:rPr>
                <w:rFonts w:ascii="Times New Roman" w:hAnsi="Times New Roman"/>
                <w:sz w:val="24"/>
              </w:rPr>
              <w:t>Самостоятельный поиск информации в интернете и справочных системах</w:t>
            </w:r>
          </w:p>
        </w:tc>
        <w:tc>
          <w:tcPr>
            <w:tcW w:type="dxa" w:w="3118"/>
          </w:tcPr>
          <w:p>
            <w:r>
              <w:rPr>
                <w:rFonts w:ascii="Times New Roman" w:hAnsi="Times New Roman"/>
                <w:sz w:val="24"/>
              </w:rPr>
              <w:t>7</w:t>
            </w:r>
          </w:p>
        </w:tc>
        <w:tc>
          <w:tcPr>
            <w:tcW w:type="dxa" w:w="3118"/>
          </w:tcPr>
          <w:p>
            <w:r>
              <w:rPr>
                <w:rFonts w:ascii="Times New Roman" w:hAnsi="Times New Roman"/>
                <w:sz w:val="24"/>
              </w:rPr>
              <w:t>87,5</w:t>
            </w:r>
          </w:p>
        </w:tc>
      </w:tr>
      <w:tr>
        <w:tc>
          <w:tcPr>
            <w:tcW w:type="dxa" w:w="3118"/>
          </w:tcPr>
          <w:p>
            <w:r>
              <w:rPr>
                <w:rFonts w:ascii="Times New Roman" w:hAnsi="Times New Roman"/>
                <w:sz w:val="24"/>
              </w:rPr>
              <w:t>Обращение к более опытным коллегам</w:t>
            </w:r>
          </w:p>
        </w:tc>
        <w:tc>
          <w:tcPr>
            <w:tcW w:type="dxa" w:w="3118"/>
          </w:tcPr>
          <w:p>
            <w:r>
              <w:rPr>
                <w:rFonts w:ascii="Times New Roman" w:hAnsi="Times New Roman"/>
                <w:sz w:val="24"/>
              </w:rPr>
              <w:t>7</w:t>
            </w:r>
          </w:p>
        </w:tc>
        <w:tc>
          <w:tcPr>
            <w:tcW w:type="dxa" w:w="3118"/>
          </w:tcPr>
          <w:p>
            <w:r>
              <w:rPr>
                <w:rFonts w:ascii="Times New Roman" w:hAnsi="Times New Roman"/>
                <w:sz w:val="24"/>
              </w:rPr>
              <w:t>87,5</w:t>
            </w:r>
          </w:p>
        </w:tc>
      </w:tr>
      <w:tr>
        <w:tc>
          <w:tcPr>
            <w:tcW w:type="dxa" w:w="3118"/>
          </w:tcPr>
          <w:p>
            <w:r>
              <w:rPr>
                <w:rFonts w:ascii="Times New Roman" w:hAnsi="Times New Roman"/>
                <w:sz w:val="24"/>
              </w:rPr>
              <w:t>Устные пояснения руководителя отдела</w:t>
            </w:r>
          </w:p>
        </w:tc>
        <w:tc>
          <w:tcPr>
            <w:tcW w:type="dxa" w:w="3118"/>
          </w:tcPr>
          <w:p>
            <w:r>
              <w:rPr>
                <w:rFonts w:ascii="Times New Roman" w:hAnsi="Times New Roman"/>
                <w:sz w:val="24"/>
              </w:rPr>
              <w:t>5</w:t>
            </w:r>
          </w:p>
        </w:tc>
        <w:tc>
          <w:tcPr>
            <w:tcW w:type="dxa" w:w="3118"/>
          </w:tcPr>
          <w:p>
            <w:r>
              <w:rPr>
                <w:rFonts w:ascii="Times New Roman" w:hAnsi="Times New Roman"/>
                <w:sz w:val="24"/>
              </w:rPr>
              <w:t>62,5</w:t>
            </w:r>
          </w:p>
        </w:tc>
      </w:tr>
      <w:tr>
        <w:tc>
          <w:tcPr>
            <w:tcW w:type="dxa" w:w="3118"/>
          </w:tcPr>
          <w:p>
            <w:r>
              <w:rPr>
                <w:rFonts w:ascii="Times New Roman" w:hAnsi="Times New Roman"/>
                <w:sz w:val="24"/>
              </w:rPr>
              <w:t>Просмотр ранее поданных заявок</w:t>
            </w:r>
          </w:p>
        </w:tc>
        <w:tc>
          <w:tcPr>
            <w:tcW w:type="dxa" w:w="3118"/>
          </w:tcPr>
          <w:p>
            <w:r>
              <w:rPr>
                <w:rFonts w:ascii="Times New Roman" w:hAnsi="Times New Roman"/>
                <w:sz w:val="24"/>
              </w:rPr>
              <w:t>6</w:t>
            </w:r>
          </w:p>
        </w:tc>
        <w:tc>
          <w:tcPr>
            <w:tcW w:type="dxa" w:w="3118"/>
          </w:tcPr>
          <w:p>
            <w:r>
              <w:rPr>
                <w:rFonts w:ascii="Times New Roman" w:hAnsi="Times New Roman"/>
                <w:sz w:val="24"/>
              </w:rPr>
              <w:t>75,0</w:t>
            </w:r>
          </w:p>
        </w:tc>
      </w:tr>
      <w:tr>
        <w:tc>
          <w:tcPr>
            <w:tcW w:type="dxa" w:w="3118"/>
          </w:tcPr>
          <w:p>
            <w:r>
              <w:rPr>
                <w:rFonts w:ascii="Times New Roman" w:hAnsi="Times New Roman"/>
                <w:sz w:val="24"/>
              </w:rPr>
              <w:t>Записи вебинаров по 44-ФЗ/223-ФЗ</w:t>
            </w:r>
          </w:p>
        </w:tc>
        <w:tc>
          <w:tcPr>
            <w:tcW w:type="dxa" w:w="3118"/>
          </w:tcPr>
          <w:p>
            <w:r>
              <w:rPr>
                <w:rFonts w:ascii="Times New Roman" w:hAnsi="Times New Roman"/>
                <w:sz w:val="24"/>
              </w:rPr>
              <w:t>4</w:t>
            </w:r>
          </w:p>
        </w:tc>
        <w:tc>
          <w:tcPr>
            <w:tcW w:type="dxa" w:w="3118"/>
          </w:tcPr>
          <w:p>
            <w:r>
              <w:rPr>
                <w:rFonts w:ascii="Times New Roman" w:hAnsi="Times New Roman"/>
                <w:sz w:val="24"/>
              </w:rPr>
              <w:t>50,0</w:t>
            </w:r>
          </w:p>
        </w:tc>
      </w:tr>
      <w:tr>
        <w:tc>
          <w:tcPr>
            <w:tcW w:type="dxa" w:w="3118"/>
          </w:tcPr>
          <w:p>
            <w:r>
              <w:rPr>
                <w:rFonts w:ascii="Times New Roman" w:hAnsi="Times New Roman"/>
                <w:sz w:val="24"/>
              </w:rPr>
              <w:t>Внутренние инструкции компании</w:t>
            </w:r>
          </w:p>
        </w:tc>
        <w:tc>
          <w:tcPr>
            <w:tcW w:type="dxa" w:w="3118"/>
          </w:tcPr>
          <w:p>
            <w:r>
              <w:rPr>
                <w:rFonts w:ascii="Times New Roman" w:hAnsi="Times New Roman"/>
                <w:sz w:val="24"/>
              </w:rPr>
              <w:t>1</w:t>
            </w:r>
          </w:p>
        </w:tc>
        <w:tc>
          <w:tcPr>
            <w:tcW w:type="dxa" w:w="3118"/>
          </w:tcPr>
          <w:p>
            <w:r>
              <w:rPr>
                <w:rFonts w:ascii="Times New Roman" w:hAnsi="Times New Roman"/>
                <w:sz w:val="24"/>
              </w:rPr>
              <w:t>12,5</w:t>
            </w:r>
          </w:p>
        </w:tc>
      </w:tr>
      <w:tr>
        <w:tc>
          <w:tcPr>
            <w:tcW w:type="dxa" w:w="3118"/>
          </w:tcPr>
          <w:p>
            <w:r>
              <w:rPr>
                <w:rFonts w:ascii="Times New Roman" w:hAnsi="Times New Roman"/>
                <w:sz w:val="24"/>
              </w:rPr>
              <w:t>Единый обучающий курс компании</w:t>
            </w:r>
          </w:p>
        </w:tc>
        <w:tc>
          <w:tcPr>
            <w:tcW w:type="dxa" w:w="3118"/>
          </w:tcPr>
          <w:p>
            <w:r>
              <w:rPr>
                <w:rFonts w:ascii="Times New Roman" w:hAnsi="Times New Roman"/>
                <w:sz w:val="24"/>
              </w:rPr>
              <w:t>0</w:t>
            </w:r>
          </w:p>
        </w:tc>
        <w:tc>
          <w:tcPr>
            <w:tcW w:type="dxa" w:w="3118"/>
          </w:tcPr>
          <w:p>
            <w:r>
              <w:rPr>
                <w:rFonts w:ascii="Times New Roman" w:hAnsi="Times New Roman"/>
                <w:sz w:val="24"/>
              </w:rPr>
              <w:t>0,0</w:t>
            </w:r>
          </w:p>
        </w:tc>
      </w:tr>
    </w:tbl>
    <w:p>
      <w:pPr>
        <w:spacing w:after="120" w:line="360" w:lineRule="auto"/>
      </w:pPr>
      <w:r>
        <w:rPr>
          <w:rFonts w:ascii="Times New Roman" w:hAnsi="Times New Roman"/>
          <w:b w:val="0"/>
          <w:i w:val="0"/>
          <w:sz w:val="28"/>
        </w:rPr>
      </w:r>
    </w:p>
    <w:p>
      <w:pPr>
        <w:spacing w:after="120" w:line="360" w:lineRule="auto"/>
        <w:ind w:firstLine="700"/>
      </w:pPr>
      <w:r>
        <w:rPr>
          <w:rFonts w:ascii="Times New Roman" w:hAnsi="Times New Roman"/>
          <w:b w:val="0"/>
          <w:i w:val="0"/>
          <w:sz w:val="28"/>
        </w:rPr>
        <w:t>Результаты показывают, что основными источниками знаний являются самостоятельный поиск и обращение к коллегам. Оба варианта выбрали по 7 человек из 8. Это означает, что обучение в отделе фактически встроено в текущую работу, но не управляется как отдельный процесс. С одной стороны, сотрудники проявляют самостоятельность и используют профессиональные контакты внутри отдела. С другой стороны, такой способ получения знаний не гарантирует единообразия: разные специалисты могут получать разные ответы, использовать разные источники и по-разному трактовать требования закупочной документации.</w:t>
      </w:r>
    </w:p>
    <w:p>
      <w:pPr>
        <w:spacing w:after="120" w:line="360" w:lineRule="auto"/>
        <w:ind w:firstLine="700"/>
      </w:pPr>
      <w:r>
        <w:rPr>
          <w:rFonts w:ascii="Times New Roman" w:hAnsi="Times New Roman"/>
          <w:b w:val="0"/>
          <w:i w:val="0"/>
          <w:sz w:val="28"/>
        </w:rPr>
        <w:t>Только один сотрудник указал внутренние инструкции компании как источник знаний. Это является важным диагностическим признаком: даже если отдельные инструкции существуют, они не воспринимаются большинством работников как основной и достаточный источник информации. Отсутствие единого обучающего курса отметили все участники опроса.</w:t>
      </w:r>
    </w:p>
    <w:p>
      <w:pPr>
        <w:spacing w:after="120" w:line="360" w:lineRule="auto"/>
        <w:ind w:firstLine="700"/>
        <w:jc w:val="center"/>
      </w:pPr>
      <w:r>
        <w:rPr>
          <w:rFonts w:ascii="Times New Roman" w:hAnsi="Times New Roman"/>
          <w:b w:val="0"/>
          <w:i w:val="0"/>
          <w:sz w:val="28"/>
        </w:rPr>
        <w:t>Таблица 3.6. Трудности, с которыми сотрудники сталкиваются при подготовке заявок</w:t>
      </w:r>
    </w:p>
    <w:tbl>
      <w:tblPr>
        <w:tblStyle w:val="6"/>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4"/>
              </w:rPr>
              <w:t>Трудность</w:t>
            </w:r>
          </w:p>
        </w:tc>
        <w:tc>
          <w:tcPr>
            <w:tcW w:type="dxa" w:w="3118"/>
          </w:tcPr>
          <w:p>
            <w:r>
              <w:rPr>
                <w:rFonts w:ascii="Times New Roman" w:hAnsi="Times New Roman"/>
                <w:b/>
                <w:sz w:val="24"/>
              </w:rPr>
              <w:t>Количество ответов</w:t>
            </w:r>
          </w:p>
        </w:tc>
        <w:tc>
          <w:tcPr>
            <w:tcW w:type="dxa" w:w="3118"/>
          </w:tcPr>
          <w:p>
            <w:r>
              <w:rPr>
                <w:rFonts w:ascii="Times New Roman" w:hAnsi="Times New Roman"/>
                <w:b/>
                <w:sz w:val="24"/>
              </w:rPr>
              <w:t>Доля, %</w:t>
            </w:r>
          </w:p>
        </w:tc>
      </w:tr>
      <w:tr>
        <w:tc>
          <w:tcPr>
            <w:tcW w:type="dxa" w:w="3118"/>
          </w:tcPr>
          <w:p>
            <w:r>
              <w:rPr>
                <w:rFonts w:ascii="Times New Roman" w:hAnsi="Times New Roman"/>
                <w:sz w:val="24"/>
              </w:rPr>
              <w:t>Сложность отслеживания изменений в 44-ФЗ/223-ФЗ</w:t>
            </w:r>
          </w:p>
        </w:tc>
        <w:tc>
          <w:tcPr>
            <w:tcW w:type="dxa" w:w="3118"/>
          </w:tcPr>
          <w:p>
            <w:r>
              <w:rPr>
                <w:rFonts w:ascii="Times New Roman" w:hAnsi="Times New Roman"/>
                <w:sz w:val="24"/>
              </w:rPr>
              <w:t>6</w:t>
            </w:r>
          </w:p>
        </w:tc>
        <w:tc>
          <w:tcPr>
            <w:tcW w:type="dxa" w:w="3118"/>
          </w:tcPr>
          <w:p>
            <w:r>
              <w:rPr>
                <w:rFonts w:ascii="Times New Roman" w:hAnsi="Times New Roman"/>
                <w:sz w:val="24"/>
              </w:rPr>
              <w:t>75,0</w:t>
            </w:r>
          </w:p>
        </w:tc>
      </w:tr>
      <w:tr>
        <w:tc>
          <w:tcPr>
            <w:tcW w:type="dxa" w:w="3118"/>
          </w:tcPr>
          <w:p>
            <w:r>
              <w:rPr>
                <w:rFonts w:ascii="Times New Roman" w:hAnsi="Times New Roman"/>
                <w:sz w:val="24"/>
              </w:rPr>
              <w:t>Неуверенность в актуальности используемых шаблонов</w:t>
            </w:r>
          </w:p>
        </w:tc>
        <w:tc>
          <w:tcPr>
            <w:tcW w:type="dxa" w:w="3118"/>
          </w:tcPr>
          <w:p>
            <w:r>
              <w:rPr>
                <w:rFonts w:ascii="Times New Roman" w:hAnsi="Times New Roman"/>
                <w:sz w:val="24"/>
              </w:rPr>
              <w:t>7</w:t>
            </w:r>
          </w:p>
        </w:tc>
        <w:tc>
          <w:tcPr>
            <w:tcW w:type="dxa" w:w="3118"/>
          </w:tcPr>
          <w:p>
            <w:r>
              <w:rPr>
                <w:rFonts w:ascii="Times New Roman" w:hAnsi="Times New Roman"/>
                <w:sz w:val="24"/>
              </w:rPr>
              <w:t>87,5</w:t>
            </w:r>
          </w:p>
        </w:tc>
      </w:tr>
      <w:tr>
        <w:tc>
          <w:tcPr>
            <w:tcW w:type="dxa" w:w="3118"/>
          </w:tcPr>
          <w:p>
            <w:r>
              <w:rPr>
                <w:rFonts w:ascii="Times New Roman" w:hAnsi="Times New Roman"/>
                <w:sz w:val="24"/>
              </w:rPr>
              <w:t>Отсутствие единого чек-листа перед отправкой заявки</w:t>
            </w:r>
          </w:p>
        </w:tc>
        <w:tc>
          <w:tcPr>
            <w:tcW w:type="dxa" w:w="3118"/>
          </w:tcPr>
          <w:p>
            <w:r>
              <w:rPr>
                <w:rFonts w:ascii="Times New Roman" w:hAnsi="Times New Roman"/>
                <w:sz w:val="24"/>
              </w:rPr>
              <w:t>7</w:t>
            </w:r>
          </w:p>
        </w:tc>
        <w:tc>
          <w:tcPr>
            <w:tcW w:type="dxa" w:w="3118"/>
          </w:tcPr>
          <w:p>
            <w:r>
              <w:rPr>
                <w:rFonts w:ascii="Times New Roman" w:hAnsi="Times New Roman"/>
                <w:sz w:val="24"/>
              </w:rPr>
              <w:t>87,5</w:t>
            </w:r>
          </w:p>
        </w:tc>
      </w:tr>
      <w:tr>
        <w:tc>
          <w:tcPr>
            <w:tcW w:type="dxa" w:w="3118"/>
          </w:tcPr>
          <w:p>
            <w:r>
              <w:rPr>
                <w:rFonts w:ascii="Times New Roman" w:hAnsi="Times New Roman"/>
                <w:sz w:val="24"/>
              </w:rPr>
              <w:t>Разные требования электронных торговых площадок</w:t>
            </w:r>
          </w:p>
        </w:tc>
        <w:tc>
          <w:tcPr>
            <w:tcW w:type="dxa" w:w="3118"/>
          </w:tcPr>
          <w:p>
            <w:r>
              <w:rPr>
                <w:rFonts w:ascii="Times New Roman" w:hAnsi="Times New Roman"/>
                <w:sz w:val="24"/>
              </w:rPr>
              <w:t>5</w:t>
            </w:r>
          </w:p>
        </w:tc>
        <w:tc>
          <w:tcPr>
            <w:tcW w:type="dxa" w:w="3118"/>
          </w:tcPr>
          <w:p>
            <w:r>
              <w:rPr>
                <w:rFonts w:ascii="Times New Roman" w:hAnsi="Times New Roman"/>
                <w:sz w:val="24"/>
              </w:rPr>
              <w:t>62,5</w:t>
            </w:r>
          </w:p>
        </w:tc>
      </w:tr>
      <w:tr>
        <w:tc>
          <w:tcPr>
            <w:tcW w:type="dxa" w:w="3118"/>
          </w:tcPr>
          <w:p>
            <w:r>
              <w:rPr>
                <w:rFonts w:ascii="Times New Roman" w:hAnsi="Times New Roman"/>
                <w:sz w:val="24"/>
              </w:rPr>
              <w:t>Недостаток разбора реальных ошибок отдела</w:t>
            </w:r>
          </w:p>
        </w:tc>
        <w:tc>
          <w:tcPr>
            <w:tcW w:type="dxa" w:w="3118"/>
          </w:tcPr>
          <w:p>
            <w:r>
              <w:rPr>
                <w:rFonts w:ascii="Times New Roman" w:hAnsi="Times New Roman"/>
                <w:sz w:val="24"/>
              </w:rPr>
              <w:t>6</w:t>
            </w:r>
          </w:p>
        </w:tc>
        <w:tc>
          <w:tcPr>
            <w:tcW w:type="dxa" w:w="3118"/>
          </w:tcPr>
          <w:p>
            <w:r>
              <w:rPr>
                <w:rFonts w:ascii="Times New Roman" w:hAnsi="Times New Roman"/>
                <w:sz w:val="24"/>
              </w:rPr>
              <w:t>75,0</w:t>
            </w:r>
          </w:p>
        </w:tc>
      </w:tr>
      <w:tr>
        <w:tc>
          <w:tcPr>
            <w:tcW w:type="dxa" w:w="3118"/>
          </w:tcPr>
          <w:p>
            <w:r>
              <w:rPr>
                <w:rFonts w:ascii="Times New Roman" w:hAnsi="Times New Roman"/>
                <w:sz w:val="24"/>
              </w:rPr>
              <w:t>Нехватка времени на самостоятельное изучение изменений</w:t>
            </w:r>
          </w:p>
        </w:tc>
        <w:tc>
          <w:tcPr>
            <w:tcW w:type="dxa" w:w="3118"/>
          </w:tcPr>
          <w:p>
            <w:r>
              <w:rPr>
                <w:rFonts w:ascii="Times New Roman" w:hAnsi="Times New Roman"/>
                <w:sz w:val="24"/>
              </w:rPr>
              <w:t>5</w:t>
            </w:r>
          </w:p>
        </w:tc>
        <w:tc>
          <w:tcPr>
            <w:tcW w:type="dxa" w:w="3118"/>
          </w:tcPr>
          <w:p>
            <w:r>
              <w:rPr>
                <w:rFonts w:ascii="Times New Roman" w:hAnsi="Times New Roman"/>
                <w:sz w:val="24"/>
              </w:rPr>
              <w:t>62,5</w:t>
            </w:r>
          </w:p>
        </w:tc>
      </w:tr>
      <w:tr>
        <w:tc>
          <w:tcPr>
            <w:tcW w:type="dxa" w:w="3118"/>
          </w:tcPr>
          <w:p>
            <w:r>
              <w:rPr>
                <w:rFonts w:ascii="Times New Roman" w:hAnsi="Times New Roman"/>
                <w:sz w:val="24"/>
              </w:rPr>
              <w:t>Сложности в расчетах НМЦК и итоговой цены</w:t>
            </w:r>
          </w:p>
        </w:tc>
        <w:tc>
          <w:tcPr>
            <w:tcW w:type="dxa" w:w="3118"/>
          </w:tcPr>
          <w:p>
            <w:r>
              <w:rPr>
                <w:rFonts w:ascii="Times New Roman" w:hAnsi="Times New Roman"/>
                <w:sz w:val="24"/>
              </w:rPr>
              <w:t>3</w:t>
            </w:r>
          </w:p>
        </w:tc>
        <w:tc>
          <w:tcPr>
            <w:tcW w:type="dxa" w:w="3118"/>
          </w:tcPr>
          <w:p>
            <w:r>
              <w:rPr>
                <w:rFonts w:ascii="Times New Roman" w:hAnsi="Times New Roman"/>
                <w:sz w:val="24"/>
              </w:rPr>
              <w:t>37,5</w:t>
            </w:r>
          </w:p>
        </w:tc>
      </w:tr>
    </w:tbl>
    <w:p>
      <w:pPr>
        <w:spacing w:after="120" w:line="360" w:lineRule="auto"/>
      </w:pPr>
      <w:r>
        <w:rPr>
          <w:rFonts w:ascii="Times New Roman" w:hAnsi="Times New Roman"/>
          <w:b w:val="0"/>
          <w:i w:val="0"/>
          <w:sz w:val="28"/>
        </w:rPr>
      </w:r>
    </w:p>
    <w:p>
      <w:pPr>
        <w:spacing w:after="120" w:line="360" w:lineRule="auto"/>
        <w:ind w:firstLine="700"/>
      </w:pPr>
      <w:r>
        <w:rPr>
          <w:rFonts w:ascii="Times New Roman" w:hAnsi="Times New Roman"/>
          <w:b w:val="0"/>
          <w:i w:val="0"/>
          <w:sz w:val="28"/>
        </w:rPr>
        <w:t>Наиболее часто сотрудники отмечали неуверенность в актуальности шаблонов и отсутствие единого чек-листа перед отправкой заявки — по 7 ответов из 8. Эти результаты напрямую связаны с выявленными причинами отклонения заявок. Если сотрудник не уверен, что форма документа является актуальной, риск использования устаревшего шаблона возрастает. Если перед отправкой нет единой контрольной процедуры, увеличивается вероятность пропуска обязательного файла, неверного формата или технической ошибки на ЭТП.</w:t>
      </w:r>
    </w:p>
    <w:p>
      <w:pPr>
        <w:spacing w:after="120" w:line="360" w:lineRule="auto"/>
        <w:ind w:firstLine="700"/>
      </w:pPr>
      <w:r>
        <w:rPr>
          <w:rFonts w:ascii="Times New Roman" w:hAnsi="Times New Roman"/>
          <w:b w:val="0"/>
          <w:i w:val="0"/>
          <w:sz w:val="28"/>
        </w:rPr>
        <w:t>Шесть сотрудников указали на сложность отслеживания изменений в 44-ФЗ/223-ФЗ и недостаток разбора реальных ошибок отдела. Это показывает, что проблема обучения воспринимается работниками не только как недостаток теоретических занятий, но и как нехватка регулярной профессиональной обратной связи. Сотрудникам важно понимать, какие ошибки уже возникали в отделе, почему они произошли и как они связаны с требованиями заказчиков и площадок. В текущем формате такая информация остается преимущественно устной и не закрепляется как общий опыт.</w:t>
      </w:r>
    </w:p>
    <w:p>
      <w:pPr>
        <w:spacing w:after="120" w:line="360" w:lineRule="auto"/>
        <w:ind w:firstLine="700"/>
        <w:jc w:val="center"/>
      </w:pPr>
      <w:r>
        <w:rPr>
          <w:rFonts w:ascii="Times New Roman" w:hAnsi="Times New Roman"/>
          <w:b w:val="0"/>
          <w:i w:val="0"/>
          <w:sz w:val="28"/>
        </w:rPr>
        <w:t>Таблица 3.7. Профессиональные темы, которые сотрудники считают наиболее значимыми для освоения</w:t>
      </w:r>
    </w:p>
    <w:tbl>
      <w:tblPr>
        <w:tblStyle w:val="6"/>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4"/>
              </w:rPr>
              <w:t>Тема</w:t>
            </w:r>
          </w:p>
        </w:tc>
        <w:tc>
          <w:tcPr>
            <w:tcW w:type="dxa" w:w="3118"/>
          </w:tcPr>
          <w:p>
            <w:r>
              <w:rPr>
                <w:rFonts w:ascii="Times New Roman" w:hAnsi="Times New Roman"/>
                <w:b/>
                <w:sz w:val="24"/>
              </w:rPr>
              <w:t>Количество ответов</w:t>
            </w:r>
          </w:p>
        </w:tc>
        <w:tc>
          <w:tcPr>
            <w:tcW w:type="dxa" w:w="3118"/>
          </w:tcPr>
          <w:p>
            <w:r>
              <w:rPr>
                <w:rFonts w:ascii="Times New Roman" w:hAnsi="Times New Roman"/>
                <w:b/>
                <w:sz w:val="24"/>
              </w:rPr>
              <w:t>Доля, %</w:t>
            </w:r>
          </w:p>
        </w:tc>
      </w:tr>
      <w:tr>
        <w:tc>
          <w:tcPr>
            <w:tcW w:type="dxa" w:w="3118"/>
          </w:tcPr>
          <w:p>
            <w:r>
              <w:rPr>
                <w:rFonts w:ascii="Times New Roman" w:hAnsi="Times New Roman"/>
                <w:sz w:val="24"/>
              </w:rPr>
              <w:t>Актуальные изменения 44-ФЗ и 223-ФЗ</w:t>
            </w:r>
          </w:p>
        </w:tc>
        <w:tc>
          <w:tcPr>
            <w:tcW w:type="dxa" w:w="3118"/>
          </w:tcPr>
          <w:p>
            <w:r>
              <w:rPr>
                <w:rFonts w:ascii="Times New Roman" w:hAnsi="Times New Roman"/>
                <w:sz w:val="24"/>
              </w:rPr>
              <w:t>8</w:t>
            </w:r>
          </w:p>
        </w:tc>
        <w:tc>
          <w:tcPr>
            <w:tcW w:type="dxa" w:w="3118"/>
          </w:tcPr>
          <w:p>
            <w:r>
              <w:rPr>
                <w:rFonts w:ascii="Times New Roman" w:hAnsi="Times New Roman"/>
                <w:sz w:val="24"/>
              </w:rPr>
              <w:t>100,0</w:t>
            </w:r>
          </w:p>
        </w:tc>
      </w:tr>
      <w:tr>
        <w:tc>
          <w:tcPr>
            <w:tcW w:type="dxa" w:w="3118"/>
          </w:tcPr>
          <w:p>
            <w:r>
              <w:rPr>
                <w:rFonts w:ascii="Times New Roman" w:hAnsi="Times New Roman"/>
                <w:sz w:val="24"/>
              </w:rPr>
              <w:t>Типовые ошибки при подготовке заявок и причины отклонений</w:t>
            </w:r>
          </w:p>
        </w:tc>
        <w:tc>
          <w:tcPr>
            <w:tcW w:type="dxa" w:w="3118"/>
          </w:tcPr>
          <w:p>
            <w:r>
              <w:rPr>
                <w:rFonts w:ascii="Times New Roman" w:hAnsi="Times New Roman"/>
                <w:sz w:val="24"/>
              </w:rPr>
              <w:t>8</w:t>
            </w:r>
          </w:p>
        </w:tc>
        <w:tc>
          <w:tcPr>
            <w:tcW w:type="dxa" w:w="3118"/>
          </w:tcPr>
          <w:p>
            <w:r>
              <w:rPr>
                <w:rFonts w:ascii="Times New Roman" w:hAnsi="Times New Roman"/>
                <w:sz w:val="24"/>
              </w:rPr>
              <w:t>100,0</w:t>
            </w:r>
          </w:p>
        </w:tc>
      </w:tr>
      <w:tr>
        <w:tc>
          <w:tcPr>
            <w:tcW w:type="dxa" w:w="3118"/>
          </w:tcPr>
          <w:p>
            <w:r>
              <w:rPr>
                <w:rFonts w:ascii="Times New Roman" w:hAnsi="Times New Roman"/>
                <w:sz w:val="24"/>
              </w:rPr>
              <w:t>Работа с разными электронными торговыми площадками</w:t>
            </w:r>
          </w:p>
        </w:tc>
        <w:tc>
          <w:tcPr>
            <w:tcW w:type="dxa" w:w="3118"/>
          </w:tcPr>
          <w:p>
            <w:r>
              <w:rPr>
                <w:rFonts w:ascii="Times New Roman" w:hAnsi="Times New Roman"/>
                <w:sz w:val="24"/>
              </w:rPr>
              <w:t>6</w:t>
            </w:r>
          </w:p>
        </w:tc>
        <w:tc>
          <w:tcPr>
            <w:tcW w:type="dxa" w:w="3118"/>
          </w:tcPr>
          <w:p>
            <w:r>
              <w:rPr>
                <w:rFonts w:ascii="Times New Roman" w:hAnsi="Times New Roman"/>
                <w:sz w:val="24"/>
              </w:rPr>
              <w:t>75,0</w:t>
            </w:r>
          </w:p>
        </w:tc>
      </w:tr>
      <w:tr>
        <w:tc>
          <w:tcPr>
            <w:tcW w:type="dxa" w:w="3118"/>
          </w:tcPr>
          <w:p>
            <w:r>
              <w:rPr>
                <w:rFonts w:ascii="Times New Roman" w:hAnsi="Times New Roman"/>
                <w:sz w:val="24"/>
              </w:rPr>
              <w:t>Подготовка и проверка комплекта документов</w:t>
            </w:r>
          </w:p>
        </w:tc>
        <w:tc>
          <w:tcPr>
            <w:tcW w:type="dxa" w:w="3118"/>
          </w:tcPr>
          <w:p>
            <w:r>
              <w:rPr>
                <w:rFonts w:ascii="Times New Roman" w:hAnsi="Times New Roman"/>
                <w:sz w:val="24"/>
              </w:rPr>
              <w:t>7</w:t>
            </w:r>
          </w:p>
        </w:tc>
        <w:tc>
          <w:tcPr>
            <w:tcW w:type="dxa" w:w="3118"/>
          </w:tcPr>
          <w:p>
            <w:r>
              <w:rPr>
                <w:rFonts w:ascii="Times New Roman" w:hAnsi="Times New Roman"/>
                <w:sz w:val="24"/>
              </w:rPr>
              <w:t>87,5</w:t>
            </w:r>
          </w:p>
        </w:tc>
      </w:tr>
      <w:tr>
        <w:tc>
          <w:tcPr>
            <w:tcW w:type="dxa" w:w="3118"/>
          </w:tcPr>
          <w:p>
            <w:r>
              <w:rPr>
                <w:rFonts w:ascii="Times New Roman" w:hAnsi="Times New Roman"/>
                <w:sz w:val="24"/>
              </w:rPr>
              <w:t>Расчет НМЦК, цены контракта и учет НДС</w:t>
            </w:r>
          </w:p>
        </w:tc>
        <w:tc>
          <w:tcPr>
            <w:tcW w:type="dxa" w:w="3118"/>
          </w:tcPr>
          <w:p>
            <w:r>
              <w:rPr>
                <w:rFonts w:ascii="Times New Roman" w:hAnsi="Times New Roman"/>
                <w:sz w:val="24"/>
              </w:rPr>
              <w:t>5</w:t>
            </w:r>
          </w:p>
        </w:tc>
        <w:tc>
          <w:tcPr>
            <w:tcW w:type="dxa" w:w="3118"/>
          </w:tcPr>
          <w:p>
            <w:r>
              <w:rPr>
                <w:rFonts w:ascii="Times New Roman" w:hAnsi="Times New Roman"/>
                <w:sz w:val="24"/>
              </w:rPr>
              <w:t>62,5</w:t>
            </w:r>
          </w:p>
        </w:tc>
      </w:tr>
      <w:tr>
        <w:tc>
          <w:tcPr>
            <w:tcW w:type="dxa" w:w="3118"/>
          </w:tcPr>
          <w:p>
            <w:r>
              <w:rPr>
                <w:rFonts w:ascii="Times New Roman" w:hAnsi="Times New Roman"/>
                <w:sz w:val="24"/>
              </w:rPr>
              <w:t>Подтверждение опыта и квалификационных требований</w:t>
            </w:r>
          </w:p>
        </w:tc>
        <w:tc>
          <w:tcPr>
            <w:tcW w:type="dxa" w:w="3118"/>
          </w:tcPr>
          <w:p>
            <w:r>
              <w:rPr>
                <w:rFonts w:ascii="Times New Roman" w:hAnsi="Times New Roman"/>
                <w:sz w:val="24"/>
              </w:rPr>
              <w:t>6</w:t>
            </w:r>
          </w:p>
        </w:tc>
        <w:tc>
          <w:tcPr>
            <w:tcW w:type="dxa" w:w="3118"/>
          </w:tcPr>
          <w:p>
            <w:r>
              <w:rPr>
                <w:rFonts w:ascii="Times New Roman" w:hAnsi="Times New Roman"/>
                <w:sz w:val="24"/>
              </w:rPr>
              <w:t>75,0</w:t>
            </w:r>
          </w:p>
        </w:tc>
      </w:tr>
      <w:tr>
        <w:tc>
          <w:tcPr>
            <w:tcW w:type="dxa" w:w="3118"/>
          </w:tcPr>
          <w:p>
            <w:r>
              <w:rPr>
                <w:rFonts w:ascii="Times New Roman" w:hAnsi="Times New Roman"/>
                <w:sz w:val="24"/>
              </w:rPr>
              <w:t>Внутренние стандарты оформления и хранения документов</w:t>
            </w:r>
          </w:p>
        </w:tc>
        <w:tc>
          <w:tcPr>
            <w:tcW w:type="dxa" w:w="3118"/>
          </w:tcPr>
          <w:p>
            <w:r>
              <w:rPr>
                <w:rFonts w:ascii="Times New Roman" w:hAnsi="Times New Roman"/>
                <w:sz w:val="24"/>
              </w:rPr>
              <w:t>7</w:t>
            </w:r>
          </w:p>
        </w:tc>
        <w:tc>
          <w:tcPr>
            <w:tcW w:type="dxa" w:w="3118"/>
          </w:tcPr>
          <w:p>
            <w:r>
              <w:rPr>
                <w:rFonts w:ascii="Times New Roman" w:hAnsi="Times New Roman"/>
                <w:sz w:val="24"/>
              </w:rPr>
              <w:t>87,5</w:t>
            </w:r>
          </w:p>
        </w:tc>
      </w:tr>
    </w:tbl>
    <w:p>
      <w:pPr>
        <w:spacing w:after="120" w:line="360" w:lineRule="auto"/>
      </w:pPr>
      <w:r>
        <w:rPr>
          <w:rFonts w:ascii="Times New Roman" w:hAnsi="Times New Roman"/>
          <w:b w:val="0"/>
          <w:i w:val="0"/>
          <w:sz w:val="28"/>
        </w:rPr>
      </w:r>
    </w:p>
    <w:p>
      <w:pPr>
        <w:spacing w:after="120" w:line="360" w:lineRule="auto"/>
        <w:ind w:firstLine="700"/>
      </w:pPr>
      <w:r>
        <w:rPr>
          <w:rFonts w:ascii="Times New Roman" w:hAnsi="Times New Roman"/>
          <w:b w:val="0"/>
          <w:i w:val="0"/>
          <w:sz w:val="28"/>
        </w:rPr>
        <w:t>Ответы по профессиональным темам показывают, что сотрудники осознают связь между обучением и качеством подготовки заявок. Все 8 человек отметили актуальные изменения законодательства и типовые ошибки при подготовке заявок. Семь сотрудников выделили подготовку комплекта документов и внутренние стандарты оформления. Это означает, что потребность работников сосредоточена не в общем повышении квалификации, а в конкретных рабочих знаниях, которые ежедневно используются при анализе закупки и подаче заявки.</w:t>
      </w:r>
    </w:p>
    <w:p>
      <w:pPr>
        <w:spacing w:after="120" w:line="360" w:lineRule="auto"/>
        <w:ind w:firstLine="700"/>
      </w:pPr>
      <w:r>
        <w:rPr>
          <w:rFonts w:ascii="Times New Roman" w:hAnsi="Times New Roman"/>
          <w:b w:val="0"/>
          <w:i w:val="0"/>
          <w:sz w:val="28"/>
        </w:rPr>
        <w:t>Дополнительно сотрудникам было предложено оценить удовлетворенность существующим уровнем обучения по пятибалльной шкале, где 1 означает полную неудовлетворенность, а 5 — полную удовлетворенность. Средняя оценка составила 2,1 балла. Ни один сотрудник не поставил оценку 5, только один сотрудник поставил оценку 4, три сотрудника выбрали оценку 2 и два сотрудника — оценку 1. Такой результат отражает низкую субъективную удовлетворенность действующим порядком подготовки и развития.</w:t>
      </w:r>
    </w:p>
    <w:p>
      <w:pPr>
        <w:spacing w:after="120" w:line="360" w:lineRule="auto"/>
        <w:ind w:firstLine="700"/>
        <w:jc w:val="center"/>
      </w:pPr>
      <w:r>
        <w:rPr>
          <w:rFonts w:ascii="Times New Roman" w:hAnsi="Times New Roman"/>
          <w:b w:val="0"/>
          <w:i w:val="0"/>
          <w:sz w:val="28"/>
        </w:rPr>
        <w:t>Таблица 3.8. Оценка удовлетворенности сотрудников действующим порядком обучения</w:t>
      </w:r>
    </w:p>
    <w:tbl>
      <w:tblPr>
        <w:tblStyle w:val="6"/>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4"/>
              </w:rPr>
              <w:t>Оценка по пятибалльной шкале</w:t>
            </w:r>
          </w:p>
        </w:tc>
        <w:tc>
          <w:tcPr>
            <w:tcW w:type="dxa" w:w="3118"/>
          </w:tcPr>
          <w:p>
            <w:r>
              <w:rPr>
                <w:rFonts w:ascii="Times New Roman" w:hAnsi="Times New Roman"/>
                <w:b/>
                <w:sz w:val="24"/>
              </w:rPr>
              <w:t>Количество сотрудников</w:t>
            </w:r>
          </w:p>
        </w:tc>
        <w:tc>
          <w:tcPr>
            <w:tcW w:type="dxa" w:w="3118"/>
          </w:tcPr>
          <w:p>
            <w:r>
              <w:rPr>
                <w:rFonts w:ascii="Times New Roman" w:hAnsi="Times New Roman"/>
                <w:b/>
                <w:sz w:val="24"/>
              </w:rPr>
              <w:t>Доля, %</w:t>
            </w:r>
          </w:p>
        </w:tc>
      </w:tr>
      <w:tr>
        <w:tc>
          <w:tcPr>
            <w:tcW w:type="dxa" w:w="3118"/>
          </w:tcPr>
          <w:p>
            <w:r>
              <w:rPr>
                <w:rFonts w:ascii="Times New Roman" w:hAnsi="Times New Roman"/>
                <w:sz w:val="24"/>
              </w:rPr>
              <w:t>1</w:t>
            </w:r>
          </w:p>
        </w:tc>
        <w:tc>
          <w:tcPr>
            <w:tcW w:type="dxa" w:w="3118"/>
          </w:tcPr>
          <w:p>
            <w:r>
              <w:rPr>
                <w:rFonts w:ascii="Times New Roman" w:hAnsi="Times New Roman"/>
                <w:sz w:val="24"/>
              </w:rPr>
              <w:t>2</w:t>
            </w:r>
          </w:p>
        </w:tc>
        <w:tc>
          <w:tcPr>
            <w:tcW w:type="dxa" w:w="3118"/>
          </w:tcPr>
          <w:p>
            <w:r>
              <w:rPr>
                <w:rFonts w:ascii="Times New Roman" w:hAnsi="Times New Roman"/>
                <w:sz w:val="24"/>
              </w:rPr>
              <w:t>25,0</w:t>
            </w:r>
          </w:p>
        </w:tc>
      </w:tr>
      <w:tr>
        <w:tc>
          <w:tcPr>
            <w:tcW w:type="dxa" w:w="3118"/>
          </w:tcPr>
          <w:p>
            <w:r>
              <w:rPr>
                <w:rFonts w:ascii="Times New Roman" w:hAnsi="Times New Roman"/>
                <w:sz w:val="24"/>
              </w:rPr>
              <w:t>2</w:t>
            </w:r>
          </w:p>
        </w:tc>
        <w:tc>
          <w:tcPr>
            <w:tcW w:type="dxa" w:w="3118"/>
          </w:tcPr>
          <w:p>
            <w:r>
              <w:rPr>
                <w:rFonts w:ascii="Times New Roman" w:hAnsi="Times New Roman"/>
                <w:sz w:val="24"/>
              </w:rPr>
              <w:t>3</w:t>
            </w:r>
          </w:p>
        </w:tc>
        <w:tc>
          <w:tcPr>
            <w:tcW w:type="dxa" w:w="3118"/>
          </w:tcPr>
          <w:p>
            <w:r>
              <w:rPr>
                <w:rFonts w:ascii="Times New Roman" w:hAnsi="Times New Roman"/>
                <w:sz w:val="24"/>
              </w:rPr>
              <w:t>37,5</w:t>
            </w:r>
          </w:p>
        </w:tc>
      </w:tr>
      <w:tr>
        <w:tc>
          <w:tcPr>
            <w:tcW w:type="dxa" w:w="3118"/>
          </w:tcPr>
          <w:p>
            <w:r>
              <w:rPr>
                <w:rFonts w:ascii="Times New Roman" w:hAnsi="Times New Roman"/>
                <w:sz w:val="24"/>
              </w:rPr>
              <w:t>3</w:t>
            </w:r>
          </w:p>
        </w:tc>
        <w:tc>
          <w:tcPr>
            <w:tcW w:type="dxa" w:w="3118"/>
          </w:tcPr>
          <w:p>
            <w:r>
              <w:rPr>
                <w:rFonts w:ascii="Times New Roman" w:hAnsi="Times New Roman"/>
                <w:sz w:val="24"/>
              </w:rPr>
              <w:t>2</w:t>
            </w:r>
          </w:p>
        </w:tc>
        <w:tc>
          <w:tcPr>
            <w:tcW w:type="dxa" w:w="3118"/>
          </w:tcPr>
          <w:p>
            <w:r>
              <w:rPr>
                <w:rFonts w:ascii="Times New Roman" w:hAnsi="Times New Roman"/>
                <w:sz w:val="24"/>
              </w:rPr>
              <w:t>25,0</w:t>
            </w:r>
          </w:p>
        </w:tc>
      </w:tr>
      <w:tr>
        <w:tc>
          <w:tcPr>
            <w:tcW w:type="dxa" w:w="3118"/>
          </w:tcPr>
          <w:p>
            <w:r>
              <w:rPr>
                <w:rFonts w:ascii="Times New Roman" w:hAnsi="Times New Roman"/>
                <w:sz w:val="24"/>
              </w:rPr>
              <w:t>4</w:t>
            </w:r>
          </w:p>
        </w:tc>
        <w:tc>
          <w:tcPr>
            <w:tcW w:type="dxa" w:w="3118"/>
          </w:tcPr>
          <w:p>
            <w:r>
              <w:rPr>
                <w:rFonts w:ascii="Times New Roman" w:hAnsi="Times New Roman"/>
                <w:sz w:val="24"/>
              </w:rPr>
              <w:t>1</w:t>
            </w:r>
          </w:p>
        </w:tc>
        <w:tc>
          <w:tcPr>
            <w:tcW w:type="dxa" w:w="3118"/>
          </w:tcPr>
          <w:p>
            <w:r>
              <w:rPr>
                <w:rFonts w:ascii="Times New Roman" w:hAnsi="Times New Roman"/>
                <w:sz w:val="24"/>
              </w:rPr>
              <w:t>12,5</w:t>
            </w:r>
          </w:p>
        </w:tc>
      </w:tr>
      <w:tr>
        <w:tc>
          <w:tcPr>
            <w:tcW w:type="dxa" w:w="3118"/>
          </w:tcPr>
          <w:p>
            <w:r>
              <w:rPr>
                <w:rFonts w:ascii="Times New Roman" w:hAnsi="Times New Roman"/>
                <w:sz w:val="24"/>
              </w:rPr>
              <w:t>5</w:t>
            </w:r>
          </w:p>
        </w:tc>
        <w:tc>
          <w:tcPr>
            <w:tcW w:type="dxa" w:w="3118"/>
          </w:tcPr>
          <w:p>
            <w:r>
              <w:rPr>
                <w:rFonts w:ascii="Times New Roman" w:hAnsi="Times New Roman"/>
                <w:sz w:val="24"/>
              </w:rPr>
              <w:t>0</w:t>
            </w:r>
          </w:p>
        </w:tc>
        <w:tc>
          <w:tcPr>
            <w:tcW w:type="dxa" w:w="3118"/>
          </w:tcPr>
          <w:p>
            <w:r>
              <w:rPr>
                <w:rFonts w:ascii="Times New Roman" w:hAnsi="Times New Roman"/>
                <w:sz w:val="24"/>
              </w:rPr>
              <w:t>0,0</w:t>
            </w:r>
          </w:p>
        </w:tc>
      </w:tr>
      <w:tr>
        <w:tc>
          <w:tcPr>
            <w:tcW w:type="dxa" w:w="3118"/>
          </w:tcPr>
          <w:p>
            <w:r>
              <w:rPr>
                <w:rFonts w:ascii="Times New Roman" w:hAnsi="Times New Roman"/>
                <w:sz w:val="24"/>
              </w:rPr>
              <w:t>Средняя оценка</w:t>
            </w:r>
          </w:p>
        </w:tc>
        <w:tc>
          <w:tcPr>
            <w:tcW w:type="dxa" w:w="3118"/>
          </w:tcPr>
          <w:p>
            <w:r>
              <w:rPr>
                <w:rFonts w:ascii="Times New Roman" w:hAnsi="Times New Roman"/>
                <w:sz w:val="24"/>
              </w:rPr>
              <w:t>2,1</w:t>
            </w:r>
          </w:p>
        </w:tc>
        <w:tc>
          <w:tcPr>
            <w:tcW w:type="dxa" w:w="3118"/>
          </w:tcPr>
          <w:p>
            <w:r>
              <w:rPr>
                <w:rFonts w:ascii="Times New Roman" w:hAnsi="Times New Roman"/>
                <w:sz w:val="24"/>
              </w:rPr>
              <w:t>-</w:t>
            </w:r>
          </w:p>
        </w:tc>
      </w:tr>
    </w:tbl>
    <w:p>
      <w:pPr>
        <w:spacing w:after="120" w:line="360" w:lineRule="auto"/>
      </w:pPr>
      <w:r>
        <w:rPr>
          <w:rFonts w:ascii="Times New Roman" w:hAnsi="Times New Roman"/>
          <w:b w:val="0"/>
          <w:i w:val="0"/>
          <w:sz w:val="28"/>
        </w:rPr>
      </w:r>
    </w:p>
    <w:p>
      <w:pPr>
        <w:spacing w:after="120" w:line="360" w:lineRule="auto"/>
        <w:ind w:firstLine="700"/>
      </w:pPr>
      <w:r>
        <w:rPr>
          <w:rFonts w:ascii="Times New Roman" w:hAnsi="Times New Roman"/>
          <w:b w:val="0"/>
          <w:i w:val="0"/>
          <w:sz w:val="28"/>
        </w:rPr>
        <w:t>Итоги опроса показывают, что сотрудники тендерного отдела не воспринимают действующий порядок обучения как достаточный. Для них наиболее проблемными являются отсутствие единой программы, неструктурированность материалов, неуверенность в актуальности шаблонов, отсутствие регулярной проверки знаний и недостаточный разбор ошибок. Важно, что эти оценки совпадают с объективными показателями деятельности отдела: доля отклоненных заявок остается устойчивой, а причины отклонений связаны с теми же зонами, которые сотрудники называют проблемными.</w:t>
      </w:r>
    </w:p>
    <w:p>
      <w:pPr>
        <w:spacing w:after="120" w:line="360" w:lineRule="auto"/>
        <w:ind w:firstLine="700"/>
      </w:pPr>
      <w:r>
        <w:rPr>
          <w:rFonts w:ascii="Times New Roman" w:hAnsi="Times New Roman"/>
          <w:b w:val="0"/>
          <w:i w:val="0"/>
          <w:sz w:val="28"/>
        </w:rPr>
        <w:t>Вывод по параграфу 3.3. Опрос 8 сотрудников тендерного отдела подтвердил отсутствие в ООО «Лайф Медиа» целостной системы обучения и развития. Работники получают знания преимущественно самостоятельно или через коллег, не проходят единый адаптационный маршрут, не имеют устойчивого доступа к актуальной базе материалов и не участвуют в регулярной проверке знаний. Наиболее выраженные потребности сотрудников связаны с изменениями законодательства, типовыми ошибками, актуальными шаблонами, проверкой комплекта документов и особенностями электронных площадок. Следовательно, внутренняя оценка сотрудников совпадает с результатами анализа тендерных показателей и указывает на системный характер проблемы.</w:t>
      </w:r>
    </w:p>
    <w:p>
      <w:pPr>
        <w:spacing w:after="120" w:line="360" w:lineRule="auto"/>
        <w:jc w:val="center"/>
      </w:pPr>
      <w:r>
        <w:rPr>
          <w:rFonts w:ascii="Times New Roman" w:hAnsi="Times New Roman"/>
          <w:b/>
          <w:i w:val="0"/>
          <w:sz w:val="28"/>
        </w:rPr>
        <w:t>Вывод по главе 3</w:t>
      </w:r>
    </w:p>
    <w:p>
      <w:pPr>
        <w:spacing w:after="120" w:line="360" w:lineRule="auto"/>
        <w:ind w:firstLine="700"/>
      </w:pPr>
      <w:r>
        <w:rPr>
          <w:rFonts w:ascii="Times New Roman" w:hAnsi="Times New Roman"/>
          <w:b w:val="0"/>
          <w:i w:val="0"/>
          <w:sz w:val="28"/>
        </w:rPr>
        <w:t>В третьей главе было рассмотрено фактическое состояние обучения и развития тендерных специалистов ООО «Лайф Медиа». Анализ показал, что в компании отсутствует оформленная система обучения: нет утвержденной программы адаптации, единой базы актуальных материалов, регулярной проверки знаний, закрепленного наставничества, формализованного разбора ошибок и оценки влияния обучения на результаты работы. Имеющиеся обучающие действия носят эпизодический характер и не связаны в единый управленческий процесс.</w:t>
      </w:r>
    </w:p>
    <w:p>
      <w:pPr>
        <w:spacing w:after="120" w:line="360" w:lineRule="auto"/>
        <w:ind w:firstLine="700"/>
      </w:pPr>
      <w:r>
        <w:rPr>
          <w:rFonts w:ascii="Times New Roman" w:hAnsi="Times New Roman"/>
          <w:b w:val="0"/>
          <w:i w:val="0"/>
          <w:sz w:val="28"/>
        </w:rPr>
        <w:t>Результаты тендерной деятельности подтверждают наличие проблемы. За 2023-2025 годы доля заявок, отклоненных на этапе допуска, сохраняется на уровне около 15%. Всего выявлено 77 случаев отклонения, значительная часть которых связана с техническими ошибками, использованием устаревших форм, неверным толкованием требований документации и расчетными неточностями. Эти ошибки относятся к повторяющимся и управляемым, поэтому их наличие указывает на недостаточную закрепленность знаний и отсутствие единых стандартов подготовки заявок.</w:t>
      </w:r>
    </w:p>
    <w:p>
      <w:pPr>
        <w:spacing w:after="120" w:line="360" w:lineRule="auto"/>
        <w:ind w:firstLine="700"/>
      </w:pPr>
      <w:r>
        <w:rPr>
          <w:rFonts w:ascii="Times New Roman" w:hAnsi="Times New Roman"/>
          <w:b w:val="0"/>
          <w:i w:val="0"/>
          <w:sz w:val="28"/>
        </w:rPr>
        <w:t>Опрос сотрудников позволил дополнить количественный анализ внутренней оценкой работников. Все 8 специалистов подтвердили отсутствие утвержденной программы обучения, большинство указали на разрозненность материалов, неуверенность в актуальности шаблонов и отсутствие единого порядка проверки заявки перед отправкой. Средняя оценка удовлетворенности действующим порядком обучения составила 2,1 балла из 5. Таким образом, анализ документов, показателей тендерной деятельности и мнений сотрудников приводит к единому выводу: проблема обучения и развития персонала в тендерном отделе носит системный характер и оказывает влияние на качество подготовки заявок.</w:t>
      </w:r>
    </w:p>
    <w:sectPr>
      <w:pgSz w:w="11906" w:h="16838"/>
      <w:pgMar w:top="1134" w:right="850" w:bottom="1134" w:left="1701"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448BEE"/>
    <w:multiLevelType w:val="singleLevel"/>
    <w:tmpl w:val="9F448BEE"/>
    <w:lvl w:ilvl="0" w:tentative="0">
      <w:start w:val="1"/>
      <w:numFmt w:val="bullet"/>
      <w:lvlText w:val="－"/>
      <w:lvlJc w:val="left"/>
      <w:pPr>
        <w:tabs>
          <w:tab w:val="left" w:pos="420"/>
        </w:tabs>
        <w:ind w:left="420" w:leftChars="0" w:hanging="420" w:firstLineChars="0"/>
      </w:pPr>
      <w:rPr>
        <w:rFonts w:hint="default" w:ascii="SimSun" w:hAnsi="SimSun" w:eastAsia="SimSun" w:cs="SimSun"/>
      </w:rPr>
    </w:lvl>
  </w:abstractNum>
  <w:abstractNum w:abstractNumId="1">
    <w:nsid w:val="C7982FB3"/>
    <w:multiLevelType w:val="singleLevel"/>
    <w:tmpl w:val="C7982FB3"/>
    <w:lvl w:ilvl="0" w:tentative="0">
      <w:start w:val="1"/>
      <w:numFmt w:val="decimal"/>
      <w:suff w:val="space"/>
      <w:lvlText w:val="%1."/>
      <w:lvlJc w:val="left"/>
    </w:lvl>
  </w:abstractNum>
  <w:abstractNum w:abstractNumId="2">
    <w:nsid w:val="C93567C3"/>
    <w:multiLevelType w:val="singleLevel"/>
    <w:tmpl w:val="C93567C3"/>
    <w:lvl w:ilvl="0" w:tentative="0">
      <w:start w:val="1"/>
      <w:numFmt w:val="decimal"/>
      <w:suff w:val="space"/>
      <w:lvlText w:val="%1."/>
      <w:lvlJc w:val="left"/>
    </w:lvl>
  </w:abstractNum>
  <w:abstractNum w:abstractNumId="3">
    <w:nsid w:val="019CFBED"/>
    <w:multiLevelType w:val="singleLevel"/>
    <w:tmpl w:val="019CFBED"/>
    <w:lvl w:ilvl="0" w:tentative="0">
      <w:start w:val="1"/>
      <w:numFmt w:val="bullet"/>
      <w:lvlText w:val="－"/>
      <w:lvlJc w:val="left"/>
      <w:pPr>
        <w:tabs>
          <w:tab w:val="left" w:pos="420"/>
        </w:tabs>
        <w:ind w:left="420" w:leftChars="0" w:hanging="420" w:firstLineChars="0"/>
      </w:pPr>
      <w:rPr>
        <w:rFonts w:hint="default" w:ascii="SimSun" w:hAnsi="SimSun" w:eastAsia="SimSun" w:cs="SimSun"/>
      </w:rPr>
    </w:lvl>
  </w:abstractNum>
  <w:abstractNum w:abstractNumId="4">
    <w:nsid w:val="1B00C6AF"/>
    <w:multiLevelType w:val="singleLevel"/>
    <w:tmpl w:val="1B00C6A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43CB3E9A"/>
    <w:multiLevelType w:val="singleLevel"/>
    <w:tmpl w:val="43CB3E9A"/>
    <w:lvl w:ilvl="0" w:tentative="0">
      <w:start w:val="1"/>
      <w:numFmt w:val="decimal"/>
      <w:lvlText w:val="%1."/>
      <w:lvlJc w:val="left"/>
      <w:pPr>
        <w:tabs>
          <w:tab w:val="left" w:pos="425"/>
        </w:tabs>
        <w:ind w:left="425" w:leftChars="0" w:hanging="425" w:firstLineChars="0"/>
      </w:pPr>
      <w:rPr>
        <w:rFonts w:hint="default"/>
      </w:rPr>
    </w:lvl>
  </w:abstractNum>
  <w:abstractNum w:abstractNumId="6">
    <w:nsid w:val="54CFDDBC"/>
    <w:multiLevelType w:val="singleLevel"/>
    <w:tmpl w:val="54CFDDBC"/>
    <w:lvl w:ilvl="0" w:tentative="0">
      <w:start w:val="1"/>
      <w:numFmt w:val="decimal"/>
      <w:lvlText w:val="%1."/>
      <w:lvlJc w:val="left"/>
      <w:pPr>
        <w:tabs>
          <w:tab w:val="left" w:pos="425"/>
        </w:tabs>
        <w:ind w:left="425" w:leftChars="0" w:hanging="425" w:firstLineChars="0"/>
      </w:pPr>
      <w:rPr>
        <w:rFonts w:hint="default"/>
      </w:rPr>
    </w:lvl>
  </w:abstractNum>
  <w:num w:numId="1">
    <w:abstractNumId w:val="4"/>
  </w:num>
  <w:num w:numId="2">
    <w:abstractNumId w:val="6"/>
  </w:num>
  <w:num w:numId="3">
    <w:abstractNumId w:val="2"/>
  </w:num>
  <w:num w:numId="4">
    <w:abstractNumId w:val="5"/>
  </w:num>
  <w:num w:numId="5">
    <w:abstractNumId w:val="1"/>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0865DD"/>
    <w:rsid w:val="29754184"/>
    <w:rsid w:val="315E72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ascii="Times New Roman" w:hAnsi="Times New Roman"/>
      <w:sz w:val="28"/>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Strong"/>
    <w:basedOn w:val="2"/>
    <w:qFormat/>
    <w:uiPriority w:val="0"/>
    <w:rPr>
      <w:b/>
      <w:bCs/>
    </w:rPr>
  </w:style>
  <w:style w:type="paragraph" w:styleId="5">
    <w:name w:val="Normal (Web)"/>
    <w:basedOn w:val="1"/>
    <w:qFormat/>
    <w:uiPriority w:val="0"/>
    <w:rPr>
      <w:sz w:val="24"/>
      <w:szCs w:val="24"/>
    </w:r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0</Words>
  <Characters>0</Characters>
  <Lines>0</Lines>
  <Paragraphs>0</Paragraphs>
  <TotalTime>184</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2026-04-23T10:41:00Z</dcterms:created>
  <dc:creator>honor</dc:creator>
  <cp:lastModifiedBy>honor</cp:lastModifiedBy>
  <dcterms:modified xsi:type="dcterms:W3CDTF">2026-04-27T09:50:48Z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630994AC965044E5ADF991B95249FAED_12</vt:lpwstr>
  </property>
</Properties>
</file>