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A51C94">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Содержание</w:t>
      </w:r>
    </w:p>
    <w:p w14:paraId="70CC9B97">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1. Организационно-управленческая (экономическая) деятельность ООО «Лайф Медиа».................................................................................................</w:t>
      </w:r>
    </w:p>
    <w:p w14:paraId="51A80BA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2. Анализ системы управления персоналом предприятия ООО «Лайф Медиа»......................................................................................................................</w:t>
      </w:r>
    </w:p>
    <w:p w14:paraId="3D931EB9">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3. Система обучения и развития персонала ООО «Лайф Медиа»...........</w:t>
      </w:r>
    </w:p>
    <w:p w14:paraId="19EAFF11">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Глоссарий.................................................................................................................</w:t>
      </w:r>
    </w:p>
    <w:p w14:paraId="175A24A5">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Список использованных источников....................................................................</w:t>
      </w:r>
    </w:p>
    <w:p w14:paraId="0DAEC2B8">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Приложения.............................................................................................................</w:t>
      </w:r>
    </w:p>
    <w:p w14:paraId="09012281">
      <w:pPr>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597FA13F">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1. Организационно-управленческая (экономическая) деятельность ООО «Лайф Медиа»</w:t>
      </w:r>
    </w:p>
    <w:p w14:paraId="67B88DB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0EB8CD8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6B690FA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1696EC5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44C2BC6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735CBA9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29FC70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24269AF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1D10F10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73599ECD">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4E829AF9">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40DDAF36">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5F82C53B">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26E9A122">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649C9D6E">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7F6A2FA1">
      <w:pPr>
        <w:keepNext w:val="0"/>
        <w:keepLines w:val="0"/>
        <w:pageBreakBefore w:val="0"/>
        <w:widowControl/>
        <w:numPr>
          <w:ilvl w:val="0"/>
          <w:numId w:val="1"/>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04E3124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1A384C0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319B529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1230C49">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4095615">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0F241333">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0B4AD2EE">
      <w:pPr>
        <w:keepNext w:val="0"/>
        <w:keepLines w:val="0"/>
        <w:pageBreakBefore w:val="0"/>
        <w:widowControl/>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3C301CF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47EA64F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5BA181B7">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2FD736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4D404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52754646">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28A07FB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23AF274A">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160BCA46">
      <w:pPr>
        <w:keepNext w:val="0"/>
        <w:keepLines w:val="0"/>
        <w:pageBreakBefore w:val="0"/>
        <w:widowControl/>
        <w:numPr>
          <w:ilvl w:val="0"/>
          <w:numId w:val="3"/>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pPr>
        <w:spacing w:after="120" w:line="360" w:lineRule="auto"/>
        <w:jc w:val="center"/>
      </w:pPr>
      <w:r>
        <w:rPr>
          <w:rFonts w:ascii="Times New Roman" w:hAnsi="Times New Roman"/>
          <w:b/>
          <w:sz w:val="28"/>
        </w:rPr>
        <w:t>Глава 2. Анализ системы управления персоналом предприятия ООО «Лайф Медиа»</w:t>
      </w:r>
    </w:p>
    <w:p>
      <w:pPr>
        <w:spacing w:after="120" w:line="360" w:lineRule="auto"/>
        <w:jc w:val="center"/>
      </w:pPr>
      <w:r>
        <w:rPr>
          <w:rFonts w:ascii="Times New Roman" w:hAnsi="Times New Roman"/>
          <w:b/>
          <w:sz w:val="28"/>
        </w:rPr>
        <w:t>2.1. Организация управления персоналом и кадровый состав предприятия</w:t>
      </w:r>
    </w:p>
    <w:p>
      <w:pPr>
        <w:spacing w:after="120" w:line="360" w:lineRule="auto"/>
        <w:ind w:firstLine="700"/>
      </w:pPr>
      <w:r>
        <w:rPr>
          <w:rFonts w:ascii="Times New Roman" w:hAnsi="Times New Roman"/>
          <w:b w:val="0"/>
          <w:sz w:val="28"/>
        </w:rPr>
        <w:t>Система управления персоналом ООО «Лайф Медиа» формируется с учетом двух особенностей предприятия: малого масштаба бизнеса и полностью удаленного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расчет заработной платы и оформление обязательных документов.</w:t>
      </w:r>
    </w:p>
    <w:p>
      <w:pPr>
        <w:spacing w:after="120" w:line="360" w:lineRule="auto"/>
        <w:ind w:firstLine="700"/>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pPr>
        <w:spacing w:after="120" w:line="360" w:lineRule="auto"/>
        <w:ind w:firstLine="700"/>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удаленный формат, позволяющий привлекать кандидатов не только из Нижнего Новгорода, но и из других регионов. При этом удаленная занятость повышает требования к самостоятельности, цифровой дисциплине и умению работать с электронными документами.</w:t>
      </w:r>
    </w:p>
    <w:p>
      <w:pPr>
        <w:spacing w:after="120" w:line="360" w:lineRule="auto"/>
        <w:ind w:firstLine="700"/>
      </w:pPr>
      <w:r>
        <w:rPr>
          <w:rFonts w:ascii="Times New Roman" w:hAnsi="Times New Roman"/>
          <w:b w:val="0"/>
          <w:sz w:val="28"/>
        </w:rPr>
        <w:t>Отбор кандидатов построен по классической воронке. Сначала проводится скрининг резюме с учетом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Прием на работу сопровождается получением электронных копий документов, подготовкой трудового договора, приказа о приеме, ознакомлением с должностной инструкцией и внесением сведений в электронную трудовую книжку.</w:t>
      </w:r>
    </w:p>
    <w:p>
      <w:pPr>
        <w:spacing w:after="120" w:line="360" w:lineRule="auto"/>
        <w:ind w:firstLine="700"/>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p>
    <w:p>
      <w:pPr>
        <w:spacing w:after="120" w:line="360" w:lineRule="auto"/>
        <w:jc w:val="center"/>
      </w:pPr>
      <w:r>
        <w:rPr>
          <w:rFonts w:ascii="Times New Roman" w:hAnsi="Times New Roman"/>
          <w:b w:val="0"/>
          <w:sz w:val="28"/>
        </w:rPr>
        <w:t>Таблица 2.1. Структура персонала ООО «Лайф Медиа»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Категория персонала</w:t>
            </w:r>
          </w:p>
        </w:tc>
        <w:tc>
          <w:tcPr>
            <w:tcW w:type="dxa" w:w="3118"/>
          </w:tcPr>
          <w:p>
            <w:r>
              <w:rPr>
                <w:rFonts w:ascii="Times New Roman" w:hAnsi="Times New Roman"/>
                <w:b/>
                <w:sz w:val="24"/>
              </w:rPr>
              <w:t>Подразделение</w:t>
            </w:r>
          </w:p>
        </w:tc>
        <w:tc>
          <w:tcPr>
            <w:tcW w:type="dxa" w:w="3118"/>
          </w:tcPr>
          <w:p>
            <w:r>
              <w:rPr>
                <w:rFonts w:ascii="Times New Roman" w:hAnsi="Times New Roman"/>
                <w:b/>
                <w:sz w:val="24"/>
              </w:rPr>
              <w:t>Количество, чел.</w:t>
            </w:r>
          </w:p>
        </w:tc>
      </w:tr>
      <w:tr>
        <w:tc>
          <w:tcPr>
            <w:tcW w:type="dxa" w:w="3118"/>
          </w:tcPr>
          <w:p>
            <w:r>
              <w:rPr>
                <w:rFonts w:ascii="Times New Roman" w:hAnsi="Times New Roman"/>
                <w:sz w:val="24"/>
              </w:rPr>
              <w:t>Основной персонал</w:t>
            </w:r>
          </w:p>
        </w:tc>
        <w:tc>
          <w:tcPr>
            <w:tcW w:type="dxa" w:w="3118"/>
          </w:tcPr>
          <w:p>
            <w:r>
              <w:rPr>
                <w:rFonts w:ascii="Times New Roman" w:hAnsi="Times New Roman"/>
                <w:sz w:val="24"/>
              </w:rPr>
              <w:t>Тендерный отдел</w:t>
            </w:r>
          </w:p>
        </w:tc>
        <w:tc>
          <w:tcPr>
            <w:tcW w:type="dxa" w:w="3118"/>
          </w:tcPr>
          <w:p>
            <w:r>
              <w:rPr>
                <w:rFonts w:ascii="Times New Roman" w:hAnsi="Times New Roman"/>
                <w:sz w:val="24"/>
              </w:rPr>
              <w:t>8</w:t>
            </w:r>
          </w:p>
        </w:tc>
      </w:tr>
      <w:tr>
        <w:tc>
          <w:tcPr>
            <w:tcW w:type="dxa" w:w="3118"/>
          </w:tcPr>
          <w:p>
            <w:r>
              <w:rPr>
                <w:rFonts w:ascii="Times New Roman" w:hAnsi="Times New Roman"/>
                <w:sz w:val="24"/>
              </w:rPr>
              <w:t>Вспомогательный персонал</w:t>
            </w:r>
          </w:p>
        </w:tc>
        <w:tc>
          <w:tcPr>
            <w:tcW w:type="dxa" w:w="3118"/>
          </w:tcPr>
          <w:p>
            <w:r>
              <w:rPr>
                <w:rFonts w:ascii="Times New Roman" w:hAnsi="Times New Roman"/>
                <w:sz w:val="24"/>
              </w:rPr>
              <w:t>Отдел логистики и поставок</w:t>
            </w:r>
          </w:p>
        </w:tc>
        <w:tc>
          <w:tcPr>
            <w:tcW w:type="dxa" w:w="3118"/>
          </w:tcPr>
          <w:p>
            <w:r>
              <w:rPr>
                <w:rFonts w:ascii="Times New Roman" w:hAnsi="Times New Roman"/>
                <w:sz w:val="24"/>
              </w:rPr>
              <w:t>3</w:t>
            </w:r>
          </w:p>
        </w:tc>
      </w:tr>
      <w:tr>
        <w:tc>
          <w:tcPr>
            <w:tcW w:type="dxa" w:w="3118"/>
          </w:tcPr>
          <w:p>
            <w:r>
              <w:rPr>
                <w:rFonts w:ascii="Times New Roman" w:hAnsi="Times New Roman"/>
                <w:sz w:val="24"/>
              </w:rPr>
              <w:t>Коммерческий персонал</w:t>
            </w:r>
          </w:p>
        </w:tc>
        <w:tc>
          <w:tcPr>
            <w:tcW w:type="dxa" w:w="3118"/>
          </w:tcPr>
          <w:p>
            <w:r>
              <w:rPr>
                <w:rFonts w:ascii="Times New Roman" w:hAnsi="Times New Roman"/>
                <w:sz w:val="24"/>
              </w:rPr>
              <w:t>Отдел продаж</w:t>
            </w:r>
          </w:p>
        </w:tc>
        <w:tc>
          <w:tcPr>
            <w:tcW w:type="dxa" w:w="3118"/>
          </w:tcPr>
          <w:p>
            <w:r>
              <w:rPr>
                <w:rFonts w:ascii="Times New Roman" w:hAnsi="Times New Roman"/>
                <w:sz w:val="24"/>
              </w:rPr>
              <w:t>4</w:t>
            </w:r>
          </w:p>
        </w:tc>
      </w:tr>
      <w:tr>
        <w:tc>
          <w:tcPr>
            <w:tcW w:type="dxa" w:w="3118"/>
          </w:tcPr>
          <w:p>
            <w:r>
              <w:rPr>
                <w:rFonts w:ascii="Times New Roman" w:hAnsi="Times New Roman"/>
                <w:sz w:val="24"/>
              </w:rPr>
              <w:t>Административно-управленческий персонал</w:t>
            </w:r>
          </w:p>
        </w:tc>
        <w:tc>
          <w:tcPr>
            <w:tcW w:type="dxa" w:w="3118"/>
          </w:tcPr>
          <w:p>
            <w:r>
              <w:rPr>
                <w:rFonts w:ascii="Times New Roman" w:hAnsi="Times New Roman"/>
                <w:sz w:val="24"/>
              </w:rPr>
              <w:t>Бухгалтерия, системный администратор</w:t>
            </w:r>
          </w:p>
        </w:tc>
        <w:tc>
          <w:tcPr>
            <w:tcW w:type="dxa" w:w="3118"/>
          </w:tcPr>
          <w:p>
            <w:r>
              <w:rPr>
                <w:rFonts w:ascii="Times New Roman" w:hAnsi="Times New Roman"/>
                <w:sz w:val="24"/>
              </w:rPr>
              <w:t>2</w:t>
            </w:r>
          </w:p>
        </w:tc>
      </w:tr>
      <w:tr>
        <w:tc>
          <w:tcPr>
            <w:tcW w:type="dxa" w:w="3118"/>
          </w:tcPr>
          <w:p>
            <w:r>
              <w:rPr>
                <w:rFonts w:ascii="Times New Roman" w:hAnsi="Times New Roman"/>
                <w:sz w:val="24"/>
              </w:rPr>
              <w:t>Итого</w:t>
            </w:r>
          </w:p>
        </w:tc>
        <w:tc>
          <w:tcPr>
            <w:tcW w:type="dxa" w:w="3118"/>
          </w:tcPr>
          <w:p>
            <w:r>
              <w:rPr>
                <w:rFonts w:ascii="Times New Roman" w:hAnsi="Times New Roman"/>
                <w:sz w:val="24"/>
              </w:rPr>
            </w:r>
          </w:p>
        </w:tc>
        <w:tc>
          <w:tcPr>
            <w:tcW w:type="dxa" w:w="3118"/>
          </w:tcPr>
          <w:p>
            <w:r>
              <w:rPr>
                <w:rFonts w:ascii="Times New Roman" w:hAnsi="Times New Roman"/>
                <w:sz w:val="24"/>
              </w:rPr>
              <w:t>17</w:t>
            </w:r>
          </w:p>
        </w:tc>
      </w:tr>
    </w:tbl>
    <w:p>
      <w:pPr>
        <w:spacing w:after="120" w:line="360" w:lineRule="auto"/>
        <w:ind w:firstLine="700"/>
      </w:pPr>
    </w:p>
    <w:p>
      <w:pPr>
        <w:spacing w:after="120" w:line="360" w:lineRule="auto"/>
        <w:ind w:firstLine="700"/>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pPr>
        <w:spacing w:after="120" w:line="360" w:lineRule="auto"/>
        <w:ind w:firstLine="700"/>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отдела.</w:t>
      </w:r>
    </w:p>
    <w:p>
      <w:pPr>
        <w:spacing w:after="120" w:line="360" w:lineRule="auto"/>
        <w:jc w:val="center"/>
      </w:pPr>
      <w:r>
        <w:rPr>
          <w:rFonts w:ascii="Times New Roman" w:hAnsi="Times New Roman"/>
          <w:b w:val="0"/>
          <w:sz w:val="28"/>
        </w:rPr>
        <w:t>Таблица 2.2. Возрастная структура тендерных специалистов ООО «Лайф Медиа» (2025 г.)</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Возрастная группа</w:t>
            </w:r>
          </w:p>
        </w:tc>
        <w:tc>
          <w:tcPr>
            <w:tcW w:type="dxa" w:w="3118"/>
          </w:tcPr>
          <w:p>
            <w:r>
              <w:rPr>
                <w:rFonts w:ascii="Times New Roman" w:hAnsi="Times New Roman"/>
                <w:b/>
                <w:sz w:val="24"/>
              </w:rPr>
              <w:t>Количество, чел.</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До 25 лет</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25-35 лет</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36-45 лет</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Старше 45 лет</w:t>
            </w:r>
          </w:p>
        </w:tc>
        <w:tc>
          <w:tcPr>
            <w:tcW w:type="dxa" w:w="3118"/>
          </w:tcPr>
          <w:p>
            <w:r>
              <w:rPr>
                <w:rFonts w:ascii="Times New Roman" w:hAnsi="Times New Roman"/>
                <w:sz w:val="24"/>
              </w:rPr>
              <w:t>0</w:t>
            </w:r>
          </w:p>
        </w:tc>
        <w:tc>
          <w:tcPr>
            <w:tcW w:type="dxa" w:w="3118"/>
          </w:tcPr>
          <w:p>
            <w:r>
              <w:rPr>
                <w:rFonts w:ascii="Times New Roman" w:hAnsi="Times New Roman"/>
                <w:sz w:val="24"/>
              </w:rPr>
              <w:t>0</w:t>
            </w:r>
          </w:p>
        </w:tc>
      </w:tr>
    </w:tbl>
    <w:p>
      <w:pPr>
        <w:spacing w:after="120" w:line="360" w:lineRule="auto"/>
        <w:ind w:firstLine="700"/>
      </w:pPr>
    </w:p>
    <w:p>
      <w:pPr>
        <w:spacing w:after="120" w:line="360" w:lineRule="auto"/>
        <w:jc w:val="center"/>
      </w:pPr>
      <w:r>
        <w:rPr>
          <w:rFonts w:ascii="Times New Roman" w:hAnsi="Times New Roman"/>
          <w:b w:val="0"/>
          <w:sz w:val="28"/>
        </w:rPr>
        <w:t>Таблица 2.3. Структура тендерных специалистов по продолжительности работы в ООО «Лайф Медиа» (2025 г.)</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Стаж в компании</w:t>
            </w:r>
          </w:p>
        </w:tc>
        <w:tc>
          <w:tcPr>
            <w:tcW w:type="dxa" w:w="3118"/>
          </w:tcPr>
          <w:p>
            <w:r>
              <w:rPr>
                <w:rFonts w:ascii="Times New Roman" w:hAnsi="Times New Roman"/>
                <w:b/>
                <w:sz w:val="24"/>
              </w:rPr>
              <w:t>Количество, чел.</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Менее 3 месяцев</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От 3 до 6 месяцев</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От 6 до 12 месяцев</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От 1 до 2 лет</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Более 2 лет</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bl>
    <w:p>
      <w:pPr>
        <w:spacing w:after="120" w:line="360" w:lineRule="auto"/>
        <w:ind w:firstLine="700"/>
      </w:pPr>
    </w:p>
    <w:p>
      <w:pPr>
        <w:spacing w:after="120" w:line="360" w:lineRule="auto"/>
        <w:jc w:val="center"/>
      </w:pPr>
      <w:r>
        <w:rPr>
          <w:rFonts w:ascii="Times New Roman" w:hAnsi="Times New Roman"/>
          <w:b w:val="0"/>
          <w:sz w:val="28"/>
        </w:rPr>
        <w:t>Таблица 2.4. Уровень образования специалистов тендерного отдела ООО «Лайф Медиа» (2025 г.)</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Уровень образования</w:t>
            </w:r>
          </w:p>
        </w:tc>
        <w:tc>
          <w:tcPr>
            <w:tcW w:type="dxa" w:w="3118"/>
          </w:tcPr>
          <w:p>
            <w:r>
              <w:rPr>
                <w:rFonts w:ascii="Times New Roman" w:hAnsi="Times New Roman"/>
                <w:b/>
                <w:sz w:val="24"/>
              </w:rPr>
              <w:t>Количество, чел.</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Высшее профильное (экономика/менеджмент)</w:t>
            </w:r>
          </w:p>
        </w:tc>
        <w:tc>
          <w:tcPr>
            <w:tcW w:type="dxa" w:w="3118"/>
          </w:tcPr>
          <w:p>
            <w:r>
              <w:rPr>
                <w:rFonts w:ascii="Times New Roman" w:hAnsi="Times New Roman"/>
                <w:sz w:val="24"/>
              </w:rPr>
              <w:t>3</w:t>
            </w:r>
          </w:p>
        </w:tc>
        <w:tc>
          <w:tcPr>
            <w:tcW w:type="dxa" w:w="3118"/>
          </w:tcPr>
          <w:p>
            <w:r>
              <w:rPr>
                <w:rFonts w:ascii="Times New Roman" w:hAnsi="Times New Roman"/>
                <w:sz w:val="24"/>
              </w:rPr>
              <w:t>37,5</w:t>
            </w:r>
          </w:p>
        </w:tc>
      </w:tr>
      <w:tr>
        <w:tc>
          <w:tcPr>
            <w:tcW w:type="dxa" w:w="3118"/>
          </w:tcPr>
          <w:p>
            <w:r>
              <w:rPr>
                <w:rFonts w:ascii="Times New Roman" w:hAnsi="Times New Roman"/>
                <w:sz w:val="24"/>
              </w:rPr>
              <w:t>Высшее непрофильное</w:t>
            </w:r>
          </w:p>
        </w:tc>
        <w:tc>
          <w:tcPr>
            <w:tcW w:type="dxa" w:w="3118"/>
          </w:tcPr>
          <w:p>
            <w:r>
              <w:rPr>
                <w:rFonts w:ascii="Times New Roman" w:hAnsi="Times New Roman"/>
                <w:sz w:val="24"/>
              </w:rPr>
              <w:t>4</w:t>
            </w:r>
          </w:p>
        </w:tc>
        <w:tc>
          <w:tcPr>
            <w:tcW w:type="dxa" w:w="3118"/>
          </w:tcPr>
          <w:p>
            <w:r>
              <w:rPr>
                <w:rFonts w:ascii="Times New Roman" w:hAnsi="Times New Roman"/>
                <w:sz w:val="24"/>
              </w:rPr>
              <w:t>50,0</w:t>
            </w:r>
          </w:p>
        </w:tc>
      </w:tr>
      <w:tr>
        <w:tc>
          <w:tcPr>
            <w:tcW w:type="dxa" w:w="3118"/>
          </w:tcPr>
          <w:p>
            <w:r>
              <w:rPr>
                <w:rFonts w:ascii="Times New Roman" w:hAnsi="Times New Roman"/>
                <w:sz w:val="24"/>
              </w:rPr>
              <w:t>Среднее профессиональное</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bl>
    <w:p>
      <w:pPr>
        <w:spacing w:after="120" w:line="360" w:lineRule="auto"/>
        <w:ind w:firstLine="700"/>
      </w:pPr>
    </w:p>
    <w:p>
      <w:pPr>
        <w:spacing w:after="120" w:line="360" w:lineRule="auto"/>
        <w:ind w:firstLine="700"/>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создает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pPr>
        <w:spacing w:after="120" w:line="360" w:lineRule="auto"/>
        <w:ind w:firstLine="700"/>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учетом изменений законодательства о закупках.</w:t>
      </w:r>
    </w:p>
    <w:p>
      <w:pPr>
        <w:spacing w:after="120" w:line="360" w:lineRule="auto"/>
        <w:jc w:val="center"/>
      </w:pPr>
      <w:r>
        <w:rPr>
          <w:rFonts w:ascii="Times New Roman" w:hAnsi="Times New Roman"/>
          <w:b/>
          <w:sz w:val="28"/>
        </w:rPr>
        <w:t>2.2. Движение кадров, мотивация и затраты на персонал</w:t>
      </w:r>
    </w:p>
    <w:p>
      <w:pPr>
        <w:spacing w:after="120" w:line="360" w:lineRule="auto"/>
        <w:ind w:firstLine="700"/>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p>
    <w:p>
      <w:pPr>
        <w:spacing w:after="120" w:line="360" w:lineRule="auto"/>
        <w:jc w:val="center"/>
      </w:pPr>
      <w:r>
        <w:rPr>
          <w:rFonts w:ascii="Times New Roman" w:hAnsi="Times New Roman"/>
          <w:b w:val="0"/>
          <w:sz w:val="28"/>
        </w:rPr>
        <w:t>Таблица 2.5. Анализ движения персонала тендерного отдела ООО «Лайф Медиа» за 2024-2025 гг.</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Показатель</w:t>
            </w:r>
          </w:p>
        </w:tc>
        <w:tc>
          <w:tcPr>
            <w:tcW w:type="dxa" w:w="3118"/>
          </w:tcPr>
          <w:p>
            <w:r>
              <w:rPr>
                <w:rFonts w:ascii="Times New Roman" w:hAnsi="Times New Roman"/>
                <w:b/>
                <w:sz w:val="24"/>
              </w:rPr>
              <w:t>2024</w:t>
            </w:r>
          </w:p>
        </w:tc>
        <w:tc>
          <w:tcPr>
            <w:tcW w:type="dxa" w:w="3118"/>
          </w:tcPr>
          <w:p>
            <w:r>
              <w:rPr>
                <w:rFonts w:ascii="Times New Roman" w:hAnsi="Times New Roman"/>
                <w:b/>
                <w:sz w:val="24"/>
              </w:rPr>
              <w:t>2025</w:t>
            </w:r>
          </w:p>
        </w:tc>
      </w:tr>
      <w:tr>
        <w:tc>
          <w:tcPr>
            <w:tcW w:type="dxa" w:w="3118"/>
          </w:tcPr>
          <w:p>
            <w:r>
              <w:rPr>
                <w:rFonts w:ascii="Times New Roman" w:hAnsi="Times New Roman"/>
                <w:sz w:val="24"/>
              </w:rPr>
              <w:t>Численность на начало года, чел.</w:t>
            </w:r>
          </w:p>
        </w:tc>
        <w:tc>
          <w:tcPr>
            <w:tcW w:type="dxa" w:w="3118"/>
          </w:tcPr>
          <w:p>
            <w:r>
              <w:rPr>
                <w:rFonts w:ascii="Times New Roman" w:hAnsi="Times New Roman"/>
                <w:sz w:val="24"/>
              </w:rPr>
              <w:t>7</w:t>
            </w:r>
          </w:p>
        </w:tc>
        <w:tc>
          <w:tcPr>
            <w:tcW w:type="dxa" w:w="3118"/>
          </w:tcPr>
          <w:p>
            <w:r>
              <w:rPr>
                <w:rFonts w:ascii="Times New Roman" w:hAnsi="Times New Roman"/>
                <w:sz w:val="24"/>
              </w:rPr>
              <w:t>8</w:t>
            </w:r>
          </w:p>
        </w:tc>
      </w:tr>
      <w:tr>
        <w:tc>
          <w:tcPr>
            <w:tcW w:type="dxa" w:w="3118"/>
          </w:tcPr>
          <w:p>
            <w:r>
              <w:rPr>
                <w:rFonts w:ascii="Times New Roman" w:hAnsi="Times New Roman"/>
                <w:sz w:val="24"/>
              </w:rPr>
              <w:t>Принято, чел.</w:t>
            </w:r>
          </w:p>
        </w:tc>
        <w:tc>
          <w:tcPr>
            <w:tcW w:type="dxa" w:w="3118"/>
          </w:tcPr>
          <w:p>
            <w:r>
              <w:rPr>
                <w:rFonts w:ascii="Times New Roman" w:hAnsi="Times New Roman"/>
                <w:sz w:val="24"/>
              </w:rPr>
              <w:t>4</w:t>
            </w:r>
          </w:p>
        </w:tc>
        <w:tc>
          <w:tcPr>
            <w:tcW w:type="dxa" w:w="3118"/>
          </w:tcPr>
          <w:p>
            <w:r>
              <w:rPr>
                <w:rFonts w:ascii="Times New Roman" w:hAnsi="Times New Roman"/>
                <w:sz w:val="24"/>
              </w:rPr>
              <w:t>3</w:t>
            </w:r>
          </w:p>
        </w:tc>
      </w:tr>
      <w:tr>
        <w:tc>
          <w:tcPr>
            <w:tcW w:type="dxa" w:w="3118"/>
          </w:tcPr>
          <w:p>
            <w:r>
              <w:rPr>
                <w:rFonts w:ascii="Times New Roman" w:hAnsi="Times New Roman"/>
                <w:sz w:val="24"/>
              </w:rPr>
              <w:t>Уволено, чел.</w:t>
            </w:r>
          </w:p>
        </w:tc>
        <w:tc>
          <w:tcPr>
            <w:tcW w:type="dxa" w:w="3118"/>
          </w:tcPr>
          <w:p>
            <w:r>
              <w:rPr>
                <w:rFonts w:ascii="Times New Roman" w:hAnsi="Times New Roman"/>
                <w:sz w:val="24"/>
              </w:rPr>
              <w:t>3</w:t>
            </w:r>
          </w:p>
        </w:tc>
        <w:tc>
          <w:tcPr>
            <w:tcW w:type="dxa" w:w="3118"/>
          </w:tcPr>
          <w:p>
            <w:r>
              <w:rPr>
                <w:rFonts w:ascii="Times New Roman" w:hAnsi="Times New Roman"/>
                <w:sz w:val="24"/>
              </w:rPr>
              <w:t>3</w:t>
            </w:r>
          </w:p>
        </w:tc>
      </w:tr>
      <w:tr>
        <w:tc>
          <w:tcPr>
            <w:tcW w:type="dxa" w:w="3118"/>
          </w:tcPr>
          <w:p>
            <w:r>
              <w:rPr>
                <w:rFonts w:ascii="Times New Roman" w:hAnsi="Times New Roman"/>
                <w:sz w:val="24"/>
              </w:rPr>
              <w:t>Численность на конец года, чел.</w:t>
            </w:r>
          </w:p>
        </w:tc>
        <w:tc>
          <w:tcPr>
            <w:tcW w:type="dxa" w:w="3118"/>
          </w:tcPr>
          <w:p>
            <w:r>
              <w:rPr>
                <w:rFonts w:ascii="Times New Roman" w:hAnsi="Times New Roman"/>
                <w:sz w:val="24"/>
              </w:rPr>
              <w:t>8</w:t>
            </w:r>
          </w:p>
        </w:tc>
        <w:tc>
          <w:tcPr>
            <w:tcW w:type="dxa" w:w="3118"/>
          </w:tcPr>
          <w:p>
            <w:r>
              <w:rPr>
                <w:rFonts w:ascii="Times New Roman" w:hAnsi="Times New Roman"/>
                <w:sz w:val="24"/>
              </w:rPr>
              <w:t>8</w:t>
            </w:r>
          </w:p>
        </w:tc>
      </w:tr>
      <w:tr>
        <w:tc>
          <w:tcPr>
            <w:tcW w:type="dxa" w:w="3118"/>
          </w:tcPr>
          <w:p>
            <w:r>
              <w:rPr>
                <w:rFonts w:ascii="Times New Roman" w:hAnsi="Times New Roman"/>
                <w:sz w:val="24"/>
              </w:rPr>
              <w:t>Коэф. оборота по приему, %</w:t>
            </w:r>
          </w:p>
        </w:tc>
        <w:tc>
          <w:tcPr>
            <w:tcW w:type="dxa" w:w="3118"/>
          </w:tcPr>
          <w:p>
            <w:r>
              <w:rPr>
                <w:rFonts w:ascii="Times New Roman" w:hAnsi="Times New Roman"/>
                <w:sz w:val="24"/>
              </w:rPr>
              <w:t>55,3</w:t>
            </w:r>
          </w:p>
        </w:tc>
        <w:tc>
          <w:tcPr>
            <w:tcW w:type="dxa" w:w="3118"/>
          </w:tcPr>
          <w:p>
            <w:r>
              <w:rPr>
                <w:rFonts w:ascii="Times New Roman" w:hAnsi="Times New Roman"/>
                <w:sz w:val="24"/>
              </w:rPr>
              <w:t>37,5</w:t>
            </w:r>
          </w:p>
        </w:tc>
      </w:tr>
      <w:tr>
        <w:tc>
          <w:tcPr>
            <w:tcW w:type="dxa" w:w="3118"/>
          </w:tcPr>
          <w:p>
            <w:r>
              <w:rPr>
                <w:rFonts w:ascii="Times New Roman" w:hAnsi="Times New Roman"/>
                <w:sz w:val="24"/>
              </w:rPr>
              <w:t>Коэф. оборота по выбытию, %</w:t>
            </w:r>
          </w:p>
        </w:tc>
        <w:tc>
          <w:tcPr>
            <w:tcW w:type="dxa" w:w="3118"/>
          </w:tcPr>
          <w:p>
            <w:r>
              <w:rPr>
                <w:rFonts w:ascii="Times New Roman" w:hAnsi="Times New Roman"/>
                <w:sz w:val="24"/>
              </w:rPr>
              <w:t>40,0</w:t>
            </w:r>
          </w:p>
        </w:tc>
        <w:tc>
          <w:tcPr>
            <w:tcW w:type="dxa" w:w="3118"/>
          </w:tcPr>
          <w:p>
            <w:r>
              <w:rPr>
                <w:rFonts w:ascii="Times New Roman" w:hAnsi="Times New Roman"/>
                <w:sz w:val="24"/>
              </w:rPr>
              <w:t>37,5</w:t>
            </w:r>
          </w:p>
        </w:tc>
      </w:tr>
      <w:tr>
        <w:tc>
          <w:tcPr>
            <w:tcW w:type="dxa" w:w="3118"/>
          </w:tcPr>
          <w:p>
            <w:r>
              <w:rPr>
                <w:rFonts w:ascii="Times New Roman" w:hAnsi="Times New Roman"/>
                <w:sz w:val="24"/>
              </w:rPr>
              <w:t>Коэф. текучести кадров, %</w:t>
            </w:r>
          </w:p>
        </w:tc>
        <w:tc>
          <w:tcPr>
            <w:tcW w:type="dxa" w:w="3118"/>
          </w:tcPr>
          <w:p>
            <w:r>
              <w:rPr>
                <w:rFonts w:ascii="Times New Roman" w:hAnsi="Times New Roman"/>
                <w:sz w:val="24"/>
              </w:rPr>
              <w:t>37,5</w:t>
            </w:r>
          </w:p>
        </w:tc>
        <w:tc>
          <w:tcPr>
            <w:tcW w:type="dxa" w:w="3118"/>
          </w:tcPr>
          <w:p>
            <w:r>
              <w:rPr>
                <w:rFonts w:ascii="Times New Roman" w:hAnsi="Times New Roman"/>
                <w:sz w:val="24"/>
              </w:rPr>
              <w:t>37,5</w:t>
            </w:r>
          </w:p>
        </w:tc>
      </w:tr>
    </w:tbl>
    <w:p>
      <w:pPr>
        <w:spacing w:after="120" w:line="360" w:lineRule="auto"/>
        <w:ind w:firstLine="700"/>
      </w:pPr>
    </w:p>
    <w:p>
      <w:pPr>
        <w:spacing w:after="120" w:line="360" w:lineRule="auto"/>
        <w:ind w:firstLine="700"/>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остается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pPr>
        <w:spacing w:after="120" w:line="360" w:lineRule="auto"/>
        <w:ind w:firstLine="700"/>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p>
    <w:p>
      <w:pPr>
        <w:spacing w:after="120" w:line="360" w:lineRule="auto"/>
        <w:jc w:val="center"/>
      </w:pPr>
      <w:r>
        <w:rPr>
          <w:rFonts w:ascii="Times New Roman" w:hAnsi="Times New Roman"/>
          <w:b w:val="0"/>
          <w:sz w:val="28"/>
        </w:rPr>
        <w:t>Таблица 2.6. Структура дохода тендерного специалиста ООО «Лайф Медиа»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Компонент</w:t>
            </w:r>
          </w:p>
        </w:tc>
        <w:tc>
          <w:tcPr>
            <w:tcW w:type="dxa" w:w="3118"/>
          </w:tcPr>
          <w:p>
            <w:r>
              <w:rPr>
                <w:rFonts w:ascii="Times New Roman" w:hAnsi="Times New Roman"/>
                <w:b/>
                <w:sz w:val="24"/>
              </w:rPr>
              <w:t>Размер</w:t>
            </w:r>
          </w:p>
        </w:tc>
        <w:tc>
          <w:tcPr>
            <w:tcW w:type="dxa" w:w="3118"/>
          </w:tcPr>
          <w:p>
            <w:r>
              <w:rPr>
                <w:rFonts w:ascii="Times New Roman" w:hAnsi="Times New Roman"/>
                <w:b/>
                <w:sz w:val="24"/>
              </w:rPr>
              <w:t>Условия получения</w:t>
            </w:r>
          </w:p>
        </w:tc>
      </w:tr>
      <w:tr>
        <w:tc>
          <w:tcPr>
            <w:tcW w:type="dxa" w:w="3118"/>
          </w:tcPr>
          <w:p>
            <w:r>
              <w:rPr>
                <w:rFonts w:ascii="Times New Roman" w:hAnsi="Times New Roman"/>
                <w:sz w:val="24"/>
              </w:rPr>
              <w:t>Должностной оклад</w:t>
            </w:r>
          </w:p>
        </w:tc>
        <w:tc>
          <w:tcPr>
            <w:tcW w:type="dxa" w:w="3118"/>
          </w:tcPr>
          <w:p>
            <w:r>
              <w:rPr>
                <w:rFonts w:ascii="Times New Roman" w:hAnsi="Times New Roman"/>
                <w:sz w:val="24"/>
              </w:rPr>
              <w:t>57 000 руб. в месяц</w:t>
            </w:r>
          </w:p>
        </w:tc>
        <w:tc>
          <w:tcPr>
            <w:tcW w:type="dxa" w:w="3118"/>
          </w:tcPr>
          <w:p>
            <w:r>
              <w:rPr>
                <w:rFonts w:ascii="Times New Roman" w:hAnsi="Times New Roman"/>
                <w:sz w:val="24"/>
              </w:rPr>
              <w:t>Гарантированно и независимо от результатов</w:t>
            </w:r>
          </w:p>
        </w:tc>
      </w:tr>
      <w:tr>
        <w:tc>
          <w:tcPr>
            <w:tcW w:type="dxa" w:w="3118"/>
          </w:tcPr>
          <w:p>
            <w:r>
              <w:rPr>
                <w:rFonts w:ascii="Times New Roman" w:hAnsi="Times New Roman"/>
                <w:sz w:val="24"/>
              </w:rPr>
              <w:t>Квартальная премия</w:t>
            </w:r>
          </w:p>
        </w:tc>
        <w:tc>
          <w:tcPr>
            <w:tcW w:type="dxa" w:w="3118"/>
          </w:tcPr>
          <w:p>
            <w:r>
              <w:rPr>
                <w:rFonts w:ascii="Times New Roman" w:hAnsi="Times New Roman"/>
                <w:sz w:val="24"/>
              </w:rPr>
              <w:t>До 30% от оклада (до 17 000 руб.)</w:t>
            </w:r>
          </w:p>
        </w:tc>
        <w:tc>
          <w:tcPr>
            <w:tcW w:type="dxa" w:w="3118"/>
          </w:tcPr>
          <w:p>
            <w:r>
              <w:rPr>
                <w:rFonts w:ascii="Times New Roman" w:hAnsi="Times New Roman"/>
                <w:sz w:val="24"/>
              </w:rPr>
              <w:t>Зависит от выполнения KPI</w:t>
            </w:r>
          </w:p>
        </w:tc>
      </w:tr>
      <w:tr>
        <w:tc>
          <w:tcPr>
            <w:tcW w:type="dxa" w:w="3118"/>
          </w:tcPr>
          <w:p>
            <w:r>
              <w:rPr>
                <w:rFonts w:ascii="Times New Roman" w:hAnsi="Times New Roman"/>
                <w:sz w:val="24"/>
              </w:rPr>
              <w:t>Годовая премия</w:t>
            </w:r>
          </w:p>
        </w:tc>
        <w:tc>
          <w:tcPr>
            <w:tcW w:type="dxa" w:w="3118"/>
          </w:tcPr>
          <w:p>
            <w:r>
              <w:rPr>
                <w:rFonts w:ascii="Times New Roman" w:hAnsi="Times New Roman"/>
                <w:sz w:val="24"/>
              </w:rPr>
              <w:t>Переменная (обычно 50% от оклада)</w:t>
            </w:r>
          </w:p>
        </w:tc>
        <w:tc>
          <w:tcPr>
            <w:tcW w:type="dxa" w:w="3118"/>
          </w:tcPr>
          <w:p>
            <w:r>
              <w:rPr>
                <w:rFonts w:ascii="Times New Roman" w:hAnsi="Times New Roman"/>
                <w:sz w:val="24"/>
              </w:rPr>
              <w:t>По итогам работы за год, решение генерального директора</w:t>
            </w:r>
          </w:p>
        </w:tc>
      </w:tr>
    </w:tbl>
    <w:p>
      <w:pPr>
        <w:spacing w:after="120" w:line="360" w:lineRule="auto"/>
        <w:ind w:firstLine="700"/>
      </w:pPr>
    </w:p>
    <w:p>
      <w:pPr>
        <w:spacing w:after="120" w:line="360" w:lineRule="auto"/>
        <w:jc w:val="center"/>
      </w:pPr>
      <w:r>
        <w:rPr>
          <w:rFonts w:ascii="Times New Roman" w:hAnsi="Times New Roman"/>
          <w:b w:val="0"/>
          <w:sz w:val="28"/>
        </w:rPr>
        <w:t>Таблица 2.7. Инструменты нематериальной мотивации ООО «Лайф Медиа»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Инструмент</w:t>
            </w:r>
          </w:p>
        </w:tc>
        <w:tc>
          <w:tcPr>
            <w:tcW w:type="dxa" w:w="3118"/>
          </w:tcPr>
          <w:p>
            <w:r>
              <w:rPr>
                <w:rFonts w:ascii="Times New Roman" w:hAnsi="Times New Roman"/>
                <w:b/>
                <w:sz w:val="24"/>
              </w:rPr>
              <w:t>Как работает</w:t>
            </w:r>
          </w:p>
        </w:tc>
        <w:tc>
          <w:tcPr>
            <w:tcW w:type="dxa" w:w="3118"/>
          </w:tcPr>
          <w:p>
            <w:r>
              <w:rPr>
                <w:rFonts w:ascii="Times New Roman" w:hAnsi="Times New Roman"/>
                <w:b/>
                <w:sz w:val="24"/>
              </w:rPr>
              <w:t>Почему мотивирует</w:t>
            </w:r>
          </w:p>
        </w:tc>
      </w:tr>
      <w:tr>
        <w:tc>
          <w:tcPr>
            <w:tcW w:type="dxa" w:w="3118"/>
          </w:tcPr>
          <w:p>
            <w:r>
              <w:rPr>
                <w:rFonts w:ascii="Times New Roman" w:hAnsi="Times New Roman"/>
                <w:sz w:val="24"/>
              </w:rPr>
              <w:t>Полностью удаленный формат</w:t>
            </w:r>
          </w:p>
        </w:tc>
        <w:tc>
          <w:tcPr>
            <w:tcW w:type="dxa" w:w="3118"/>
          </w:tcPr>
          <w:p>
            <w:r>
              <w:rPr>
                <w:rFonts w:ascii="Times New Roman" w:hAnsi="Times New Roman"/>
                <w:sz w:val="24"/>
              </w:rPr>
              <w:t>Сотрудник может жить в любом городе и не тратить время и средства на дорогу</w:t>
            </w:r>
          </w:p>
        </w:tc>
        <w:tc>
          <w:tcPr>
            <w:tcW w:type="dxa" w:w="3118"/>
          </w:tcPr>
          <w:p>
            <w:r>
              <w:rPr>
                <w:rFonts w:ascii="Times New Roman" w:hAnsi="Times New Roman"/>
                <w:sz w:val="24"/>
              </w:rPr>
              <w:t>Свобода и экономия ресурсов</w:t>
            </w:r>
          </w:p>
        </w:tc>
      </w:tr>
      <w:tr>
        <w:tc>
          <w:tcPr>
            <w:tcW w:type="dxa" w:w="3118"/>
          </w:tcPr>
          <w:p>
            <w:r>
              <w:rPr>
                <w:rFonts w:ascii="Times New Roman" w:hAnsi="Times New Roman"/>
                <w:sz w:val="24"/>
              </w:rPr>
              <w:t>Гибкое начало рабочего дня</w:t>
            </w:r>
          </w:p>
        </w:tc>
        <w:tc>
          <w:tcPr>
            <w:tcW w:type="dxa" w:w="3118"/>
          </w:tcPr>
          <w:p>
            <w:r>
              <w:rPr>
                <w:rFonts w:ascii="Times New Roman" w:hAnsi="Times New Roman"/>
                <w:sz w:val="24"/>
              </w:rPr>
              <w:t>Можно начать рабочий день с 8:00 до 11:00 при условии выполнения нормы времени и участия в созвоне</w:t>
            </w:r>
          </w:p>
        </w:tc>
        <w:tc>
          <w:tcPr>
            <w:tcW w:type="dxa" w:w="3118"/>
          </w:tcPr>
          <w:p>
            <w:r>
              <w:rPr>
                <w:rFonts w:ascii="Times New Roman" w:hAnsi="Times New Roman"/>
                <w:sz w:val="24"/>
              </w:rPr>
              <w:t>Возможность подстроить график под личные обстоятельства</w:t>
            </w:r>
          </w:p>
        </w:tc>
      </w:tr>
      <w:tr>
        <w:tc>
          <w:tcPr>
            <w:tcW w:type="dxa" w:w="3118"/>
          </w:tcPr>
          <w:p>
            <w:r>
              <w:rPr>
                <w:rFonts w:ascii="Times New Roman" w:hAnsi="Times New Roman"/>
                <w:sz w:val="24"/>
              </w:rPr>
              <w:t>Прозрачная система премирования</w:t>
            </w:r>
          </w:p>
        </w:tc>
        <w:tc>
          <w:tcPr>
            <w:tcW w:type="dxa" w:w="3118"/>
          </w:tcPr>
          <w:p>
            <w:r>
              <w:rPr>
                <w:rFonts w:ascii="Times New Roman" w:hAnsi="Times New Roman"/>
                <w:sz w:val="24"/>
              </w:rPr>
              <w:t>В Битрикс24 отражаются KPI и текущий прогресс</w:t>
            </w:r>
          </w:p>
        </w:tc>
        <w:tc>
          <w:tcPr>
            <w:tcW w:type="dxa" w:w="3118"/>
          </w:tcPr>
          <w:p>
            <w:r>
              <w:rPr>
                <w:rFonts w:ascii="Times New Roman" w:hAnsi="Times New Roman"/>
                <w:sz w:val="24"/>
              </w:rPr>
              <w:t>Понятность критериев оценки</w:t>
            </w:r>
          </w:p>
        </w:tc>
      </w:tr>
    </w:tbl>
    <w:p>
      <w:pPr>
        <w:spacing w:after="120" w:line="360" w:lineRule="auto"/>
        <w:ind w:firstLine="700"/>
      </w:pPr>
    </w:p>
    <w:p>
      <w:pPr>
        <w:spacing w:after="120" w:line="360" w:lineRule="auto"/>
        <w:ind w:firstLine="700"/>
      </w:pPr>
      <w:r>
        <w:rPr>
          <w:rFonts w:ascii="Times New Roman" w:hAnsi="Times New Roman"/>
          <w:b w:val="0"/>
          <w:sz w:val="28"/>
        </w:rPr>
        <w:t>Сильными сторонами мотивации являются прозрачность KPI, удаленный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создает устойчивого механизма накопления знаний внутри отдела.</w:t>
      </w:r>
    </w:p>
    <w:p>
      <w:pPr>
        <w:spacing w:after="120" w:line="360" w:lineRule="auto"/>
        <w:ind w:firstLine="700"/>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pPr>
        <w:spacing w:after="120" w:line="360" w:lineRule="auto"/>
        <w:jc w:val="center"/>
      </w:pPr>
      <w:r>
        <w:rPr>
          <w:rFonts w:ascii="Times New Roman" w:hAnsi="Times New Roman"/>
          <w:b w:val="0"/>
          <w:sz w:val="28"/>
        </w:rPr>
        <w:t>Таблица 2.8. Структура персонала и среднемесячные выплаты (2025 г.)</w:t>
      </w:r>
    </w:p>
    <w:tbl>
      <w:tblPr>
        <w:tblStyle w:val="6"/>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4"/>
              </w:rPr>
              <w:t>Категория</w:t>
            </w:r>
          </w:p>
        </w:tc>
        <w:tc>
          <w:tcPr>
            <w:tcW w:type="dxa" w:w="2339"/>
          </w:tcPr>
          <w:p>
            <w:r>
              <w:rPr>
                <w:rFonts w:ascii="Times New Roman" w:hAnsi="Times New Roman"/>
                <w:b/>
                <w:sz w:val="24"/>
              </w:rPr>
              <w:t>Кол-во</w:t>
            </w:r>
          </w:p>
        </w:tc>
        <w:tc>
          <w:tcPr>
            <w:tcW w:type="dxa" w:w="2339"/>
          </w:tcPr>
          <w:p>
            <w:r>
              <w:rPr>
                <w:rFonts w:ascii="Times New Roman" w:hAnsi="Times New Roman"/>
                <w:b/>
                <w:sz w:val="24"/>
              </w:rPr>
              <w:t>Среднемесячная выплата, руб.</w:t>
            </w:r>
          </w:p>
        </w:tc>
        <w:tc>
          <w:tcPr>
            <w:tcW w:type="dxa" w:w="2339"/>
          </w:tcPr>
          <w:p>
            <w:r>
              <w:rPr>
                <w:rFonts w:ascii="Times New Roman" w:hAnsi="Times New Roman"/>
                <w:b/>
                <w:sz w:val="24"/>
              </w:rPr>
              <w:t>Всего в месяц на категорию, руб.</w:t>
            </w:r>
          </w:p>
        </w:tc>
      </w:tr>
      <w:tr>
        <w:tc>
          <w:tcPr>
            <w:tcW w:type="dxa" w:w="2339"/>
          </w:tcPr>
          <w:p>
            <w:r>
              <w:rPr>
                <w:rFonts w:ascii="Times New Roman" w:hAnsi="Times New Roman"/>
                <w:sz w:val="24"/>
              </w:rPr>
              <w:t>Тендерные специалисты</w:t>
            </w:r>
          </w:p>
        </w:tc>
        <w:tc>
          <w:tcPr>
            <w:tcW w:type="dxa" w:w="2339"/>
          </w:tcPr>
          <w:p>
            <w:r>
              <w:rPr>
                <w:rFonts w:ascii="Times New Roman" w:hAnsi="Times New Roman"/>
                <w:sz w:val="24"/>
              </w:rPr>
              <w:t>8</w:t>
            </w:r>
          </w:p>
        </w:tc>
        <w:tc>
          <w:tcPr>
            <w:tcW w:type="dxa" w:w="2339"/>
          </w:tcPr>
          <w:p>
            <w:r>
              <w:rPr>
                <w:rFonts w:ascii="Times New Roman" w:hAnsi="Times New Roman"/>
                <w:sz w:val="24"/>
              </w:rPr>
              <w:t>63 175</w:t>
            </w:r>
          </w:p>
        </w:tc>
        <w:tc>
          <w:tcPr>
            <w:tcW w:type="dxa" w:w="2339"/>
          </w:tcPr>
          <w:p>
            <w:r>
              <w:rPr>
                <w:rFonts w:ascii="Times New Roman" w:hAnsi="Times New Roman"/>
                <w:sz w:val="24"/>
              </w:rPr>
              <w:t>505 400</w:t>
            </w:r>
          </w:p>
        </w:tc>
      </w:tr>
      <w:tr>
        <w:tc>
          <w:tcPr>
            <w:tcW w:type="dxa" w:w="2339"/>
          </w:tcPr>
          <w:p>
            <w:r>
              <w:rPr>
                <w:rFonts w:ascii="Times New Roman" w:hAnsi="Times New Roman"/>
                <w:sz w:val="24"/>
              </w:rPr>
              <w:t>Отдел продаж</w:t>
            </w:r>
          </w:p>
        </w:tc>
        <w:tc>
          <w:tcPr>
            <w:tcW w:type="dxa" w:w="2339"/>
          </w:tcPr>
          <w:p>
            <w:r>
              <w:rPr>
                <w:rFonts w:ascii="Times New Roman" w:hAnsi="Times New Roman"/>
                <w:sz w:val="24"/>
              </w:rPr>
              <w:t>4</w:t>
            </w:r>
          </w:p>
        </w:tc>
        <w:tc>
          <w:tcPr>
            <w:tcW w:type="dxa" w:w="2339"/>
          </w:tcPr>
          <w:p>
            <w:r>
              <w:rPr>
                <w:rFonts w:ascii="Times New Roman" w:hAnsi="Times New Roman"/>
                <w:sz w:val="24"/>
              </w:rPr>
              <w:t>48 000</w:t>
            </w:r>
          </w:p>
        </w:tc>
        <w:tc>
          <w:tcPr>
            <w:tcW w:type="dxa" w:w="2339"/>
          </w:tcPr>
          <w:p>
            <w:r>
              <w:rPr>
                <w:rFonts w:ascii="Times New Roman" w:hAnsi="Times New Roman"/>
                <w:sz w:val="24"/>
              </w:rPr>
              <w:t>192 000</w:t>
            </w:r>
          </w:p>
        </w:tc>
      </w:tr>
      <w:tr>
        <w:tc>
          <w:tcPr>
            <w:tcW w:type="dxa" w:w="2339"/>
          </w:tcPr>
          <w:p>
            <w:r>
              <w:rPr>
                <w:rFonts w:ascii="Times New Roman" w:hAnsi="Times New Roman"/>
                <w:sz w:val="24"/>
              </w:rPr>
              <w:t>Отдел логистики</w:t>
            </w:r>
          </w:p>
        </w:tc>
        <w:tc>
          <w:tcPr>
            <w:tcW w:type="dxa" w:w="2339"/>
          </w:tcPr>
          <w:p>
            <w:r>
              <w:rPr>
                <w:rFonts w:ascii="Times New Roman" w:hAnsi="Times New Roman"/>
                <w:sz w:val="24"/>
              </w:rPr>
              <w:t>3</w:t>
            </w:r>
          </w:p>
        </w:tc>
        <w:tc>
          <w:tcPr>
            <w:tcW w:type="dxa" w:w="2339"/>
          </w:tcPr>
          <w:p>
            <w:r>
              <w:rPr>
                <w:rFonts w:ascii="Times New Roman" w:hAnsi="Times New Roman"/>
                <w:sz w:val="24"/>
              </w:rPr>
              <w:t>45 000</w:t>
            </w:r>
          </w:p>
        </w:tc>
        <w:tc>
          <w:tcPr>
            <w:tcW w:type="dxa" w:w="2339"/>
          </w:tcPr>
          <w:p>
            <w:r>
              <w:rPr>
                <w:rFonts w:ascii="Times New Roman" w:hAnsi="Times New Roman"/>
                <w:sz w:val="24"/>
              </w:rPr>
              <w:t>135 000</w:t>
            </w:r>
          </w:p>
        </w:tc>
      </w:tr>
      <w:tr>
        <w:tc>
          <w:tcPr>
            <w:tcW w:type="dxa" w:w="2339"/>
          </w:tcPr>
          <w:p>
            <w:r>
              <w:rPr>
                <w:rFonts w:ascii="Times New Roman" w:hAnsi="Times New Roman"/>
                <w:sz w:val="24"/>
              </w:rPr>
              <w:t>Генеральный директор</w:t>
            </w:r>
          </w:p>
        </w:tc>
        <w:tc>
          <w:tcPr>
            <w:tcW w:type="dxa" w:w="2339"/>
          </w:tcPr>
          <w:p>
            <w:r>
              <w:rPr>
                <w:rFonts w:ascii="Times New Roman" w:hAnsi="Times New Roman"/>
                <w:sz w:val="24"/>
              </w:rPr>
              <w:t>1</w:t>
            </w:r>
          </w:p>
        </w:tc>
        <w:tc>
          <w:tcPr>
            <w:tcW w:type="dxa" w:w="2339"/>
          </w:tcPr>
          <w:p>
            <w:r>
              <w:rPr>
                <w:rFonts w:ascii="Times New Roman" w:hAnsi="Times New Roman"/>
                <w:sz w:val="24"/>
              </w:rPr>
              <w:t>60 000</w:t>
            </w:r>
          </w:p>
        </w:tc>
        <w:tc>
          <w:tcPr>
            <w:tcW w:type="dxa" w:w="2339"/>
          </w:tcPr>
          <w:p>
            <w:r>
              <w:rPr>
                <w:rFonts w:ascii="Times New Roman" w:hAnsi="Times New Roman"/>
                <w:sz w:val="24"/>
              </w:rPr>
              <w:t>60 000</w:t>
            </w:r>
          </w:p>
        </w:tc>
      </w:tr>
      <w:tr>
        <w:tc>
          <w:tcPr>
            <w:tcW w:type="dxa" w:w="2339"/>
          </w:tcPr>
          <w:p>
            <w:r>
              <w:rPr>
                <w:rFonts w:ascii="Times New Roman" w:hAnsi="Times New Roman"/>
                <w:sz w:val="24"/>
              </w:rPr>
              <w:t>Бухгалтер</w:t>
            </w:r>
          </w:p>
        </w:tc>
        <w:tc>
          <w:tcPr>
            <w:tcW w:type="dxa" w:w="2339"/>
          </w:tcPr>
          <w:p>
            <w:r>
              <w:rPr>
                <w:rFonts w:ascii="Times New Roman" w:hAnsi="Times New Roman"/>
                <w:sz w:val="24"/>
              </w:rPr>
              <w:t>1</w:t>
            </w:r>
          </w:p>
        </w:tc>
        <w:tc>
          <w:tcPr>
            <w:tcW w:type="dxa" w:w="2339"/>
          </w:tcPr>
          <w:p>
            <w:r>
              <w:rPr>
                <w:rFonts w:ascii="Times New Roman" w:hAnsi="Times New Roman"/>
                <w:sz w:val="24"/>
              </w:rPr>
              <w:t>57 292</w:t>
            </w:r>
          </w:p>
        </w:tc>
        <w:tc>
          <w:tcPr>
            <w:tcW w:type="dxa" w:w="2339"/>
          </w:tcPr>
          <w:p>
            <w:r>
              <w:rPr>
                <w:rFonts w:ascii="Times New Roman" w:hAnsi="Times New Roman"/>
                <w:sz w:val="24"/>
              </w:rPr>
              <w:t>57 292</w:t>
            </w:r>
          </w:p>
        </w:tc>
      </w:tr>
      <w:tr>
        <w:tc>
          <w:tcPr>
            <w:tcW w:type="dxa" w:w="2339"/>
          </w:tcPr>
          <w:p>
            <w:r>
              <w:rPr>
                <w:rFonts w:ascii="Times New Roman" w:hAnsi="Times New Roman"/>
                <w:sz w:val="24"/>
              </w:rPr>
              <w:t>Системный администратор</w:t>
            </w:r>
          </w:p>
        </w:tc>
        <w:tc>
          <w:tcPr>
            <w:tcW w:type="dxa" w:w="2339"/>
          </w:tcPr>
          <w:p>
            <w:r>
              <w:rPr>
                <w:rFonts w:ascii="Times New Roman" w:hAnsi="Times New Roman"/>
                <w:sz w:val="24"/>
              </w:rPr>
              <w:t>0,5</w:t>
            </w:r>
          </w:p>
        </w:tc>
        <w:tc>
          <w:tcPr>
            <w:tcW w:type="dxa" w:w="2339"/>
          </w:tcPr>
          <w:p>
            <w:r>
              <w:rPr>
                <w:rFonts w:ascii="Times New Roman" w:hAnsi="Times New Roman"/>
                <w:sz w:val="24"/>
              </w:rPr>
              <w:t>60 000</w:t>
            </w:r>
          </w:p>
        </w:tc>
        <w:tc>
          <w:tcPr>
            <w:tcW w:type="dxa" w:w="2339"/>
          </w:tcPr>
          <w:p>
            <w:r>
              <w:rPr>
                <w:rFonts w:ascii="Times New Roman" w:hAnsi="Times New Roman"/>
                <w:sz w:val="24"/>
              </w:rPr>
              <w:t>30 000</w:t>
            </w:r>
          </w:p>
        </w:tc>
      </w:tr>
      <w:tr>
        <w:tc>
          <w:tcPr>
            <w:tcW w:type="dxa" w:w="2339"/>
          </w:tcPr>
          <w:p>
            <w:r>
              <w:rPr>
                <w:rFonts w:ascii="Times New Roman" w:hAnsi="Times New Roman"/>
                <w:sz w:val="24"/>
              </w:rPr>
              <w:t>Юрист (аутсорсинг)</w:t>
            </w:r>
          </w:p>
        </w:tc>
        <w:tc>
          <w:tcPr>
            <w:tcW w:type="dxa" w:w="2339"/>
          </w:tcPr>
          <w:p>
            <w:r>
              <w:rPr>
                <w:rFonts w:ascii="Times New Roman" w:hAnsi="Times New Roman"/>
                <w:sz w:val="24"/>
              </w:rPr>
              <w:t>-</w:t>
            </w:r>
          </w:p>
        </w:tc>
        <w:tc>
          <w:tcPr>
            <w:tcW w:type="dxa" w:w="2339"/>
          </w:tcPr>
          <w:p>
            <w:r>
              <w:rPr>
                <w:rFonts w:ascii="Times New Roman" w:hAnsi="Times New Roman"/>
                <w:sz w:val="24"/>
              </w:rPr>
              <w:t>12 500</w:t>
            </w:r>
          </w:p>
        </w:tc>
        <w:tc>
          <w:tcPr>
            <w:tcW w:type="dxa" w:w="2339"/>
          </w:tcPr>
          <w:p>
            <w:r>
              <w:rPr>
                <w:rFonts w:ascii="Times New Roman" w:hAnsi="Times New Roman"/>
                <w:sz w:val="24"/>
              </w:rPr>
              <w:t>12 500</w:t>
            </w:r>
          </w:p>
        </w:tc>
      </w:tr>
      <w:tr>
        <w:tc>
          <w:tcPr>
            <w:tcW w:type="dxa" w:w="2339"/>
          </w:tcPr>
          <w:p>
            <w:r>
              <w:rPr>
                <w:rFonts w:ascii="Times New Roman" w:hAnsi="Times New Roman"/>
                <w:sz w:val="24"/>
              </w:rPr>
              <w:t>Итого</w:t>
            </w:r>
          </w:p>
        </w:tc>
        <w:tc>
          <w:tcPr>
            <w:tcW w:type="dxa" w:w="2339"/>
          </w:tcPr>
          <w:p>
            <w:r>
              <w:rPr>
                <w:rFonts w:ascii="Times New Roman" w:hAnsi="Times New Roman"/>
                <w:sz w:val="24"/>
              </w:rPr>
              <w:t>-</w:t>
            </w:r>
          </w:p>
        </w:tc>
        <w:tc>
          <w:tcPr>
            <w:tcW w:type="dxa" w:w="2339"/>
          </w:tcPr>
          <w:p>
            <w:r>
              <w:rPr>
                <w:rFonts w:ascii="Times New Roman" w:hAnsi="Times New Roman"/>
                <w:sz w:val="24"/>
              </w:rPr>
              <w:t>-</w:t>
            </w:r>
          </w:p>
        </w:tc>
        <w:tc>
          <w:tcPr>
            <w:tcW w:type="dxa" w:w="2339"/>
          </w:tcPr>
          <w:p>
            <w:r>
              <w:rPr>
                <w:rFonts w:ascii="Times New Roman" w:hAnsi="Times New Roman"/>
                <w:sz w:val="24"/>
              </w:rPr>
              <w:t>979 692</w:t>
            </w:r>
          </w:p>
        </w:tc>
      </w:tr>
    </w:tbl>
    <w:p>
      <w:pPr>
        <w:spacing w:after="120" w:line="360" w:lineRule="auto"/>
        <w:ind w:firstLine="700"/>
      </w:pPr>
    </w:p>
    <w:p>
      <w:pPr>
        <w:spacing w:after="120" w:line="360" w:lineRule="auto"/>
        <w:ind w:firstLine="700"/>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pPr>
        <w:spacing w:after="120" w:line="360" w:lineRule="auto"/>
        <w:jc w:val="center"/>
      </w:pPr>
      <w:r>
        <w:rPr>
          <w:rFonts w:ascii="Times New Roman" w:hAnsi="Times New Roman"/>
          <w:b w:val="0"/>
          <w:sz w:val="28"/>
        </w:rPr>
        <w:t>Таблица 2.9. Расходы на оплату труда и затраты на персонал ООО «Лайф Медиа» в 2025 г.</w:t>
      </w:r>
    </w:p>
    <w:tbl>
      <w:tblPr>
        <w:tblStyle w:val="6"/>
        <w:tblW w:type="auto" w:w="0"/>
        <w:tblLook w:firstColumn="1" w:firstRow="1" w:lastColumn="0" w:lastRow="0" w:noHBand="0" w:noVBand="1" w:val="04A0"/>
      </w:tblPr>
      <w:tblGrid>
        <w:gridCol w:w="4677"/>
        <w:gridCol w:w="4677"/>
      </w:tblGrid>
      <w:tr>
        <w:tc>
          <w:tcPr>
            <w:tcW w:type="dxa" w:w="4677"/>
          </w:tcPr>
          <w:p>
            <w:r>
              <w:rPr>
                <w:rFonts w:ascii="Times New Roman" w:hAnsi="Times New Roman"/>
                <w:b/>
                <w:sz w:val="24"/>
              </w:rPr>
              <w:t>Показатель</w:t>
            </w:r>
          </w:p>
        </w:tc>
        <w:tc>
          <w:tcPr>
            <w:tcW w:type="dxa" w:w="4677"/>
          </w:tcPr>
          <w:p>
            <w:r>
              <w:rPr>
                <w:rFonts w:ascii="Times New Roman" w:hAnsi="Times New Roman"/>
                <w:b/>
                <w:sz w:val="24"/>
              </w:rPr>
              <w:t>Сумма, тыс. руб.</w:t>
            </w:r>
          </w:p>
        </w:tc>
      </w:tr>
      <w:tr>
        <w:tc>
          <w:tcPr>
            <w:tcW w:type="dxa" w:w="4677"/>
          </w:tcPr>
          <w:p>
            <w:r>
              <w:rPr>
                <w:rFonts w:ascii="Times New Roman" w:hAnsi="Times New Roman"/>
                <w:sz w:val="24"/>
              </w:rPr>
              <w:t>ФОТ тендерного отдела (8 чел.)</w:t>
            </w:r>
          </w:p>
        </w:tc>
        <w:tc>
          <w:tcPr>
            <w:tcW w:type="dxa" w:w="4677"/>
          </w:tcPr>
          <w:p>
            <w:r>
              <w:rPr>
                <w:rFonts w:ascii="Times New Roman" w:hAnsi="Times New Roman"/>
                <w:sz w:val="24"/>
              </w:rPr>
              <w:t>6 100</w:t>
            </w:r>
          </w:p>
        </w:tc>
      </w:tr>
      <w:tr>
        <w:tc>
          <w:tcPr>
            <w:tcW w:type="dxa" w:w="4677"/>
          </w:tcPr>
          <w:p>
            <w:r>
              <w:rPr>
                <w:rFonts w:ascii="Times New Roman" w:hAnsi="Times New Roman"/>
                <w:sz w:val="24"/>
              </w:rPr>
              <w:t>ФОТ отдела продаж (4 чел.)</w:t>
            </w:r>
          </w:p>
        </w:tc>
        <w:tc>
          <w:tcPr>
            <w:tcW w:type="dxa" w:w="4677"/>
          </w:tcPr>
          <w:p>
            <w:r>
              <w:rPr>
                <w:rFonts w:ascii="Times New Roman" w:hAnsi="Times New Roman"/>
                <w:sz w:val="24"/>
              </w:rPr>
              <w:t>2 400</w:t>
            </w:r>
          </w:p>
        </w:tc>
      </w:tr>
      <w:tr>
        <w:tc>
          <w:tcPr>
            <w:tcW w:type="dxa" w:w="4677"/>
          </w:tcPr>
          <w:p>
            <w:r>
              <w:rPr>
                <w:rFonts w:ascii="Times New Roman" w:hAnsi="Times New Roman"/>
                <w:sz w:val="24"/>
              </w:rPr>
              <w:t>ФОТ отдела логистики (3 чел.)</w:t>
            </w:r>
          </w:p>
        </w:tc>
        <w:tc>
          <w:tcPr>
            <w:tcW w:type="dxa" w:w="4677"/>
          </w:tcPr>
          <w:p>
            <w:r>
              <w:rPr>
                <w:rFonts w:ascii="Times New Roman" w:hAnsi="Times New Roman"/>
                <w:sz w:val="24"/>
              </w:rPr>
              <w:t>1 600</w:t>
            </w:r>
          </w:p>
        </w:tc>
      </w:tr>
      <w:tr>
        <w:tc>
          <w:tcPr>
            <w:tcW w:type="dxa" w:w="4677"/>
          </w:tcPr>
          <w:p>
            <w:r>
              <w:rPr>
                <w:rFonts w:ascii="Times New Roman" w:hAnsi="Times New Roman"/>
                <w:sz w:val="24"/>
              </w:rPr>
              <w:t>ФОТ административно-управленческого блока (2,5 ставки)</w:t>
            </w:r>
          </w:p>
        </w:tc>
        <w:tc>
          <w:tcPr>
            <w:tcW w:type="dxa" w:w="4677"/>
          </w:tcPr>
          <w:p>
            <w:r>
              <w:rPr>
                <w:rFonts w:ascii="Times New Roman" w:hAnsi="Times New Roman"/>
                <w:sz w:val="24"/>
              </w:rPr>
              <w:t>1 500</w:t>
            </w:r>
          </w:p>
        </w:tc>
      </w:tr>
      <w:tr>
        <w:tc>
          <w:tcPr>
            <w:tcW w:type="dxa" w:w="4677"/>
          </w:tcPr>
          <w:p>
            <w:r>
              <w:rPr>
                <w:rFonts w:ascii="Times New Roman" w:hAnsi="Times New Roman"/>
                <w:sz w:val="24"/>
              </w:rPr>
              <w:t>Итого ФОТ</w:t>
            </w:r>
          </w:p>
        </w:tc>
        <w:tc>
          <w:tcPr>
            <w:tcW w:type="dxa" w:w="4677"/>
          </w:tcPr>
          <w:p>
            <w:r>
              <w:rPr>
                <w:rFonts w:ascii="Times New Roman" w:hAnsi="Times New Roman"/>
                <w:sz w:val="24"/>
              </w:rPr>
              <w:t>11 600</w:t>
            </w:r>
          </w:p>
        </w:tc>
      </w:tr>
      <w:tr>
        <w:tc>
          <w:tcPr>
            <w:tcW w:type="dxa" w:w="4677"/>
          </w:tcPr>
          <w:p>
            <w:r>
              <w:rPr>
                <w:rFonts w:ascii="Times New Roman" w:hAnsi="Times New Roman"/>
                <w:sz w:val="24"/>
              </w:rPr>
              <w:t>Страховые взносы (30%)</w:t>
            </w:r>
          </w:p>
        </w:tc>
        <w:tc>
          <w:tcPr>
            <w:tcW w:type="dxa" w:w="4677"/>
          </w:tcPr>
          <w:p>
            <w:r>
              <w:rPr>
                <w:rFonts w:ascii="Times New Roman" w:hAnsi="Times New Roman"/>
                <w:sz w:val="24"/>
              </w:rPr>
              <w:t>3 480</w:t>
            </w:r>
          </w:p>
        </w:tc>
      </w:tr>
      <w:tr>
        <w:tc>
          <w:tcPr>
            <w:tcW w:type="dxa" w:w="4677"/>
          </w:tcPr>
          <w:p>
            <w:r>
              <w:rPr>
                <w:rFonts w:ascii="Times New Roman" w:hAnsi="Times New Roman"/>
                <w:sz w:val="24"/>
              </w:rPr>
              <w:t>Подбор персонала</w:t>
            </w:r>
          </w:p>
        </w:tc>
        <w:tc>
          <w:tcPr>
            <w:tcW w:type="dxa" w:w="4677"/>
          </w:tcPr>
          <w:p>
            <w:r>
              <w:rPr>
                <w:rFonts w:ascii="Times New Roman" w:hAnsi="Times New Roman"/>
                <w:sz w:val="24"/>
              </w:rPr>
              <w:t>170</w:t>
            </w:r>
          </w:p>
        </w:tc>
      </w:tr>
      <w:tr>
        <w:tc>
          <w:tcPr>
            <w:tcW w:type="dxa" w:w="4677"/>
          </w:tcPr>
          <w:p>
            <w:r>
              <w:rPr>
                <w:rFonts w:ascii="Times New Roman" w:hAnsi="Times New Roman"/>
                <w:sz w:val="24"/>
              </w:rPr>
              <w:t>Обучение</w:t>
            </w:r>
          </w:p>
        </w:tc>
        <w:tc>
          <w:tcPr>
            <w:tcW w:type="dxa" w:w="4677"/>
          </w:tcPr>
          <w:p>
            <w:r>
              <w:rPr>
                <w:rFonts w:ascii="Times New Roman" w:hAnsi="Times New Roman"/>
                <w:sz w:val="24"/>
              </w:rPr>
              <w:t>45</w:t>
            </w:r>
          </w:p>
        </w:tc>
      </w:tr>
      <w:tr>
        <w:tc>
          <w:tcPr>
            <w:tcW w:type="dxa" w:w="4677"/>
          </w:tcPr>
          <w:p>
            <w:r>
              <w:rPr>
                <w:rFonts w:ascii="Times New Roman" w:hAnsi="Times New Roman"/>
                <w:sz w:val="24"/>
              </w:rPr>
              <w:t>Юрист (аутсорсинг)</w:t>
            </w:r>
          </w:p>
        </w:tc>
        <w:tc>
          <w:tcPr>
            <w:tcW w:type="dxa" w:w="4677"/>
          </w:tcPr>
          <w:p>
            <w:r>
              <w:rPr>
                <w:rFonts w:ascii="Times New Roman" w:hAnsi="Times New Roman"/>
                <w:sz w:val="24"/>
              </w:rPr>
              <w:t>150</w:t>
            </w:r>
          </w:p>
        </w:tc>
      </w:tr>
      <w:tr>
        <w:tc>
          <w:tcPr>
            <w:tcW w:type="dxa" w:w="4677"/>
          </w:tcPr>
          <w:p>
            <w:r>
              <w:rPr>
                <w:rFonts w:ascii="Times New Roman" w:hAnsi="Times New Roman"/>
                <w:sz w:val="24"/>
              </w:rPr>
              <w:t>Общие затраты на персонал</w:t>
            </w:r>
          </w:p>
        </w:tc>
        <w:tc>
          <w:tcPr>
            <w:tcW w:type="dxa" w:w="4677"/>
          </w:tcPr>
          <w:p>
            <w:r>
              <w:rPr>
                <w:rFonts w:ascii="Times New Roman" w:hAnsi="Times New Roman"/>
                <w:sz w:val="24"/>
              </w:rPr>
              <w:t>15 445</w:t>
            </w:r>
          </w:p>
        </w:tc>
      </w:tr>
    </w:tbl>
    <w:p>
      <w:pPr>
        <w:spacing w:after="120" w:line="360" w:lineRule="auto"/>
        <w:ind w:firstLine="700"/>
      </w:pPr>
    </w:p>
    <w:p>
      <w:pPr>
        <w:spacing w:after="120" w:line="360" w:lineRule="auto"/>
        <w:ind w:firstLine="700"/>
      </w:pPr>
      <w:r>
        <w:rPr>
          <w:rFonts w:ascii="Times New Roman" w:hAnsi="Times New Roman"/>
          <w:b w:val="0"/>
          <w:sz w:val="28"/>
        </w:rPr>
        <w:t>Общие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pPr>
        <w:spacing w:after="120" w:line="360" w:lineRule="auto"/>
        <w:ind w:firstLine="700"/>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pPr>
        <w:spacing w:after="120" w:line="360" w:lineRule="auto"/>
        <w:jc w:val="center"/>
      </w:pPr>
      <w:r>
        <w:rPr>
          <w:rFonts w:ascii="Times New Roman" w:hAnsi="Times New Roman"/>
          <w:b/>
          <w:sz w:val="28"/>
        </w:rPr>
        <w:t>2.3. Выводы по результатам анализа системы управления персоналом</w:t>
      </w:r>
    </w:p>
    <w:p>
      <w:pPr>
        <w:spacing w:after="120" w:line="360" w:lineRule="auto"/>
        <w:ind w:firstLine="700"/>
      </w:pPr>
      <w:r>
        <w:rPr>
          <w:rFonts w:ascii="Times New Roman" w:hAnsi="Times New Roman"/>
          <w:b w:val="0"/>
          <w:sz w:val="28"/>
        </w:rPr>
        <w:t>Проведенный анализ показывает, что система управления персоналом ООО «Лайф Медиа» обеспечивает базовые кадровые процессы: подбор, оформление, оплату труда и текущую координацию сотрудников. Однако эти процессы имеют преимущественно операционный характер и недостаточно связаны с долгосрочным развитием персонала. Наиболее значимым подразделением является тендерный отдел, поскольку он формирует основную часть выручки и одновременно требует высокой профессиональной квалификации сотрудников.</w:t>
      </w:r>
    </w:p>
    <w:p>
      <w:pPr>
        <w:spacing w:after="120" w:line="360" w:lineRule="auto"/>
        <w:ind w:firstLine="700"/>
      </w:pPr>
      <w:r>
        <w:rPr>
          <w:rFonts w:ascii="Times New Roman" w:hAnsi="Times New Roman"/>
          <w:b w:val="0"/>
          <w:sz w:val="28"/>
        </w:rPr>
        <w:t>Кадровая структура тендерного отдела характеризуется сочетанием потенциала и рисков. С одной стороны, большинство сотрудников моложе 35 лет, что создает основу для профессионального роста и адаптации к цифровым инструментам. С другой стороны, 62,5% специалистов работают в компании менее года, а только 25% имеют стаж более двух лет. Это указывает на дефицит накопленного опыта внутри отдела и повышает нагрузку на процессы адаптации.</w:t>
      </w:r>
    </w:p>
    <w:p>
      <w:pPr>
        <w:spacing w:after="120" w:line="360" w:lineRule="auto"/>
        <w:ind w:firstLine="700"/>
      </w:pPr>
      <w:r>
        <w:rPr>
          <w:rFonts w:ascii="Times New Roman" w:hAnsi="Times New Roman"/>
          <w:b w:val="0"/>
          <w:sz w:val="28"/>
        </w:rPr>
        <w:t>Высокая текучесть персонала, ограниченная доля опытных работников и неоднородный уровень образования усиливают потребность в системном обучении. При этом действующая мотивация ориентирована в основном на выполнение KPI и финансовый результат, но не закрепляет развитие компетенций и передачу опыта как отдельные элементы управления. Финансовый анализ также показывает дисбаланс: при значительной доле затрат на персонал расходы на обучение остаются минимальными и не образуют полноценной системы.</w:t>
      </w:r>
    </w:p>
    <w:p>
      <w:pPr>
        <w:spacing w:after="120" w:line="360" w:lineRule="auto"/>
        <w:ind w:firstLine="700"/>
      </w:pPr>
      <w:r>
        <w:rPr>
          <w:rFonts w:ascii="Times New Roman" w:hAnsi="Times New Roman"/>
          <w:b w:val="0"/>
          <w:sz w:val="28"/>
        </w:rPr>
        <w:t>Таким образом, во второй главе выявлено ключевое противоречие: персонал является главным ресурсом тендерной деятельности ООО «Лайф Медиа», но управление его развитием остается фрагментарным. Это создает основу для дальнейшего анализа того, как отсутствие целостной системы обучения отражается на качестве подготовки тендерных заявок и результатах работы отдела.</w:t>
      </w:r>
    </w:p>
    <w:p>
      <w:pPr>
        <w:spacing w:after="120" w:line="360" w:lineRule="auto"/>
        <w:jc w:val="center"/>
      </w:pPr>
      <w:r>
        <w:rPr>
          <w:rFonts w:ascii="Times New Roman" w:hAnsi="Times New Roman"/>
          <w:b/>
          <w:sz w:val="28"/>
        </w:rPr>
        <w:t>Глава 3. Система обучения и развития тендерных специалистов ООО «Лайф Медиа»</w:t>
      </w:r>
    </w:p>
    <w:p>
      <w:pPr>
        <w:spacing w:after="120" w:line="360" w:lineRule="auto"/>
        <w:jc w:val="center"/>
      </w:pPr>
      <w:r>
        <w:rPr>
          <w:rFonts w:ascii="Times New Roman" w:hAnsi="Times New Roman"/>
          <w:b/>
          <w:sz w:val="28"/>
        </w:rPr>
        <w:t>3.1. Фактическое состояние обучения и развития персонала тендерного отдела</w:t>
      </w:r>
    </w:p>
    <w:p>
      <w:pPr>
        <w:spacing w:after="120" w:line="360" w:lineRule="auto"/>
        <w:ind w:firstLine="700"/>
      </w:pPr>
      <w:r>
        <w:rPr>
          <w:rFonts w:ascii="Times New Roman" w:hAnsi="Times New Roman"/>
          <w:b w:val="0"/>
          <w:sz w:val="28"/>
        </w:rPr>
        <w:t>Тендерный отдел ООО «Лайф Медиа» является ключевым подразделением компании, так как именно через участие в государственных и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расчетом ценовых предложений, подготовкой комплекта документов и технической подачей заявок на электронных торговых площадках.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pPr>
        <w:spacing w:after="120" w:line="360" w:lineRule="auto"/>
        <w:ind w:firstLine="700"/>
      </w:pPr>
      <w:r>
        <w:rPr>
          <w:rFonts w:ascii="Times New Roman" w:hAnsi="Times New Roman"/>
          <w:b w:val="0"/>
          <w:sz w:val="28"/>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разовое направление сотрудников на вебинар или самостоятельное изучение материалов, а совокупность взаимосвязанных элементов: вводная адаптация новых работников, регулярное обновление знаний, единые учебные материалы, проверка усвоения информации, разбор ошибок, наставничество и оценка влияния обучения на рабочие показатели. В ООО «Лайф Медиа» такие элементы либо отсутствуют полностью, либо существуют фрагментарно и не связаны между собой.</w:t>
      </w:r>
    </w:p>
    <w:p>
      <w:pPr>
        <w:spacing w:after="120" w:line="360" w:lineRule="auto"/>
        <w:ind w:firstLine="700"/>
      </w:pPr>
      <w:r>
        <w:rPr>
          <w:rFonts w:ascii="Times New Roman" w:hAnsi="Times New Roman"/>
          <w:b w:val="0"/>
          <w:sz w:val="28"/>
        </w:rPr>
        <w:t>Фактически обучение тендерных специалистов строится преимущественно на самостоятельном поиске информации и передаче опыта от более опытных сотрудников к новым работникам в процессе текущей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у коллег. Если новый специалист сталкивается с нестандартной закупкой, изменением формы документа или особенностями конкретной электронной площадки, он чаще всего получает информацию ситуативно: через устное пояснение, поиск в открытых источниках или просмотр ранее поданных заявок.</w:t>
      </w:r>
    </w:p>
    <w:p>
      <w:pPr>
        <w:spacing w:after="120" w:line="360" w:lineRule="auto"/>
        <w:ind w:firstLine="700"/>
      </w:pPr>
      <w:r>
        <w:rPr>
          <w:rFonts w:ascii="Times New Roman" w:hAnsi="Times New Roman"/>
          <w:b w:val="0"/>
          <w:sz w:val="28"/>
        </w:rPr>
        <w:t>Отсутствие системности проявляется прежде всего в том, что в компании нет утвержденной программы адаптации тендерного специалиста. Новый сотрудник не проходит последовательный маршрут введения в должность, где были бы закреплены темы, сроки освоения, ответственные лица и критерии готовности к самостоятельной работе. В результате скорость включения в работу зависит от первоначального уровня подготовки человека и от того, насколько подробно коллеги объяснят ему внутренние правила подготовки заявок.</w:t>
      </w:r>
    </w:p>
    <w:p>
      <w:pPr>
        <w:spacing w:after="120" w:line="360" w:lineRule="auto"/>
        <w:ind w:firstLine="700"/>
      </w:pPr>
      <w:r>
        <w:rPr>
          <w:rFonts w:ascii="Times New Roman" w:hAnsi="Times New Roman"/>
          <w:b w:val="0"/>
          <w:sz w:val="28"/>
        </w:rPr>
        <w:t>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инструкции хранятся разрозненно. Часть материалов может находиться в общих папках, часть — у отдельных сотрудников, часть — в переписке или в задачах Битрикс24. При этом не закреплен порядок регулярного обновления таких материалов после изменений в 44-ФЗ, 223-ФЗ, требованиях заказчиков или правилах электронных площадок. Это создает риск использования устаревших форм и неодинакового подхода к подготовке заявок.</w:t>
      </w:r>
    </w:p>
    <w:p>
      <w:pPr>
        <w:spacing w:after="120" w:line="360" w:lineRule="auto"/>
        <w:ind w:firstLine="700"/>
      </w:pPr>
      <w:r>
        <w:rPr>
          <w:rFonts w:ascii="Times New Roman" w:hAnsi="Times New Roman"/>
          <w:b w:val="0"/>
          <w:sz w:val="28"/>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руководство не получает объективной информации о том, какие темы сотрудники знают уверенно, а по каким направлениям возникают пробелы.</w:t>
      </w:r>
    </w:p>
    <w:p>
      <w:pPr>
        <w:spacing w:after="120" w:line="360" w:lineRule="auto"/>
        <w:ind w:firstLine="700"/>
      </w:pPr>
      <w:r>
        <w:rPr>
          <w:rFonts w:ascii="Times New Roman" w:hAnsi="Times New Roman"/>
          <w:b w:val="0"/>
          <w:sz w:val="28"/>
        </w:rPr>
        <w:t>Четвертый элемент, который также отсутствует в оформленном виде, — системный разбор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закупок. В результате один и тот же тип ошибки может повторяться у разных специалистов, потому что опыт отдельного случая не становится общим знанием подразделения.</w:t>
      </w:r>
    </w:p>
    <w:p>
      <w:pPr>
        <w:spacing w:after="120" w:line="360" w:lineRule="auto"/>
        <w:jc w:val="center"/>
      </w:pPr>
      <w:r>
        <w:rPr>
          <w:rFonts w:ascii="Times New Roman" w:hAnsi="Times New Roman"/>
          <w:b w:val="0"/>
          <w:sz w:val="28"/>
        </w:rPr>
        <w:t>Таблица 3.1. Характеристика фактического состояния обучения тендерных специалистов ООО «Лайф Медиа»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Элемент системы обучения</w:t>
            </w:r>
          </w:p>
        </w:tc>
        <w:tc>
          <w:tcPr>
            <w:tcW w:type="dxa" w:w="3118"/>
          </w:tcPr>
          <w:p>
            <w:r>
              <w:rPr>
                <w:rFonts w:ascii="Times New Roman" w:hAnsi="Times New Roman"/>
                <w:b/>
                <w:sz w:val="24"/>
              </w:rPr>
              <w:t>Фактическое состояние в компании</w:t>
            </w:r>
          </w:p>
        </w:tc>
        <w:tc>
          <w:tcPr>
            <w:tcW w:type="dxa" w:w="3118"/>
          </w:tcPr>
          <w:p>
            <w:r>
              <w:rPr>
                <w:rFonts w:ascii="Times New Roman" w:hAnsi="Times New Roman"/>
                <w:b/>
                <w:sz w:val="24"/>
              </w:rPr>
              <w:t>Проявление в работе отдела</w:t>
            </w:r>
          </w:p>
        </w:tc>
      </w:tr>
      <w:tr>
        <w:tc>
          <w:tcPr>
            <w:tcW w:type="dxa" w:w="3118"/>
          </w:tcPr>
          <w:p>
            <w:r>
              <w:rPr>
                <w:rFonts w:ascii="Times New Roman" w:hAnsi="Times New Roman"/>
                <w:sz w:val="24"/>
              </w:rPr>
              <w:t>Вводная адаптация</w:t>
            </w:r>
          </w:p>
        </w:tc>
        <w:tc>
          <w:tcPr>
            <w:tcW w:type="dxa" w:w="3118"/>
          </w:tcPr>
          <w:p>
            <w:r>
              <w:rPr>
                <w:rFonts w:ascii="Times New Roman" w:hAnsi="Times New Roman"/>
                <w:sz w:val="24"/>
              </w:rPr>
              <w:t>Единая программа адаптации отсутствует</w:t>
            </w:r>
          </w:p>
        </w:tc>
        <w:tc>
          <w:tcPr>
            <w:tcW w:type="dxa" w:w="3118"/>
          </w:tcPr>
          <w:p>
            <w:r>
              <w:rPr>
                <w:rFonts w:ascii="Times New Roman" w:hAnsi="Times New Roman"/>
                <w:sz w:val="24"/>
              </w:rPr>
              <w:t>Новый сотрудник осваивает работу через устные пояснения и текущие задачи</w:t>
            </w:r>
          </w:p>
        </w:tc>
      </w:tr>
      <w:tr>
        <w:tc>
          <w:tcPr>
            <w:tcW w:type="dxa" w:w="3118"/>
          </w:tcPr>
          <w:p>
            <w:r>
              <w:rPr>
                <w:rFonts w:ascii="Times New Roman" w:hAnsi="Times New Roman"/>
                <w:sz w:val="24"/>
              </w:rPr>
              <w:t>Учебные материалы</w:t>
            </w:r>
          </w:p>
        </w:tc>
        <w:tc>
          <w:tcPr>
            <w:tcW w:type="dxa" w:w="3118"/>
          </w:tcPr>
          <w:p>
            <w:r>
              <w:rPr>
                <w:rFonts w:ascii="Times New Roman" w:hAnsi="Times New Roman"/>
                <w:sz w:val="24"/>
              </w:rPr>
              <w:t>Единая база актуальных материалов не сформирована</w:t>
            </w:r>
          </w:p>
        </w:tc>
        <w:tc>
          <w:tcPr>
            <w:tcW w:type="dxa" w:w="3118"/>
          </w:tcPr>
          <w:p>
            <w:r>
              <w:rPr>
                <w:rFonts w:ascii="Times New Roman" w:hAnsi="Times New Roman"/>
                <w:sz w:val="24"/>
              </w:rPr>
              <w:t>Сотрудники используют разные источники, часть шаблонов может устаревать</w:t>
            </w:r>
          </w:p>
        </w:tc>
      </w:tr>
      <w:tr>
        <w:tc>
          <w:tcPr>
            <w:tcW w:type="dxa" w:w="3118"/>
          </w:tcPr>
          <w:p>
            <w:r>
              <w:rPr>
                <w:rFonts w:ascii="Times New Roman" w:hAnsi="Times New Roman"/>
                <w:sz w:val="24"/>
              </w:rPr>
              <w:t>Обновление знаний</w:t>
            </w:r>
          </w:p>
        </w:tc>
        <w:tc>
          <w:tcPr>
            <w:tcW w:type="dxa" w:w="3118"/>
          </w:tcPr>
          <w:p>
            <w:r>
              <w:rPr>
                <w:rFonts w:ascii="Times New Roman" w:hAnsi="Times New Roman"/>
                <w:sz w:val="24"/>
              </w:rPr>
              <w:t>Происходит эпизодически через вебинары и самостоятельный поиск информации</w:t>
            </w:r>
          </w:p>
        </w:tc>
        <w:tc>
          <w:tcPr>
            <w:tcW w:type="dxa" w:w="3118"/>
          </w:tcPr>
          <w:p>
            <w:r>
              <w:rPr>
                <w:rFonts w:ascii="Times New Roman" w:hAnsi="Times New Roman"/>
                <w:sz w:val="24"/>
              </w:rPr>
              <w:t>Изменения законодательства не всегда одинаково быстро доходят до всех сотрудников</w:t>
            </w:r>
          </w:p>
        </w:tc>
      </w:tr>
      <w:tr>
        <w:tc>
          <w:tcPr>
            <w:tcW w:type="dxa" w:w="3118"/>
          </w:tcPr>
          <w:p>
            <w:r>
              <w:rPr>
                <w:rFonts w:ascii="Times New Roman" w:hAnsi="Times New Roman"/>
                <w:sz w:val="24"/>
              </w:rPr>
              <w:t>Проверка знаний</w:t>
            </w:r>
          </w:p>
        </w:tc>
        <w:tc>
          <w:tcPr>
            <w:tcW w:type="dxa" w:w="3118"/>
          </w:tcPr>
          <w:p>
            <w:r>
              <w:rPr>
                <w:rFonts w:ascii="Times New Roman" w:hAnsi="Times New Roman"/>
                <w:sz w:val="24"/>
              </w:rPr>
              <w:t>Регулярное тестирование не проводится</w:t>
            </w:r>
          </w:p>
        </w:tc>
        <w:tc>
          <w:tcPr>
            <w:tcW w:type="dxa" w:w="3118"/>
          </w:tcPr>
          <w:p>
            <w:r>
              <w:rPr>
                <w:rFonts w:ascii="Times New Roman" w:hAnsi="Times New Roman"/>
                <w:sz w:val="24"/>
              </w:rPr>
              <w:t>Руководитель не имеет точной картины по пробелам в знаниях специалистов</w:t>
            </w:r>
          </w:p>
        </w:tc>
      </w:tr>
      <w:tr>
        <w:tc>
          <w:tcPr>
            <w:tcW w:type="dxa" w:w="3118"/>
          </w:tcPr>
          <w:p>
            <w:r>
              <w:rPr>
                <w:rFonts w:ascii="Times New Roman" w:hAnsi="Times New Roman"/>
                <w:sz w:val="24"/>
              </w:rPr>
              <w:t>Разбор ошибок</w:t>
            </w:r>
          </w:p>
        </w:tc>
        <w:tc>
          <w:tcPr>
            <w:tcW w:type="dxa" w:w="3118"/>
          </w:tcPr>
          <w:p>
            <w:r>
              <w:rPr>
                <w:rFonts w:ascii="Times New Roman" w:hAnsi="Times New Roman"/>
                <w:sz w:val="24"/>
              </w:rPr>
              <w:t>Ошибки обсуждаются устно и не фиксируются в единой базе</w:t>
            </w:r>
          </w:p>
        </w:tc>
        <w:tc>
          <w:tcPr>
            <w:tcW w:type="dxa" w:w="3118"/>
          </w:tcPr>
          <w:p>
            <w:r>
              <w:rPr>
                <w:rFonts w:ascii="Times New Roman" w:hAnsi="Times New Roman"/>
                <w:sz w:val="24"/>
              </w:rPr>
              <w:t>Повторяющиеся ошибки не превращаются в общий опыт отдела</w:t>
            </w:r>
          </w:p>
        </w:tc>
      </w:tr>
      <w:tr>
        <w:tc>
          <w:tcPr>
            <w:tcW w:type="dxa" w:w="3118"/>
          </w:tcPr>
          <w:p>
            <w:r>
              <w:rPr>
                <w:rFonts w:ascii="Times New Roman" w:hAnsi="Times New Roman"/>
                <w:sz w:val="24"/>
              </w:rPr>
              <w:t>Наставничество</w:t>
            </w:r>
          </w:p>
        </w:tc>
        <w:tc>
          <w:tcPr>
            <w:tcW w:type="dxa" w:w="3118"/>
          </w:tcPr>
          <w:p>
            <w:r>
              <w:rPr>
                <w:rFonts w:ascii="Times New Roman" w:hAnsi="Times New Roman"/>
                <w:sz w:val="24"/>
              </w:rPr>
              <w:t>Формально не закреплено</w:t>
            </w:r>
          </w:p>
        </w:tc>
        <w:tc>
          <w:tcPr>
            <w:tcW w:type="dxa" w:w="3118"/>
          </w:tcPr>
          <w:p>
            <w:r>
              <w:rPr>
                <w:rFonts w:ascii="Times New Roman" w:hAnsi="Times New Roman"/>
                <w:sz w:val="24"/>
              </w:rPr>
              <w:t>Передача опыта зависит от личной инициативы опытных сотрудников</w:t>
            </w:r>
          </w:p>
        </w:tc>
      </w:tr>
      <w:tr>
        <w:tc>
          <w:tcPr>
            <w:tcW w:type="dxa" w:w="3118"/>
          </w:tcPr>
          <w:p>
            <w:r>
              <w:rPr>
                <w:rFonts w:ascii="Times New Roman" w:hAnsi="Times New Roman"/>
                <w:sz w:val="24"/>
              </w:rPr>
              <w:t>Оценка эффективности обучения</w:t>
            </w:r>
          </w:p>
        </w:tc>
        <w:tc>
          <w:tcPr>
            <w:tcW w:type="dxa" w:w="3118"/>
          </w:tcPr>
          <w:p>
            <w:r>
              <w:rPr>
                <w:rFonts w:ascii="Times New Roman" w:hAnsi="Times New Roman"/>
                <w:sz w:val="24"/>
              </w:rPr>
              <w:t>Не проводится</w:t>
            </w:r>
          </w:p>
        </w:tc>
        <w:tc>
          <w:tcPr>
            <w:tcW w:type="dxa" w:w="3118"/>
          </w:tcPr>
          <w:p>
            <w:r>
              <w:rPr>
                <w:rFonts w:ascii="Times New Roman" w:hAnsi="Times New Roman"/>
                <w:sz w:val="24"/>
              </w:rPr>
              <w:t>Невозможно определить, влияет ли обучение на качество заявок и количество отклонений</w:t>
            </w:r>
          </w:p>
        </w:tc>
      </w:tr>
    </w:tbl>
    <w:p>
      <w:pPr>
        <w:spacing w:after="120" w:line="360" w:lineRule="auto"/>
        <w:ind w:firstLine="700"/>
      </w:pPr>
    </w:p>
    <w:p>
      <w:pPr>
        <w:spacing w:after="120" w:line="360" w:lineRule="auto"/>
        <w:ind w:firstLine="700"/>
      </w:pPr>
      <w:r>
        <w:rPr>
          <w:rFonts w:ascii="Times New Roman" w:hAnsi="Times New Roman"/>
          <w:b w:val="0"/>
          <w:sz w:val="28"/>
        </w:rPr>
        <w:t>Таким образом, в тендерном отделе ООО «Лайф Медиа» присутствуют отдельные обучающие действия, но они не образуют целостной системы. Компания несет затраты на обучение, однако эти затраты имеют эпизодический характер и не сопровождаются управленческим циклом «выявление потребности — обучение — проверка знаний — применение в работе — анализ результата». Для отдела, работающего в условиях удаленного формата и высокой нормативной изменчивости, такая ситуация усиливает зависимость результатов от личного опыта каждого сотрудника.</w:t>
      </w:r>
    </w:p>
    <w:p>
      <w:pPr>
        <w:spacing w:after="120" w:line="360" w:lineRule="auto"/>
        <w:jc w:val="center"/>
      </w:pPr>
      <w:r>
        <w:rPr>
          <w:rFonts w:ascii="Times New Roman" w:hAnsi="Times New Roman"/>
          <w:b/>
          <w:sz w:val="28"/>
        </w:rPr>
        <w:t>3.2. Анализ результатов тендерной деятельности как индикатора проблем в обучении</w:t>
      </w:r>
    </w:p>
    <w:p>
      <w:pPr>
        <w:spacing w:after="120" w:line="360" w:lineRule="auto"/>
        <w:ind w:firstLine="700"/>
      </w:pPr>
      <w:r>
        <w:rPr>
          <w:rFonts w:ascii="Times New Roman" w:hAnsi="Times New Roman"/>
          <w:b w:val="0"/>
          <w:sz w:val="28"/>
        </w:rPr>
        <w:t>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показывает,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w:t>
      </w:r>
    </w:p>
    <w:p>
      <w:pPr>
        <w:spacing w:after="120" w:line="360" w:lineRule="auto"/>
        <w:jc w:val="center"/>
      </w:pPr>
      <w:r>
        <w:rPr>
          <w:rFonts w:ascii="Times New Roman" w:hAnsi="Times New Roman"/>
          <w:b w:val="0"/>
          <w:sz w:val="28"/>
        </w:rPr>
        <w:t>Таблица 3.2. Результаты участия ООО «Лайф Медиа» в тендерах за 2023-2025 гг.</w:t>
      </w:r>
    </w:p>
    <w:tbl>
      <w:tblPr>
        <w:tblStyle w:val="6"/>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b/>
                <w:sz w:val="24"/>
              </w:rPr>
              <w:t>Год</w:t>
            </w:r>
          </w:p>
        </w:tc>
        <w:tc>
          <w:tcPr>
            <w:tcW w:type="dxa" w:w="1336"/>
          </w:tcPr>
          <w:p>
            <w:r>
              <w:rPr>
                <w:rFonts w:ascii="Times New Roman" w:hAnsi="Times New Roman"/>
                <w:b/>
                <w:sz w:val="24"/>
              </w:rPr>
              <w:t>Подано заявок</w:t>
            </w:r>
          </w:p>
        </w:tc>
        <w:tc>
          <w:tcPr>
            <w:tcW w:type="dxa" w:w="1336"/>
          </w:tcPr>
          <w:p>
            <w:r>
              <w:rPr>
                <w:rFonts w:ascii="Times New Roman" w:hAnsi="Times New Roman"/>
                <w:b/>
                <w:sz w:val="24"/>
              </w:rPr>
              <w:t>Признано соответствующими</w:t>
            </w:r>
          </w:p>
        </w:tc>
        <w:tc>
          <w:tcPr>
            <w:tcW w:type="dxa" w:w="1336"/>
          </w:tcPr>
          <w:p>
            <w:r>
              <w:rPr>
                <w:rFonts w:ascii="Times New Roman" w:hAnsi="Times New Roman"/>
                <w:b/>
                <w:sz w:val="24"/>
              </w:rPr>
              <w:t>Отклонено на этапе допуска</w:t>
            </w:r>
          </w:p>
        </w:tc>
        <w:tc>
          <w:tcPr>
            <w:tcW w:type="dxa" w:w="1336"/>
          </w:tcPr>
          <w:p>
            <w:r>
              <w:rPr>
                <w:rFonts w:ascii="Times New Roman" w:hAnsi="Times New Roman"/>
                <w:b/>
                <w:sz w:val="24"/>
              </w:rPr>
              <w:t>Выиграно контрактов</w:t>
            </w:r>
          </w:p>
        </w:tc>
        <w:tc>
          <w:tcPr>
            <w:tcW w:type="dxa" w:w="1336"/>
          </w:tcPr>
          <w:p>
            <w:r>
              <w:rPr>
                <w:rFonts w:ascii="Times New Roman" w:hAnsi="Times New Roman"/>
                <w:b/>
                <w:sz w:val="24"/>
              </w:rPr>
              <w:t>Конверсия из заявки в победу, %</w:t>
            </w:r>
          </w:p>
        </w:tc>
        <w:tc>
          <w:tcPr>
            <w:tcW w:type="dxa" w:w="1336"/>
          </w:tcPr>
          <w:p>
            <w:r>
              <w:rPr>
                <w:rFonts w:ascii="Times New Roman" w:hAnsi="Times New Roman"/>
                <w:b/>
                <w:sz w:val="24"/>
              </w:rPr>
              <w:t>Доля отклоненных заявок, %</w:t>
            </w:r>
          </w:p>
        </w:tc>
      </w:tr>
      <w:tr>
        <w:tc>
          <w:tcPr>
            <w:tcW w:type="dxa" w:w="1336"/>
          </w:tcPr>
          <w:p>
            <w:r>
              <w:rPr>
                <w:rFonts w:ascii="Times New Roman" w:hAnsi="Times New Roman"/>
                <w:sz w:val="24"/>
              </w:rPr>
              <w:t>2023</w:t>
            </w:r>
          </w:p>
        </w:tc>
        <w:tc>
          <w:tcPr>
            <w:tcW w:type="dxa" w:w="1336"/>
          </w:tcPr>
          <w:p>
            <w:r>
              <w:rPr>
                <w:rFonts w:ascii="Times New Roman" w:hAnsi="Times New Roman"/>
                <w:sz w:val="24"/>
              </w:rPr>
              <w:t>168</w:t>
            </w:r>
          </w:p>
        </w:tc>
        <w:tc>
          <w:tcPr>
            <w:tcW w:type="dxa" w:w="1336"/>
          </w:tcPr>
          <w:p>
            <w:r>
              <w:rPr>
                <w:rFonts w:ascii="Times New Roman" w:hAnsi="Times New Roman"/>
                <w:sz w:val="24"/>
              </w:rPr>
              <w:t>142</w:t>
            </w:r>
          </w:p>
        </w:tc>
        <w:tc>
          <w:tcPr>
            <w:tcW w:type="dxa" w:w="1336"/>
          </w:tcPr>
          <w:p>
            <w:r>
              <w:rPr>
                <w:rFonts w:ascii="Times New Roman" w:hAnsi="Times New Roman"/>
                <w:sz w:val="24"/>
              </w:rPr>
              <w:t>26</w:t>
            </w:r>
          </w:p>
        </w:tc>
        <w:tc>
          <w:tcPr>
            <w:tcW w:type="dxa" w:w="1336"/>
          </w:tcPr>
          <w:p>
            <w:r>
              <w:rPr>
                <w:rFonts w:ascii="Times New Roman" w:hAnsi="Times New Roman"/>
                <w:sz w:val="24"/>
              </w:rPr>
              <w:t>35</w:t>
            </w:r>
          </w:p>
        </w:tc>
        <w:tc>
          <w:tcPr>
            <w:tcW w:type="dxa" w:w="1336"/>
          </w:tcPr>
          <w:p>
            <w:r>
              <w:rPr>
                <w:rFonts w:ascii="Times New Roman" w:hAnsi="Times New Roman"/>
                <w:sz w:val="24"/>
              </w:rPr>
              <w:t>20,8</w:t>
            </w:r>
          </w:p>
        </w:tc>
        <w:tc>
          <w:tcPr>
            <w:tcW w:type="dxa" w:w="1336"/>
          </w:tcPr>
          <w:p>
            <w:r>
              <w:rPr>
                <w:rFonts w:ascii="Times New Roman" w:hAnsi="Times New Roman"/>
                <w:sz w:val="24"/>
              </w:rPr>
              <w:t>15,5</w:t>
            </w:r>
          </w:p>
        </w:tc>
      </w:tr>
      <w:tr>
        <w:tc>
          <w:tcPr>
            <w:tcW w:type="dxa" w:w="1336"/>
          </w:tcPr>
          <w:p>
            <w:r>
              <w:rPr>
                <w:rFonts w:ascii="Times New Roman" w:hAnsi="Times New Roman"/>
                <w:sz w:val="24"/>
              </w:rPr>
              <w:t>2024</w:t>
            </w:r>
          </w:p>
        </w:tc>
        <w:tc>
          <w:tcPr>
            <w:tcW w:type="dxa" w:w="1336"/>
          </w:tcPr>
          <w:p>
            <w:r>
              <w:rPr>
                <w:rFonts w:ascii="Times New Roman" w:hAnsi="Times New Roman"/>
                <w:sz w:val="24"/>
              </w:rPr>
              <w:t>185</w:t>
            </w:r>
          </w:p>
        </w:tc>
        <w:tc>
          <w:tcPr>
            <w:tcW w:type="dxa" w:w="1336"/>
          </w:tcPr>
          <w:p>
            <w:r>
              <w:rPr>
                <w:rFonts w:ascii="Times New Roman" w:hAnsi="Times New Roman"/>
                <w:sz w:val="24"/>
              </w:rPr>
              <w:t>158</w:t>
            </w:r>
          </w:p>
        </w:tc>
        <w:tc>
          <w:tcPr>
            <w:tcW w:type="dxa" w:w="1336"/>
          </w:tcPr>
          <w:p>
            <w:r>
              <w:rPr>
                <w:rFonts w:ascii="Times New Roman" w:hAnsi="Times New Roman"/>
                <w:sz w:val="24"/>
              </w:rPr>
              <w:t>27</w:t>
            </w:r>
          </w:p>
        </w:tc>
        <w:tc>
          <w:tcPr>
            <w:tcW w:type="dxa" w:w="1336"/>
          </w:tcPr>
          <w:p>
            <w:r>
              <w:rPr>
                <w:rFonts w:ascii="Times New Roman" w:hAnsi="Times New Roman"/>
                <w:sz w:val="24"/>
              </w:rPr>
              <w:t>42</w:t>
            </w:r>
          </w:p>
        </w:tc>
        <w:tc>
          <w:tcPr>
            <w:tcW w:type="dxa" w:w="1336"/>
          </w:tcPr>
          <w:p>
            <w:r>
              <w:rPr>
                <w:rFonts w:ascii="Times New Roman" w:hAnsi="Times New Roman"/>
                <w:sz w:val="24"/>
              </w:rPr>
              <w:t>22,7</w:t>
            </w:r>
          </w:p>
        </w:tc>
        <w:tc>
          <w:tcPr>
            <w:tcW w:type="dxa" w:w="1336"/>
          </w:tcPr>
          <w:p>
            <w:r>
              <w:rPr>
                <w:rFonts w:ascii="Times New Roman" w:hAnsi="Times New Roman"/>
                <w:sz w:val="24"/>
              </w:rPr>
              <w:t>14,6</w:t>
            </w:r>
          </w:p>
        </w:tc>
      </w:tr>
      <w:tr>
        <w:tc>
          <w:tcPr>
            <w:tcW w:type="dxa" w:w="1336"/>
          </w:tcPr>
          <w:p>
            <w:r>
              <w:rPr>
                <w:rFonts w:ascii="Times New Roman" w:hAnsi="Times New Roman"/>
                <w:sz w:val="24"/>
              </w:rPr>
              <w:t>2025</w:t>
            </w:r>
          </w:p>
        </w:tc>
        <w:tc>
          <w:tcPr>
            <w:tcW w:type="dxa" w:w="1336"/>
          </w:tcPr>
          <w:p>
            <w:r>
              <w:rPr>
                <w:rFonts w:ascii="Times New Roman" w:hAnsi="Times New Roman"/>
                <w:sz w:val="24"/>
              </w:rPr>
              <w:t>152</w:t>
            </w:r>
          </w:p>
        </w:tc>
        <w:tc>
          <w:tcPr>
            <w:tcW w:type="dxa" w:w="1336"/>
          </w:tcPr>
          <w:p>
            <w:r>
              <w:rPr>
                <w:rFonts w:ascii="Times New Roman" w:hAnsi="Times New Roman"/>
                <w:sz w:val="24"/>
              </w:rPr>
              <w:t>128</w:t>
            </w:r>
          </w:p>
        </w:tc>
        <w:tc>
          <w:tcPr>
            <w:tcW w:type="dxa" w:w="1336"/>
          </w:tcPr>
          <w:p>
            <w:r>
              <w:rPr>
                <w:rFonts w:ascii="Times New Roman" w:hAnsi="Times New Roman"/>
                <w:sz w:val="24"/>
              </w:rPr>
              <w:t>24</w:t>
            </w:r>
          </w:p>
        </w:tc>
        <w:tc>
          <w:tcPr>
            <w:tcW w:type="dxa" w:w="1336"/>
          </w:tcPr>
          <w:p>
            <w:r>
              <w:rPr>
                <w:rFonts w:ascii="Times New Roman" w:hAnsi="Times New Roman"/>
                <w:sz w:val="24"/>
              </w:rPr>
              <w:t>35</w:t>
            </w:r>
          </w:p>
        </w:tc>
        <w:tc>
          <w:tcPr>
            <w:tcW w:type="dxa" w:w="1336"/>
          </w:tcPr>
          <w:p>
            <w:r>
              <w:rPr>
                <w:rFonts w:ascii="Times New Roman" w:hAnsi="Times New Roman"/>
                <w:sz w:val="24"/>
              </w:rPr>
              <w:t>23,0</w:t>
            </w:r>
          </w:p>
        </w:tc>
        <w:tc>
          <w:tcPr>
            <w:tcW w:type="dxa" w:w="1336"/>
          </w:tcPr>
          <w:p>
            <w:r>
              <w:rPr>
                <w:rFonts w:ascii="Times New Roman" w:hAnsi="Times New Roman"/>
                <w:sz w:val="24"/>
              </w:rPr>
              <w:t>15,8</w:t>
            </w:r>
          </w:p>
        </w:tc>
      </w:tr>
    </w:tbl>
    <w:p>
      <w:pPr>
        <w:spacing w:after="120" w:line="360" w:lineRule="auto"/>
        <w:ind w:firstLine="700"/>
      </w:pPr>
    </w:p>
    <w:p>
      <w:pPr>
        <w:spacing w:after="120" w:line="360" w:lineRule="auto"/>
        <w:ind w:firstLine="700"/>
      </w:pPr>
      <w:r>
        <w:rPr>
          <w:rFonts w:ascii="Times New Roman" w:hAnsi="Times New Roman"/>
          <w:b w:val="0"/>
          <w:sz w:val="28"/>
        </w:rPr>
        <w:t>Данные таблицы показывают, что доля выигранных тендеров за анализируемый период находится примерно на одном уровне: от 20,8% в 2023 году до 23,0% в 2025 году.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отклоненных еще до стадии торгов. В 2023 году таких заявок было 26, в 2024 году — 27, в 2025 году — 24. В относительном выражении показатель отклонений держится в диапазоне 14,6-15,8%.</w:t>
      </w:r>
    </w:p>
    <w:p>
      <w:pPr>
        <w:spacing w:after="120" w:line="360" w:lineRule="auto"/>
        <w:ind w:firstLine="700"/>
      </w:pPr>
      <w:r>
        <w:rPr>
          <w:rFonts w:ascii="Times New Roman" w:hAnsi="Times New Roman"/>
          <w:b w:val="0"/>
          <w:sz w:val="28"/>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управляемым, то есть их можно выявлять, учитывать и снижать за счет стандартизации работы и накопления знаний внутри отдела.</w:t>
      </w:r>
    </w:p>
    <w:p>
      <w:pPr>
        <w:spacing w:after="120" w:line="360" w:lineRule="auto"/>
        <w:ind w:firstLine="700"/>
      </w:pPr>
      <w:r>
        <w:rPr>
          <w:rFonts w:ascii="Times New Roman" w:hAnsi="Times New Roman"/>
          <w:b w:val="0"/>
          <w:sz w:val="28"/>
        </w:rPr>
        <w:t>Для более точного понимания характера проблем были обобщены причины отклонения заявок за 2023-2025 годы. Всего за три года было выявлено 77 случаев отклонения заявок на этапе допуска. Анализ причин показывает, что ошибки распределяются по нескольким устойчивым группам.</w:t>
      </w:r>
    </w:p>
    <w:p>
      <w:pPr>
        <w:spacing w:after="120" w:line="360" w:lineRule="auto"/>
        <w:jc w:val="center"/>
      </w:pPr>
      <w:r>
        <w:rPr>
          <w:rFonts w:ascii="Times New Roman" w:hAnsi="Times New Roman"/>
          <w:b w:val="0"/>
          <w:sz w:val="28"/>
        </w:rPr>
        <w:t>Таблица 3.3. Структура причин отклонения заявок ООО «Лайф Медиа» за 2023-2025 гг.</w:t>
      </w:r>
    </w:p>
    <w:tbl>
      <w:tblPr>
        <w:tblStyle w:val="6"/>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4"/>
              </w:rPr>
              <w:t>Группа ошибок</w:t>
            </w:r>
          </w:p>
        </w:tc>
        <w:tc>
          <w:tcPr>
            <w:tcW w:type="dxa" w:w="2339"/>
          </w:tcPr>
          <w:p>
            <w:r>
              <w:rPr>
                <w:rFonts w:ascii="Times New Roman" w:hAnsi="Times New Roman"/>
                <w:b/>
                <w:sz w:val="24"/>
              </w:rPr>
              <w:t>Количество случаев</w:t>
            </w:r>
          </w:p>
        </w:tc>
        <w:tc>
          <w:tcPr>
            <w:tcW w:type="dxa" w:w="2339"/>
          </w:tcPr>
          <w:p>
            <w:r>
              <w:rPr>
                <w:rFonts w:ascii="Times New Roman" w:hAnsi="Times New Roman"/>
                <w:b/>
                <w:sz w:val="24"/>
              </w:rPr>
              <w:t>Доля, %</w:t>
            </w:r>
          </w:p>
        </w:tc>
        <w:tc>
          <w:tcPr>
            <w:tcW w:type="dxa" w:w="2339"/>
          </w:tcPr>
          <w:p>
            <w:r>
              <w:rPr>
                <w:rFonts w:ascii="Times New Roman" w:hAnsi="Times New Roman"/>
                <w:b/>
                <w:sz w:val="24"/>
              </w:rPr>
              <w:t>Содержание ошибки</w:t>
            </w:r>
          </w:p>
        </w:tc>
      </w:tr>
      <w:tr>
        <w:tc>
          <w:tcPr>
            <w:tcW w:type="dxa" w:w="2339"/>
          </w:tcPr>
          <w:p>
            <w:r>
              <w:rPr>
                <w:rFonts w:ascii="Times New Roman" w:hAnsi="Times New Roman"/>
                <w:sz w:val="24"/>
              </w:rPr>
              <w:t>Ошибки, связанные с требованиями законодательства и документации</w:t>
            </w:r>
          </w:p>
        </w:tc>
        <w:tc>
          <w:tcPr>
            <w:tcW w:type="dxa" w:w="2339"/>
          </w:tcPr>
          <w:p>
            <w:r>
              <w:rPr>
                <w:rFonts w:ascii="Times New Roman" w:hAnsi="Times New Roman"/>
                <w:sz w:val="24"/>
              </w:rPr>
              <w:t>25</w:t>
            </w:r>
          </w:p>
        </w:tc>
        <w:tc>
          <w:tcPr>
            <w:tcW w:type="dxa" w:w="2339"/>
          </w:tcPr>
          <w:p>
            <w:r>
              <w:rPr>
                <w:rFonts w:ascii="Times New Roman" w:hAnsi="Times New Roman"/>
                <w:sz w:val="24"/>
              </w:rPr>
              <w:t>32,5</w:t>
            </w:r>
          </w:p>
        </w:tc>
        <w:tc>
          <w:tcPr>
            <w:tcW w:type="dxa" w:w="2339"/>
          </w:tcPr>
          <w:p>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tc>
          <w:tcPr>
            <w:tcW w:type="dxa" w:w="2339"/>
          </w:tcPr>
          <w:p>
            <w:r>
              <w:rPr>
                <w:rFonts w:ascii="Times New Roman" w:hAnsi="Times New Roman"/>
                <w:sz w:val="24"/>
              </w:rPr>
              <w:t>Технические ошибки при работе с ЭТП</w:t>
            </w:r>
          </w:p>
        </w:tc>
        <w:tc>
          <w:tcPr>
            <w:tcW w:type="dxa" w:w="2339"/>
          </w:tcPr>
          <w:p>
            <w:r>
              <w:rPr>
                <w:rFonts w:ascii="Times New Roman" w:hAnsi="Times New Roman"/>
                <w:sz w:val="24"/>
              </w:rPr>
              <w:t>28</w:t>
            </w:r>
          </w:p>
        </w:tc>
        <w:tc>
          <w:tcPr>
            <w:tcW w:type="dxa" w:w="2339"/>
          </w:tcPr>
          <w:p>
            <w:r>
              <w:rPr>
                <w:rFonts w:ascii="Times New Roman" w:hAnsi="Times New Roman"/>
                <w:sz w:val="24"/>
              </w:rPr>
              <w:t>36,4</w:t>
            </w:r>
          </w:p>
        </w:tc>
        <w:tc>
          <w:tcPr>
            <w:tcW w:type="dxa" w:w="2339"/>
          </w:tcPr>
          <w:p>
            <w:r>
              <w:rPr>
                <w:rFonts w:ascii="Times New Roman" w:hAnsi="Times New Roman"/>
                <w:sz w:val="24"/>
              </w:rPr>
              <w:t>Неполная загрузка документов, неверный формат файла, ошибки при подписании электронной подписью</w:t>
            </w:r>
          </w:p>
        </w:tc>
      </w:tr>
      <w:tr>
        <w:tc>
          <w:tcPr>
            <w:tcW w:type="dxa" w:w="2339"/>
          </w:tcPr>
          <w:p>
            <w:r>
              <w:rPr>
                <w:rFonts w:ascii="Times New Roman" w:hAnsi="Times New Roman"/>
                <w:sz w:val="24"/>
              </w:rPr>
              <w:t>Ошибки в расчетах и ценовом предложении</w:t>
            </w:r>
          </w:p>
        </w:tc>
        <w:tc>
          <w:tcPr>
            <w:tcW w:type="dxa" w:w="2339"/>
          </w:tcPr>
          <w:p>
            <w:r>
              <w:rPr>
                <w:rFonts w:ascii="Times New Roman" w:hAnsi="Times New Roman"/>
                <w:sz w:val="24"/>
              </w:rPr>
              <w:t>14</w:t>
            </w:r>
          </w:p>
        </w:tc>
        <w:tc>
          <w:tcPr>
            <w:tcW w:type="dxa" w:w="2339"/>
          </w:tcPr>
          <w:p>
            <w:r>
              <w:rPr>
                <w:rFonts w:ascii="Times New Roman" w:hAnsi="Times New Roman"/>
                <w:sz w:val="24"/>
              </w:rPr>
              <w:t>18,2</w:t>
            </w:r>
          </w:p>
        </w:tc>
        <w:tc>
          <w:tcPr>
            <w:tcW w:type="dxa" w:w="2339"/>
          </w:tcPr>
          <w:p>
            <w:r>
              <w:rPr>
                <w:rFonts w:ascii="Times New Roman" w:hAnsi="Times New Roman"/>
                <w:sz w:val="24"/>
              </w:rPr>
              <w:t>Несоответствие итоговой суммы, арифметические расхождения, некорректное отражение НДС</w:t>
            </w:r>
          </w:p>
        </w:tc>
      </w:tr>
      <w:tr>
        <w:tc>
          <w:tcPr>
            <w:tcW w:type="dxa" w:w="2339"/>
          </w:tcPr>
          <w:p>
            <w:r>
              <w:rPr>
                <w:rFonts w:ascii="Times New Roman" w:hAnsi="Times New Roman"/>
                <w:sz w:val="24"/>
              </w:rPr>
              <w:t>Организационные ошибки подготовки заявки</w:t>
            </w:r>
          </w:p>
        </w:tc>
        <w:tc>
          <w:tcPr>
            <w:tcW w:type="dxa" w:w="2339"/>
          </w:tcPr>
          <w:p>
            <w:r>
              <w:rPr>
                <w:rFonts w:ascii="Times New Roman" w:hAnsi="Times New Roman"/>
                <w:sz w:val="24"/>
              </w:rPr>
              <w:t>10</w:t>
            </w:r>
          </w:p>
        </w:tc>
        <w:tc>
          <w:tcPr>
            <w:tcW w:type="dxa" w:w="2339"/>
          </w:tcPr>
          <w:p>
            <w:r>
              <w:rPr>
                <w:rFonts w:ascii="Times New Roman" w:hAnsi="Times New Roman"/>
                <w:sz w:val="24"/>
              </w:rPr>
              <w:t>12,9</w:t>
            </w:r>
          </w:p>
        </w:tc>
        <w:tc>
          <w:tcPr>
            <w:tcW w:type="dxa" w:w="2339"/>
          </w:tcPr>
          <w:p>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tc>
          <w:tcPr>
            <w:tcW w:type="dxa" w:w="2339"/>
          </w:tcPr>
          <w:p>
            <w:r>
              <w:rPr>
                <w:rFonts w:ascii="Times New Roman" w:hAnsi="Times New Roman"/>
                <w:sz w:val="24"/>
              </w:rPr>
              <w:t>Итого</w:t>
            </w:r>
          </w:p>
        </w:tc>
        <w:tc>
          <w:tcPr>
            <w:tcW w:type="dxa" w:w="2339"/>
          </w:tcPr>
          <w:p>
            <w:r>
              <w:rPr>
                <w:rFonts w:ascii="Times New Roman" w:hAnsi="Times New Roman"/>
                <w:sz w:val="24"/>
              </w:rPr>
              <w:t>77</w:t>
            </w:r>
          </w:p>
        </w:tc>
        <w:tc>
          <w:tcPr>
            <w:tcW w:type="dxa" w:w="2339"/>
          </w:tcPr>
          <w:p>
            <w:r>
              <w:rPr>
                <w:rFonts w:ascii="Times New Roman" w:hAnsi="Times New Roman"/>
                <w:sz w:val="24"/>
              </w:rPr>
              <w:t>100,0</w:t>
            </w:r>
          </w:p>
        </w:tc>
        <w:tc>
          <w:tcPr>
            <w:tcW w:type="dxa" w:w="2339"/>
          </w:tcPr>
          <w:p>
            <w:r>
              <w:rPr>
                <w:rFonts w:ascii="Times New Roman" w:hAnsi="Times New Roman"/>
                <w:sz w:val="24"/>
              </w:rPr>
              <w:t>-</w:t>
            </w:r>
          </w:p>
        </w:tc>
      </w:tr>
    </w:tbl>
    <w:p>
      <w:pPr>
        <w:spacing w:after="120" w:line="360" w:lineRule="auto"/>
        <w:ind w:firstLine="700"/>
      </w:pPr>
    </w:p>
    <w:p>
      <w:pPr>
        <w:spacing w:after="120" w:line="360" w:lineRule="auto"/>
        <w:ind w:firstLine="700"/>
      </w:pPr>
      <w:r>
        <w:rPr>
          <w:rFonts w:ascii="Times New Roman" w:hAnsi="Times New Roman"/>
          <w:b w:val="0"/>
          <w:sz w:val="28"/>
        </w:rPr>
        <w:t>Наибольшая доля приходится на технические ошибки при работе с электронными торговыми площадками — 36,4%. Это означает, что значительная часть отклонений связана не с отсутствием коммерческой возможности выиграть контракт, а с процедурными нарушениями при подаче заявки. Второе место занимают ошибки, связанные с законодательством и требованиями документации, — 32,5%. Такая структура показывает, что сотрудники сталкиваются с трудностями как в содержательной части подготовки заявки, так и в техническом оформлении документов.</w:t>
      </w:r>
    </w:p>
    <w:p>
      <w:pPr>
        <w:spacing w:after="120" w:line="360" w:lineRule="auto"/>
        <w:ind w:firstLine="700"/>
      </w:pPr>
      <w:r>
        <w:rPr>
          <w:rFonts w:ascii="Times New Roman" w:hAnsi="Times New Roman"/>
          <w:b w:val="0"/>
          <w:sz w:val="28"/>
        </w:rPr>
        <w:t>Примером ошибки первой группы является ситуация, когда в закупке требовалось подтвердить опыт исполнения контракта на определенную сумму, но специалист приложил договор без корректного учета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pPr>
        <w:spacing w:after="120" w:line="360" w:lineRule="auto"/>
        <w:ind w:firstLine="700"/>
      </w:pPr>
      <w:r>
        <w:rPr>
          <w:rFonts w:ascii="Times New Roman" w:hAnsi="Times New Roman"/>
          <w:b w:val="0"/>
          <w:sz w:val="28"/>
        </w:rPr>
        <w:t>Другой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закреплен, сотрудник формально использовал доступный документ, но этот документ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pPr>
        <w:spacing w:after="120" w:line="360" w:lineRule="auto"/>
        <w:ind w:firstLine="700"/>
      </w:pPr>
      <w:r>
        <w:rPr>
          <w:rFonts w:ascii="Times New Roman" w:hAnsi="Times New Roman"/>
          <w:b w:val="0"/>
          <w:sz w:val="28"/>
        </w:rPr>
        <w:t>Технические ошибки также имеют повторяющийся характер. В отдельных случаях сотрудники загружали не полный комплект документов, выбирали неверный формат файла или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такой проверки. Поэтому качество заявки зависит от личной внимательности специалиста, а не от закрепленного алгоритма работы.</w:t>
      </w:r>
    </w:p>
    <w:p>
      <w:pPr>
        <w:spacing w:after="120" w:line="360" w:lineRule="auto"/>
        <w:ind w:firstLine="700"/>
      </w:pPr>
      <w:r>
        <w:rPr>
          <w:rFonts w:ascii="Times New Roman" w:hAnsi="Times New Roman"/>
          <w:b w:val="0"/>
          <w:sz w:val="28"/>
        </w:rPr>
        <w:t>Ошибки в расчетах составляют меньшую долю, но имеют существенное значение, поскольку связаны с финансовой частью заявки. Арифметические расхождения между суммой позиций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надежность экономического анализа закупки.</w:t>
      </w:r>
    </w:p>
    <w:p>
      <w:pPr>
        <w:spacing w:after="120" w:line="360" w:lineRule="auto"/>
        <w:ind w:firstLine="700"/>
      </w:pPr>
      <w:r>
        <w:rPr>
          <w:rFonts w:ascii="Times New Roman" w:hAnsi="Times New Roman"/>
          <w:b w:val="0"/>
          <w:sz w:val="28"/>
        </w:rPr>
        <w:t>Следовательно,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отклоненных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трех лет показывает, что устные объяснения и разовые вебинары не обеспечивают устойчивого изменения рабочих практик.</w:t>
      </w:r>
    </w:p>
    <w:p>
      <w:pPr>
        <w:spacing w:after="120" w:line="360" w:lineRule="auto"/>
        <w:jc w:val="center"/>
      </w:pPr>
      <w:r>
        <w:rPr>
          <w:rFonts w:ascii="Times New Roman" w:hAnsi="Times New Roman"/>
          <w:b/>
          <w:sz w:val="28"/>
        </w:rPr>
        <w:t>3.3. Опрос сотрудников тендерного отдела о состоянии обучения и потребностях в профессиональном развитии</w:t>
      </w:r>
    </w:p>
    <w:p>
      <w:pPr>
        <w:spacing w:after="120" w:line="360" w:lineRule="auto"/>
        <w:ind w:firstLine="700"/>
      </w:pPr>
      <w:r>
        <w:rPr>
          <w:rFonts w:ascii="Times New Roman" w:hAnsi="Times New Roman"/>
          <w:b w:val="0"/>
          <w:sz w:val="28"/>
        </w:rPr>
        <w:t>Для уточнения внутренней оценки ситуации был проведен опрос сотрудников тендерного отдела ООО «Лайф Медиа». В опросе участвовали все 8 специалистов отдела. Цель опроса состояла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носил диагностический характер и не был направлен на разработку рекомендаций.</w:t>
      </w:r>
    </w:p>
    <w:p>
      <w:pPr>
        <w:spacing w:after="120" w:line="360" w:lineRule="auto"/>
        <w:ind w:firstLine="700"/>
      </w:pPr>
      <w:r>
        <w:rPr>
          <w:rFonts w:ascii="Times New Roman" w:hAnsi="Times New Roman"/>
          <w:b w:val="0"/>
          <w:sz w:val="28"/>
        </w:rPr>
        <w:t>Анкета включала вопросы закрытого и полузакрытого типа. Сотрудники отвечали анонимно, чтобы снизить влияние должностной зависимости и получить более точные ответы. Вопросы были сгруппированы по четырем блокам: наличие системы обучения, источники получения знаний, трудности в работе и профессиональные потребности сотрудников.</w:t>
      </w:r>
    </w:p>
    <w:p>
      <w:pPr>
        <w:spacing w:after="120" w:line="360" w:lineRule="auto"/>
        <w:jc w:val="center"/>
      </w:pPr>
      <w:r>
        <w:rPr>
          <w:rFonts w:ascii="Times New Roman" w:hAnsi="Times New Roman"/>
          <w:b w:val="0"/>
          <w:sz w:val="28"/>
        </w:rPr>
        <w:t>Таблица 3.4. Общая оценка сотрудниками состояния обучения в тендерном отделе</w:t>
      </w:r>
    </w:p>
    <w:tbl>
      <w:tblPr>
        <w:tblStyle w:val="6"/>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b/>
                <w:sz w:val="24"/>
              </w:rPr>
              <w:t>Вопрос анкеты</w:t>
            </w:r>
          </w:p>
        </w:tc>
        <w:tc>
          <w:tcPr>
            <w:tcW w:type="dxa" w:w="2339"/>
          </w:tcPr>
          <w:p>
            <w:r>
              <w:rPr>
                <w:rFonts w:ascii="Times New Roman" w:hAnsi="Times New Roman"/>
                <w:b/>
                <w:sz w:val="24"/>
              </w:rPr>
              <w:t>Вариант ответа</w:t>
            </w:r>
          </w:p>
        </w:tc>
        <w:tc>
          <w:tcPr>
            <w:tcW w:type="dxa" w:w="2339"/>
          </w:tcPr>
          <w:p>
            <w:r>
              <w:rPr>
                <w:rFonts w:ascii="Times New Roman" w:hAnsi="Times New Roman"/>
                <w:b/>
                <w:sz w:val="24"/>
              </w:rPr>
              <w:t>Количество ответов</w:t>
            </w:r>
          </w:p>
        </w:tc>
        <w:tc>
          <w:tcPr>
            <w:tcW w:type="dxa" w:w="2339"/>
          </w:tcPr>
          <w:p>
            <w:r>
              <w:rPr>
                <w:rFonts w:ascii="Times New Roman" w:hAnsi="Times New Roman"/>
                <w:b/>
                <w:sz w:val="24"/>
              </w:rPr>
              <w:t>Доля, %</w:t>
            </w:r>
          </w:p>
        </w:tc>
      </w:tr>
      <w:tr>
        <w:tc>
          <w:tcPr>
            <w:tcW w:type="dxa" w:w="2339"/>
          </w:tcPr>
          <w:p>
            <w:r>
              <w:rPr>
                <w:rFonts w:ascii="Times New Roman" w:hAnsi="Times New Roman"/>
                <w:sz w:val="24"/>
              </w:rPr>
              <w:t>Есть ли в компании утвержденная программа обучения тендерных специалистов?</w:t>
            </w:r>
          </w:p>
        </w:tc>
        <w:tc>
          <w:tcPr>
            <w:tcW w:type="dxa" w:w="2339"/>
          </w:tcPr>
          <w:p>
            <w:r>
              <w:rPr>
                <w:rFonts w:ascii="Times New Roman" w:hAnsi="Times New Roman"/>
                <w:sz w:val="24"/>
              </w:rPr>
              <w:t>Да</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Есть ли в компании утвержденная программа обучения тендерных специалистов?</w:t>
            </w:r>
          </w:p>
        </w:tc>
        <w:tc>
          <w:tcPr>
            <w:tcW w:type="dxa" w:w="2339"/>
          </w:tcPr>
          <w:p>
            <w:r>
              <w:rPr>
                <w:rFonts w:ascii="Times New Roman" w:hAnsi="Times New Roman"/>
                <w:sz w:val="24"/>
              </w:rPr>
              <w:t>Нет</w:t>
            </w:r>
          </w:p>
        </w:tc>
        <w:tc>
          <w:tcPr>
            <w:tcW w:type="dxa" w:w="2339"/>
          </w:tcPr>
          <w:p>
            <w:r>
              <w:rPr>
                <w:rFonts w:ascii="Times New Roman" w:hAnsi="Times New Roman"/>
                <w:sz w:val="24"/>
              </w:rPr>
              <w:t>8</w:t>
            </w:r>
          </w:p>
        </w:tc>
        <w:tc>
          <w:tcPr>
            <w:tcW w:type="dxa" w:w="2339"/>
          </w:tcPr>
          <w:p>
            <w:r>
              <w:rPr>
                <w:rFonts w:ascii="Times New Roman" w:hAnsi="Times New Roman"/>
                <w:sz w:val="24"/>
              </w:rPr>
              <w:t>100,0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Да, полностью</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Частично</w:t>
            </w:r>
          </w:p>
        </w:tc>
        <w:tc>
          <w:tcPr>
            <w:tcW w:type="dxa" w:w="2339"/>
          </w:tcPr>
          <w:p>
            <w:r>
              <w:rPr>
                <w:rFonts w:ascii="Times New Roman" w:hAnsi="Times New Roman"/>
                <w:sz w:val="24"/>
              </w:rPr>
              <w:t>2</w:t>
            </w:r>
          </w:p>
        </w:tc>
        <w:tc>
          <w:tcPr>
            <w:tcW w:type="dxa" w:w="2339"/>
          </w:tcPr>
          <w:p>
            <w:r>
              <w:rPr>
                <w:rFonts w:ascii="Times New Roman" w:hAnsi="Times New Roman"/>
                <w:sz w:val="24"/>
              </w:rPr>
              <w:t>25,0</w:t>
            </w:r>
          </w:p>
        </w:tc>
      </w:tr>
      <w:tr>
        <w:tc>
          <w:tcPr>
            <w:tcW w:type="dxa" w:w="2339"/>
          </w:tcPr>
          <w:p>
            <w:r>
              <w:rPr>
                <w:rFonts w:ascii="Times New Roman" w:hAnsi="Times New Roman"/>
                <w:sz w:val="24"/>
              </w:rPr>
              <w:t>Проходили ли вы вводное обучение по единому плану при приеме на работу?</w:t>
            </w:r>
          </w:p>
        </w:tc>
        <w:tc>
          <w:tcPr>
            <w:tcW w:type="dxa" w:w="2339"/>
          </w:tcPr>
          <w:p>
            <w:r>
              <w:rPr>
                <w:rFonts w:ascii="Times New Roman" w:hAnsi="Times New Roman"/>
                <w:sz w:val="24"/>
              </w:rPr>
              <w:t>Нет</w:t>
            </w:r>
          </w:p>
        </w:tc>
        <w:tc>
          <w:tcPr>
            <w:tcW w:type="dxa" w:w="2339"/>
          </w:tcPr>
          <w:p>
            <w:r>
              <w:rPr>
                <w:rFonts w:ascii="Times New Roman" w:hAnsi="Times New Roman"/>
                <w:sz w:val="24"/>
              </w:rPr>
              <w:t>6</w:t>
            </w:r>
          </w:p>
        </w:tc>
        <w:tc>
          <w:tcPr>
            <w:tcW w:type="dxa" w:w="2339"/>
          </w:tcPr>
          <w:p>
            <w:r>
              <w:rPr>
                <w:rFonts w:ascii="Times New Roman" w:hAnsi="Times New Roman"/>
                <w:sz w:val="24"/>
              </w:rPr>
              <w:t>75,0</w:t>
            </w:r>
          </w:p>
        </w:tc>
      </w:tr>
      <w:tr>
        <w:tc>
          <w:tcPr>
            <w:tcW w:type="dxa" w:w="2339"/>
          </w:tcPr>
          <w:p>
            <w:r>
              <w:rPr>
                <w:rFonts w:ascii="Times New Roman" w:hAnsi="Times New Roman"/>
                <w:sz w:val="24"/>
              </w:rPr>
              <w:t>Проводится ли регулярная проверка знаний по 44-ФЗ/223-ФЗ и ЭТП?</w:t>
            </w:r>
          </w:p>
        </w:tc>
        <w:tc>
          <w:tcPr>
            <w:tcW w:type="dxa" w:w="2339"/>
          </w:tcPr>
          <w:p>
            <w:r>
              <w:rPr>
                <w:rFonts w:ascii="Times New Roman" w:hAnsi="Times New Roman"/>
                <w:sz w:val="24"/>
              </w:rPr>
              <w:t>Да</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Проводится ли регулярная проверка знаний по 44-ФЗ/223-ФЗ и ЭТП?</w:t>
            </w:r>
          </w:p>
        </w:tc>
        <w:tc>
          <w:tcPr>
            <w:tcW w:type="dxa" w:w="2339"/>
          </w:tcPr>
          <w:p>
            <w:r>
              <w:rPr>
                <w:rFonts w:ascii="Times New Roman" w:hAnsi="Times New Roman"/>
                <w:sz w:val="24"/>
              </w:rPr>
              <w:t>Нет</w:t>
            </w:r>
          </w:p>
        </w:tc>
        <w:tc>
          <w:tcPr>
            <w:tcW w:type="dxa" w:w="2339"/>
          </w:tcPr>
          <w:p>
            <w:r>
              <w:rPr>
                <w:rFonts w:ascii="Times New Roman" w:hAnsi="Times New Roman"/>
                <w:sz w:val="24"/>
              </w:rPr>
              <w:t>8</w:t>
            </w:r>
          </w:p>
        </w:tc>
        <w:tc>
          <w:tcPr>
            <w:tcW w:type="dxa" w:w="2339"/>
          </w:tcPr>
          <w:p>
            <w:r>
              <w:rPr>
                <w:rFonts w:ascii="Times New Roman" w:hAnsi="Times New Roman"/>
                <w:sz w:val="24"/>
              </w:rPr>
              <w:t>100,0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Да, удобная и актуальная</w:t>
            </w:r>
          </w:p>
        </w:tc>
        <w:tc>
          <w:tcPr>
            <w:tcW w:type="dxa" w:w="2339"/>
          </w:tcPr>
          <w:p>
            <w:r>
              <w:rPr>
                <w:rFonts w:ascii="Times New Roman" w:hAnsi="Times New Roman"/>
                <w:sz w:val="24"/>
              </w:rPr>
              <w:t>0</w:t>
            </w:r>
          </w:p>
        </w:tc>
        <w:tc>
          <w:tcPr>
            <w:tcW w:type="dxa" w:w="2339"/>
          </w:tcPr>
          <w:p>
            <w:r>
              <w:rPr>
                <w:rFonts w:ascii="Times New Roman" w:hAnsi="Times New Roman"/>
                <w:sz w:val="24"/>
              </w:rPr>
              <w:t>0,0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Есть отдельные материалы, но они разрознены</w:t>
            </w:r>
          </w:p>
        </w:tc>
        <w:tc>
          <w:tcPr>
            <w:tcW w:type="dxa" w:w="2339"/>
          </w:tcPr>
          <w:p>
            <w:r>
              <w:rPr>
                <w:rFonts w:ascii="Times New Roman" w:hAnsi="Times New Roman"/>
                <w:sz w:val="24"/>
              </w:rPr>
              <w:t>6</w:t>
            </w:r>
          </w:p>
        </w:tc>
        <w:tc>
          <w:tcPr>
            <w:tcW w:type="dxa" w:w="2339"/>
          </w:tcPr>
          <w:p>
            <w:r>
              <w:rPr>
                <w:rFonts w:ascii="Times New Roman" w:hAnsi="Times New Roman"/>
                <w:sz w:val="24"/>
              </w:rPr>
              <w:t>75,0</w:t>
            </w:r>
          </w:p>
        </w:tc>
      </w:tr>
      <w:tr>
        <w:tc>
          <w:tcPr>
            <w:tcW w:type="dxa" w:w="2339"/>
          </w:tcPr>
          <w:p>
            <w:r>
              <w:rPr>
                <w:rFonts w:ascii="Times New Roman" w:hAnsi="Times New Roman"/>
                <w:sz w:val="24"/>
              </w:rPr>
              <w:t>Есть ли единая база актуальных шаблонов и инструкций?</w:t>
            </w:r>
          </w:p>
        </w:tc>
        <w:tc>
          <w:tcPr>
            <w:tcW w:type="dxa" w:w="2339"/>
          </w:tcPr>
          <w:p>
            <w:r>
              <w:rPr>
                <w:rFonts w:ascii="Times New Roman" w:hAnsi="Times New Roman"/>
                <w:sz w:val="24"/>
              </w:rPr>
              <w:t>Нет</w:t>
            </w:r>
          </w:p>
        </w:tc>
        <w:tc>
          <w:tcPr>
            <w:tcW w:type="dxa" w:w="2339"/>
          </w:tcPr>
          <w:p>
            <w:r>
              <w:rPr>
                <w:rFonts w:ascii="Times New Roman" w:hAnsi="Times New Roman"/>
                <w:sz w:val="24"/>
              </w:rPr>
              <w:t>2</w:t>
            </w:r>
          </w:p>
        </w:tc>
        <w:tc>
          <w:tcPr>
            <w:tcW w:type="dxa" w:w="2339"/>
          </w:tcPr>
          <w:p>
            <w:r>
              <w:rPr>
                <w:rFonts w:ascii="Times New Roman" w:hAnsi="Times New Roman"/>
                <w:sz w:val="24"/>
              </w:rPr>
              <w:t>25,0</w:t>
            </w:r>
          </w:p>
        </w:tc>
      </w:tr>
    </w:tbl>
    <w:p>
      <w:pPr>
        <w:spacing w:after="120" w:line="360" w:lineRule="auto"/>
        <w:ind w:firstLine="700"/>
      </w:pPr>
    </w:p>
    <w:p>
      <w:pPr>
        <w:spacing w:after="120" w:line="360" w:lineRule="auto"/>
        <w:ind w:firstLine="700"/>
      </w:pPr>
      <w:r>
        <w:rPr>
          <w:rFonts w:ascii="Times New Roman" w:hAnsi="Times New Roman"/>
          <w:b w:val="0"/>
          <w:sz w:val="28"/>
        </w:rPr>
        <w:t>Ответы сотрудников подтверждают вывод о том, что обучение в отделе не оформлено как система. Все 8 опрошенных указали, что утвержденной программы обучения нет. При этом 6 сотрудников из 8 сообщили, что не проходили вводное обучение по единому плану при приеме на работу. Еще 2 сотрудника отметили, что обучение было частичным и выражалось в объяснении отдельных задач, а не в последовательном освоении должности. Также все респонденты указали, что регулярная проверка знаний по законодательству и работе с электронными площадками не проводится.</w:t>
      </w:r>
    </w:p>
    <w:p>
      <w:pPr>
        <w:spacing w:after="120" w:line="360" w:lineRule="auto"/>
        <w:ind w:firstLine="700"/>
      </w:pPr>
      <w:r>
        <w:rPr>
          <w:rFonts w:ascii="Times New Roman" w:hAnsi="Times New Roman"/>
          <w:b w:val="0"/>
          <w:sz w:val="28"/>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работников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всегда воспринимается сотрудниками как надежный рабочий инструмент.</w:t>
      </w:r>
    </w:p>
    <w:p>
      <w:pPr>
        <w:spacing w:after="120" w:line="360" w:lineRule="auto"/>
        <w:jc w:val="center"/>
      </w:pPr>
      <w:r>
        <w:rPr>
          <w:rFonts w:ascii="Times New Roman" w:hAnsi="Times New Roman"/>
          <w:b w:val="0"/>
          <w:sz w:val="28"/>
        </w:rPr>
        <w:t>Таблица 3.5. Источники получения профессиональных знаний сотрудниками тендерного отдела</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Источник информации</w:t>
            </w:r>
          </w:p>
        </w:tc>
        <w:tc>
          <w:tcPr>
            <w:tcW w:type="dxa" w:w="3118"/>
          </w:tcPr>
          <w:p>
            <w:r>
              <w:rPr>
                <w:rFonts w:ascii="Times New Roman" w:hAnsi="Times New Roman"/>
                <w:b/>
                <w:sz w:val="24"/>
              </w:rPr>
              <w:t>Количество сотрудников, отметивших источник</w:t>
            </w:r>
          </w:p>
        </w:tc>
        <w:tc>
          <w:tcPr>
            <w:tcW w:type="dxa" w:w="3118"/>
          </w:tcPr>
          <w:p>
            <w:r>
              <w:rPr>
                <w:rFonts w:ascii="Times New Roman" w:hAnsi="Times New Roman"/>
                <w:b/>
                <w:sz w:val="24"/>
              </w:rPr>
              <w:t>Доля от численности отдела, %</w:t>
            </w:r>
          </w:p>
        </w:tc>
      </w:tr>
      <w:tr>
        <w:tc>
          <w:tcPr>
            <w:tcW w:type="dxa" w:w="3118"/>
          </w:tcPr>
          <w:p>
            <w:r>
              <w:rPr>
                <w:rFonts w:ascii="Times New Roman" w:hAnsi="Times New Roman"/>
                <w:sz w:val="24"/>
              </w:rPr>
              <w:t>Самостоятельный поиск информации в интернете и справочных системах</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Обращение к более опытным коллегам</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Устные пояснения руководителя отдела</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Просмотр ранее поданных заявок</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Записи вебинаров по 44-ФЗ/223-ФЗ</w:t>
            </w:r>
          </w:p>
        </w:tc>
        <w:tc>
          <w:tcPr>
            <w:tcW w:type="dxa" w:w="3118"/>
          </w:tcPr>
          <w:p>
            <w:r>
              <w:rPr>
                <w:rFonts w:ascii="Times New Roman" w:hAnsi="Times New Roman"/>
                <w:sz w:val="24"/>
              </w:rPr>
              <w:t>4</w:t>
            </w:r>
          </w:p>
        </w:tc>
        <w:tc>
          <w:tcPr>
            <w:tcW w:type="dxa" w:w="3118"/>
          </w:tcPr>
          <w:p>
            <w:r>
              <w:rPr>
                <w:rFonts w:ascii="Times New Roman" w:hAnsi="Times New Roman"/>
                <w:sz w:val="24"/>
              </w:rPr>
              <w:t>50,0</w:t>
            </w:r>
          </w:p>
        </w:tc>
      </w:tr>
      <w:tr>
        <w:tc>
          <w:tcPr>
            <w:tcW w:type="dxa" w:w="3118"/>
          </w:tcPr>
          <w:p>
            <w:r>
              <w:rPr>
                <w:rFonts w:ascii="Times New Roman" w:hAnsi="Times New Roman"/>
                <w:sz w:val="24"/>
              </w:rPr>
              <w:t>Внутренние инструкции компании</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Единый обучающий курс компании</w:t>
            </w:r>
          </w:p>
        </w:tc>
        <w:tc>
          <w:tcPr>
            <w:tcW w:type="dxa" w:w="3118"/>
          </w:tcPr>
          <w:p>
            <w:r>
              <w:rPr>
                <w:rFonts w:ascii="Times New Roman" w:hAnsi="Times New Roman"/>
                <w:sz w:val="24"/>
              </w:rPr>
              <w:t>0</w:t>
            </w:r>
          </w:p>
        </w:tc>
        <w:tc>
          <w:tcPr>
            <w:tcW w:type="dxa" w:w="3118"/>
          </w:tcPr>
          <w:p>
            <w:r>
              <w:rPr>
                <w:rFonts w:ascii="Times New Roman" w:hAnsi="Times New Roman"/>
                <w:sz w:val="24"/>
              </w:rPr>
              <w:t>0,0</w:t>
            </w:r>
          </w:p>
        </w:tc>
      </w:tr>
    </w:tbl>
    <w:p>
      <w:pPr>
        <w:spacing w:after="120" w:line="360" w:lineRule="auto"/>
        <w:ind w:firstLine="700"/>
      </w:pPr>
    </w:p>
    <w:p>
      <w:pPr>
        <w:spacing w:after="120" w:line="360" w:lineRule="auto"/>
        <w:ind w:firstLine="700"/>
      </w:pPr>
      <w:r>
        <w:rPr>
          <w:rFonts w:ascii="Times New Roman" w:hAnsi="Times New Roman"/>
          <w:b w:val="0"/>
          <w:sz w:val="28"/>
        </w:rPr>
        <w:t>Результаты показывают, что основными источниками знаний являются самостоятельный поиск и обращение к коллегам. Оба варианта выбрали по 7 человек из 8. Это означает, что обучение в отделе фактически встроено в текущую работу, но не управляется как отдельный процесс.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w:t>
      </w:r>
    </w:p>
    <w:p>
      <w:pPr>
        <w:spacing w:after="120" w:line="360" w:lineRule="auto"/>
        <w:ind w:firstLine="700"/>
      </w:pPr>
      <w:r>
        <w:rPr>
          <w:rFonts w:ascii="Times New Roman" w:hAnsi="Times New Roman"/>
          <w:b w:val="0"/>
          <w:sz w:val="28"/>
        </w:rPr>
        <w:t>Только один сотрудник указал внутренние инструкции компании как источник знаний. Это является важным диагностическим признаком: даже если отдельные инструкции существуют, они не воспринимаются большинством работников как основной и достаточный источник информации. Отсутствие единого обучающего курса отметили все участники опроса.</w:t>
      </w:r>
    </w:p>
    <w:p>
      <w:pPr>
        <w:spacing w:after="120" w:line="360" w:lineRule="auto"/>
        <w:jc w:val="center"/>
      </w:pPr>
      <w:r>
        <w:rPr>
          <w:rFonts w:ascii="Times New Roman" w:hAnsi="Times New Roman"/>
          <w:b w:val="0"/>
          <w:sz w:val="28"/>
        </w:rPr>
        <w:t>Таблица 3.6. Трудности, с которыми сотрудники сталкиваются при подготовке заявок</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Трудность</w:t>
            </w:r>
          </w:p>
        </w:tc>
        <w:tc>
          <w:tcPr>
            <w:tcW w:type="dxa" w:w="3118"/>
          </w:tcPr>
          <w:p>
            <w:r>
              <w:rPr>
                <w:rFonts w:ascii="Times New Roman" w:hAnsi="Times New Roman"/>
                <w:b/>
                <w:sz w:val="24"/>
              </w:rPr>
              <w:t>Количество ответов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Сложность отслеживания изменений в 44-ФЗ/223-ФЗ</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Неуверенность в актуальности используемых шаблонов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Отсутствие единого чек-листа перед отправкой заявки</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Разные требования электронных торговых площадок</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Недостаток разбора реальных ошибок отдела</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Нехватка времени на самостоятельное изучение изменений</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Сложности в расчетах НМЦК и итоговой цены</w:t>
            </w:r>
          </w:p>
        </w:tc>
        <w:tc>
          <w:tcPr>
            <w:tcW w:type="dxa" w:w="3118"/>
          </w:tcPr>
          <w:p>
            <w:r>
              <w:rPr>
                <w:rFonts w:ascii="Times New Roman" w:hAnsi="Times New Roman"/>
                <w:sz w:val="24"/>
              </w:rPr>
              <w:t>3</w:t>
            </w:r>
          </w:p>
        </w:tc>
        <w:tc>
          <w:tcPr>
            <w:tcW w:type="dxa" w:w="3118"/>
          </w:tcPr>
          <w:p>
            <w:r>
              <w:rPr>
                <w:rFonts w:ascii="Times New Roman" w:hAnsi="Times New Roman"/>
                <w:sz w:val="24"/>
              </w:rPr>
              <w:t>37,5</w:t>
            </w:r>
          </w:p>
        </w:tc>
      </w:tr>
    </w:tbl>
    <w:p>
      <w:pPr>
        <w:spacing w:after="120" w:line="360" w:lineRule="auto"/>
        <w:ind w:firstLine="700"/>
      </w:pPr>
    </w:p>
    <w:p>
      <w:pPr>
        <w:spacing w:after="120" w:line="360" w:lineRule="auto"/>
        <w:ind w:firstLine="700"/>
      </w:pPr>
      <w:r>
        <w:rPr>
          <w:rFonts w:ascii="Times New Roman" w:hAnsi="Times New Roman"/>
          <w:b w:val="0"/>
          <w:sz w:val="28"/>
        </w:rPr>
        <w:t>Наиболее часто сотрудники отмечали неуверенность в актуальности шаблонов и отсутствие единого чек-листа перед отправкой заявки — по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риск использования устаревшего шаблона возрастает. 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pPr>
        <w:spacing w:after="120" w:line="360" w:lineRule="auto"/>
        <w:ind w:firstLine="700"/>
      </w:pPr>
      <w:r>
        <w:rPr>
          <w:rFonts w:ascii="Times New Roman" w:hAnsi="Times New Roman"/>
          <w:b w:val="0"/>
          <w:sz w:val="28"/>
        </w:rPr>
        <w:t>Шесть сотрудников указали на сложность отслеживания изменений в 44-ФЗ/223-ФЗ и недостаток разбора реальных ошибок отдела. Это показывает, что проблема обучения воспринимается работниками не только как недостаток теоретических занятий, но 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 и площадок. В текущем формате такая информация остается преимущественно устной и не закрепляется как общий опыт.</w:t>
      </w:r>
    </w:p>
    <w:p>
      <w:pPr>
        <w:spacing w:after="120" w:line="360" w:lineRule="auto"/>
        <w:jc w:val="center"/>
      </w:pPr>
      <w:r>
        <w:rPr>
          <w:rFonts w:ascii="Times New Roman" w:hAnsi="Times New Roman"/>
          <w:b w:val="0"/>
          <w:sz w:val="28"/>
        </w:rPr>
        <w:t>Таблица 3.7. Профессиональные темы, которые сотрудники считают наиболее значимыми для освоения</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Тема</w:t>
            </w:r>
          </w:p>
        </w:tc>
        <w:tc>
          <w:tcPr>
            <w:tcW w:type="dxa" w:w="3118"/>
          </w:tcPr>
          <w:p>
            <w:r>
              <w:rPr>
                <w:rFonts w:ascii="Times New Roman" w:hAnsi="Times New Roman"/>
                <w:b/>
                <w:sz w:val="24"/>
              </w:rPr>
              <w:t>Количество ответов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Актуальные изменения 44-ФЗ и 223-ФЗ</w:t>
            </w:r>
          </w:p>
        </w:tc>
        <w:tc>
          <w:tcPr>
            <w:tcW w:type="dxa" w:w="3118"/>
          </w:tcPr>
          <w:p>
            <w:r>
              <w:rPr>
                <w:rFonts w:ascii="Times New Roman" w:hAnsi="Times New Roman"/>
                <w:sz w:val="24"/>
              </w:rPr>
              <w:t>8</w:t>
            </w:r>
          </w:p>
        </w:tc>
        <w:tc>
          <w:tcPr>
            <w:tcW w:type="dxa" w:w="3118"/>
          </w:tcPr>
          <w:p>
            <w:r>
              <w:rPr>
                <w:rFonts w:ascii="Times New Roman" w:hAnsi="Times New Roman"/>
                <w:sz w:val="24"/>
              </w:rPr>
              <w:t>100,0</w:t>
            </w:r>
          </w:p>
        </w:tc>
      </w:tr>
      <w:tr>
        <w:tc>
          <w:tcPr>
            <w:tcW w:type="dxa" w:w="3118"/>
          </w:tcPr>
          <w:p>
            <w:r>
              <w:rPr>
                <w:rFonts w:ascii="Times New Roman" w:hAnsi="Times New Roman"/>
                <w:sz w:val="24"/>
              </w:rPr>
              <w:t>Типовые ошибки при подготовке заявок и причины отклонений</w:t>
            </w:r>
          </w:p>
        </w:tc>
        <w:tc>
          <w:tcPr>
            <w:tcW w:type="dxa" w:w="3118"/>
          </w:tcPr>
          <w:p>
            <w:r>
              <w:rPr>
                <w:rFonts w:ascii="Times New Roman" w:hAnsi="Times New Roman"/>
                <w:sz w:val="24"/>
              </w:rPr>
              <w:t>8</w:t>
            </w:r>
          </w:p>
        </w:tc>
        <w:tc>
          <w:tcPr>
            <w:tcW w:type="dxa" w:w="3118"/>
          </w:tcPr>
          <w:p>
            <w:r>
              <w:rPr>
                <w:rFonts w:ascii="Times New Roman" w:hAnsi="Times New Roman"/>
                <w:sz w:val="24"/>
              </w:rPr>
              <w:t>100,0</w:t>
            </w:r>
          </w:p>
        </w:tc>
      </w:tr>
      <w:tr>
        <w:tc>
          <w:tcPr>
            <w:tcW w:type="dxa" w:w="3118"/>
          </w:tcPr>
          <w:p>
            <w:r>
              <w:rPr>
                <w:rFonts w:ascii="Times New Roman" w:hAnsi="Times New Roman"/>
                <w:sz w:val="24"/>
              </w:rPr>
              <w:t>Работа с разными электронными торговыми площадками</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Подготовка и проверка комплекта документов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r>
        <w:tc>
          <w:tcPr>
            <w:tcW w:type="dxa" w:w="3118"/>
          </w:tcPr>
          <w:p>
            <w:r>
              <w:rPr>
                <w:rFonts w:ascii="Times New Roman" w:hAnsi="Times New Roman"/>
                <w:sz w:val="24"/>
              </w:rPr>
              <w:t>Расчет НМЦК, цены контракта и учет НДС</w:t>
            </w:r>
          </w:p>
        </w:tc>
        <w:tc>
          <w:tcPr>
            <w:tcW w:type="dxa" w:w="3118"/>
          </w:tcPr>
          <w:p>
            <w:r>
              <w:rPr>
                <w:rFonts w:ascii="Times New Roman" w:hAnsi="Times New Roman"/>
                <w:sz w:val="24"/>
              </w:rPr>
              <w:t>5</w:t>
            </w:r>
          </w:p>
        </w:tc>
        <w:tc>
          <w:tcPr>
            <w:tcW w:type="dxa" w:w="3118"/>
          </w:tcPr>
          <w:p>
            <w:r>
              <w:rPr>
                <w:rFonts w:ascii="Times New Roman" w:hAnsi="Times New Roman"/>
                <w:sz w:val="24"/>
              </w:rPr>
              <w:t>62,5</w:t>
            </w:r>
          </w:p>
        </w:tc>
      </w:tr>
      <w:tr>
        <w:tc>
          <w:tcPr>
            <w:tcW w:type="dxa" w:w="3118"/>
          </w:tcPr>
          <w:p>
            <w:r>
              <w:rPr>
                <w:rFonts w:ascii="Times New Roman" w:hAnsi="Times New Roman"/>
                <w:sz w:val="24"/>
              </w:rPr>
              <w:t>Подтверждение опыта и квалификационных требований</w:t>
            </w:r>
          </w:p>
        </w:tc>
        <w:tc>
          <w:tcPr>
            <w:tcW w:type="dxa" w:w="3118"/>
          </w:tcPr>
          <w:p>
            <w:r>
              <w:rPr>
                <w:rFonts w:ascii="Times New Roman" w:hAnsi="Times New Roman"/>
                <w:sz w:val="24"/>
              </w:rPr>
              <w:t>6</w:t>
            </w:r>
          </w:p>
        </w:tc>
        <w:tc>
          <w:tcPr>
            <w:tcW w:type="dxa" w:w="3118"/>
          </w:tcPr>
          <w:p>
            <w:r>
              <w:rPr>
                <w:rFonts w:ascii="Times New Roman" w:hAnsi="Times New Roman"/>
                <w:sz w:val="24"/>
              </w:rPr>
              <w:t>75,0</w:t>
            </w:r>
          </w:p>
        </w:tc>
      </w:tr>
      <w:tr>
        <w:tc>
          <w:tcPr>
            <w:tcW w:type="dxa" w:w="3118"/>
          </w:tcPr>
          <w:p>
            <w:r>
              <w:rPr>
                <w:rFonts w:ascii="Times New Roman" w:hAnsi="Times New Roman"/>
                <w:sz w:val="24"/>
              </w:rPr>
              <w:t>Внутренние стандарты оформления и хранения документов</w:t>
            </w:r>
          </w:p>
        </w:tc>
        <w:tc>
          <w:tcPr>
            <w:tcW w:type="dxa" w:w="3118"/>
          </w:tcPr>
          <w:p>
            <w:r>
              <w:rPr>
                <w:rFonts w:ascii="Times New Roman" w:hAnsi="Times New Roman"/>
                <w:sz w:val="24"/>
              </w:rPr>
              <w:t>7</w:t>
            </w:r>
          </w:p>
        </w:tc>
        <w:tc>
          <w:tcPr>
            <w:tcW w:type="dxa" w:w="3118"/>
          </w:tcPr>
          <w:p>
            <w:r>
              <w:rPr>
                <w:rFonts w:ascii="Times New Roman" w:hAnsi="Times New Roman"/>
                <w:sz w:val="24"/>
              </w:rPr>
              <w:t>87,5</w:t>
            </w:r>
          </w:p>
        </w:tc>
      </w:tr>
    </w:tbl>
    <w:p>
      <w:pPr>
        <w:spacing w:after="120" w:line="360" w:lineRule="auto"/>
        <w:ind w:firstLine="700"/>
      </w:pPr>
    </w:p>
    <w:p>
      <w:pPr>
        <w:spacing w:after="120" w:line="360" w:lineRule="auto"/>
        <w:ind w:firstLine="700"/>
      </w:pPr>
      <w:r>
        <w:rPr>
          <w:rFonts w:ascii="Times New Roman" w:hAnsi="Times New Roman"/>
          <w:b w:val="0"/>
          <w:sz w:val="28"/>
        </w:rPr>
        <w:t>Ответы по профессиональным темам показывают,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pPr>
        <w:spacing w:after="120" w:line="360" w:lineRule="auto"/>
        <w:ind w:firstLine="700"/>
      </w:pPr>
      <w:r>
        <w:rPr>
          <w:rFonts w:ascii="Times New Roman" w:hAnsi="Times New Roman"/>
          <w:b w:val="0"/>
          <w:sz w:val="28"/>
        </w:rPr>
        <w:t>Дополнительно сотрудникам было предложено оценить удовлетворенность существующим уровнем обучения по пятибалльной шкале, где 1 означает полную неудовлетворенность, а 5 — полную удовлетворенность. Средняя оценка составила 2,1 балла. Ни один сотрудник не поставил оценку 5, только один сотрудник поставил оценку 4, три сотрудника выбрали оценку 2 и два сотрудника — оценку 1. Такой результат отражает низкую субъективную удовлетворенность действующим порядком подготовки и развития.</w:t>
      </w:r>
    </w:p>
    <w:p>
      <w:pPr>
        <w:spacing w:after="120" w:line="360" w:lineRule="auto"/>
        <w:jc w:val="center"/>
      </w:pPr>
      <w:r>
        <w:rPr>
          <w:rFonts w:ascii="Times New Roman" w:hAnsi="Times New Roman"/>
          <w:b w:val="0"/>
          <w:sz w:val="28"/>
        </w:rPr>
        <w:t>Таблица 3.8. Оценка удовлетворенности сотрудников действующим порядком обучения</w:t>
      </w:r>
    </w:p>
    <w:tbl>
      <w:tblPr>
        <w:tblStyle w:val="6"/>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b/>
                <w:sz w:val="24"/>
              </w:rPr>
              <w:t>Оценка по пятибалльной шкале</w:t>
            </w:r>
          </w:p>
        </w:tc>
        <w:tc>
          <w:tcPr>
            <w:tcW w:type="dxa" w:w="3118"/>
          </w:tcPr>
          <w:p>
            <w:r>
              <w:rPr>
                <w:rFonts w:ascii="Times New Roman" w:hAnsi="Times New Roman"/>
                <w:b/>
                <w:sz w:val="24"/>
              </w:rPr>
              <w:t>Количество сотрудников</w:t>
            </w:r>
          </w:p>
        </w:tc>
        <w:tc>
          <w:tcPr>
            <w:tcW w:type="dxa" w:w="3118"/>
          </w:tcPr>
          <w:p>
            <w:r>
              <w:rPr>
                <w:rFonts w:ascii="Times New Roman" w:hAnsi="Times New Roman"/>
                <w:b/>
                <w:sz w:val="24"/>
              </w:rPr>
              <w:t>Доля, %</w:t>
            </w:r>
          </w:p>
        </w:tc>
      </w:tr>
      <w:tr>
        <w:tc>
          <w:tcPr>
            <w:tcW w:type="dxa" w:w="3118"/>
          </w:tcPr>
          <w:p>
            <w:r>
              <w:rPr>
                <w:rFonts w:ascii="Times New Roman" w:hAnsi="Times New Roman"/>
                <w:sz w:val="24"/>
              </w:rPr>
              <w:t>1</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2</w:t>
            </w:r>
          </w:p>
        </w:tc>
        <w:tc>
          <w:tcPr>
            <w:tcW w:type="dxa" w:w="3118"/>
          </w:tcPr>
          <w:p>
            <w:r>
              <w:rPr>
                <w:rFonts w:ascii="Times New Roman" w:hAnsi="Times New Roman"/>
                <w:sz w:val="24"/>
              </w:rPr>
              <w:t>3</w:t>
            </w:r>
          </w:p>
        </w:tc>
        <w:tc>
          <w:tcPr>
            <w:tcW w:type="dxa" w:w="3118"/>
          </w:tcPr>
          <w:p>
            <w:r>
              <w:rPr>
                <w:rFonts w:ascii="Times New Roman" w:hAnsi="Times New Roman"/>
                <w:sz w:val="24"/>
              </w:rPr>
              <w:t>37,5</w:t>
            </w:r>
          </w:p>
        </w:tc>
      </w:tr>
      <w:tr>
        <w:tc>
          <w:tcPr>
            <w:tcW w:type="dxa" w:w="3118"/>
          </w:tcPr>
          <w:p>
            <w:r>
              <w:rPr>
                <w:rFonts w:ascii="Times New Roman" w:hAnsi="Times New Roman"/>
                <w:sz w:val="24"/>
              </w:rPr>
              <w:t>3</w:t>
            </w:r>
          </w:p>
        </w:tc>
        <w:tc>
          <w:tcPr>
            <w:tcW w:type="dxa" w:w="3118"/>
          </w:tcPr>
          <w:p>
            <w:r>
              <w:rPr>
                <w:rFonts w:ascii="Times New Roman" w:hAnsi="Times New Roman"/>
                <w:sz w:val="24"/>
              </w:rPr>
              <w:t>2</w:t>
            </w:r>
          </w:p>
        </w:tc>
        <w:tc>
          <w:tcPr>
            <w:tcW w:type="dxa" w:w="3118"/>
          </w:tcPr>
          <w:p>
            <w:r>
              <w:rPr>
                <w:rFonts w:ascii="Times New Roman" w:hAnsi="Times New Roman"/>
                <w:sz w:val="24"/>
              </w:rPr>
              <w:t>25,0</w:t>
            </w:r>
          </w:p>
        </w:tc>
      </w:tr>
      <w:tr>
        <w:tc>
          <w:tcPr>
            <w:tcW w:type="dxa" w:w="3118"/>
          </w:tcPr>
          <w:p>
            <w:r>
              <w:rPr>
                <w:rFonts w:ascii="Times New Roman" w:hAnsi="Times New Roman"/>
                <w:sz w:val="24"/>
              </w:rPr>
              <w:t>4</w:t>
            </w:r>
          </w:p>
        </w:tc>
        <w:tc>
          <w:tcPr>
            <w:tcW w:type="dxa" w:w="3118"/>
          </w:tcPr>
          <w:p>
            <w:r>
              <w:rPr>
                <w:rFonts w:ascii="Times New Roman" w:hAnsi="Times New Roman"/>
                <w:sz w:val="24"/>
              </w:rPr>
              <w:t>1</w:t>
            </w:r>
          </w:p>
        </w:tc>
        <w:tc>
          <w:tcPr>
            <w:tcW w:type="dxa" w:w="3118"/>
          </w:tcPr>
          <w:p>
            <w:r>
              <w:rPr>
                <w:rFonts w:ascii="Times New Roman" w:hAnsi="Times New Roman"/>
                <w:sz w:val="24"/>
              </w:rPr>
              <w:t>12,5</w:t>
            </w:r>
          </w:p>
        </w:tc>
      </w:tr>
      <w:tr>
        <w:tc>
          <w:tcPr>
            <w:tcW w:type="dxa" w:w="3118"/>
          </w:tcPr>
          <w:p>
            <w:r>
              <w:rPr>
                <w:rFonts w:ascii="Times New Roman" w:hAnsi="Times New Roman"/>
                <w:sz w:val="24"/>
              </w:rPr>
              <w:t>5</w:t>
            </w:r>
          </w:p>
        </w:tc>
        <w:tc>
          <w:tcPr>
            <w:tcW w:type="dxa" w:w="3118"/>
          </w:tcPr>
          <w:p>
            <w:r>
              <w:rPr>
                <w:rFonts w:ascii="Times New Roman" w:hAnsi="Times New Roman"/>
                <w:sz w:val="24"/>
              </w:rPr>
              <w:t>0</w:t>
            </w:r>
          </w:p>
        </w:tc>
        <w:tc>
          <w:tcPr>
            <w:tcW w:type="dxa" w:w="3118"/>
          </w:tcPr>
          <w:p>
            <w:r>
              <w:rPr>
                <w:rFonts w:ascii="Times New Roman" w:hAnsi="Times New Roman"/>
                <w:sz w:val="24"/>
              </w:rPr>
              <w:t>0,0</w:t>
            </w:r>
          </w:p>
        </w:tc>
      </w:tr>
      <w:tr>
        <w:tc>
          <w:tcPr>
            <w:tcW w:type="dxa" w:w="3118"/>
          </w:tcPr>
          <w:p>
            <w:r>
              <w:rPr>
                <w:rFonts w:ascii="Times New Roman" w:hAnsi="Times New Roman"/>
                <w:sz w:val="24"/>
              </w:rPr>
              <w:t>Средняя оценка</w:t>
            </w:r>
          </w:p>
        </w:tc>
        <w:tc>
          <w:tcPr>
            <w:tcW w:type="dxa" w:w="3118"/>
          </w:tcPr>
          <w:p>
            <w:r>
              <w:rPr>
                <w:rFonts w:ascii="Times New Roman" w:hAnsi="Times New Roman"/>
                <w:sz w:val="24"/>
              </w:rPr>
              <w:t>2,1</w:t>
            </w:r>
          </w:p>
        </w:tc>
        <w:tc>
          <w:tcPr>
            <w:tcW w:type="dxa" w:w="3118"/>
          </w:tcPr>
          <w:p>
            <w:r>
              <w:rPr>
                <w:rFonts w:ascii="Times New Roman" w:hAnsi="Times New Roman"/>
                <w:sz w:val="24"/>
              </w:rPr>
              <w:t>-</w:t>
            </w:r>
          </w:p>
        </w:tc>
      </w:tr>
    </w:tbl>
    <w:p>
      <w:pPr>
        <w:spacing w:after="120" w:line="360" w:lineRule="auto"/>
        <w:ind w:firstLine="700"/>
      </w:pPr>
    </w:p>
    <w:p>
      <w:pPr>
        <w:spacing w:after="120" w:line="360" w:lineRule="auto"/>
        <w:ind w:firstLine="700"/>
      </w:pPr>
      <w:r>
        <w:rPr>
          <w:rFonts w:ascii="Times New Roman" w:hAnsi="Times New Roman"/>
          <w:b w:val="0"/>
          <w:sz w:val="28"/>
        </w:rPr>
        <w:t>Итоги опроса показывают, что сотрудники тендерного отдела не воспринимают действующий порядок обучения как достаточный. Для них наиболее проблемными являются отсутствие единой программы, неструктурированность материалов, неуверенность в актуальности шаблонов, отсутствие регулярной проверки знаний и недостаточный разбор ошибок. Важно, что эти оценки совпадают с объективными показателями деятельности отдела: доля отклоненных заявок остается устойчивой, а причины отклонений связаны с теми же зонами, которые сотрудники называют проблемными.</w:t>
      </w:r>
    </w:p>
    <w:p>
      <w:pPr>
        <w:spacing w:after="120" w:line="360" w:lineRule="auto"/>
        <w:ind w:firstLine="700"/>
      </w:pPr>
      <w:r>
        <w:rPr>
          <w:rFonts w:ascii="Times New Roman" w:hAnsi="Times New Roman"/>
          <w:b w:val="0"/>
          <w:sz w:val="28"/>
        </w:rPr>
        <w:t>Вывод по параграфу 3.3. Опрос 8 сотрудников тендерного отдела подтвердил отсутствие в ООО «Лайф Медиа» целостной системы обучения и развития.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pPr>
        <w:spacing w:after="120" w:line="360" w:lineRule="auto"/>
        <w:jc w:val="center"/>
      </w:pPr>
      <w:r>
        <w:rPr>
          <w:rFonts w:ascii="Times New Roman" w:hAnsi="Times New Roman"/>
          <w:b/>
          <w:sz w:val="28"/>
        </w:rPr>
        <w:t>Вывод по главе 3</w:t>
      </w:r>
    </w:p>
    <w:p>
      <w:pPr>
        <w:spacing w:after="120" w:line="360" w:lineRule="auto"/>
        <w:ind w:firstLine="700"/>
      </w:pPr>
      <w:r>
        <w:rPr>
          <w:rFonts w:ascii="Times New Roman" w:hAnsi="Times New Roman"/>
          <w:b w:val="0"/>
          <w:sz w:val="28"/>
        </w:rPr>
        <w:t>В третьей главе было рассмотрено фактическое состояние обучения и развития тендерных специалистов ООО «Лайф Медиа». Анализ показал, что в компании отсутствует оформленная система обучения: нет утвержденной программы адаптации, единой базы актуальных материалов, регулярной проверки знаний, закрепленного наставничества, формализованного разбора ошибок и оценки влияния обучения на результаты работы. Имеющиеся обучающие действия носят эпизодический характер и не связаны в единый управленческий процесс.</w:t>
      </w:r>
    </w:p>
    <w:p>
      <w:pPr>
        <w:spacing w:after="120" w:line="360" w:lineRule="auto"/>
        <w:ind w:firstLine="700"/>
      </w:pPr>
      <w:r>
        <w:rPr>
          <w:rFonts w:ascii="Times New Roman" w:hAnsi="Times New Roman"/>
          <w:b w:val="0"/>
          <w:sz w:val="28"/>
        </w:rPr>
        <w:t>Результаты тендерной деятельности подтверждают наличие проблемы. За 2023-2025 годы доля заявок, отклоненных на этапе допуска, сохраняется на уровне около 15%. Всего выявлено 77 случаев отклонения, значительная часть которых связана с техническими ошибками, использованием устаревших форм, неверным толкованием требований документации и расчетными неточностями. Эти ошибки относятся к повторяющимся и управляемым, поэтому их наличие указывает на недостаточную закрепленность знаний и отсутствие единых стандартов подготовки заявок.</w:t>
      </w:r>
    </w:p>
    <w:p>
      <w:pPr>
        <w:spacing w:after="120" w:line="360" w:lineRule="auto"/>
        <w:ind w:firstLine="700"/>
      </w:pPr>
      <w:r>
        <w:rPr>
          <w:rFonts w:ascii="Times New Roman" w:hAnsi="Times New Roman"/>
          <w:b w:val="0"/>
          <w:sz w:val="28"/>
        </w:rPr>
        <w:t>Опрос сотрудников позволил дополнить количественный анализ внутренней оценкой работников. Все 8 специалистов подтвердили отсутствие утвержденной программы обучения, большинство указали на разрозненность материалов, неуверенность в актуальности шаблонов и отсутствие единого порядка проверки заявки перед отправкой. Средняя оценка удовлетворенности действующим порядком обучения составила 2,1 балла из 5. Таким образом, анализ документов, показателей тендерной деятельности и мнений сотрудников приводит к единому выводу: проблема обучения и развития персонала в тендерном отделе носит системный характер и оказывает влияние на качество подготовки заявок.</w:t>
      </w:r>
    </w:p>
    <w:sectPr>
      <w:pgSz w:w="11906" w:h="16838"/>
      <w:pgMar w:top="1134" w:right="850" w:bottom="1134"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448BEE"/>
    <w:multiLevelType w:val="singleLevel"/>
    <w:tmpl w:val="9F448BEE"/>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1">
    <w:nsid w:val="C7982FB3"/>
    <w:multiLevelType w:val="singleLevel"/>
    <w:tmpl w:val="C7982FB3"/>
    <w:lvl w:ilvl="0" w:tentative="0">
      <w:start w:val="1"/>
      <w:numFmt w:val="decimal"/>
      <w:suff w:val="space"/>
      <w:lvlText w:val="%1."/>
      <w:lvlJc w:val="left"/>
    </w:lvl>
  </w:abstractNum>
  <w:abstractNum w:abstractNumId="2">
    <w:nsid w:val="C93567C3"/>
    <w:multiLevelType w:val="singleLevel"/>
    <w:tmpl w:val="C93567C3"/>
    <w:lvl w:ilvl="0" w:tentative="0">
      <w:start w:val="1"/>
      <w:numFmt w:val="decimal"/>
      <w:suff w:val="space"/>
      <w:lvlText w:val="%1."/>
      <w:lvlJc w:val="left"/>
    </w:lvl>
  </w:abstractNum>
  <w:abstractNum w:abstractNumId="3">
    <w:nsid w:val="019CFBED"/>
    <w:multiLevelType w:val="singleLevel"/>
    <w:tmpl w:val="019CFBED"/>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4">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43CB3E9A"/>
    <w:multiLevelType w:val="singleLevel"/>
    <w:tmpl w:val="43CB3E9A"/>
    <w:lvl w:ilvl="0" w:tentative="0">
      <w:start w:val="1"/>
      <w:numFmt w:val="decimal"/>
      <w:lvlText w:val="%1."/>
      <w:lvlJc w:val="left"/>
      <w:pPr>
        <w:tabs>
          <w:tab w:val="left" w:pos="425"/>
        </w:tabs>
        <w:ind w:left="425" w:leftChars="0" w:hanging="425" w:firstLineChars="0"/>
      </w:pPr>
      <w:rPr>
        <w:rFonts w:hint="default"/>
      </w:rPr>
    </w:lvl>
  </w:abstractNum>
  <w:abstractNum w:abstractNumId="6">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6"/>
  </w:num>
  <w:num w:numId="3">
    <w:abstractNumId w:val="2"/>
  </w:num>
  <w:num w:numId="4">
    <w:abstractNumId w:val="5"/>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865DD"/>
    <w:rsid w:val="29754184"/>
    <w:rsid w:val="315E72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ascii="Times New Roman" w:hAnsi="Times New Roman"/>
      <w:sz w:val="28"/>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Strong"/>
    <w:basedOn w:val="2"/>
    <w:qFormat/>
    <w:uiPriority w:val="0"/>
    <w:rPr>
      <w:b/>
      <w:bCs/>
    </w:rPr>
  </w:style>
  <w:style w:type="paragraph" w:styleId="5">
    <w:name w:val="Normal (Web)"/>
    <w:basedOn w:val="1"/>
    <w:qFormat/>
    <w:uiPriority w:val="0"/>
    <w:rPr>
      <w:sz w:val="24"/>
      <w:szCs w:val="24"/>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184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2026-04-23T10:41:00Z</dcterms:created>
  <dc:creator>honor</dc:creator>
  <cp:lastModifiedBy>honor</cp:lastModifiedBy>
  <dcterms:modified xsi:type="dcterms:W3CDTF">2026-04-27T09:50:48Z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630994AC965044E5ADF991B95249FAED_12</vt:lpwstr>
  </property>
</Properties>
</file>