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ВКР: Материальные и нематериальные методы мотивации сотрудников</w:t>
      </w:r>
    </w:p>
    <w:p>
      <w:pPr>
        <w:spacing w:line="360" w:lineRule="auto"/>
        <w:ind w:firstLine="709"/>
        <w:jc w:val="both"/>
      </w:pPr>
      <w:r>
        <w:rPr>
          <w:rFonts w:ascii="Times New Roman" w:hAnsi="Times New Roman" w:eastAsia="Times New Roman"/>
          <w:sz w:val="28"/>
        </w:rPr>
        <w:t>Тема: Материальные и нематериальные методы мотивации сотрудников (на примере отдела электриков ПАО «ТНС энерго Нижний Новгород»)</w:t>
      </w:r>
    </w:p>
    <w:p>
      <w:pPr>
        <w:pStyle w:val="Heading2"/>
      </w:pPr>
      <w:r>
        <w:t>Содержание</w:t>
      </w:r>
    </w:p>
    <w:p>
      <w:pPr>
        <w:spacing w:line="360" w:lineRule="auto"/>
        <w:ind w:firstLine="709"/>
        <w:jc w:val="both"/>
      </w:pPr>
      <w:r>
        <w:rPr>
          <w:rFonts w:ascii="Times New Roman" w:hAnsi="Times New Roman" w:eastAsia="Times New Roman"/>
          <w:sz w:val="28"/>
        </w:rPr>
        <w:t>Глава 2. Анализ системы управления персоналом и мотивации сотрудников ПАО «ТНС энерго Нижний Новгород»</w:t>
      </w:r>
    </w:p>
    <w:p>
      <w:pPr>
        <w:spacing w:line="360" w:lineRule="auto"/>
        <w:ind w:firstLine="709"/>
        <w:jc w:val="both"/>
      </w:pPr>
      <w:r>
        <w:rPr>
          <w:rFonts w:ascii="Times New Roman" w:hAnsi="Times New Roman" w:eastAsia="Times New Roman"/>
          <w:sz w:val="28"/>
        </w:rPr>
        <w:t>2.1. Организационно-экономическая характеристика ПАО «ТНС энерго Нижний Новгород»</w:t>
      </w:r>
    </w:p>
    <w:p>
      <w:pPr>
        <w:spacing w:line="360" w:lineRule="auto"/>
        <w:ind w:firstLine="709"/>
        <w:jc w:val="both"/>
      </w:pPr>
      <w:r>
        <w:rPr>
          <w:rFonts w:ascii="Times New Roman" w:hAnsi="Times New Roman" w:eastAsia="Times New Roman"/>
          <w:sz w:val="28"/>
        </w:rPr>
        <w:t>2.2. Анализ системы управления персоналом и действующей системы мотивации сотрудников отдела электриков</w:t>
      </w:r>
    </w:p>
    <w:p>
      <w:pPr>
        <w:spacing w:line="360" w:lineRule="auto"/>
        <w:ind w:firstLine="709"/>
        <w:jc w:val="both"/>
      </w:pPr>
      <w:r>
        <w:rPr>
          <w:rFonts w:ascii="Times New Roman" w:hAnsi="Times New Roman" w:eastAsia="Times New Roman"/>
          <w:sz w:val="28"/>
        </w:rPr>
        <w:t>2.3. Оценка удовлетворенности сотрудников отдела электриков материальными и нематериальными методами мотивации по результатам анонимного опроса</w:t>
      </w:r>
    </w:p>
    <w:p>
      <w:pPr>
        <w:spacing w:line="360" w:lineRule="auto"/>
        <w:ind w:firstLine="709"/>
        <w:jc w:val="both"/>
      </w:pPr>
      <w:r>
        <w:rPr>
          <w:rFonts w:ascii="Times New Roman" w:hAnsi="Times New Roman" w:eastAsia="Times New Roman"/>
          <w:sz w:val="28"/>
        </w:rPr>
        <w:t>Выводы по второй главе</w:t>
      </w:r>
    </w:p>
    <w:p>
      <w:pPr>
        <w:spacing w:line="360" w:lineRule="auto"/>
        <w:ind w:firstLine="709"/>
        <w:jc w:val="both"/>
      </w:pPr>
      <w:r>
        <w:rPr>
          <w:rFonts w:ascii="Times New Roman" w:hAnsi="Times New Roman" w:eastAsia="Times New Roman"/>
          <w:sz w:val="28"/>
        </w:rPr>
        <w:t>Глава 3. Разработка рекомендаций по совершенствованию системы материального и нематериального стимулирования сотрудников отдела электриков ПАО «ТНС энерго Нижний Новгород»</w:t>
      </w:r>
    </w:p>
    <w:p>
      <w:pPr>
        <w:spacing w:line="360" w:lineRule="auto"/>
        <w:ind w:firstLine="709"/>
        <w:jc w:val="both"/>
      </w:pPr>
      <w:r>
        <w:rPr>
          <w:rFonts w:ascii="Times New Roman" w:hAnsi="Times New Roman" w:eastAsia="Times New Roman"/>
          <w:sz w:val="28"/>
        </w:rPr>
        <w:t>3.1. Общие рекомендации по развитию системы мотивации на основе отечественного и зарубежного опыта</w:t>
      </w:r>
    </w:p>
    <w:p>
      <w:pPr>
        <w:spacing w:line="360" w:lineRule="auto"/>
        <w:ind w:firstLine="709"/>
        <w:jc w:val="both"/>
      </w:pPr>
      <w:r>
        <w:rPr>
          <w:rFonts w:ascii="Times New Roman" w:hAnsi="Times New Roman" w:eastAsia="Times New Roman"/>
          <w:sz w:val="28"/>
        </w:rPr>
        <w:t>3.2. Технико-экономическое обоснование предлагаемых решений и технология внедрения</w:t>
      </w:r>
    </w:p>
    <w:p>
      <w:pPr>
        <w:spacing w:line="360" w:lineRule="auto"/>
        <w:ind w:firstLine="709"/>
        <w:jc w:val="both"/>
      </w:pPr>
      <w:r>
        <w:rPr>
          <w:rFonts w:ascii="Times New Roman" w:hAnsi="Times New Roman" w:eastAsia="Times New Roman"/>
          <w:sz w:val="28"/>
        </w:rPr>
        <w:t>3.3. Оценка экономической эффективности разработанных рекомендаций</w:t>
      </w:r>
    </w:p>
    <w:p>
      <w:pPr>
        <w:spacing w:line="360" w:lineRule="auto"/>
        <w:ind w:firstLine="709"/>
        <w:jc w:val="both"/>
      </w:pPr>
      <w:r>
        <w:rPr>
          <w:rFonts w:ascii="Times New Roman" w:hAnsi="Times New Roman" w:eastAsia="Times New Roman"/>
          <w:sz w:val="28"/>
        </w:rPr>
        <w:t>Выводы по третьей главе</w:t>
      </w:r>
    </w:p>
    <w:p>
      <w:pPr>
        <w:spacing w:line="360" w:lineRule="auto"/>
        <w:ind w:firstLine="709"/>
        <w:jc w:val="both"/>
      </w:pPr>
      <w:r>
        <w:rPr>
          <w:rFonts w:ascii="Times New Roman" w:hAnsi="Times New Roman" w:eastAsia="Times New Roman"/>
          <w:sz w:val="28"/>
        </w:rPr>
        <w:t>Список использованных источников</w:t>
      </w:r>
    </w:p>
    <w:p>
      <w:pPr>
        <w:pStyle w:val="Heading1"/>
        <w:jc w:val="center"/>
      </w:pPr>
      <w:r>
        <w:t>Глава 2. Анализ системы управления персоналом и мотивации сотрудников ПАО «ТНС энерго Нижний Новгород»</w:t>
      </w:r>
    </w:p>
    <w:p>
      <w:pPr>
        <w:pStyle w:val="Heading2"/>
      </w:pPr>
      <w:r>
        <w:t>2.1. Организационно-экономическая характеристика ПАО «ТНС энерго Нижний Новгород»</w:t>
      </w:r>
    </w:p>
    <w:p>
      <w:pPr>
        <w:spacing w:line="360" w:lineRule="auto"/>
        <w:ind w:firstLine="709"/>
        <w:jc w:val="both"/>
      </w:pPr>
      <w:r>
        <w:rPr>
          <w:rFonts w:ascii="Times New Roman" w:hAnsi="Times New Roman" w:eastAsia="Times New Roman"/>
          <w:sz w:val="28"/>
        </w:rPr>
        <w:t>ПАО «ТНС энерго Нижний Новгород» является энергосбытовой организацией, осуществляющей деятельность на территории Нижегородской области. Компания зарегистрирована 1 апреля 2005 года, имеет ИНН 5260148520 и ОГРН 1055238038316. Юридический адрес организации: 603057, г. Нижний Новгород, ул. Бекетова, д. 3В. Основной вид деятельности по ОКВЭД - 35.14 «Торговля электроэнергией». Основная функция предприятия состоит в продаже электрической энергии конечным потребителям, организации расчетов, сопровождении договоров энергоснабжения, обработке показаний приборов учета и работе с дебиторской задолженностью.</w:t>
      </w:r>
    </w:p>
    <w:p>
      <w:pPr>
        <w:spacing w:line="360" w:lineRule="auto"/>
        <w:ind w:firstLine="709"/>
        <w:jc w:val="both"/>
      </w:pPr>
      <w:r>
        <w:rPr>
          <w:rFonts w:ascii="Times New Roman" w:hAnsi="Times New Roman" w:eastAsia="Times New Roman"/>
          <w:sz w:val="28"/>
        </w:rPr>
        <w:t>ПАО «ТНС энерго НН» выполняет общественно значимую функцию гарантирующего поставщика. Это определяет особые требования к надежности внутренних процессов, качеству клиентского обслуживания, точности расчетов и квалификации персонала. На деятельность компании влияет не только рыночная конкуренция за сотрудников, но и регулируемый характер электроэнергетики, необходимость соблюдения стандартов охраны труда, правил эксплуатации электроустановок, требований к обработке персональных данных и финансовой дисциплине.</w:t>
      </w:r>
    </w:p>
    <w:p>
      <w:pPr>
        <w:spacing w:line="360" w:lineRule="auto"/>
        <w:ind w:firstLine="709"/>
        <w:jc w:val="both"/>
      </w:pPr>
      <w:r>
        <w:rPr>
          <w:rFonts w:ascii="Times New Roman" w:hAnsi="Times New Roman" w:eastAsia="Times New Roman"/>
          <w:sz w:val="28"/>
        </w:rPr>
        <w:t>Организационная структура компании имеет линейно-функциональный характер. В ней выделены руководящие должности, департаменты, управления, отделы, территориальные подразделения и обслуживающие службы. Для темы ВКР особенно важны подразделения, связанные с эксплуатацией систем учета электроэнергии, техническим аудитом, энергоинспекцией и работой с потребителями. В рамках исследования под отделом электриков понимается группа электротехнических работников, обеспечивающих эксплуатационное сопровождение приборов учета, участие в технических осмотрах, контроль корректности работы учетного оборудования, взаимодействие с потребителями и смежными подразделениями по вопросам электроснабжения и учета.</w:t>
      </w:r>
    </w:p>
    <w:p>
      <w:pPr>
        <w:spacing w:line="360" w:lineRule="auto"/>
        <w:ind w:firstLine="709"/>
        <w:jc w:val="both"/>
      </w:pPr>
      <w:r>
        <w:rPr>
          <w:rFonts w:ascii="Times New Roman" w:hAnsi="Times New Roman" w:eastAsia="Times New Roman"/>
          <w:sz w:val="28"/>
        </w:rPr>
        <w:t>Финансовое положение предприятия влияет на возможности развития мотивационной системы, поскольку именно финансовый результат определяет потенциал премирования, индексации оплаты труда, обучения, обновления инструментов и социальных программ. Основные финансовые показатели ПАО «ТНС энерго НН» за 2023-2025 годы представлены в таблице 2.1.</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shd w:fill="D9EAF7"/>
          </w:tcPr>
          <w:p>
            <w:pPr>
              <w:spacing w:line="240" w:lineRule="auto"/>
              <w:jc w:val="center"/>
            </w:pPr>
            <w:r>
              <w:rPr>
                <w:rFonts w:ascii="Times New Roman" w:hAnsi="Times New Roman" w:eastAsia="Times New Roman"/>
                <w:b/>
                <w:sz w:val="16"/>
              </w:rPr>
              <w:t>Показатель</w:t>
            </w:r>
          </w:p>
        </w:tc>
        <w:tc>
          <w:tcPr>
            <w:tcW w:type="dxa" w:w="1615"/>
            <w:vAlign w:val="center"/>
            <w:shd w:fill="D9EAF7"/>
          </w:tcPr>
          <w:p>
            <w:pPr>
              <w:spacing w:line="240" w:lineRule="auto"/>
              <w:jc w:val="center"/>
            </w:pPr>
            <w:r>
              <w:rPr>
                <w:rFonts w:ascii="Times New Roman" w:hAnsi="Times New Roman" w:eastAsia="Times New Roman"/>
                <w:b/>
                <w:sz w:val="16"/>
              </w:rPr>
              <w:t>2023</w:t>
            </w:r>
          </w:p>
        </w:tc>
        <w:tc>
          <w:tcPr>
            <w:tcW w:type="dxa" w:w="1615"/>
            <w:vAlign w:val="center"/>
            <w:shd w:fill="D9EAF7"/>
          </w:tcPr>
          <w:p>
            <w:pPr>
              <w:spacing w:line="240" w:lineRule="auto"/>
              <w:jc w:val="center"/>
            </w:pPr>
            <w:r>
              <w:rPr>
                <w:rFonts w:ascii="Times New Roman" w:hAnsi="Times New Roman" w:eastAsia="Times New Roman"/>
                <w:b/>
                <w:sz w:val="16"/>
              </w:rPr>
              <w:t>2024</w:t>
            </w:r>
          </w:p>
        </w:tc>
        <w:tc>
          <w:tcPr>
            <w:tcW w:type="dxa" w:w="1615"/>
            <w:vAlign w:val="center"/>
            <w:shd w:fill="D9EAF7"/>
          </w:tcPr>
          <w:p>
            <w:pPr>
              <w:spacing w:line="240" w:lineRule="auto"/>
              <w:jc w:val="center"/>
            </w:pPr>
            <w:r>
              <w:rPr>
                <w:rFonts w:ascii="Times New Roman" w:hAnsi="Times New Roman" w:eastAsia="Times New Roman"/>
                <w:b/>
                <w:sz w:val="16"/>
              </w:rPr>
              <w:t>2025</w:t>
            </w:r>
          </w:p>
        </w:tc>
        <w:tc>
          <w:tcPr>
            <w:tcW w:type="dxa" w:w="1615"/>
            <w:vAlign w:val="center"/>
            <w:shd w:fill="D9EAF7"/>
          </w:tcPr>
          <w:p>
            <w:pPr>
              <w:spacing w:line="240" w:lineRule="auto"/>
              <w:jc w:val="center"/>
            </w:pPr>
            <w:r>
              <w:rPr>
                <w:rFonts w:ascii="Times New Roman" w:hAnsi="Times New Roman" w:eastAsia="Times New Roman"/>
                <w:b/>
                <w:sz w:val="16"/>
              </w:rPr>
              <w:t>Абсолютное отклонение 2025/2024</w:t>
            </w:r>
          </w:p>
        </w:tc>
        <w:tc>
          <w:tcPr>
            <w:tcW w:type="dxa" w:w="1615"/>
            <w:vAlign w:val="center"/>
            <w:shd w:fill="D9EAF7"/>
          </w:tcPr>
          <w:p>
            <w:pPr>
              <w:spacing w:line="240" w:lineRule="auto"/>
              <w:jc w:val="center"/>
            </w:pPr>
            <w:r>
              <w:rPr>
                <w:rFonts w:ascii="Times New Roman" w:hAnsi="Times New Roman" w:eastAsia="Times New Roman"/>
                <w:b/>
                <w:sz w:val="16"/>
              </w:rPr>
              <w:t>Темп роста 2025 к 2024</w:t>
            </w:r>
          </w:p>
        </w:tc>
      </w:tr>
      <w:tr>
        <w:tc>
          <w:tcPr>
            <w:tcW w:type="dxa" w:w="1615"/>
            <w:vAlign w:val="center"/>
          </w:tcPr>
          <w:p>
            <w:pPr>
              <w:spacing w:line="240" w:lineRule="auto"/>
              <w:jc w:val="left"/>
            </w:pPr>
            <w:r>
              <w:rPr>
                <w:rFonts w:ascii="Times New Roman" w:hAnsi="Times New Roman" w:eastAsia="Times New Roman"/>
                <w:b w:val="0"/>
                <w:sz w:val="16"/>
              </w:rPr>
              <w:t>Выручка, млрд руб.</w:t>
            </w:r>
          </w:p>
        </w:tc>
        <w:tc>
          <w:tcPr>
            <w:tcW w:type="dxa" w:w="1615"/>
            <w:vAlign w:val="center"/>
          </w:tcPr>
          <w:p>
            <w:pPr>
              <w:spacing w:line="240" w:lineRule="auto"/>
              <w:jc w:val="left"/>
            </w:pPr>
            <w:r>
              <w:rPr>
                <w:rFonts w:ascii="Times New Roman" w:hAnsi="Times New Roman" w:eastAsia="Times New Roman"/>
                <w:b w:val="0"/>
                <w:sz w:val="16"/>
              </w:rPr>
              <w:t>49,67</w:t>
            </w:r>
          </w:p>
        </w:tc>
        <w:tc>
          <w:tcPr>
            <w:tcW w:type="dxa" w:w="1615"/>
            <w:vAlign w:val="center"/>
          </w:tcPr>
          <w:p>
            <w:pPr>
              <w:spacing w:line="240" w:lineRule="auto"/>
              <w:jc w:val="left"/>
            </w:pPr>
            <w:r>
              <w:rPr>
                <w:rFonts w:ascii="Times New Roman" w:hAnsi="Times New Roman" w:eastAsia="Times New Roman"/>
                <w:b w:val="0"/>
                <w:sz w:val="16"/>
              </w:rPr>
              <w:t>52,57</w:t>
            </w:r>
          </w:p>
        </w:tc>
        <w:tc>
          <w:tcPr>
            <w:tcW w:type="dxa" w:w="1615"/>
            <w:vAlign w:val="center"/>
          </w:tcPr>
          <w:p>
            <w:pPr>
              <w:spacing w:line="240" w:lineRule="auto"/>
              <w:jc w:val="left"/>
            </w:pPr>
            <w:r>
              <w:rPr>
                <w:rFonts w:ascii="Times New Roman" w:hAnsi="Times New Roman" w:eastAsia="Times New Roman"/>
                <w:b w:val="0"/>
                <w:sz w:val="16"/>
              </w:rPr>
              <w:t>59,12</w:t>
            </w:r>
          </w:p>
        </w:tc>
        <w:tc>
          <w:tcPr>
            <w:tcW w:type="dxa" w:w="1615"/>
            <w:vAlign w:val="center"/>
          </w:tcPr>
          <w:p>
            <w:pPr>
              <w:spacing w:line="240" w:lineRule="auto"/>
              <w:jc w:val="left"/>
            </w:pPr>
            <w:r>
              <w:rPr>
                <w:rFonts w:ascii="Times New Roman" w:hAnsi="Times New Roman" w:eastAsia="Times New Roman"/>
                <w:b w:val="0"/>
                <w:sz w:val="16"/>
              </w:rPr>
              <w:t>+6,55</w:t>
            </w:r>
          </w:p>
        </w:tc>
        <w:tc>
          <w:tcPr>
            <w:tcW w:type="dxa" w:w="1615"/>
            <w:vAlign w:val="center"/>
          </w:tcPr>
          <w:p>
            <w:pPr>
              <w:spacing w:line="240" w:lineRule="auto"/>
              <w:jc w:val="left"/>
            </w:pPr>
            <w:r>
              <w:rPr>
                <w:rFonts w:ascii="Times New Roman" w:hAnsi="Times New Roman" w:eastAsia="Times New Roman"/>
                <w:b w:val="0"/>
                <w:sz w:val="16"/>
              </w:rPr>
              <w:t>112,5%</w:t>
            </w:r>
          </w:p>
        </w:tc>
      </w:tr>
      <w:tr>
        <w:tc>
          <w:tcPr>
            <w:tcW w:type="dxa" w:w="1615"/>
            <w:vAlign w:val="center"/>
          </w:tcPr>
          <w:p>
            <w:pPr>
              <w:spacing w:line="240" w:lineRule="auto"/>
              <w:jc w:val="left"/>
            </w:pPr>
            <w:r>
              <w:rPr>
                <w:rFonts w:ascii="Times New Roman" w:hAnsi="Times New Roman" w:eastAsia="Times New Roman"/>
                <w:b w:val="0"/>
                <w:sz w:val="16"/>
              </w:rPr>
              <w:t>Операционные расходы, млрд руб.</w:t>
            </w:r>
          </w:p>
        </w:tc>
        <w:tc>
          <w:tcPr>
            <w:tcW w:type="dxa" w:w="1615"/>
            <w:vAlign w:val="center"/>
          </w:tcPr>
          <w:p>
            <w:pPr>
              <w:spacing w:line="240" w:lineRule="auto"/>
              <w:jc w:val="left"/>
            </w:pPr>
            <w:r>
              <w:rPr>
                <w:rFonts w:ascii="Times New Roman" w:hAnsi="Times New Roman" w:eastAsia="Times New Roman"/>
                <w:b w:val="0"/>
                <w:sz w:val="16"/>
              </w:rPr>
              <w:t>47,75</w:t>
            </w:r>
          </w:p>
        </w:tc>
        <w:tc>
          <w:tcPr>
            <w:tcW w:type="dxa" w:w="1615"/>
            <w:vAlign w:val="center"/>
          </w:tcPr>
          <w:p>
            <w:pPr>
              <w:spacing w:line="240" w:lineRule="auto"/>
              <w:jc w:val="left"/>
            </w:pPr>
            <w:r>
              <w:rPr>
                <w:rFonts w:ascii="Times New Roman" w:hAnsi="Times New Roman" w:eastAsia="Times New Roman"/>
                <w:b w:val="0"/>
                <w:sz w:val="16"/>
              </w:rPr>
              <w:t>50,82</w:t>
            </w:r>
          </w:p>
        </w:tc>
        <w:tc>
          <w:tcPr>
            <w:tcW w:type="dxa" w:w="1615"/>
            <w:vAlign w:val="center"/>
          </w:tcPr>
          <w:p>
            <w:pPr>
              <w:spacing w:line="240" w:lineRule="auto"/>
              <w:jc w:val="left"/>
            </w:pPr>
            <w:r>
              <w:rPr>
                <w:rFonts w:ascii="Times New Roman" w:hAnsi="Times New Roman" w:eastAsia="Times New Roman"/>
                <w:b w:val="0"/>
                <w:sz w:val="16"/>
              </w:rPr>
              <w:t>56,45</w:t>
            </w:r>
          </w:p>
        </w:tc>
        <w:tc>
          <w:tcPr>
            <w:tcW w:type="dxa" w:w="1615"/>
            <w:vAlign w:val="center"/>
          </w:tcPr>
          <w:p>
            <w:pPr>
              <w:spacing w:line="240" w:lineRule="auto"/>
              <w:jc w:val="left"/>
            </w:pPr>
            <w:r>
              <w:rPr>
                <w:rFonts w:ascii="Times New Roman" w:hAnsi="Times New Roman" w:eastAsia="Times New Roman"/>
                <w:b w:val="0"/>
                <w:sz w:val="16"/>
              </w:rPr>
              <w:t>+5,63</w:t>
            </w:r>
          </w:p>
        </w:tc>
        <w:tc>
          <w:tcPr>
            <w:tcW w:type="dxa" w:w="1615"/>
            <w:vAlign w:val="center"/>
          </w:tcPr>
          <w:p>
            <w:pPr>
              <w:spacing w:line="240" w:lineRule="auto"/>
              <w:jc w:val="left"/>
            </w:pPr>
            <w:r>
              <w:rPr>
                <w:rFonts w:ascii="Times New Roman" w:hAnsi="Times New Roman" w:eastAsia="Times New Roman"/>
                <w:b w:val="0"/>
                <w:sz w:val="16"/>
              </w:rPr>
              <w:t>111,1%</w:t>
            </w:r>
          </w:p>
        </w:tc>
      </w:tr>
      <w:tr>
        <w:tc>
          <w:tcPr>
            <w:tcW w:type="dxa" w:w="1615"/>
            <w:vAlign w:val="center"/>
          </w:tcPr>
          <w:p>
            <w:pPr>
              <w:spacing w:line="240" w:lineRule="auto"/>
              <w:jc w:val="left"/>
            </w:pPr>
            <w:r>
              <w:rPr>
                <w:rFonts w:ascii="Times New Roman" w:hAnsi="Times New Roman" w:eastAsia="Times New Roman"/>
                <w:b w:val="0"/>
                <w:sz w:val="16"/>
              </w:rPr>
              <w:t>Прибыль от продаж, млрд руб.</w:t>
            </w:r>
          </w:p>
        </w:tc>
        <w:tc>
          <w:tcPr>
            <w:tcW w:type="dxa" w:w="1615"/>
            <w:vAlign w:val="center"/>
          </w:tcPr>
          <w:p>
            <w:pPr>
              <w:spacing w:line="240" w:lineRule="auto"/>
              <w:jc w:val="left"/>
            </w:pPr>
            <w:r>
              <w:rPr>
                <w:rFonts w:ascii="Times New Roman" w:hAnsi="Times New Roman" w:eastAsia="Times New Roman"/>
                <w:b w:val="0"/>
                <w:sz w:val="16"/>
              </w:rPr>
              <w:t>1,92</w:t>
            </w:r>
          </w:p>
        </w:tc>
        <w:tc>
          <w:tcPr>
            <w:tcW w:type="dxa" w:w="1615"/>
            <w:vAlign w:val="center"/>
          </w:tcPr>
          <w:p>
            <w:pPr>
              <w:spacing w:line="240" w:lineRule="auto"/>
              <w:jc w:val="left"/>
            </w:pPr>
            <w:r>
              <w:rPr>
                <w:rFonts w:ascii="Times New Roman" w:hAnsi="Times New Roman" w:eastAsia="Times New Roman"/>
                <w:b w:val="0"/>
                <w:sz w:val="16"/>
              </w:rPr>
              <w:t>1,75</w:t>
            </w:r>
          </w:p>
        </w:tc>
        <w:tc>
          <w:tcPr>
            <w:tcW w:type="dxa" w:w="1615"/>
            <w:vAlign w:val="center"/>
          </w:tcPr>
          <w:p>
            <w:pPr>
              <w:spacing w:line="240" w:lineRule="auto"/>
              <w:jc w:val="left"/>
            </w:pPr>
            <w:r>
              <w:rPr>
                <w:rFonts w:ascii="Times New Roman" w:hAnsi="Times New Roman" w:eastAsia="Times New Roman"/>
                <w:b w:val="0"/>
                <w:sz w:val="16"/>
              </w:rPr>
              <w:t>2,67</w:t>
            </w:r>
          </w:p>
        </w:tc>
        <w:tc>
          <w:tcPr>
            <w:tcW w:type="dxa" w:w="1615"/>
            <w:vAlign w:val="center"/>
          </w:tcPr>
          <w:p>
            <w:pPr>
              <w:spacing w:line="240" w:lineRule="auto"/>
              <w:jc w:val="left"/>
            </w:pPr>
            <w:r>
              <w:rPr>
                <w:rFonts w:ascii="Times New Roman" w:hAnsi="Times New Roman" w:eastAsia="Times New Roman"/>
                <w:b w:val="0"/>
                <w:sz w:val="16"/>
              </w:rPr>
              <w:t>+0,92</w:t>
            </w:r>
          </w:p>
        </w:tc>
        <w:tc>
          <w:tcPr>
            <w:tcW w:type="dxa" w:w="1615"/>
            <w:vAlign w:val="center"/>
          </w:tcPr>
          <w:p>
            <w:pPr>
              <w:spacing w:line="240" w:lineRule="auto"/>
              <w:jc w:val="left"/>
            </w:pPr>
            <w:r>
              <w:rPr>
                <w:rFonts w:ascii="Times New Roman" w:hAnsi="Times New Roman" w:eastAsia="Times New Roman"/>
                <w:b w:val="0"/>
                <w:sz w:val="16"/>
              </w:rPr>
              <w:t>153,0%</w:t>
            </w:r>
          </w:p>
        </w:tc>
      </w:tr>
      <w:tr>
        <w:tc>
          <w:tcPr>
            <w:tcW w:type="dxa" w:w="1615"/>
            <w:vAlign w:val="center"/>
          </w:tcPr>
          <w:p>
            <w:pPr>
              <w:spacing w:line="240" w:lineRule="auto"/>
              <w:jc w:val="left"/>
            </w:pPr>
            <w:r>
              <w:rPr>
                <w:rFonts w:ascii="Times New Roman" w:hAnsi="Times New Roman" w:eastAsia="Times New Roman"/>
                <w:b w:val="0"/>
                <w:sz w:val="16"/>
              </w:rPr>
              <w:t>Чистая прибыль / убыток, млрд руб.</w:t>
            </w:r>
          </w:p>
        </w:tc>
        <w:tc>
          <w:tcPr>
            <w:tcW w:type="dxa" w:w="1615"/>
            <w:vAlign w:val="center"/>
          </w:tcPr>
          <w:p>
            <w:pPr>
              <w:spacing w:line="240" w:lineRule="auto"/>
              <w:jc w:val="left"/>
            </w:pPr>
            <w:r>
              <w:rPr>
                <w:rFonts w:ascii="Times New Roman" w:hAnsi="Times New Roman" w:eastAsia="Times New Roman"/>
                <w:b w:val="0"/>
                <w:sz w:val="16"/>
              </w:rPr>
              <w:t>-0,28</w:t>
            </w:r>
          </w:p>
        </w:tc>
        <w:tc>
          <w:tcPr>
            <w:tcW w:type="dxa" w:w="1615"/>
            <w:vAlign w:val="center"/>
          </w:tcPr>
          <w:p>
            <w:pPr>
              <w:spacing w:line="240" w:lineRule="auto"/>
              <w:jc w:val="left"/>
            </w:pPr>
            <w:r>
              <w:rPr>
                <w:rFonts w:ascii="Times New Roman" w:hAnsi="Times New Roman" w:eastAsia="Times New Roman"/>
                <w:b w:val="0"/>
                <w:sz w:val="16"/>
              </w:rPr>
              <w:t>-9,49</w:t>
            </w:r>
          </w:p>
        </w:tc>
        <w:tc>
          <w:tcPr>
            <w:tcW w:type="dxa" w:w="1615"/>
            <w:vAlign w:val="center"/>
          </w:tcPr>
          <w:p>
            <w:pPr>
              <w:spacing w:line="240" w:lineRule="auto"/>
              <w:jc w:val="left"/>
            </w:pPr>
            <w:r>
              <w:rPr>
                <w:rFonts w:ascii="Times New Roman" w:hAnsi="Times New Roman" w:eastAsia="Times New Roman"/>
                <w:b w:val="0"/>
                <w:sz w:val="16"/>
              </w:rPr>
              <w:t>1,15</w:t>
            </w:r>
          </w:p>
        </w:tc>
        <w:tc>
          <w:tcPr>
            <w:tcW w:type="dxa" w:w="1615"/>
            <w:vAlign w:val="center"/>
          </w:tcPr>
          <w:p>
            <w:pPr>
              <w:spacing w:line="240" w:lineRule="auto"/>
              <w:jc w:val="left"/>
            </w:pPr>
            <w:r>
              <w:rPr>
                <w:rFonts w:ascii="Times New Roman" w:hAnsi="Times New Roman" w:eastAsia="Times New Roman"/>
                <w:b w:val="0"/>
                <w:sz w:val="16"/>
              </w:rPr>
              <w:t>+10,64</w:t>
            </w:r>
          </w:p>
        </w:tc>
        <w:tc>
          <w:tcPr>
            <w:tcW w:type="dxa" w:w="1615"/>
            <w:vAlign w:val="center"/>
          </w:tcPr>
          <w:p>
            <w:pPr>
              <w:spacing w:line="240" w:lineRule="auto"/>
              <w:jc w:val="left"/>
            </w:pPr>
            <w:r>
              <w:rPr>
                <w:rFonts w:ascii="Times New Roman" w:hAnsi="Times New Roman" w:eastAsia="Times New Roman"/>
                <w:b w:val="0"/>
                <w:sz w:val="16"/>
              </w:rPr>
              <w:t>смена убытка на прибыль</w:t>
            </w:r>
          </w:p>
        </w:tc>
      </w:tr>
      <w:tr>
        <w:tc>
          <w:tcPr>
            <w:tcW w:type="dxa" w:w="1615"/>
            <w:vAlign w:val="center"/>
          </w:tcPr>
          <w:p>
            <w:pPr>
              <w:spacing w:line="240" w:lineRule="auto"/>
              <w:jc w:val="left"/>
            </w:pPr>
            <w:r>
              <w:rPr>
                <w:rFonts w:ascii="Times New Roman" w:hAnsi="Times New Roman" w:eastAsia="Times New Roman"/>
                <w:b w:val="0"/>
                <w:sz w:val="16"/>
              </w:rPr>
              <w:t>Активы, всего, млрд руб.</w:t>
            </w:r>
          </w:p>
        </w:tc>
        <w:tc>
          <w:tcPr>
            <w:tcW w:type="dxa" w:w="1615"/>
            <w:vAlign w:val="center"/>
          </w:tcPr>
          <w:p>
            <w:pPr>
              <w:spacing w:line="240" w:lineRule="auto"/>
              <w:jc w:val="left"/>
            </w:pPr>
            <w:r>
              <w:rPr>
                <w:rFonts w:ascii="Times New Roman" w:hAnsi="Times New Roman" w:eastAsia="Times New Roman"/>
                <w:b w:val="0"/>
                <w:sz w:val="16"/>
              </w:rPr>
              <w:t>19,67</w:t>
            </w:r>
          </w:p>
        </w:tc>
        <w:tc>
          <w:tcPr>
            <w:tcW w:type="dxa" w:w="1615"/>
            <w:vAlign w:val="center"/>
          </w:tcPr>
          <w:p>
            <w:pPr>
              <w:spacing w:line="240" w:lineRule="auto"/>
              <w:jc w:val="left"/>
            </w:pPr>
            <w:r>
              <w:rPr>
                <w:rFonts w:ascii="Times New Roman" w:hAnsi="Times New Roman" w:eastAsia="Times New Roman"/>
                <w:b w:val="0"/>
                <w:sz w:val="16"/>
              </w:rPr>
              <w:t>14,48</w:t>
            </w:r>
          </w:p>
        </w:tc>
        <w:tc>
          <w:tcPr>
            <w:tcW w:type="dxa" w:w="1615"/>
            <w:vAlign w:val="center"/>
          </w:tcPr>
          <w:p>
            <w:pPr>
              <w:spacing w:line="240" w:lineRule="auto"/>
              <w:jc w:val="left"/>
            </w:pPr>
            <w:r>
              <w:rPr>
                <w:rFonts w:ascii="Times New Roman" w:hAnsi="Times New Roman" w:eastAsia="Times New Roman"/>
                <w:b w:val="0"/>
                <w:sz w:val="16"/>
              </w:rPr>
              <w:t>16,24</w:t>
            </w:r>
          </w:p>
        </w:tc>
        <w:tc>
          <w:tcPr>
            <w:tcW w:type="dxa" w:w="1615"/>
            <w:vAlign w:val="center"/>
          </w:tcPr>
          <w:p>
            <w:pPr>
              <w:spacing w:line="240" w:lineRule="auto"/>
              <w:jc w:val="left"/>
            </w:pPr>
            <w:r>
              <w:rPr>
                <w:rFonts w:ascii="Times New Roman" w:hAnsi="Times New Roman" w:eastAsia="Times New Roman"/>
                <w:b w:val="0"/>
                <w:sz w:val="16"/>
              </w:rPr>
              <w:t>+1,76</w:t>
            </w:r>
          </w:p>
        </w:tc>
        <w:tc>
          <w:tcPr>
            <w:tcW w:type="dxa" w:w="1615"/>
            <w:vAlign w:val="center"/>
          </w:tcPr>
          <w:p>
            <w:pPr>
              <w:spacing w:line="240" w:lineRule="auto"/>
              <w:jc w:val="left"/>
            </w:pPr>
            <w:r>
              <w:rPr>
                <w:rFonts w:ascii="Times New Roman" w:hAnsi="Times New Roman" w:eastAsia="Times New Roman"/>
                <w:b w:val="0"/>
                <w:sz w:val="16"/>
              </w:rPr>
              <w:t>112,2%</w:t>
            </w:r>
          </w:p>
        </w:tc>
      </w:tr>
      <w:tr>
        <w:tc>
          <w:tcPr>
            <w:tcW w:type="dxa" w:w="1615"/>
            <w:vAlign w:val="center"/>
          </w:tcPr>
          <w:p>
            <w:pPr>
              <w:spacing w:line="240" w:lineRule="auto"/>
              <w:jc w:val="left"/>
            </w:pPr>
            <w:r>
              <w:rPr>
                <w:rFonts w:ascii="Times New Roman" w:hAnsi="Times New Roman" w:eastAsia="Times New Roman"/>
                <w:b w:val="0"/>
                <w:sz w:val="16"/>
              </w:rPr>
              <w:t>Дебиторская задолженность, млрд руб.</w:t>
            </w:r>
          </w:p>
        </w:tc>
        <w:tc>
          <w:tcPr>
            <w:tcW w:type="dxa" w:w="1615"/>
            <w:vAlign w:val="center"/>
          </w:tcPr>
          <w:p>
            <w:pPr>
              <w:spacing w:line="240" w:lineRule="auto"/>
              <w:jc w:val="left"/>
            </w:pPr>
            <w:r>
              <w:rPr>
                <w:rFonts w:ascii="Times New Roman" w:hAnsi="Times New Roman" w:eastAsia="Times New Roman"/>
                <w:b w:val="0"/>
                <w:sz w:val="16"/>
              </w:rPr>
              <w:t>12,24</w:t>
            </w:r>
          </w:p>
        </w:tc>
        <w:tc>
          <w:tcPr>
            <w:tcW w:type="dxa" w:w="1615"/>
            <w:vAlign w:val="center"/>
          </w:tcPr>
          <w:p>
            <w:pPr>
              <w:spacing w:line="240" w:lineRule="auto"/>
              <w:jc w:val="left"/>
            </w:pPr>
            <w:r>
              <w:rPr>
                <w:rFonts w:ascii="Times New Roman" w:hAnsi="Times New Roman" w:eastAsia="Times New Roman"/>
                <w:b w:val="0"/>
                <w:sz w:val="16"/>
              </w:rPr>
              <w:t>5,13</w:t>
            </w:r>
          </w:p>
        </w:tc>
        <w:tc>
          <w:tcPr>
            <w:tcW w:type="dxa" w:w="1615"/>
            <w:vAlign w:val="center"/>
          </w:tcPr>
          <w:p>
            <w:pPr>
              <w:spacing w:line="240" w:lineRule="auto"/>
              <w:jc w:val="left"/>
            </w:pPr>
            <w:r>
              <w:rPr>
                <w:rFonts w:ascii="Times New Roman" w:hAnsi="Times New Roman" w:eastAsia="Times New Roman"/>
                <w:b w:val="0"/>
                <w:sz w:val="16"/>
              </w:rPr>
              <w:t>6,27</w:t>
            </w:r>
          </w:p>
        </w:tc>
        <w:tc>
          <w:tcPr>
            <w:tcW w:type="dxa" w:w="1615"/>
            <w:vAlign w:val="center"/>
          </w:tcPr>
          <w:p>
            <w:pPr>
              <w:spacing w:line="240" w:lineRule="auto"/>
              <w:jc w:val="left"/>
            </w:pPr>
            <w:r>
              <w:rPr>
                <w:rFonts w:ascii="Times New Roman" w:hAnsi="Times New Roman" w:eastAsia="Times New Roman"/>
                <w:b w:val="0"/>
                <w:sz w:val="16"/>
              </w:rPr>
              <w:t>+1,14</w:t>
            </w:r>
          </w:p>
        </w:tc>
        <w:tc>
          <w:tcPr>
            <w:tcW w:type="dxa" w:w="1615"/>
            <w:vAlign w:val="center"/>
          </w:tcPr>
          <w:p>
            <w:pPr>
              <w:spacing w:line="240" w:lineRule="auto"/>
              <w:jc w:val="left"/>
            </w:pPr>
            <w:r>
              <w:rPr>
                <w:rFonts w:ascii="Times New Roman" w:hAnsi="Times New Roman" w:eastAsia="Times New Roman"/>
                <w:b w:val="0"/>
                <w:sz w:val="16"/>
              </w:rPr>
              <w:t>122,1%</w:t>
            </w:r>
          </w:p>
        </w:tc>
      </w:tr>
      <w:tr>
        <w:tc>
          <w:tcPr>
            <w:tcW w:type="dxa" w:w="1615"/>
            <w:vAlign w:val="center"/>
          </w:tcPr>
          <w:p>
            <w:pPr>
              <w:spacing w:line="240" w:lineRule="auto"/>
              <w:jc w:val="left"/>
            </w:pPr>
            <w:r>
              <w:rPr>
                <w:rFonts w:ascii="Times New Roman" w:hAnsi="Times New Roman" w:eastAsia="Times New Roman"/>
                <w:b w:val="0"/>
                <w:sz w:val="16"/>
              </w:rPr>
              <w:t>Кредиторская задолженность, млрд руб.</w:t>
            </w:r>
          </w:p>
        </w:tc>
        <w:tc>
          <w:tcPr>
            <w:tcW w:type="dxa" w:w="1615"/>
            <w:vAlign w:val="center"/>
          </w:tcPr>
          <w:p>
            <w:pPr>
              <w:spacing w:line="240" w:lineRule="auto"/>
              <w:jc w:val="left"/>
            </w:pPr>
            <w:r>
              <w:rPr>
                <w:rFonts w:ascii="Times New Roman" w:hAnsi="Times New Roman" w:eastAsia="Times New Roman"/>
                <w:b w:val="0"/>
                <w:sz w:val="16"/>
              </w:rPr>
              <w:t>9,53</w:t>
            </w:r>
          </w:p>
        </w:tc>
        <w:tc>
          <w:tcPr>
            <w:tcW w:type="dxa" w:w="1615"/>
            <w:vAlign w:val="center"/>
          </w:tcPr>
          <w:p>
            <w:pPr>
              <w:spacing w:line="240" w:lineRule="auto"/>
              <w:jc w:val="left"/>
            </w:pPr>
            <w:r>
              <w:rPr>
                <w:rFonts w:ascii="Times New Roman" w:hAnsi="Times New Roman" w:eastAsia="Times New Roman"/>
                <w:b w:val="0"/>
                <w:sz w:val="16"/>
              </w:rPr>
              <w:t>7,95</w:t>
            </w:r>
          </w:p>
        </w:tc>
        <w:tc>
          <w:tcPr>
            <w:tcW w:type="dxa" w:w="1615"/>
            <w:vAlign w:val="center"/>
          </w:tcPr>
          <w:p>
            <w:pPr>
              <w:spacing w:line="240" w:lineRule="auto"/>
              <w:jc w:val="left"/>
            </w:pPr>
            <w:r>
              <w:rPr>
                <w:rFonts w:ascii="Times New Roman" w:hAnsi="Times New Roman" w:eastAsia="Times New Roman"/>
                <w:b w:val="0"/>
                <w:sz w:val="16"/>
              </w:rPr>
              <w:t>6,92</w:t>
            </w:r>
          </w:p>
        </w:tc>
        <w:tc>
          <w:tcPr>
            <w:tcW w:type="dxa" w:w="1615"/>
            <w:vAlign w:val="center"/>
          </w:tcPr>
          <w:p>
            <w:pPr>
              <w:spacing w:line="240" w:lineRule="auto"/>
              <w:jc w:val="left"/>
            </w:pPr>
            <w:r>
              <w:rPr>
                <w:rFonts w:ascii="Times New Roman" w:hAnsi="Times New Roman" w:eastAsia="Times New Roman"/>
                <w:b w:val="0"/>
                <w:sz w:val="16"/>
              </w:rPr>
              <w:t>-1,03</w:t>
            </w:r>
          </w:p>
        </w:tc>
        <w:tc>
          <w:tcPr>
            <w:tcW w:type="dxa" w:w="1615"/>
            <w:vAlign w:val="center"/>
          </w:tcPr>
          <w:p>
            <w:pPr>
              <w:spacing w:line="240" w:lineRule="auto"/>
              <w:jc w:val="left"/>
            </w:pPr>
            <w:r>
              <w:rPr>
                <w:rFonts w:ascii="Times New Roman" w:hAnsi="Times New Roman" w:eastAsia="Times New Roman"/>
                <w:b w:val="0"/>
                <w:sz w:val="16"/>
              </w:rPr>
              <w:t>87,1%</w:t>
            </w:r>
          </w:p>
        </w:tc>
      </w:tr>
      <w:tr>
        <w:tc>
          <w:tcPr>
            <w:tcW w:type="dxa" w:w="1615"/>
            <w:vAlign w:val="center"/>
          </w:tcPr>
          <w:p>
            <w:pPr>
              <w:spacing w:line="240" w:lineRule="auto"/>
              <w:jc w:val="left"/>
            </w:pPr>
            <w:r>
              <w:rPr>
                <w:rFonts w:ascii="Times New Roman" w:hAnsi="Times New Roman" w:eastAsia="Times New Roman"/>
                <w:b w:val="0"/>
                <w:sz w:val="16"/>
              </w:rPr>
              <w:t>Собственный капитал, млрд руб.</w:t>
            </w:r>
          </w:p>
        </w:tc>
        <w:tc>
          <w:tcPr>
            <w:tcW w:type="dxa" w:w="1615"/>
            <w:vAlign w:val="center"/>
          </w:tcPr>
          <w:p>
            <w:pPr>
              <w:spacing w:line="240" w:lineRule="auto"/>
              <w:jc w:val="left"/>
            </w:pPr>
            <w:r>
              <w:rPr>
                <w:rFonts w:ascii="Times New Roman" w:hAnsi="Times New Roman" w:eastAsia="Times New Roman"/>
                <w:b w:val="0"/>
                <w:sz w:val="16"/>
              </w:rPr>
              <w:t>-0,94</w:t>
            </w:r>
          </w:p>
        </w:tc>
        <w:tc>
          <w:tcPr>
            <w:tcW w:type="dxa" w:w="1615"/>
            <w:vAlign w:val="center"/>
          </w:tcPr>
          <w:p>
            <w:pPr>
              <w:spacing w:line="240" w:lineRule="auto"/>
              <w:jc w:val="left"/>
            </w:pPr>
            <w:r>
              <w:rPr>
                <w:rFonts w:ascii="Times New Roman" w:hAnsi="Times New Roman" w:eastAsia="Times New Roman"/>
                <w:b w:val="0"/>
                <w:sz w:val="16"/>
              </w:rPr>
              <w:t>-10,43</w:t>
            </w:r>
          </w:p>
        </w:tc>
        <w:tc>
          <w:tcPr>
            <w:tcW w:type="dxa" w:w="1615"/>
            <w:vAlign w:val="center"/>
          </w:tcPr>
          <w:p>
            <w:pPr>
              <w:spacing w:line="240" w:lineRule="auto"/>
              <w:jc w:val="left"/>
            </w:pPr>
            <w:r>
              <w:rPr>
                <w:rFonts w:ascii="Times New Roman" w:hAnsi="Times New Roman" w:eastAsia="Times New Roman"/>
                <w:b w:val="0"/>
                <w:sz w:val="16"/>
              </w:rPr>
              <w:t>-9,27</w:t>
            </w:r>
          </w:p>
        </w:tc>
        <w:tc>
          <w:tcPr>
            <w:tcW w:type="dxa" w:w="1615"/>
            <w:vAlign w:val="center"/>
          </w:tcPr>
          <w:p>
            <w:pPr>
              <w:spacing w:line="240" w:lineRule="auto"/>
              <w:jc w:val="left"/>
            </w:pPr>
            <w:r>
              <w:rPr>
                <w:rFonts w:ascii="Times New Roman" w:hAnsi="Times New Roman" w:eastAsia="Times New Roman"/>
                <w:b w:val="0"/>
                <w:sz w:val="16"/>
              </w:rPr>
              <w:t>+1,16</w:t>
            </w:r>
          </w:p>
        </w:tc>
        <w:tc>
          <w:tcPr>
            <w:tcW w:type="dxa" w:w="1615"/>
            <w:vAlign w:val="center"/>
          </w:tcPr>
          <w:p>
            <w:pPr>
              <w:spacing w:line="240" w:lineRule="auto"/>
              <w:jc w:val="left"/>
            </w:pPr>
            <w:r>
              <w:rPr>
                <w:rFonts w:ascii="Times New Roman" w:hAnsi="Times New Roman" w:eastAsia="Times New Roman"/>
                <w:b w:val="0"/>
                <w:sz w:val="16"/>
              </w:rPr>
              <w:t>улучшение отрицательного значения</w:t>
            </w:r>
          </w:p>
        </w:tc>
      </w:tr>
    </w:tbl>
    <w:p/>
    <w:p>
      <w:pPr>
        <w:spacing w:line="360" w:lineRule="auto"/>
        <w:ind w:firstLine="709"/>
        <w:jc w:val="both"/>
      </w:pPr>
      <w:r>
        <w:rPr>
          <w:rFonts w:ascii="Times New Roman" w:hAnsi="Times New Roman" w:eastAsia="Times New Roman"/>
          <w:sz w:val="28"/>
        </w:rPr>
        <w:t>Таблица 2.1 - Основные финансовые показатели ПАО «ТНС энерго НН» за 2023-2025 годы</w:t>
      </w:r>
    </w:p>
    <w:p>
      <w:pPr>
        <w:spacing w:line="360" w:lineRule="auto"/>
        <w:ind w:firstLine="709"/>
        <w:jc w:val="both"/>
      </w:pPr>
      <w:r>
        <w:rPr>
          <w:rFonts w:ascii="Times New Roman" w:hAnsi="Times New Roman" w:eastAsia="Times New Roman"/>
          <w:sz w:val="28"/>
        </w:rPr>
        <w:t>Данные таблицы 2.1 показывают, что в 2025 году компания улучшила финансовый результат: выручка выросла на 6,55 млрд руб., прибыль от продаж увеличилась до 2,67 млрд руб., а чистый результат изменился с убытка на прибыль. Это создает более благоприятные предпосылки для развития мотивационной системы. Вместе с тем отрицательный собственный капитал и значительный объем дебиторской задолженности показывают, что расходы на персонал должны быть экономически обоснованными и связанными с measurable-результатами: снижением текучести, уменьшением повторных выездов, ростом качества технических работ, сокращением ошибок учета и повышением производительности.</w:t>
      </w:r>
    </w:p>
    <w:p>
      <w:pPr>
        <w:spacing w:line="360" w:lineRule="auto"/>
        <w:ind w:firstLine="709"/>
        <w:jc w:val="both"/>
      </w:pPr>
      <w:r>
        <w:rPr>
          <w:rFonts w:ascii="Times New Roman" w:hAnsi="Times New Roman" w:eastAsia="Times New Roman"/>
          <w:sz w:val="28"/>
        </w:rPr>
        <w:t>Следовательно, для отдела электриков целесообразно рассматривать мотивацию не как изолированный социальный инструмент, а как управленческий механизм, влияющий на качество технических процессов, своевременность выполнения заявок, безопасность работ, точность данных учета и удовлетворенность потребителей.</w:t>
      </w:r>
    </w:p>
    <w:p>
      <w:pPr>
        <w:pStyle w:val="Heading2"/>
      </w:pPr>
      <w:r>
        <w:t>2.2. Анализ системы управления персоналом и действующей системы мотивации сотрудников отдела электриков</w:t>
      </w:r>
    </w:p>
    <w:p>
      <w:pPr>
        <w:spacing w:line="360" w:lineRule="auto"/>
        <w:ind w:firstLine="709"/>
        <w:jc w:val="both"/>
      </w:pPr>
      <w:r>
        <w:rPr>
          <w:rFonts w:ascii="Times New Roman" w:hAnsi="Times New Roman" w:eastAsia="Times New Roman"/>
          <w:sz w:val="28"/>
        </w:rPr>
        <w:t>Система управления персоналом ПАО «ТНС энерго НН» формируется на основе штатного расписания, локальных нормативных актов, коллективного договора, правил внутреннего трудового распорядка, регламента подбора персонала и положения об адаптации и наставничестве. В организационной структуре компании выделены подразделения, отвечающие за управление персоналом, кадровое делопроизводство, организацию труда и заработной платы, подбор, обучение и развитие сотрудников.</w:t>
      </w:r>
    </w:p>
    <w:p>
      <w:pPr>
        <w:spacing w:line="360" w:lineRule="auto"/>
        <w:ind w:firstLine="709"/>
        <w:jc w:val="both"/>
      </w:pPr>
      <w:r>
        <w:rPr>
          <w:rFonts w:ascii="Times New Roman" w:hAnsi="Times New Roman" w:eastAsia="Times New Roman"/>
          <w:sz w:val="28"/>
        </w:rPr>
        <w:t>Для отдела электриков система управления персоналом имеет ряд особенностей. Во-первых, к сотрудникам предъявляются требования по профессиональной квалификации и соблюдению правил электробезопасности. Во-вторых, труд связан с повышенной ответственностью, поскольку ошибки при осмотре, подключении, проверке или сопровождении приборов учета могут приводить к техническим, финансовым и репутационным последствиям. В-третьих, работа электриков часто находится на стыке технической и клиентской функций: сотрудник взаимодействует не только с оборудованием, но и с потребителями, диспетчерскими, расчетными и правовыми подразделениями.</w:t>
      </w:r>
    </w:p>
    <w:p>
      <w:pPr>
        <w:spacing w:line="360" w:lineRule="auto"/>
        <w:ind w:firstLine="709"/>
        <w:jc w:val="both"/>
      </w:pPr>
      <w:r>
        <w:rPr>
          <w:rFonts w:ascii="Times New Roman" w:hAnsi="Times New Roman" w:eastAsia="Times New Roman"/>
          <w:sz w:val="28"/>
        </w:rPr>
        <w:t>Основные элементы системы управления персоналом, значимые для отдела электриков, представлены в таблице 2.2.</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Элемент управления персоналом</w:t>
            </w:r>
          </w:p>
        </w:tc>
        <w:tc>
          <w:tcPr>
            <w:tcW w:type="dxa" w:w="3230"/>
            <w:vAlign w:val="center"/>
            <w:shd w:fill="D9EAF7"/>
          </w:tcPr>
          <w:p>
            <w:pPr>
              <w:spacing w:line="240" w:lineRule="auto"/>
              <w:jc w:val="center"/>
            </w:pPr>
            <w:r>
              <w:rPr>
                <w:rFonts w:ascii="Times New Roman" w:hAnsi="Times New Roman" w:eastAsia="Times New Roman"/>
                <w:b/>
                <w:sz w:val="20"/>
              </w:rPr>
              <w:t>Содержание в компании</w:t>
            </w:r>
          </w:p>
        </w:tc>
        <w:tc>
          <w:tcPr>
            <w:tcW w:type="dxa" w:w="3230"/>
            <w:vAlign w:val="center"/>
            <w:shd w:fill="D9EAF7"/>
          </w:tcPr>
          <w:p>
            <w:pPr>
              <w:spacing w:line="240" w:lineRule="auto"/>
              <w:jc w:val="center"/>
            </w:pPr>
            <w:r>
              <w:rPr>
                <w:rFonts w:ascii="Times New Roman" w:hAnsi="Times New Roman" w:eastAsia="Times New Roman"/>
                <w:b/>
                <w:sz w:val="20"/>
              </w:rPr>
              <w:t>Значение для отдела электриков</w:t>
            </w:r>
          </w:p>
        </w:tc>
      </w:tr>
      <w:tr>
        <w:tc>
          <w:tcPr>
            <w:tcW w:type="dxa" w:w="3230"/>
            <w:vAlign w:val="center"/>
          </w:tcPr>
          <w:p>
            <w:pPr>
              <w:spacing w:line="240" w:lineRule="auto"/>
              <w:jc w:val="left"/>
            </w:pPr>
            <w:r>
              <w:rPr>
                <w:rFonts w:ascii="Times New Roman" w:hAnsi="Times New Roman" w:eastAsia="Times New Roman"/>
                <w:b w:val="0"/>
                <w:sz w:val="20"/>
              </w:rPr>
              <w:t>Подбор персонала</w:t>
            </w:r>
          </w:p>
        </w:tc>
        <w:tc>
          <w:tcPr>
            <w:tcW w:type="dxa" w:w="3230"/>
            <w:vAlign w:val="center"/>
          </w:tcPr>
          <w:p>
            <w:pPr>
              <w:spacing w:line="240" w:lineRule="auto"/>
              <w:jc w:val="left"/>
            </w:pPr>
            <w:r>
              <w:rPr>
                <w:rFonts w:ascii="Times New Roman" w:hAnsi="Times New Roman" w:eastAsia="Times New Roman"/>
                <w:b w:val="0"/>
                <w:sz w:val="20"/>
              </w:rPr>
              <w:t>Использование внутренних и внешних источников, заявок руководителей, собеседований и проверок</w:t>
            </w:r>
          </w:p>
        </w:tc>
        <w:tc>
          <w:tcPr>
            <w:tcW w:type="dxa" w:w="3230"/>
            <w:vAlign w:val="center"/>
          </w:tcPr>
          <w:p>
            <w:pPr>
              <w:spacing w:line="240" w:lineRule="auto"/>
              <w:jc w:val="left"/>
            </w:pPr>
            <w:r>
              <w:rPr>
                <w:rFonts w:ascii="Times New Roman" w:hAnsi="Times New Roman" w:eastAsia="Times New Roman"/>
                <w:b w:val="0"/>
                <w:sz w:val="20"/>
              </w:rPr>
              <w:t>Позволяет закрывать технические вакансии и снижать риск приема неподготовленных работников</w:t>
            </w:r>
          </w:p>
        </w:tc>
      </w:tr>
      <w:tr>
        <w:tc>
          <w:tcPr>
            <w:tcW w:type="dxa" w:w="3230"/>
            <w:vAlign w:val="center"/>
          </w:tcPr>
          <w:p>
            <w:pPr>
              <w:spacing w:line="240" w:lineRule="auto"/>
              <w:jc w:val="left"/>
            </w:pPr>
            <w:r>
              <w:rPr>
                <w:rFonts w:ascii="Times New Roman" w:hAnsi="Times New Roman" w:eastAsia="Times New Roman"/>
                <w:b w:val="0"/>
                <w:sz w:val="20"/>
              </w:rPr>
              <w:t>Адаптация</w:t>
            </w:r>
          </w:p>
        </w:tc>
        <w:tc>
          <w:tcPr>
            <w:tcW w:type="dxa" w:w="3230"/>
            <w:vAlign w:val="center"/>
          </w:tcPr>
          <w:p>
            <w:pPr>
              <w:spacing w:line="240" w:lineRule="auto"/>
              <w:jc w:val="left"/>
            </w:pPr>
            <w:r>
              <w:rPr>
                <w:rFonts w:ascii="Times New Roman" w:hAnsi="Times New Roman" w:eastAsia="Times New Roman"/>
                <w:b w:val="0"/>
                <w:sz w:val="20"/>
              </w:rPr>
              <w:t>Ознакомление с правилами, подразделением, должностными обязанностями и порядком взаимодействия</w:t>
            </w:r>
          </w:p>
        </w:tc>
        <w:tc>
          <w:tcPr>
            <w:tcW w:type="dxa" w:w="3230"/>
            <w:vAlign w:val="center"/>
          </w:tcPr>
          <w:p>
            <w:pPr>
              <w:spacing w:line="240" w:lineRule="auto"/>
              <w:jc w:val="left"/>
            </w:pPr>
            <w:r>
              <w:rPr>
                <w:rFonts w:ascii="Times New Roman" w:hAnsi="Times New Roman" w:eastAsia="Times New Roman"/>
                <w:b w:val="0"/>
                <w:sz w:val="20"/>
              </w:rPr>
              <w:t>Снижает вероятность ошибок в первые месяцы работы</w:t>
            </w:r>
          </w:p>
        </w:tc>
      </w:tr>
      <w:tr>
        <w:tc>
          <w:tcPr>
            <w:tcW w:type="dxa" w:w="3230"/>
            <w:vAlign w:val="center"/>
          </w:tcPr>
          <w:p>
            <w:pPr>
              <w:spacing w:line="240" w:lineRule="auto"/>
              <w:jc w:val="left"/>
            </w:pPr>
            <w:r>
              <w:rPr>
                <w:rFonts w:ascii="Times New Roman" w:hAnsi="Times New Roman" w:eastAsia="Times New Roman"/>
                <w:b w:val="0"/>
                <w:sz w:val="20"/>
              </w:rPr>
              <w:t>Наставничество</w:t>
            </w:r>
          </w:p>
        </w:tc>
        <w:tc>
          <w:tcPr>
            <w:tcW w:type="dxa" w:w="3230"/>
            <w:vAlign w:val="center"/>
          </w:tcPr>
          <w:p>
            <w:pPr>
              <w:spacing w:line="240" w:lineRule="auto"/>
              <w:jc w:val="left"/>
            </w:pPr>
            <w:r>
              <w:rPr>
                <w:rFonts w:ascii="Times New Roman" w:hAnsi="Times New Roman" w:eastAsia="Times New Roman"/>
                <w:b w:val="0"/>
                <w:sz w:val="20"/>
              </w:rPr>
              <w:t>Назначение наставника, индивидуальный план развития, отчеты, возможная доплата до 20% оклада</w:t>
            </w:r>
          </w:p>
        </w:tc>
        <w:tc>
          <w:tcPr>
            <w:tcW w:type="dxa" w:w="3230"/>
            <w:vAlign w:val="center"/>
          </w:tcPr>
          <w:p>
            <w:pPr>
              <w:spacing w:line="240" w:lineRule="auto"/>
              <w:jc w:val="left"/>
            </w:pPr>
            <w:r>
              <w:rPr>
                <w:rFonts w:ascii="Times New Roman" w:hAnsi="Times New Roman" w:eastAsia="Times New Roman"/>
                <w:b w:val="0"/>
                <w:sz w:val="20"/>
              </w:rPr>
              <w:t>Обеспечивает передачу практического опыта и норм безопасной работы</w:t>
            </w:r>
          </w:p>
        </w:tc>
      </w:tr>
      <w:tr>
        <w:tc>
          <w:tcPr>
            <w:tcW w:type="dxa" w:w="3230"/>
            <w:vAlign w:val="center"/>
          </w:tcPr>
          <w:p>
            <w:pPr>
              <w:spacing w:line="240" w:lineRule="auto"/>
              <w:jc w:val="left"/>
            </w:pPr>
            <w:r>
              <w:rPr>
                <w:rFonts w:ascii="Times New Roman" w:hAnsi="Times New Roman" w:eastAsia="Times New Roman"/>
                <w:b w:val="0"/>
                <w:sz w:val="20"/>
              </w:rPr>
              <w:t>Обучение</w:t>
            </w:r>
          </w:p>
        </w:tc>
        <w:tc>
          <w:tcPr>
            <w:tcW w:type="dxa" w:w="3230"/>
            <w:vAlign w:val="center"/>
          </w:tcPr>
          <w:p>
            <w:pPr>
              <w:spacing w:line="240" w:lineRule="auto"/>
              <w:jc w:val="left"/>
            </w:pPr>
            <w:r>
              <w:rPr>
                <w:rFonts w:ascii="Times New Roman" w:hAnsi="Times New Roman" w:eastAsia="Times New Roman"/>
                <w:b w:val="0"/>
                <w:sz w:val="20"/>
              </w:rPr>
              <w:t>Повышение квалификации, обучение по охране труда и электробезопасности</w:t>
            </w:r>
          </w:p>
        </w:tc>
        <w:tc>
          <w:tcPr>
            <w:tcW w:type="dxa" w:w="3230"/>
            <w:vAlign w:val="center"/>
          </w:tcPr>
          <w:p>
            <w:pPr>
              <w:spacing w:line="240" w:lineRule="auto"/>
              <w:jc w:val="left"/>
            </w:pPr>
            <w:r>
              <w:rPr>
                <w:rFonts w:ascii="Times New Roman" w:hAnsi="Times New Roman" w:eastAsia="Times New Roman"/>
                <w:b w:val="0"/>
                <w:sz w:val="20"/>
              </w:rPr>
              <w:t>Поддерживает профессиональную пригодность и безопасность</w:t>
            </w:r>
          </w:p>
        </w:tc>
      </w:tr>
      <w:tr>
        <w:tc>
          <w:tcPr>
            <w:tcW w:type="dxa" w:w="3230"/>
            <w:vAlign w:val="center"/>
          </w:tcPr>
          <w:p>
            <w:pPr>
              <w:spacing w:line="240" w:lineRule="auto"/>
              <w:jc w:val="left"/>
            </w:pPr>
            <w:r>
              <w:rPr>
                <w:rFonts w:ascii="Times New Roman" w:hAnsi="Times New Roman" w:eastAsia="Times New Roman"/>
                <w:b w:val="0"/>
                <w:sz w:val="20"/>
              </w:rPr>
              <w:t>Оплата труда</w:t>
            </w:r>
          </w:p>
        </w:tc>
        <w:tc>
          <w:tcPr>
            <w:tcW w:type="dxa" w:w="3230"/>
            <w:vAlign w:val="center"/>
          </w:tcPr>
          <w:p>
            <w:pPr>
              <w:spacing w:line="240" w:lineRule="auto"/>
              <w:jc w:val="left"/>
            </w:pPr>
            <w:r>
              <w:rPr>
                <w:rFonts w:ascii="Times New Roman" w:hAnsi="Times New Roman" w:eastAsia="Times New Roman"/>
                <w:b w:val="0"/>
                <w:sz w:val="20"/>
              </w:rPr>
              <w:t>Тарифно-премиальная система, оклад, премии, доплаты и надбавки</w:t>
            </w:r>
          </w:p>
        </w:tc>
        <w:tc>
          <w:tcPr>
            <w:tcW w:type="dxa" w:w="3230"/>
            <w:vAlign w:val="center"/>
          </w:tcPr>
          <w:p>
            <w:pPr>
              <w:spacing w:line="240" w:lineRule="auto"/>
              <w:jc w:val="left"/>
            </w:pPr>
            <w:r>
              <w:rPr>
                <w:rFonts w:ascii="Times New Roman" w:hAnsi="Times New Roman" w:eastAsia="Times New Roman"/>
                <w:b w:val="0"/>
                <w:sz w:val="20"/>
              </w:rPr>
              <w:t>Обеспечивает базовую материальную мотивацию</w:t>
            </w:r>
          </w:p>
        </w:tc>
      </w:tr>
      <w:tr>
        <w:tc>
          <w:tcPr>
            <w:tcW w:type="dxa" w:w="3230"/>
            <w:vAlign w:val="center"/>
          </w:tcPr>
          <w:p>
            <w:pPr>
              <w:spacing w:line="240" w:lineRule="auto"/>
              <w:jc w:val="left"/>
            </w:pPr>
            <w:r>
              <w:rPr>
                <w:rFonts w:ascii="Times New Roman" w:hAnsi="Times New Roman" w:eastAsia="Times New Roman"/>
                <w:b w:val="0"/>
                <w:sz w:val="20"/>
              </w:rPr>
              <w:t>Социальные гарантии</w:t>
            </w:r>
          </w:p>
        </w:tc>
        <w:tc>
          <w:tcPr>
            <w:tcW w:type="dxa" w:w="3230"/>
            <w:vAlign w:val="center"/>
          </w:tcPr>
          <w:p>
            <w:pPr>
              <w:spacing w:line="240" w:lineRule="auto"/>
              <w:jc w:val="left"/>
            </w:pPr>
            <w:r>
              <w:rPr>
                <w:rFonts w:ascii="Times New Roman" w:hAnsi="Times New Roman" w:eastAsia="Times New Roman"/>
                <w:b w:val="0"/>
                <w:sz w:val="20"/>
              </w:rPr>
              <w:t>Материальная помощь, дополнительные дни отдыха, компенсации, поддержка семей</w:t>
            </w:r>
          </w:p>
        </w:tc>
        <w:tc>
          <w:tcPr>
            <w:tcW w:type="dxa" w:w="3230"/>
            <w:vAlign w:val="center"/>
          </w:tcPr>
          <w:p>
            <w:pPr>
              <w:spacing w:line="240" w:lineRule="auto"/>
              <w:jc w:val="left"/>
            </w:pPr>
            <w:r>
              <w:rPr>
                <w:rFonts w:ascii="Times New Roman" w:hAnsi="Times New Roman" w:eastAsia="Times New Roman"/>
                <w:b w:val="0"/>
                <w:sz w:val="20"/>
              </w:rPr>
              <w:t>Повышают лояльность и удержание сотрудников</w:t>
            </w:r>
          </w:p>
        </w:tc>
      </w:tr>
      <w:tr>
        <w:tc>
          <w:tcPr>
            <w:tcW w:type="dxa" w:w="3230"/>
            <w:vAlign w:val="center"/>
          </w:tcPr>
          <w:p>
            <w:pPr>
              <w:spacing w:line="240" w:lineRule="auto"/>
              <w:jc w:val="left"/>
            </w:pPr>
            <w:r>
              <w:rPr>
                <w:rFonts w:ascii="Times New Roman" w:hAnsi="Times New Roman" w:eastAsia="Times New Roman"/>
                <w:b w:val="0"/>
                <w:sz w:val="20"/>
              </w:rPr>
              <w:t>Дисциплина и охрана труда</w:t>
            </w:r>
          </w:p>
        </w:tc>
        <w:tc>
          <w:tcPr>
            <w:tcW w:type="dxa" w:w="3230"/>
            <w:vAlign w:val="center"/>
          </w:tcPr>
          <w:p>
            <w:pPr>
              <w:spacing w:line="240" w:lineRule="auto"/>
              <w:jc w:val="left"/>
            </w:pPr>
            <w:r>
              <w:rPr>
                <w:rFonts w:ascii="Times New Roman" w:hAnsi="Times New Roman" w:eastAsia="Times New Roman"/>
                <w:b w:val="0"/>
                <w:sz w:val="20"/>
              </w:rPr>
              <w:t>ПВТР, требования безопасности, учет рабочего времени</w:t>
            </w:r>
          </w:p>
        </w:tc>
        <w:tc>
          <w:tcPr>
            <w:tcW w:type="dxa" w:w="3230"/>
            <w:vAlign w:val="center"/>
          </w:tcPr>
          <w:p>
            <w:pPr>
              <w:spacing w:line="240" w:lineRule="auto"/>
              <w:jc w:val="left"/>
            </w:pPr>
            <w:r>
              <w:rPr>
                <w:rFonts w:ascii="Times New Roman" w:hAnsi="Times New Roman" w:eastAsia="Times New Roman"/>
                <w:b w:val="0"/>
                <w:sz w:val="20"/>
              </w:rPr>
              <w:t>Снижают производственные риски</w:t>
            </w:r>
          </w:p>
        </w:tc>
      </w:tr>
    </w:tbl>
    <w:p/>
    <w:p>
      <w:pPr>
        <w:spacing w:line="360" w:lineRule="auto"/>
        <w:ind w:firstLine="709"/>
        <w:jc w:val="both"/>
      </w:pPr>
      <w:r>
        <w:rPr>
          <w:rFonts w:ascii="Times New Roman" w:hAnsi="Times New Roman" w:eastAsia="Times New Roman"/>
          <w:sz w:val="28"/>
        </w:rPr>
        <w:t>Таблица 2.2 - Элементы системы управления персоналом, значимые для отдела электриков</w:t>
      </w:r>
    </w:p>
    <w:p>
      <w:pPr>
        <w:spacing w:line="360" w:lineRule="auto"/>
        <w:ind w:firstLine="709"/>
        <w:jc w:val="both"/>
      </w:pPr>
      <w:r>
        <w:rPr>
          <w:rFonts w:ascii="Times New Roman" w:hAnsi="Times New Roman" w:eastAsia="Times New Roman"/>
          <w:sz w:val="28"/>
        </w:rPr>
        <w:t>Подбор персонала в компании строится на сочетании внутренних и внешних источников. Используются объявления на участках, внешний сайт, внутренний портал, ротация персонала, центры занятости, социальные сети, взаимодействие с учебными заведениями, районные газеты и специализированные порталы трудоустройства. Для технических должностей особенно важны профессиональный опыт, наличие группы допуска по электробезопасности, аккуратность, дисциплинированность и способность соблюдать регламенты.</w:t>
      </w:r>
    </w:p>
    <w:p>
      <w:pPr>
        <w:spacing w:line="360" w:lineRule="auto"/>
        <w:ind w:firstLine="709"/>
        <w:jc w:val="both"/>
      </w:pPr>
      <w:r>
        <w:rPr>
          <w:rFonts w:ascii="Times New Roman" w:hAnsi="Times New Roman" w:eastAsia="Times New Roman"/>
          <w:sz w:val="28"/>
        </w:rPr>
        <w:t>Данные о движении персонала по компании на март 2026 года показывают наличие кадрового риска: принято 9 работников, уволено 19 работников, коэффициент текучести составил 2,10%. При среднесписочной численности 901,8 человека и списочной численности 950 человек прием компенсировал менее половины увольнений. Для отдела электриков подобная тенденция особенно чувствительна, поскольку замена технического работника требует времени на подбор, проверку, обучение, допуск к работам и включение в производственный ритм.</w:t>
      </w:r>
    </w:p>
    <w:p>
      <w:pPr>
        <w:spacing w:line="360" w:lineRule="auto"/>
        <w:ind w:firstLine="709"/>
        <w:jc w:val="both"/>
      </w:pPr>
      <w:r>
        <w:rPr>
          <w:rFonts w:ascii="Times New Roman" w:hAnsi="Times New Roman" w:eastAsia="Times New Roman"/>
          <w:sz w:val="28"/>
        </w:rPr>
        <w:t>Действующая система мотивации включает материальные и нематериальные методы. Материальная мотивация основана на тарифно-премиальной системе оплаты труда. Она включает гарантированную часть в виде оклада или тарифной ставки, а также премии, доплаты и надбавки. Коллективный договор предусматривает связь оплаты труда с результатами, совершенствование нормирования и применение материального стимулирования с учетом отсутствия нарушений правил внутреннего трудового распорядка, охраны труда, производственных результатов и повышения производительности.</w:t>
      </w:r>
    </w:p>
    <w:p>
      <w:pPr>
        <w:spacing w:line="360" w:lineRule="auto"/>
        <w:ind w:firstLine="709"/>
        <w:jc w:val="both"/>
      </w:pPr>
      <w:r>
        <w:rPr>
          <w:rFonts w:ascii="Times New Roman" w:hAnsi="Times New Roman" w:eastAsia="Times New Roman"/>
          <w:sz w:val="28"/>
        </w:rPr>
        <w:t>Нематериальная мотивация выражается через адаптацию, наставничество, признание наставников, корпоративные традиции, профессиональное обучение, участие в мероприятиях, социальное партнерство и поддержание благоприятного социально-психологического климата. Для отдела электриков нематериальные стимулы особенно важны, потому что их труд часто воспринимается как рутинный и профилактический: качественная работа проявляется не в ярком результате, а в отсутствии ошибок, жалоб, аварийных ситуаций и повторных выездов.</w:t>
      </w:r>
    </w:p>
    <w:p>
      <w:pPr>
        <w:spacing w:line="360" w:lineRule="auto"/>
        <w:ind w:firstLine="709"/>
        <w:jc w:val="both"/>
      </w:pPr>
      <w:r>
        <w:rPr>
          <w:rFonts w:ascii="Times New Roman" w:hAnsi="Times New Roman" w:eastAsia="Times New Roman"/>
          <w:sz w:val="28"/>
        </w:rPr>
        <w:t>Сильные стороны и ограничения действующей мотивационной системы отдела электриков представлены в таблице 2.3.</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Элемент мотивации</w:t>
            </w:r>
          </w:p>
        </w:tc>
        <w:tc>
          <w:tcPr>
            <w:tcW w:type="dxa" w:w="3230"/>
            <w:vAlign w:val="center"/>
            <w:shd w:fill="D9EAF7"/>
          </w:tcPr>
          <w:p>
            <w:pPr>
              <w:spacing w:line="240" w:lineRule="auto"/>
              <w:jc w:val="center"/>
            </w:pPr>
            <w:r>
              <w:rPr>
                <w:rFonts w:ascii="Times New Roman" w:hAnsi="Times New Roman" w:eastAsia="Times New Roman"/>
                <w:b/>
                <w:sz w:val="20"/>
              </w:rPr>
              <w:t>Сильные стороны</w:t>
            </w:r>
          </w:p>
        </w:tc>
        <w:tc>
          <w:tcPr>
            <w:tcW w:type="dxa" w:w="3230"/>
            <w:vAlign w:val="center"/>
            <w:shd w:fill="D9EAF7"/>
          </w:tcPr>
          <w:p>
            <w:pPr>
              <w:spacing w:line="240" w:lineRule="auto"/>
              <w:jc w:val="center"/>
            </w:pPr>
            <w:r>
              <w:rPr>
                <w:rFonts w:ascii="Times New Roman" w:hAnsi="Times New Roman" w:eastAsia="Times New Roman"/>
                <w:b/>
                <w:sz w:val="20"/>
              </w:rPr>
              <w:t>Ограничения</w:t>
            </w:r>
          </w:p>
        </w:tc>
      </w:tr>
      <w:tr>
        <w:tc>
          <w:tcPr>
            <w:tcW w:type="dxa" w:w="3230"/>
            <w:vAlign w:val="center"/>
          </w:tcPr>
          <w:p>
            <w:pPr>
              <w:spacing w:line="240" w:lineRule="auto"/>
              <w:jc w:val="left"/>
            </w:pPr>
            <w:r>
              <w:rPr>
                <w:rFonts w:ascii="Times New Roman" w:hAnsi="Times New Roman" w:eastAsia="Times New Roman"/>
                <w:b w:val="0"/>
                <w:sz w:val="20"/>
              </w:rPr>
              <w:t>Оклад и тарифная часть</w:t>
            </w:r>
          </w:p>
        </w:tc>
        <w:tc>
          <w:tcPr>
            <w:tcW w:type="dxa" w:w="3230"/>
            <w:vAlign w:val="center"/>
          </w:tcPr>
          <w:p>
            <w:pPr>
              <w:spacing w:line="240" w:lineRule="auto"/>
              <w:jc w:val="left"/>
            </w:pPr>
            <w:r>
              <w:rPr>
                <w:rFonts w:ascii="Times New Roman" w:hAnsi="Times New Roman" w:eastAsia="Times New Roman"/>
                <w:b w:val="0"/>
                <w:sz w:val="20"/>
              </w:rPr>
              <w:t>Обеспечивает стабильность дохода</w:t>
            </w:r>
          </w:p>
        </w:tc>
        <w:tc>
          <w:tcPr>
            <w:tcW w:type="dxa" w:w="3230"/>
            <w:vAlign w:val="center"/>
          </w:tcPr>
          <w:p>
            <w:pPr>
              <w:spacing w:line="240" w:lineRule="auto"/>
              <w:jc w:val="left"/>
            </w:pPr>
            <w:r>
              <w:rPr>
                <w:rFonts w:ascii="Times New Roman" w:hAnsi="Times New Roman" w:eastAsia="Times New Roman"/>
                <w:b w:val="0"/>
                <w:sz w:val="20"/>
              </w:rPr>
              <w:t>Не всегда отражает индивидуальный вклад и сложность конкретных задач</w:t>
            </w:r>
          </w:p>
        </w:tc>
      </w:tr>
      <w:tr>
        <w:tc>
          <w:tcPr>
            <w:tcW w:type="dxa" w:w="3230"/>
            <w:vAlign w:val="center"/>
          </w:tcPr>
          <w:p>
            <w:pPr>
              <w:spacing w:line="240" w:lineRule="auto"/>
              <w:jc w:val="left"/>
            </w:pPr>
            <w:r>
              <w:rPr>
                <w:rFonts w:ascii="Times New Roman" w:hAnsi="Times New Roman" w:eastAsia="Times New Roman"/>
                <w:b w:val="0"/>
                <w:sz w:val="20"/>
              </w:rPr>
              <w:t>Премирование</w:t>
            </w:r>
          </w:p>
        </w:tc>
        <w:tc>
          <w:tcPr>
            <w:tcW w:type="dxa" w:w="3230"/>
            <w:vAlign w:val="center"/>
          </w:tcPr>
          <w:p>
            <w:pPr>
              <w:spacing w:line="240" w:lineRule="auto"/>
              <w:jc w:val="left"/>
            </w:pPr>
            <w:r>
              <w:rPr>
                <w:rFonts w:ascii="Times New Roman" w:hAnsi="Times New Roman" w:eastAsia="Times New Roman"/>
                <w:b w:val="0"/>
                <w:sz w:val="20"/>
              </w:rPr>
              <w:t>Позволяет связать оплату с результатами</w:t>
            </w:r>
          </w:p>
        </w:tc>
        <w:tc>
          <w:tcPr>
            <w:tcW w:type="dxa" w:w="3230"/>
            <w:vAlign w:val="center"/>
          </w:tcPr>
          <w:p>
            <w:pPr>
              <w:spacing w:line="240" w:lineRule="auto"/>
              <w:jc w:val="left"/>
            </w:pPr>
            <w:r>
              <w:rPr>
                <w:rFonts w:ascii="Times New Roman" w:hAnsi="Times New Roman" w:eastAsia="Times New Roman"/>
                <w:b w:val="0"/>
                <w:sz w:val="20"/>
              </w:rPr>
              <w:t>Критерии могут восприниматься как недостаточно прозрачные</w:t>
            </w:r>
          </w:p>
        </w:tc>
      </w:tr>
      <w:tr>
        <w:tc>
          <w:tcPr>
            <w:tcW w:type="dxa" w:w="3230"/>
            <w:vAlign w:val="center"/>
          </w:tcPr>
          <w:p>
            <w:pPr>
              <w:spacing w:line="240" w:lineRule="auto"/>
              <w:jc w:val="left"/>
            </w:pPr>
            <w:r>
              <w:rPr>
                <w:rFonts w:ascii="Times New Roman" w:hAnsi="Times New Roman" w:eastAsia="Times New Roman"/>
                <w:b w:val="0"/>
                <w:sz w:val="20"/>
              </w:rPr>
              <w:t>Социальный пакет</w:t>
            </w:r>
          </w:p>
        </w:tc>
        <w:tc>
          <w:tcPr>
            <w:tcW w:type="dxa" w:w="3230"/>
            <w:vAlign w:val="center"/>
          </w:tcPr>
          <w:p>
            <w:pPr>
              <w:spacing w:line="240" w:lineRule="auto"/>
              <w:jc w:val="left"/>
            </w:pPr>
            <w:r>
              <w:rPr>
                <w:rFonts w:ascii="Times New Roman" w:hAnsi="Times New Roman" w:eastAsia="Times New Roman"/>
                <w:b w:val="0"/>
                <w:sz w:val="20"/>
              </w:rPr>
              <w:t>Повышает защищенность и лояльность</w:t>
            </w:r>
          </w:p>
        </w:tc>
        <w:tc>
          <w:tcPr>
            <w:tcW w:type="dxa" w:w="3230"/>
            <w:vAlign w:val="center"/>
          </w:tcPr>
          <w:p>
            <w:pPr>
              <w:spacing w:line="240" w:lineRule="auto"/>
              <w:jc w:val="left"/>
            </w:pPr>
            <w:r>
              <w:rPr>
                <w:rFonts w:ascii="Times New Roman" w:hAnsi="Times New Roman" w:eastAsia="Times New Roman"/>
                <w:b w:val="0"/>
                <w:sz w:val="20"/>
              </w:rPr>
              <w:t>Большая часть выплат событийная, а не результативная</w:t>
            </w:r>
          </w:p>
        </w:tc>
      </w:tr>
      <w:tr>
        <w:tc>
          <w:tcPr>
            <w:tcW w:type="dxa" w:w="3230"/>
            <w:vAlign w:val="center"/>
          </w:tcPr>
          <w:p>
            <w:pPr>
              <w:spacing w:line="240" w:lineRule="auto"/>
              <w:jc w:val="left"/>
            </w:pPr>
            <w:r>
              <w:rPr>
                <w:rFonts w:ascii="Times New Roman" w:hAnsi="Times New Roman" w:eastAsia="Times New Roman"/>
                <w:b w:val="0"/>
                <w:sz w:val="20"/>
              </w:rPr>
              <w:t>Наставничество</w:t>
            </w:r>
          </w:p>
        </w:tc>
        <w:tc>
          <w:tcPr>
            <w:tcW w:type="dxa" w:w="3230"/>
            <w:vAlign w:val="center"/>
          </w:tcPr>
          <w:p>
            <w:pPr>
              <w:spacing w:line="240" w:lineRule="auto"/>
              <w:jc w:val="left"/>
            </w:pPr>
            <w:r>
              <w:rPr>
                <w:rFonts w:ascii="Times New Roman" w:hAnsi="Times New Roman" w:eastAsia="Times New Roman"/>
                <w:b w:val="0"/>
                <w:sz w:val="20"/>
              </w:rPr>
              <w:t>Снижает ошибки новичков, передает опыт</w:t>
            </w:r>
          </w:p>
        </w:tc>
        <w:tc>
          <w:tcPr>
            <w:tcW w:type="dxa" w:w="3230"/>
            <w:vAlign w:val="center"/>
          </w:tcPr>
          <w:p>
            <w:pPr>
              <w:spacing w:line="240" w:lineRule="auto"/>
              <w:jc w:val="left"/>
            </w:pPr>
            <w:r>
              <w:rPr>
                <w:rFonts w:ascii="Times New Roman" w:hAnsi="Times New Roman" w:eastAsia="Times New Roman"/>
                <w:b w:val="0"/>
                <w:sz w:val="20"/>
              </w:rPr>
              <w:t>Может становиться дополнительной нагрузкой на опытных сотрудников</w:t>
            </w:r>
          </w:p>
        </w:tc>
      </w:tr>
      <w:tr>
        <w:tc>
          <w:tcPr>
            <w:tcW w:type="dxa" w:w="3230"/>
            <w:vAlign w:val="center"/>
          </w:tcPr>
          <w:p>
            <w:pPr>
              <w:spacing w:line="240" w:lineRule="auto"/>
              <w:jc w:val="left"/>
            </w:pPr>
            <w:r>
              <w:rPr>
                <w:rFonts w:ascii="Times New Roman" w:hAnsi="Times New Roman" w:eastAsia="Times New Roman"/>
                <w:b w:val="0"/>
                <w:sz w:val="20"/>
              </w:rPr>
              <w:t>Обучение</w:t>
            </w:r>
          </w:p>
        </w:tc>
        <w:tc>
          <w:tcPr>
            <w:tcW w:type="dxa" w:w="3230"/>
            <w:vAlign w:val="center"/>
          </w:tcPr>
          <w:p>
            <w:pPr>
              <w:spacing w:line="240" w:lineRule="auto"/>
              <w:jc w:val="left"/>
            </w:pPr>
            <w:r>
              <w:rPr>
                <w:rFonts w:ascii="Times New Roman" w:hAnsi="Times New Roman" w:eastAsia="Times New Roman"/>
                <w:b w:val="0"/>
                <w:sz w:val="20"/>
              </w:rPr>
              <w:t>Поддерживает квалификацию и безопасность</w:t>
            </w:r>
          </w:p>
        </w:tc>
        <w:tc>
          <w:tcPr>
            <w:tcW w:type="dxa" w:w="3230"/>
            <w:vAlign w:val="center"/>
          </w:tcPr>
          <w:p>
            <w:pPr>
              <w:spacing w:line="240" w:lineRule="auto"/>
              <w:jc w:val="left"/>
            </w:pPr>
            <w:r>
              <w:rPr>
                <w:rFonts w:ascii="Times New Roman" w:hAnsi="Times New Roman" w:eastAsia="Times New Roman"/>
                <w:b w:val="0"/>
                <w:sz w:val="20"/>
              </w:rPr>
              <w:t>Не всегда связано с карьерной траекторией и признанием</w:t>
            </w:r>
          </w:p>
        </w:tc>
      </w:tr>
      <w:tr>
        <w:tc>
          <w:tcPr>
            <w:tcW w:type="dxa" w:w="3230"/>
            <w:vAlign w:val="center"/>
          </w:tcPr>
          <w:p>
            <w:pPr>
              <w:spacing w:line="240" w:lineRule="auto"/>
              <w:jc w:val="left"/>
            </w:pPr>
            <w:r>
              <w:rPr>
                <w:rFonts w:ascii="Times New Roman" w:hAnsi="Times New Roman" w:eastAsia="Times New Roman"/>
                <w:b w:val="0"/>
                <w:sz w:val="20"/>
              </w:rPr>
              <w:t>Корпоративные мероприятия</w:t>
            </w:r>
          </w:p>
        </w:tc>
        <w:tc>
          <w:tcPr>
            <w:tcW w:type="dxa" w:w="3230"/>
            <w:vAlign w:val="center"/>
          </w:tcPr>
          <w:p>
            <w:pPr>
              <w:spacing w:line="240" w:lineRule="auto"/>
              <w:jc w:val="left"/>
            </w:pPr>
            <w:r>
              <w:rPr>
                <w:rFonts w:ascii="Times New Roman" w:hAnsi="Times New Roman" w:eastAsia="Times New Roman"/>
                <w:b w:val="0"/>
                <w:sz w:val="20"/>
              </w:rPr>
              <w:t>Формируют принадлежность к компании</w:t>
            </w:r>
          </w:p>
        </w:tc>
        <w:tc>
          <w:tcPr>
            <w:tcW w:type="dxa" w:w="3230"/>
            <w:vAlign w:val="center"/>
          </w:tcPr>
          <w:p>
            <w:pPr>
              <w:spacing w:line="240" w:lineRule="auto"/>
              <w:jc w:val="left"/>
            </w:pPr>
            <w:r>
              <w:rPr>
                <w:rFonts w:ascii="Times New Roman" w:hAnsi="Times New Roman" w:eastAsia="Times New Roman"/>
                <w:b w:val="0"/>
                <w:sz w:val="20"/>
              </w:rPr>
              <w:t>Не всегда учитывают специфику технических работников</w:t>
            </w:r>
          </w:p>
        </w:tc>
      </w:tr>
      <w:tr>
        <w:tc>
          <w:tcPr>
            <w:tcW w:type="dxa" w:w="3230"/>
            <w:vAlign w:val="center"/>
          </w:tcPr>
          <w:p>
            <w:pPr>
              <w:spacing w:line="240" w:lineRule="auto"/>
              <w:jc w:val="left"/>
            </w:pPr>
            <w:r>
              <w:rPr>
                <w:rFonts w:ascii="Times New Roman" w:hAnsi="Times New Roman" w:eastAsia="Times New Roman"/>
                <w:b w:val="0"/>
                <w:sz w:val="20"/>
              </w:rPr>
              <w:t>Условия труда и инструменты</w:t>
            </w:r>
          </w:p>
        </w:tc>
        <w:tc>
          <w:tcPr>
            <w:tcW w:type="dxa" w:w="3230"/>
            <w:vAlign w:val="center"/>
          </w:tcPr>
          <w:p>
            <w:pPr>
              <w:spacing w:line="240" w:lineRule="auto"/>
              <w:jc w:val="left"/>
            </w:pPr>
            <w:r>
              <w:rPr>
                <w:rFonts w:ascii="Times New Roman" w:hAnsi="Times New Roman" w:eastAsia="Times New Roman"/>
                <w:b w:val="0"/>
                <w:sz w:val="20"/>
              </w:rPr>
              <w:t>Напрямую влияют на безопасность и качество работ</w:t>
            </w:r>
          </w:p>
        </w:tc>
        <w:tc>
          <w:tcPr>
            <w:tcW w:type="dxa" w:w="3230"/>
            <w:vAlign w:val="center"/>
          </w:tcPr>
          <w:p>
            <w:pPr>
              <w:spacing w:line="240" w:lineRule="auto"/>
              <w:jc w:val="left"/>
            </w:pPr>
            <w:r>
              <w:rPr>
                <w:rFonts w:ascii="Times New Roman" w:hAnsi="Times New Roman" w:eastAsia="Times New Roman"/>
                <w:b w:val="0"/>
                <w:sz w:val="20"/>
              </w:rPr>
              <w:t>Требуют регулярного обновления и контроля обеспеченности</w:t>
            </w:r>
          </w:p>
        </w:tc>
      </w:tr>
    </w:tbl>
    <w:p/>
    <w:p>
      <w:pPr>
        <w:spacing w:line="360" w:lineRule="auto"/>
        <w:ind w:firstLine="709"/>
        <w:jc w:val="both"/>
      </w:pPr>
      <w:r>
        <w:rPr>
          <w:rFonts w:ascii="Times New Roman" w:hAnsi="Times New Roman" w:eastAsia="Times New Roman"/>
          <w:sz w:val="28"/>
        </w:rPr>
        <w:t>Таблица 2.3 - Сильные стороны и ограничения мотивации сотрудников отдела электриков</w:t>
      </w:r>
    </w:p>
    <w:p>
      <w:pPr>
        <w:spacing w:line="360" w:lineRule="auto"/>
        <w:ind w:firstLine="709"/>
        <w:jc w:val="both"/>
      </w:pPr>
      <w:r>
        <w:rPr>
          <w:rFonts w:ascii="Times New Roman" w:hAnsi="Times New Roman" w:eastAsia="Times New Roman"/>
          <w:sz w:val="28"/>
        </w:rPr>
        <w:t>Таким образом, действующая система мотивации имеет развитую нормативную основу, но нуждается в большей адресности применительно к отделу электриков. Основная проблема состоит не в отсутствии стимулов, а в недостаточной прозрачности связи между личным вкладом работника, качеством технических работ, безопасностью, инициативностью, наставничеством и конкретным материальным или нематериальным признанием.</w:t>
      </w:r>
    </w:p>
    <w:p>
      <w:pPr>
        <w:pStyle w:val="Heading2"/>
      </w:pPr>
      <w:r>
        <w:t>2.3. Оценка удовлетворенности сотрудников отдела электриков материальными и нематериальными методами мотивации по результатам анонимного опроса</w:t>
      </w:r>
    </w:p>
    <w:p>
      <w:pPr>
        <w:spacing w:line="360" w:lineRule="auto"/>
        <w:ind w:firstLine="709"/>
        <w:jc w:val="both"/>
      </w:pPr>
      <w:r>
        <w:rPr>
          <w:rFonts w:ascii="Times New Roman" w:hAnsi="Times New Roman" w:eastAsia="Times New Roman"/>
          <w:sz w:val="28"/>
        </w:rPr>
        <w:t>Для уточнения проблем мотивации была использована методика анонимного анкетирования сотрудников отдела электриков. Опрос логически дополняет анализ документов, поскольку локальные нормативные акты показывают формально закрепленные стимулы, а анкетирование позволяет оценить восприятие этих стимулов самими работниками.</w:t>
      </w:r>
    </w:p>
    <w:p>
      <w:pPr>
        <w:spacing w:line="360" w:lineRule="auto"/>
        <w:ind w:firstLine="709"/>
        <w:jc w:val="both"/>
      </w:pPr>
      <w:r>
        <w:rPr>
          <w:rFonts w:ascii="Times New Roman" w:hAnsi="Times New Roman" w:eastAsia="Times New Roman"/>
          <w:sz w:val="28"/>
        </w:rPr>
        <w:t>Методика исследования основана на двухфакторной теории мотивации Ф. Герцберга и шкале Лайкерта. Вопросы были разделены на две группы:</w:t>
      </w:r>
    </w:p>
    <w:p>
      <w:pPr>
        <w:pStyle w:val="ListNumber"/>
        <w:spacing w:line="360" w:lineRule="auto"/>
      </w:pPr>
      <w:r>
        <w:t>1. Гигиенические факторы - оплата труда, условия труда, нагрузка, обеспеченность инструментами, понятность правил премирования, отношения с руководителем.</w:t>
      </w:r>
    </w:p>
    <w:p>
      <w:pPr>
        <w:pStyle w:val="ListNumber"/>
        <w:spacing w:line="360" w:lineRule="auto"/>
      </w:pPr>
      <w:r>
        <w:t>2. Мотиваторы - признание результатов, профессиональное развитие, участие в принятии решений, карьерные перспективы, наставничество, ощущение значимости работы.</w:t>
      </w:r>
    </w:p>
    <w:p>
      <w:pPr>
        <w:spacing w:line="360" w:lineRule="auto"/>
        <w:ind w:firstLine="709"/>
        <w:jc w:val="both"/>
      </w:pPr>
      <w:r>
        <w:rPr>
          <w:rFonts w:ascii="Times New Roman" w:hAnsi="Times New Roman" w:eastAsia="Times New Roman"/>
          <w:sz w:val="28"/>
        </w:rPr>
        <w:t>Опрос проводился анонимно среди части сотрудников отдела электриков. Для расчетов принята численность отдела 24 человека, из них в опросе участвовали 18 человек, что составляет 75% состава подразделения. Респондентам предлагалось оценить каждый фактор по пятибалльной шкале:</w:t>
      </w:r>
    </w:p>
    <w:p>
      <w:pPr>
        <w:pStyle w:val="ListBullet"/>
        <w:spacing w:line="360" w:lineRule="auto"/>
      </w:pPr>
      <w:r>
        <w:t>1 балл - полностью не удовлетворен;</w:t>
      </w:r>
    </w:p>
    <w:p>
      <w:pPr>
        <w:pStyle w:val="ListBullet"/>
        <w:spacing w:line="360" w:lineRule="auto"/>
      </w:pPr>
      <w:r>
        <w:t>2 балла - скорее не удовлетворен;</w:t>
      </w:r>
    </w:p>
    <w:p>
      <w:pPr>
        <w:pStyle w:val="ListBullet"/>
        <w:spacing w:line="360" w:lineRule="auto"/>
      </w:pPr>
      <w:r>
        <w:t>3 балла - затрудняюсь / средний уровень;</w:t>
      </w:r>
    </w:p>
    <w:p>
      <w:pPr>
        <w:pStyle w:val="ListBullet"/>
        <w:spacing w:line="360" w:lineRule="auto"/>
      </w:pPr>
      <w:r>
        <w:t>4 балла - скорее удовлетворен;</w:t>
      </w:r>
    </w:p>
    <w:p>
      <w:pPr>
        <w:pStyle w:val="ListBullet"/>
        <w:spacing w:line="360" w:lineRule="auto"/>
      </w:pPr>
      <w:r>
        <w:t>5 баллов - полностью удовлетворен.</w:t>
      </w:r>
    </w:p>
    <w:p>
      <w:pPr>
        <w:spacing w:line="360" w:lineRule="auto"/>
        <w:ind w:firstLine="709"/>
        <w:jc w:val="both"/>
      </w:pPr>
      <w:r>
        <w:rPr>
          <w:rFonts w:ascii="Times New Roman" w:hAnsi="Times New Roman" w:eastAsia="Times New Roman"/>
          <w:sz w:val="28"/>
        </w:rPr>
        <w:t>Для сопоставления результатов использован индекс удовлетворенности:</w:t>
      </w:r>
    </w:p>
    <w:p>
      <w:pPr>
        <w:spacing w:line="360" w:lineRule="auto"/>
        <w:ind w:firstLine="709"/>
        <w:jc w:val="both"/>
      </w:pPr>
      <w:r>
        <w:rPr>
          <w:rFonts w:ascii="Times New Roman" w:hAnsi="Times New Roman" w:eastAsia="Times New Roman"/>
          <w:sz w:val="28"/>
        </w:rPr>
        <w:t>ИУ = ((средний балл - 1) / 4) x 100%.</w:t>
      </w:r>
    </w:p>
    <w:p>
      <w:pPr>
        <w:spacing w:line="360" w:lineRule="auto"/>
        <w:ind w:firstLine="709"/>
        <w:jc w:val="both"/>
      </w:pPr>
      <w:r>
        <w:rPr>
          <w:rFonts w:ascii="Times New Roman" w:hAnsi="Times New Roman" w:eastAsia="Times New Roman"/>
          <w:sz w:val="28"/>
        </w:rPr>
        <w:t>Если индекс ниже 50%, фактор рассматривается как проблемный; 50-65% - зона умеренной удовлетворенности; выше 65% - относительно благоприятная зона. Результаты опроса представлены в таблице 2.4.</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pPr>
              <w:spacing w:line="240" w:lineRule="auto"/>
              <w:jc w:val="center"/>
            </w:pPr>
            <w:r>
              <w:rPr>
                <w:rFonts w:ascii="Times New Roman" w:hAnsi="Times New Roman" w:eastAsia="Times New Roman"/>
                <w:b/>
                <w:sz w:val="20"/>
              </w:rPr>
              <w:t>Фактор мотивации</w:t>
            </w:r>
          </w:p>
        </w:tc>
        <w:tc>
          <w:tcPr>
            <w:tcW w:type="dxa" w:w="2422"/>
            <w:vAlign w:val="center"/>
            <w:shd w:fill="D9EAF7"/>
          </w:tcPr>
          <w:p>
            <w:pPr>
              <w:spacing w:line="240" w:lineRule="auto"/>
              <w:jc w:val="center"/>
            </w:pPr>
            <w:r>
              <w:rPr>
                <w:rFonts w:ascii="Times New Roman" w:hAnsi="Times New Roman" w:eastAsia="Times New Roman"/>
                <w:b/>
                <w:sz w:val="20"/>
              </w:rPr>
              <w:t>Средний балл</w:t>
            </w:r>
          </w:p>
        </w:tc>
        <w:tc>
          <w:tcPr>
            <w:tcW w:type="dxa" w:w="2422"/>
            <w:vAlign w:val="center"/>
            <w:shd w:fill="D9EAF7"/>
          </w:tcPr>
          <w:p>
            <w:pPr>
              <w:spacing w:line="240" w:lineRule="auto"/>
              <w:jc w:val="center"/>
            </w:pPr>
            <w:r>
              <w:rPr>
                <w:rFonts w:ascii="Times New Roman" w:hAnsi="Times New Roman" w:eastAsia="Times New Roman"/>
                <w:b/>
                <w:sz w:val="20"/>
              </w:rPr>
              <w:t>Индекс удовлетворенности</w:t>
            </w:r>
          </w:p>
        </w:tc>
        <w:tc>
          <w:tcPr>
            <w:tcW w:type="dxa" w:w="2422"/>
            <w:vAlign w:val="center"/>
            <w:shd w:fill="D9EAF7"/>
          </w:tcPr>
          <w:p>
            <w:pPr>
              <w:spacing w:line="240" w:lineRule="auto"/>
              <w:jc w:val="center"/>
            </w:pPr>
            <w:r>
              <w:rPr>
                <w:rFonts w:ascii="Times New Roman" w:hAnsi="Times New Roman" w:eastAsia="Times New Roman"/>
                <w:b/>
                <w:sz w:val="20"/>
              </w:rPr>
              <w:t>Интерпретация</w:t>
            </w:r>
          </w:p>
        </w:tc>
      </w:tr>
      <w:tr>
        <w:tc>
          <w:tcPr>
            <w:tcW w:type="dxa" w:w="2422"/>
            <w:vAlign w:val="center"/>
          </w:tcPr>
          <w:p>
            <w:pPr>
              <w:spacing w:line="240" w:lineRule="auto"/>
              <w:jc w:val="left"/>
            </w:pPr>
            <w:r>
              <w:rPr>
                <w:rFonts w:ascii="Times New Roman" w:hAnsi="Times New Roman" w:eastAsia="Times New Roman"/>
                <w:b w:val="0"/>
                <w:sz w:val="20"/>
              </w:rPr>
              <w:t>Стабильность занятости</w:t>
            </w:r>
          </w:p>
        </w:tc>
        <w:tc>
          <w:tcPr>
            <w:tcW w:type="dxa" w:w="2422"/>
            <w:vAlign w:val="center"/>
          </w:tcPr>
          <w:p>
            <w:pPr>
              <w:spacing w:line="240" w:lineRule="auto"/>
              <w:jc w:val="left"/>
            </w:pPr>
            <w:r>
              <w:rPr>
                <w:rFonts w:ascii="Times New Roman" w:hAnsi="Times New Roman" w:eastAsia="Times New Roman"/>
                <w:b w:val="0"/>
                <w:sz w:val="20"/>
              </w:rPr>
              <w:t>4,1</w:t>
            </w:r>
          </w:p>
        </w:tc>
        <w:tc>
          <w:tcPr>
            <w:tcW w:type="dxa" w:w="2422"/>
            <w:vAlign w:val="center"/>
          </w:tcPr>
          <w:p>
            <w:pPr>
              <w:spacing w:line="240" w:lineRule="auto"/>
              <w:jc w:val="left"/>
            </w:pPr>
            <w:r>
              <w:rPr>
                <w:rFonts w:ascii="Times New Roman" w:hAnsi="Times New Roman" w:eastAsia="Times New Roman"/>
                <w:b w:val="0"/>
                <w:sz w:val="20"/>
              </w:rPr>
              <w:t>77,5%</w:t>
            </w:r>
          </w:p>
        </w:tc>
        <w:tc>
          <w:tcPr>
            <w:tcW w:type="dxa" w:w="2422"/>
            <w:vAlign w:val="center"/>
          </w:tcPr>
          <w:p>
            <w:pPr>
              <w:spacing w:line="240" w:lineRule="auto"/>
              <w:jc w:val="left"/>
            </w:pPr>
            <w:r>
              <w:rPr>
                <w:rFonts w:ascii="Times New Roman" w:hAnsi="Times New Roman" w:eastAsia="Times New Roman"/>
                <w:b w:val="0"/>
                <w:sz w:val="20"/>
              </w:rPr>
              <w:t>сильная сторона</w:t>
            </w:r>
          </w:p>
        </w:tc>
      </w:tr>
      <w:tr>
        <w:tc>
          <w:tcPr>
            <w:tcW w:type="dxa" w:w="2422"/>
            <w:vAlign w:val="center"/>
          </w:tcPr>
          <w:p>
            <w:pPr>
              <w:spacing w:line="240" w:lineRule="auto"/>
              <w:jc w:val="left"/>
            </w:pPr>
            <w:r>
              <w:rPr>
                <w:rFonts w:ascii="Times New Roman" w:hAnsi="Times New Roman" w:eastAsia="Times New Roman"/>
                <w:b w:val="0"/>
                <w:sz w:val="20"/>
              </w:rPr>
              <w:t>Социальные гарантии</w:t>
            </w:r>
          </w:p>
        </w:tc>
        <w:tc>
          <w:tcPr>
            <w:tcW w:type="dxa" w:w="2422"/>
            <w:vAlign w:val="center"/>
          </w:tcPr>
          <w:p>
            <w:pPr>
              <w:spacing w:line="240" w:lineRule="auto"/>
              <w:jc w:val="left"/>
            </w:pPr>
            <w:r>
              <w:rPr>
                <w:rFonts w:ascii="Times New Roman" w:hAnsi="Times New Roman" w:eastAsia="Times New Roman"/>
                <w:b w:val="0"/>
                <w:sz w:val="20"/>
              </w:rPr>
              <w:t>3,8</w:t>
            </w:r>
          </w:p>
        </w:tc>
        <w:tc>
          <w:tcPr>
            <w:tcW w:type="dxa" w:w="2422"/>
            <w:vAlign w:val="center"/>
          </w:tcPr>
          <w:p>
            <w:pPr>
              <w:spacing w:line="240" w:lineRule="auto"/>
              <w:jc w:val="left"/>
            </w:pPr>
            <w:r>
              <w:rPr>
                <w:rFonts w:ascii="Times New Roman" w:hAnsi="Times New Roman" w:eastAsia="Times New Roman"/>
                <w:b w:val="0"/>
                <w:sz w:val="20"/>
              </w:rPr>
              <w:t>70,0%</w:t>
            </w:r>
          </w:p>
        </w:tc>
        <w:tc>
          <w:tcPr>
            <w:tcW w:type="dxa" w:w="2422"/>
            <w:vAlign w:val="center"/>
          </w:tcPr>
          <w:p>
            <w:pPr>
              <w:spacing w:line="240" w:lineRule="auto"/>
              <w:jc w:val="left"/>
            </w:pPr>
            <w:r>
              <w:rPr>
                <w:rFonts w:ascii="Times New Roman" w:hAnsi="Times New Roman" w:eastAsia="Times New Roman"/>
                <w:b w:val="0"/>
                <w:sz w:val="20"/>
              </w:rPr>
              <w:t>благоприятный уровень</w:t>
            </w:r>
          </w:p>
        </w:tc>
      </w:tr>
      <w:tr>
        <w:tc>
          <w:tcPr>
            <w:tcW w:type="dxa" w:w="2422"/>
            <w:vAlign w:val="center"/>
          </w:tcPr>
          <w:p>
            <w:pPr>
              <w:spacing w:line="240" w:lineRule="auto"/>
              <w:jc w:val="left"/>
            </w:pPr>
            <w:r>
              <w:rPr>
                <w:rFonts w:ascii="Times New Roman" w:hAnsi="Times New Roman" w:eastAsia="Times New Roman"/>
                <w:b w:val="0"/>
                <w:sz w:val="20"/>
              </w:rPr>
              <w:t>Отношения с непосредственным руководителем</w:t>
            </w:r>
          </w:p>
        </w:tc>
        <w:tc>
          <w:tcPr>
            <w:tcW w:type="dxa" w:w="2422"/>
            <w:vAlign w:val="center"/>
          </w:tcPr>
          <w:p>
            <w:pPr>
              <w:spacing w:line="240" w:lineRule="auto"/>
              <w:jc w:val="left"/>
            </w:pPr>
            <w:r>
              <w:rPr>
                <w:rFonts w:ascii="Times New Roman" w:hAnsi="Times New Roman" w:eastAsia="Times New Roman"/>
                <w:b w:val="0"/>
                <w:sz w:val="20"/>
              </w:rPr>
              <w:t>3,6</w:t>
            </w:r>
          </w:p>
        </w:tc>
        <w:tc>
          <w:tcPr>
            <w:tcW w:type="dxa" w:w="2422"/>
            <w:vAlign w:val="center"/>
          </w:tcPr>
          <w:p>
            <w:pPr>
              <w:spacing w:line="240" w:lineRule="auto"/>
              <w:jc w:val="left"/>
            </w:pPr>
            <w:r>
              <w:rPr>
                <w:rFonts w:ascii="Times New Roman" w:hAnsi="Times New Roman" w:eastAsia="Times New Roman"/>
                <w:b w:val="0"/>
                <w:sz w:val="20"/>
              </w:rPr>
              <w:t>65,0%</w:t>
            </w:r>
          </w:p>
        </w:tc>
        <w:tc>
          <w:tcPr>
            <w:tcW w:type="dxa" w:w="2422"/>
            <w:vAlign w:val="center"/>
          </w:tcPr>
          <w:p>
            <w:pPr>
              <w:spacing w:line="240" w:lineRule="auto"/>
              <w:jc w:val="left"/>
            </w:pPr>
            <w:r>
              <w:rPr>
                <w:rFonts w:ascii="Times New Roman" w:hAnsi="Times New Roman" w:eastAsia="Times New Roman"/>
                <w:b w:val="0"/>
                <w:sz w:val="20"/>
              </w:rPr>
              <w:t>погранично благоприятный уровень</w:t>
            </w:r>
          </w:p>
        </w:tc>
      </w:tr>
      <w:tr>
        <w:tc>
          <w:tcPr>
            <w:tcW w:type="dxa" w:w="2422"/>
            <w:vAlign w:val="center"/>
          </w:tcPr>
          <w:p>
            <w:pPr>
              <w:spacing w:line="240" w:lineRule="auto"/>
              <w:jc w:val="left"/>
            </w:pPr>
            <w:r>
              <w:rPr>
                <w:rFonts w:ascii="Times New Roman" w:hAnsi="Times New Roman" w:eastAsia="Times New Roman"/>
                <w:b w:val="0"/>
                <w:sz w:val="20"/>
              </w:rPr>
              <w:t>Безопасность труда</w:t>
            </w:r>
          </w:p>
        </w:tc>
        <w:tc>
          <w:tcPr>
            <w:tcW w:type="dxa" w:w="2422"/>
            <w:vAlign w:val="center"/>
          </w:tcPr>
          <w:p>
            <w:pPr>
              <w:spacing w:line="240" w:lineRule="auto"/>
              <w:jc w:val="left"/>
            </w:pPr>
            <w:r>
              <w:rPr>
                <w:rFonts w:ascii="Times New Roman" w:hAnsi="Times New Roman" w:eastAsia="Times New Roman"/>
                <w:b w:val="0"/>
                <w:sz w:val="20"/>
              </w:rPr>
              <w:t>3,5</w:t>
            </w:r>
          </w:p>
        </w:tc>
        <w:tc>
          <w:tcPr>
            <w:tcW w:type="dxa" w:w="2422"/>
            <w:vAlign w:val="center"/>
          </w:tcPr>
          <w:p>
            <w:pPr>
              <w:spacing w:line="240" w:lineRule="auto"/>
              <w:jc w:val="left"/>
            </w:pPr>
            <w:r>
              <w:rPr>
                <w:rFonts w:ascii="Times New Roman" w:hAnsi="Times New Roman" w:eastAsia="Times New Roman"/>
                <w:b w:val="0"/>
                <w:sz w:val="20"/>
              </w:rPr>
              <w:t>62,5%</w:t>
            </w:r>
          </w:p>
        </w:tc>
        <w:tc>
          <w:tcPr>
            <w:tcW w:type="dxa" w:w="2422"/>
            <w:vAlign w:val="center"/>
          </w:tcPr>
          <w:p>
            <w:pPr>
              <w:spacing w:line="240" w:lineRule="auto"/>
              <w:jc w:val="left"/>
            </w:pPr>
            <w:r>
              <w:rPr>
                <w:rFonts w:ascii="Times New Roman" w:hAnsi="Times New Roman" w:eastAsia="Times New Roman"/>
                <w:b w:val="0"/>
                <w:sz w:val="20"/>
              </w:rPr>
              <w:t>требует поддержания</w:t>
            </w:r>
          </w:p>
        </w:tc>
      </w:tr>
      <w:tr>
        <w:tc>
          <w:tcPr>
            <w:tcW w:type="dxa" w:w="2422"/>
            <w:vAlign w:val="center"/>
          </w:tcPr>
          <w:p>
            <w:pPr>
              <w:spacing w:line="240" w:lineRule="auto"/>
              <w:jc w:val="left"/>
            </w:pPr>
            <w:r>
              <w:rPr>
                <w:rFonts w:ascii="Times New Roman" w:hAnsi="Times New Roman" w:eastAsia="Times New Roman"/>
                <w:b w:val="0"/>
                <w:sz w:val="20"/>
              </w:rPr>
              <w:t>Условия труда и инструментальное обеспечение</w:t>
            </w:r>
          </w:p>
        </w:tc>
        <w:tc>
          <w:tcPr>
            <w:tcW w:type="dxa" w:w="2422"/>
            <w:vAlign w:val="center"/>
          </w:tcPr>
          <w:p>
            <w:pPr>
              <w:spacing w:line="240" w:lineRule="auto"/>
              <w:jc w:val="left"/>
            </w:pPr>
            <w:r>
              <w:rPr>
                <w:rFonts w:ascii="Times New Roman" w:hAnsi="Times New Roman" w:eastAsia="Times New Roman"/>
                <w:b w:val="0"/>
                <w:sz w:val="20"/>
              </w:rPr>
              <w:t>3,1</w:t>
            </w:r>
          </w:p>
        </w:tc>
        <w:tc>
          <w:tcPr>
            <w:tcW w:type="dxa" w:w="2422"/>
            <w:vAlign w:val="center"/>
          </w:tcPr>
          <w:p>
            <w:pPr>
              <w:spacing w:line="240" w:lineRule="auto"/>
              <w:jc w:val="left"/>
            </w:pPr>
            <w:r>
              <w:rPr>
                <w:rFonts w:ascii="Times New Roman" w:hAnsi="Times New Roman" w:eastAsia="Times New Roman"/>
                <w:b w:val="0"/>
                <w:sz w:val="20"/>
              </w:rPr>
              <w:t>52,5%</w:t>
            </w:r>
          </w:p>
        </w:tc>
        <w:tc>
          <w:tcPr>
            <w:tcW w:type="dxa" w:w="2422"/>
            <w:vAlign w:val="center"/>
          </w:tcPr>
          <w:p>
            <w:pPr>
              <w:spacing w:line="240" w:lineRule="auto"/>
              <w:jc w:val="left"/>
            </w:pPr>
            <w:r>
              <w:rPr>
                <w:rFonts w:ascii="Times New Roman" w:hAnsi="Times New Roman" w:eastAsia="Times New Roman"/>
                <w:b w:val="0"/>
                <w:sz w:val="20"/>
              </w:rPr>
              <w:t>умеренная удовлетворенность</w:t>
            </w:r>
          </w:p>
        </w:tc>
      </w:tr>
      <w:tr>
        <w:tc>
          <w:tcPr>
            <w:tcW w:type="dxa" w:w="2422"/>
            <w:vAlign w:val="center"/>
          </w:tcPr>
          <w:p>
            <w:pPr>
              <w:spacing w:line="240" w:lineRule="auto"/>
              <w:jc w:val="left"/>
            </w:pPr>
            <w:r>
              <w:rPr>
                <w:rFonts w:ascii="Times New Roman" w:hAnsi="Times New Roman" w:eastAsia="Times New Roman"/>
                <w:b w:val="0"/>
                <w:sz w:val="20"/>
              </w:rPr>
              <w:t>Уровень оплаты труда</w:t>
            </w:r>
          </w:p>
        </w:tc>
        <w:tc>
          <w:tcPr>
            <w:tcW w:type="dxa" w:w="2422"/>
            <w:vAlign w:val="center"/>
          </w:tcPr>
          <w:p>
            <w:pPr>
              <w:spacing w:line="240" w:lineRule="auto"/>
              <w:jc w:val="left"/>
            </w:pPr>
            <w:r>
              <w:rPr>
                <w:rFonts w:ascii="Times New Roman" w:hAnsi="Times New Roman" w:eastAsia="Times New Roman"/>
                <w:b w:val="0"/>
                <w:sz w:val="20"/>
              </w:rPr>
              <w:t>3,0</w:t>
            </w:r>
          </w:p>
        </w:tc>
        <w:tc>
          <w:tcPr>
            <w:tcW w:type="dxa" w:w="2422"/>
            <w:vAlign w:val="center"/>
          </w:tcPr>
          <w:p>
            <w:pPr>
              <w:spacing w:line="240" w:lineRule="auto"/>
              <w:jc w:val="left"/>
            </w:pPr>
            <w:r>
              <w:rPr>
                <w:rFonts w:ascii="Times New Roman" w:hAnsi="Times New Roman" w:eastAsia="Times New Roman"/>
                <w:b w:val="0"/>
                <w:sz w:val="20"/>
              </w:rPr>
              <w:t>50,0%</w:t>
            </w:r>
          </w:p>
        </w:tc>
        <w:tc>
          <w:tcPr>
            <w:tcW w:type="dxa" w:w="2422"/>
            <w:vAlign w:val="center"/>
          </w:tcPr>
          <w:p>
            <w:pPr>
              <w:spacing w:line="240" w:lineRule="auto"/>
              <w:jc w:val="left"/>
            </w:pPr>
            <w:r>
              <w:rPr>
                <w:rFonts w:ascii="Times New Roman" w:hAnsi="Times New Roman" w:eastAsia="Times New Roman"/>
                <w:b w:val="0"/>
                <w:sz w:val="20"/>
              </w:rPr>
              <w:t>нижняя граница удовлетворенности</w:t>
            </w:r>
          </w:p>
        </w:tc>
      </w:tr>
      <w:tr>
        <w:tc>
          <w:tcPr>
            <w:tcW w:type="dxa" w:w="2422"/>
            <w:vAlign w:val="center"/>
          </w:tcPr>
          <w:p>
            <w:pPr>
              <w:spacing w:line="240" w:lineRule="auto"/>
              <w:jc w:val="left"/>
            </w:pPr>
            <w:r>
              <w:rPr>
                <w:rFonts w:ascii="Times New Roman" w:hAnsi="Times New Roman" w:eastAsia="Times New Roman"/>
                <w:b w:val="0"/>
                <w:sz w:val="20"/>
              </w:rPr>
              <w:t>Понятность критериев премирования</w:t>
            </w:r>
          </w:p>
        </w:tc>
        <w:tc>
          <w:tcPr>
            <w:tcW w:type="dxa" w:w="2422"/>
            <w:vAlign w:val="center"/>
          </w:tcPr>
          <w:p>
            <w:pPr>
              <w:spacing w:line="240" w:lineRule="auto"/>
              <w:jc w:val="left"/>
            </w:pPr>
            <w:r>
              <w:rPr>
                <w:rFonts w:ascii="Times New Roman" w:hAnsi="Times New Roman" w:eastAsia="Times New Roman"/>
                <w:b w:val="0"/>
                <w:sz w:val="20"/>
              </w:rPr>
              <w:t>2,4</w:t>
            </w:r>
          </w:p>
        </w:tc>
        <w:tc>
          <w:tcPr>
            <w:tcW w:type="dxa" w:w="2422"/>
            <w:vAlign w:val="center"/>
          </w:tcPr>
          <w:p>
            <w:pPr>
              <w:spacing w:line="240" w:lineRule="auto"/>
              <w:jc w:val="left"/>
            </w:pPr>
            <w:r>
              <w:rPr>
                <w:rFonts w:ascii="Times New Roman" w:hAnsi="Times New Roman" w:eastAsia="Times New Roman"/>
                <w:b w:val="0"/>
                <w:sz w:val="20"/>
              </w:rPr>
              <w:t>35,0%</w:t>
            </w:r>
          </w:p>
        </w:tc>
        <w:tc>
          <w:tcPr>
            <w:tcW w:type="dxa" w:w="2422"/>
            <w:vAlign w:val="center"/>
          </w:tcPr>
          <w:p>
            <w:pPr>
              <w:spacing w:line="240" w:lineRule="auto"/>
              <w:jc w:val="left"/>
            </w:pPr>
            <w:r>
              <w:rPr>
                <w:rFonts w:ascii="Times New Roman" w:hAnsi="Times New Roman" w:eastAsia="Times New Roman"/>
                <w:b w:val="0"/>
                <w:sz w:val="20"/>
              </w:rPr>
              <w:t>проблемная зона</w:t>
            </w:r>
          </w:p>
        </w:tc>
      </w:tr>
      <w:tr>
        <w:tc>
          <w:tcPr>
            <w:tcW w:type="dxa" w:w="2422"/>
            <w:vAlign w:val="center"/>
          </w:tcPr>
          <w:p>
            <w:pPr>
              <w:spacing w:line="240" w:lineRule="auto"/>
              <w:jc w:val="left"/>
            </w:pPr>
            <w:r>
              <w:rPr>
                <w:rFonts w:ascii="Times New Roman" w:hAnsi="Times New Roman" w:eastAsia="Times New Roman"/>
                <w:b w:val="0"/>
                <w:sz w:val="20"/>
              </w:rPr>
              <w:t>Признание личного вклада</w:t>
            </w:r>
          </w:p>
        </w:tc>
        <w:tc>
          <w:tcPr>
            <w:tcW w:type="dxa" w:w="2422"/>
            <w:vAlign w:val="center"/>
          </w:tcPr>
          <w:p>
            <w:pPr>
              <w:spacing w:line="240" w:lineRule="auto"/>
              <w:jc w:val="left"/>
            </w:pPr>
            <w:r>
              <w:rPr>
                <w:rFonts w:ascii="Times New Roman" w:hAnsi="Times New Roman" w:eastAsia="Times New Roman"/>
                <w:b w:val="0"/>
                <w:sz w:val="20"/>
              </w:rPr>
              <w:t>2,2</w:t>
            </w:r>
          </w:p>
        </w:tc>
        <w:tc>
          <w:tcPr>
            <w:tcW w:type="dxa" w:w="2422"/>
            <w:vAlign w:val="center"/>
          </w:tcPr>
          <w:p>
            <w:pPr>
              <w:spacing w:line="240" w:lineRule="auto"/>
              <w:jc w:val="left"/>
            </w:pPr>
            <w:r>
              <w:rPr>
                <w:rFonts w:ascii="Times New Roman" w:hAnsi="Times New Roman" w:eastAsia="Times New Roman"/>
                <w:b w:val="0"/>
                <w:sz w:val="20"/>
              </w:rPr>
              <w:t>30,0%</w:t>
            </w:r>
          </w:p>
        </w:tc>
        <w:tc>
          <w:tcPr>
            <w:tcW w:type="dxa" w:w="2422"/>
            <w:vAlign w:val="center"/>
          </w:tcPr>
          <w:p>
            <w:pPr>
              <w:spacing w:line="240" w:lineRule="auto"/>
              <w:jc w:val="left"/>
            </w:pPr>
            <w:r>
              <w:rPr>
                <w:rFonts w:ascii="Times New Roman" w:hAnsi="Times New Roman" w:eastAsia="Times New Roman"/>
                <w:b w:val="0"/>
                <w:sz w:val="20"/>
              </w:rPr>
              <w:t>выраженная проблемная зона</w:t>
            </w:r>
          </w:p>
        </w:tc>
      </w:tr>
      <w:tr>
        <w:tc>
          <w:tcPr>
            <w:tcW w:type="dxa" w:w="2422"/>
            <w:vAlign w:val="center"/>
          </w:tcPr>
          <w:p>
            <w:pPr>
              <w:spacing w:line="240" w:lineRule="auto"/>
              <w:jc w:val="left"/>
            </w:pPr>
            <w:r>
              <w:rPr>
                <w:rFonts w:ascii="Times New Roman" w:hAnsi="Times New Roman" w:eastAsia="Times New Roman"/>
                <w:b w:val="0"/>
                <w:sz w:val="20"/>
              </w:rPr>
              <w:t>Возможность профессионального роста</w:t>
            </w:r>
          </w:p>
        </w:tc>
        <w:tc>
          <w:tcPr>
            <w:tcW w:type="dxa" w:w="2422"/>
            <w:vAlign w:val="center"/>
          </w:tcPr>
          <w:p>
            <w:pPr>
              <w:spacing w:line="240" w:lineRule="auto"/>
              <w:jc w:val="left"/>
            </w:pPr>
            <w:r>
              <w:rPr>
                <w:rFonts w:ascii="Times New Roman" w:hAnsi="Times New Roman" w:eastAsia="Times New Roman"/>
                <w:b w:val="0"/>
                <w:sz w:val="20"/>
              </w:rPr>
              <w:t>2,7</w:t>
            </w:r>
          </w:p>
        </w:tc>
        <w:tc>
          <w:tcPr>
            <w:tcW w:type="dxa" w:w="2422"/>
            <w:vAlign w:val="center"/>
          </w:tcPr>
          <w:p>
            <w:pPr>
              <w:spacing w:line="240" w:lineRule="auto"/>
              <w:jc w:val="left"/>
            </w:pPr>
            <w:r>
              <w:rPr>
                <w:rFonts w:ascii="Times New Roman" w:hAnsi="Times New Roman" w:eastAsia="Times New Roman"/>
                <w:b w:val="0"/>
                <w:sz w:val="20"/>
              </w:rPr>
              <w:t>42,5%</w:t>
            </w:r>
          </w:p>
        </w:tc>
        <w:tc>
          <w:tcPr>
            <w:tcW w:type="dxa" w:w="2422"/>
            <w:vAlign w:val="center"/>
          </w:tcPr>
          <w:p>
            <w:pPr>
              <w:spacing w:line="240" w:lineRule="auto"/>
              <w:jc w:val="left"/>
            </w:pPr>
            <w:r>
              <w:rPr>
                <w:rFonts w:ascii="Times New Roman" w:hAnsi="Times New Roman" w:eastAsia="Times New Roman"/>
                <w:b w:val="0"/>
                <w:sz w:val="20"/>
              </w:rPr>
              <w:t>проблемная зона</w:t>
            </w:r>
          </w:p>
        </w:tc>
      </w:tr>
      <w:tr>
        <w:tc>
          <w:tcPr>
            <w:tcW w:type="dxa" w:w="2422"/>
            <w:vAlign w:val="center"/>
          </w:tcPr>
          <w:p>
            <w:pPr>
              <w:spacing w:line="240" w:lineRule="auto"/>
              <w:jc w:val="left"/>
            </w:pPr>
            <w:r>
              <w:rPr>
                <w:rFonts w:ascii="Times New Roman" w:hAnsi="Times New Roman" w:eastAsia="Times New Roman"/>
                <w:b w:val="0"/>
                <w:sz w:val="20"/>
              </w:rPr>
              <w:t>Участие в улучшении процессов</w:t>
            </w:r>
          </w:p>
        </w:tc>
        <w:tc>
          <w:tcPr>
            <w:tcW w:type="dxa" w:w="2422"/>
            <w:vAlign w:val="center"/>
          </w:tcPr>
          <w:p>
            <w:pPr>
              <w:spacing w:line="240" w:lineRule="auto"/>
              <w:jc w:val="left"/>
            </w:pPr>
            <w:r>
              <w:rPr>
                <w:rFonts w:ascii="Times New Roman" w:hAnsi="Times New Roman" w:eastAsia="Times New Roman"/>
                <w:b w:val="0"/>
                <w:sz w:val="20"/>
              </w:rPr>
              <w:t>2,3</w:t>
            </w:r>
          </w:p>
        </w:tc>
        <w:tc>
          <w:tcPr>
            <w:tcW w:type="dxa" w:w="2422"/>
            <w:vAlign w:val="center"/>
          </w:tcPr>
          <w:p>
            <w:pPr>
              <w:spacing w:line="240" w:lineRule="auto"/>
              <w:jc w:val="left"/>
            </w:pPr>
            <w:r>
              <w:rPr>
                <w:rFonts w:ascii="Times New Roman" w:hAnsi="Times New Roman" w:eastAsia="Times New Roman"/>
                <w:b w:val="0"/>
                <w:sz w:val="20"/>
              </w:rPr>
              <w:t>32,5%</w:t>
            </w:r>
          </w:p>
        </w:tc>
        <w:tc>
          <w:tcPr>
            <w:tcW w:type="dxa" w:w="2422"/>
            <w:vAlign w:val="center"/>
          </w:tcPr>
          <w:p>
            <w:pPr>
              <w:spacing w:line="240" w:lineRule="auto"/>
              <w:jc w:val="left"/>
            </w:pPr>
            <w:r>
              <w:rPr>
                <w:rFonts w:ascii="Times New Roman" w:hAnsi="Times New Roman" w:eastAsia="Times New Roman"/>
                <w:b w:val="0"/>
                <w:sz w:val="20"/>
              </w:rPr>
              <w:t>проблемная зона</w:t>
            </w:r>
          </w:p>
        </w:tc>
      </w:tr>
      <w:tr>
        <w:tc>
          <w:tcPr>
            <w:tcW w:type="dxa" w:w="2422"/>
            <w:vAlign w:val="center"/>
          </w:tcPr>
          <w:p>
            <w:pPr>
              <w:spacing w:line="240" w:lineRule="auto"/>
              <w:jc w:val="left"/>
            </w:pPr>
            <w:r>
              <w:rPr>
                <w:rFonts w:ascii="Times New Roman" w:hAnsi="Times New Roman" w:eastAsia="Times New Roman"/>
                <w:b w:val="0"/>
                <w:sz w:val="20"/>
              </w:rPr>
              <w:t>Нагрузка и эмоциональная усталость</w:t>
            </w:r>
          </w:p>
        </w:tc>
        <w:tc>
          <w:tcPr>
            <w:tcW w:type="dxa" w:w="2422"/>
            <w:vAlign w:val="center"/>
          </w:tcPr>
          <w:p>
            <w:pPr>
              <w:spacing w:line="240" w:lineRule="auto"/>
              <w:jc w:val="left"/>
            </w:pPr>
            <w:r>
              <w:rPr>
                <w:rFonts w:ascii="Times New Roman" w:hAnsi="Times New Roman" w:eastAsia="Times New Roman"/>
                <w:b w:val="0"/>
                <w:sz w:val="20"/>
              </w:rPr>
              <w:t>2,6</w:t>
            </w:r>
          </w:p>
        </w:tc>
        <w:tc>
          <w:tcPr>
            <w:tcW w:type="dxa" w:w="2422"/>
            <w:vAlign w:val="center"/>
          </w:tcPr>
          <w:p>
            <w:pPr>
              <w:spacing w:line="240" w:lineRule="auto"/>
              <w:jc w:val="left"/>
            </w:pPr>
            <w:r>
              <w:rPr>
                <w:rFonts w:ascii="Times New Roman" w:hAnsi="Times New Roman" w:eastAsia="Times New Roman"/>
                <w:b w:val="0"/>
                <w:sz w:val="20"/>
              </w:rPr>
              <w:t>40,0%</w:t>
            </w:r>
          </w:p>
        </w:tc>
        <w:tc>
          <w:tcPr>
            <w:tcW w:type="dxa" w:w="2422"/>
            <w:vAlign w:val="center"/>
          </w:tcPr>
          <w:p>
            <w:pPr>
              <w:spacing w:line="240" w:lineRule="auto"/>
              <w:jc w:val="left"/>
            </w:pPr>
            <w:r>
              <w:rPr>
                <w:rFonts w:ascii="Times New Roman" w:hAnsi="Times New Roman" w:eastAsia="Times New Roman"/>
                <w:b w:val="0"/>
                <w:sz w:val="20"/>
              </w:rPr>
              <w:t>проблемная зона</w:t>
            </w:r>
          </w:p>
        </w:tc>
      </w:tr>
      <w:tr>
        <w:tc>
          <w:tcPr>
            <w:tcW w:type="dxa" w:w="2422"/>
            <w:vAlign w:val="center"/>
          </w:tcPr>
          <w:p>
            <w:pPr>
              <w:spacing w:line="240" w:lineRule="auto"/>
              <w:jc w:val="left"/>
            </w:pPr>
            <w:r>
              <w:rPr>
                <w:rFonts w:ascii="Times New Roman" w:hAnsi="Times New Roman" w:eastAsia="Times New Roman"/>
                <w:b w:val="0"/>
                <w:sz w:val="20"/>
              </w:rPr>
              <w:t>Наставничество и передача опыта</w:t>
            </w:r>
          </w:p>
        </w:tc>
        <w:tc>
          <w:tcPr>
            <w:tcW w:type="dxa" w:w="2422"/>
            <w:vAlign w:val="center"/>
          </w:tcPr>
          <w:p>
            <w:pPr>
              <w:spacing w:line="240" w:lineRule="auto"/>
              <w:jc w:val="left"/>
            </w:pPr>
            <w:r>
              <w:rPr>
                <w:rFonts w:ascii="Times New Roman" w:hAnsi="Times New Roman" w:eastAsia="Times New Roman"/>
                <w:b w:val="0"/>
                <w:sz w:val="20"/>
              </w:rPr>
              <w:t>3,0</w:t>
            </w:r>
          </w:p>
        </w:tc>
        <w:tc>
          <w:tcPr>
            <w:tcW w:type="dxa" w:w="2422"/>
            <w:vAlign w:val="center"/>
          </w:tcPr>
          <w:p>
            <w:pPr>
              <w:spacing w:line="240" w:lineRule="auto"/>
              <w:jc w:val="left"/>
            </w:pPr>
            <w:r>
              <w:rPr>
                <w:rFonts w:ascii="Times New Roman" w:hAnsi="Times New Roman" w:eastAsia="Times New Roman"/>
                <w:b w:val="0"/>
                <w:sz w:val="20"/>
              </w:rPr>
              <w:t>50,0%</w:t>
            </w:r>
          </w:p>
        </w:tc>
        <w:tc>
          <w:tcPr>
            <w:tcW w:type="dxa" w:w="2422"/>
            <w:vAlign w:val="center"/>
          </w:tcPr>
          <w:p>
            <w:pPr>
              <w:spacing w:line="240" w:lineRule="auto"/>
              <w:jc w:val="left"/>
            </w:pPr>
            <w:r>
              <w:rPr>
                <w:rFonts w:ascii="Times New Roman" w:hAnsi="Times New Roman" w:eastAsia="Times New Roman"/>
                <w:b w:val="0"/>
                <w:sz w:val="20"/>
              </w:rPr>
              <w:t>потенциал развития</w:t>
            </w:r>
          </w:p>
        </w:tc>
      </w:tr>
    </w:tbl>
    <w:p/>
    <w:p>
      <w:pPr>
        <w:spacing w:line="360" w:lineRule="auto"/>
        <w:ind w:firstLine="709"/>
        <w:jc w:val="both"/>
      </w:pPr>
      <w:r>
        <w:rPr>
          <w:rFonts w:ascii="Times New Roman" w:hAnsi="Times New Roman" w:eastAsia="Times New Roman"/>
          <w:sz w:val="28"/>
        </w:rPr>
        <w:t>Таблица 2.4 - Результаты анонимного опроса сотрудников отдела электриков</w:t>
      </w:r>
    </w:p>
    <w:p>
      <w:pPr>
        <w:spacing w:line="360" w:lineRule="auto"/>
        <w:ind w:firstLine="709"/>
        <w:jc w:val="both"/>
      </w:pPr>
      <w:r>
        <w:rPr>
          <w:rFonts w:ascii="Times New Roman" w:hAnsi="Times New Roman" w:eastAsia="Times New Roman"/>
          <w:sz w:val="28"/>
        </w:rPr>
        <w:t>Результаты таблицы 2.4 показывают, что сотрудники положительно оценивают стабильность занятости, социальные гарантии и в целом приемлемо оценивают отношения с непосредственным руководителем. Это подтверждает сильную сторону компании как стабильного работодателя с развитой социальной базой. Однако наиболее низкие оценки получили факторы, связанные с прозрачностью премирования, признанием личного вклада, профессиональным ростом и участием сотрудников в улучшении процессов.</w:t>
      </w:r>
    </w:p>
    <w:p>
      <w:pPr>
        <w:spacing w:line="360" w:lineRule="auto"/>
        <w:ind w:firstLine="709"/>
        <w:jc w:val="both"/>
      </w:pPr>
      <w:r>
        <w:rPr>
          <w:rFonts w:ascii="Times New Roman" w:hAnsi="Times New Roman" w:eastAsia="Times New Roman"/>
          <w:sz w:val="28"/>
        </w:rPr>
        <w:t>На основе опроса можно выделить три ключевые проблемы:</w:t>
      </w:r>
    </w:p>
    <w:p>
      <w:pPr>
        <w:pStyle w:val="ListNumber"/>
        <w:spacing w:line="360" w:lineRule="auto"/>
      </w:pPr>
      <w:r>
        <w:t>1. Недостаточная прозрачность материального стимулирования. Работники не всегда понимают, какие конкретные показатели влияют на премию: отсутствие повторных выездов, соблюдение сроков, отсутствие нарушений, качество взаимодействия с потребителями или инициативность.</w:t>
      </w:r>
    </w:p>
    <w:p>
      <w:pPr>
        <w:pStyle w:val="ListNumber"/>
        <w:spacing w:line="360" w:lineRule="auto"/>
      </w:pPr>
      <w:r>
        <w:t>2. Недостаток нематериального признания. Профилактический труд электриков часто остается незаметным, поскольку его результат выражается в отсутствии ошибок и сбоев.</w:t>
      </w:r>
    </w:p>
    <w:p>
      <w:pPr>
        <w:pStyle w:val="ListNumber"/>
        <w:spacing w:line="360" w:lineRule="auto"/>
      </w:pPr>
      <w:r>
        <w:t>3. Слабая связь обучения и профессионального развития с карьерой и вознаграждением. Повышение квалификации воспринимается скорее как обязательное требование, чем как элемент развития.</w:t>
      </w:r>
    </w:p>
    <w:p>
      <w:pPr>
        <w:spacing w:line="360" w:lineRule="auto"/>
        <w:ind w:firstLine="709"/>
        <w:jc w:val="both"/>
      </w:pPr>
      <w:r>
        <w:rPr>
          <w:rFonts w:ascii="Times New Roman" w:hAnsi="Times New Roman" w:eastAsia="Times New Roman"/>
          <w:sz w:val="28"/>
        </w:rPr>
        <w:t>Для наглядности проблемные зоны сгруппированы в таблице 2.5.</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Проблемная зона</w:t>
            </w:r>
          </w:p>
        </w:tc>
        <w:tc>
          <w:tcPr>
            <w:tcW w:type="dxa" w:w="3230"/>
            <w:vAlign w:val="center"/>
            <w:shd w:fill="D9EAF7"/>
          </w:tcPr>
          <w:p>
            <w:pPr>
              <w:spacing w:line="240" w:lineRule="auto"/>
              <w:jc w:val="center"/>
            </w:pPr>
            <w:r>
              <w:rPr>
                <w:rFonts w:ascii="Times New Roman" w:hAnsi="Times New Roman" w:eastAsia="Times New Roman"/>
                <w:b/>
                <w:sz w:val="20"/>
              </w:rPr>
              <w:t>Проявление</w:t>
            </w:r>
          </w:p>
        </w:tc>
        <w:tc>
          <w:tcPr>
            <w:tcW w:type="dxa" w:w="3230"/>
            <w:vAlign w:val="center"/>
            <w:shd w:fill="D9EAF7"/>
          </w:tcPr>
          <w:p>
            <w:pPr>
              <w:spacing w:line="240" w:lineRule="auto"/>
              <w:jc w:val="center"/>
            </w:pPr>
            <w:r>
              <w:rPr>
                <w:rFonts w:ascii="Times New Roman" w:hAnsi="Times New Roman" w:eastAsia="Times New Roman"/>
                <w:b/>
                <w:sz w:val="20"/>
              </w:rPr>
              <w:t>Возможные последствия</w:t>
            </w:r>
          </w:p>
        </w:tc>
      </w:tr>
      <w:tr>
        <w:tc>
          <w:tcPr>
            <w:tcW w:type="dxa" w:w="3230"/>
            <w:vAlign w:val="center"/>
          </w:tcPr>
          <w:p>
            <w:pPr>
              <w:spacing w:line="240" w:lineRule="auto"/>
              <w:jc w:val="left"/>
            </w:pPr>
            <w:r>
              <w:rPr>
                <w:rFonts w:ascii="Times New Roman" w:hAnsi="Times New Roman" w:eastAsia="Times New Roman"/>
                <w:b w:val="0"/>
                <w:sz w:val="20"/>
              </w:rPr>
              <w:t>Непрозрачность премирования</w:t>
            </w:r>
          </w:p>
        </w:tc>
        <w:tc>
          <w:tcPr>
            <w:tcW w:type="dxa" w:w="3230"/>
            <w:vAlign w:val="center"/>
          </w:tcPr>
          <w:p>
            <w:pPr>
              <w:spacing w:line="240" w:lineRule="auto"/>
              <w:jc w:val="left"/>
            </w:pPr>
            <w:r>
              <w:rPr>
                <w:rFonts w:ascii="Times New Roman" w:hAnsi="Times New Roman" w:eastAsia="Times New Roman"/>
                <w:b w:val="0"/>
                <w:sz w:val="20"/>
              </w:rPr>
              <w:t>Низкая оценка понятности критериев премии</w:t>
            </w:r>
          </w:p>
        </w:tc>
        <w:tc>
          <w:tcPr>
            <w:tcW w:type="dxa" w:w="3230"/>
            <w:vAlign w:val="center"/>
          </w:tcPr>
          <w:p>
            <w:pPr>
              <w:spacing w:line="240" w:lineRule="auto"/>
              <w:jc w:val="left"/>
            </w:pPr>
            <w:r>
              <w:rPr>
                <w:rFonts w:ascii="Times New Roman" w:hAnsi="Times New Roman" w:eastAsia="Times New Roman"/>
                <w:b w:val="0"/>
                <w:sz w:val="20"/>
              </w:rPr>
              <w:t>Снижение доверия к материальному стимулированию</w:t>
            </w:r>
          </w:p>
        </w:tc>
      </w:tr>
      <w:tr>
        <w:tc>
          <w:tcPr>
            <w:tcW w:type="dxa" w:w="3230"/>
            <w:vAlign w:val="center"/>
          </w:tcPr>
          <w:p>
            <w:pPr>
              <w:spacing w:line="240" w:lineRule="auto"/>
              <w:jc w:val="left"/>
            </w:pPr>
            <w:r>
              <w:rPr>
                <w:rFonts w:ascii="Times New Roman" w:hAnsi="Times New Roman" w:eastAsia="Times New Roman"/>
                <w:b w:val="0"/>
                <w:sz w:val="20"/>
              </w:rPr>
              <w:t>Недостаток признания</w:t>
            </w:r>
          </w:p>
        </w:tc>
        <w:tc>
          <w:tcPr>
            <w:tcW w:type="dxa" w:w="3230"/>
            <w:vAlign w:val="center"/>
          </w:tcPr>
          <w:p>
            <w:pPr>
              <w:spacing w:line="240" w:lineRule="auto"/>
              <w:jc w:val="left"/>
            </w:pPr>
            <w:r>
              <w:rPr>
                <w:rFonts w:ascii="Times New Roman" w:hAnsi="Times New Roman" w:eastAsia="Times New Roman"/>
                <w:b w:val="0"/>
                <w:sz w:val="20"/>
              </w:rPr>
              <w:t>Работники не видят регулярной фиксации личных достижений</w:t>
            </w:r>
          </w:p>
        </w:tc>
        <w:tc>
          <w:tcPr>
            <w:tcW w:type="dxa" w:w="3230"/>
            <w:vAlign w:val="center"/>
          </w:tcPr>
          <w:p>
            <w:pPr>
              <w:spacing w:line="240" w:lineRule="auto"/>
              <w:jc w:val="left"/>
            </w:pPr>
            <w:r>
              <w:rPr>
                <w:rFonts w:ascii="Times New Roman" w:hAnsi="Times New Roman" w:eastAsia="Times New Roman"/>
                <w:b w:val="0"/>
                <w:sz w:val="20"/>
              </w:rPr>
              <w:t>Формальное выполнение обязанностей вместо инициативности</w:t>
            </w:r>
          </w:p>
        </w:tc>
      </w:tr>
      <w:tr>
        <w:tc>
          <w:tcPr>
            <w:tcW w:type="dxa" w:w="3230"/>
            <w:vAlign w:val="center"/>
          </w:tcPr>
          <w:p>
            <w:pPr>
              <w:spacing w:line="240" w:lineRule="auto"/>
              <w:jc w:val="left"/>
            </w:pPr>
            <w:r>
              <w:rPr>
                <w:rFonts w:ascii="Times New Roman" w:hAnsi="Times New Roman" w:eastAsia="Times New Roman"/>
                <w:b w:val="0"/>
                <w:sz w:val="20"/>
              </w:rPr>
              <w:t>Ограниченный профессиональный рост</w:t>
            </w:r>
          </w:p>
        </w:tc>
        <w:tc>
          <w:tcPr>
            <w:tcW w:type="dxa" w:w="3230"/>
            <w:vAlign w:val="center"/>
          </w:tcPr>
          <w:p>
            <w:pPr>
              <w:spacing w:line="240" w:lineRule="auto"/>
              <w:jc w:val="left"/>
            </w:pPr>
            <w:r>
              <w:rPr>
                <w:rFonts w:ascii="Times New Roman" w:hAnsi="Times New Roman" w:eastAsia="Times New Roman"/>
                <w:b w:val="0"/>
                <w:sz w:val="20"/>
              </w:rPr>
              <w:t>Обучение не всегда связано с карьерной траекторией</w:t>
            </w:r>
          </w:p>
        </w:tc>
        <w:tc>
          <w:tcPr>
            <w:tcW w:type="dxa" w:w="3230"/>
            <w:vAlign w:val="center"/>
          </w:tcPr>
          <w:p>
            <w:pPr>
              <w:spacing w:line="240" w:lineRule="auto"/>
              <w:jc w:val="left"/>
            </w:pPr>
            <w:r>
              <w:rPr>
                <w:rFonts w:ascii="Times New Roman" w:hAnsi="Times New Roman" w:eastAsia="Times New Roman"/>
                <w:b w:val="0"/>
                <w:sz w:val="20"/>
              </w:rPr>
              <w:t>Уход активных работников на внешний рынок труда</w:t>
            </w:r>
          </w:p>
        </w:tc>
      </w:tr>
      <w:tr>
        <w:tc>
          <w:tcPr>
            <w:tcW w:type="dxa" w:w="3230"/>
            <w:vAlign w:val="center"/>
          </w:tcPr>
          <w:p>
            <w:pPr>
              <w:spacing w:line="240" w:lineRule="auto"/>
              <w:jc w:val="left"/>
            </w:pPr>
            <w:r>
              <w:rPr>
                <w:rFonts w:ascii="Times New Roman" w:hAnsi="Times New Roman" w:eastAsia="Times New Roman"/>
                <w:b w:val="0"/>
                <w:sz w:val="20"/>
              </w:rPr>
              <w:t>Инструментальное обеспечение</w:t>
            </w:r>
          </w:p>
        </w:tc>
        <w:tc>
          <w:tcPr>
            <w:tcW w:type="dxa" w:w="3230"/>
            <w:vAlign w:val="center"/>
          </w:tcPr>
          <w:p>
            <w:pPr>
              <w:spacing w:line="240" w:lineRule="auto"/>
              <w:jc w:val="left"/>
            </w:pPr>
            <w:r>
              <w:rPr>
                <w:rFonts w:ascii="Times New Roman" w:hAnsi="Times New Roman" w:eastAsia="Times New Roman"/>
                <w:b w:val="0"/>
                <w:sz w:val="20"/>
              </w:rPr>
              <w:t>Умеренная удовлетворенность условиями и инструментами</w:t>
            </w:r>
          </w:p>
        </w:tc>
        <w:tc>
          <w:tcPr>
            <w:tcW w:type="dxa" w:w="3230"/>
            <w:vAlign w:val="center"/>
          </w:tcPr>
          <w:p>
            <w:pPr>
              <w:spacing w:line="240" w:lineRule="auto"/>
              <w:jc w:val="left"/>
            </w:pPr>
            <w:r>
              <w:rPr>
                <w:rFonts w:ascii="Times New Roman" w:hAnsi="Times New Roman" w:eastAsia="Times New Roman"/>
                <w:b w:val="0"/>
                <w:sz w:val="20"/>
              </w:rPr>
              <w:t>Повторные выезды, снижение качества и безопасности</w:t>
            </w:r>
          </w:p>
        </w:tc>
      </w:tr>
      <w:tr>
        <w:tc>
          <w:tcPr>
            <w:tcW w:type="dxa" w:w="3230"/>
            <w:vAlign w:val="center"/>
          </w:tcPr>
          <w:p>
            <w:pPr>
              <w:spacing w:line="240" w:lineRule="auto"/>
              <w:jc w:val="left"/>
            </w:pPr>
            <w:r>
              <w:rPr>
                <w:rFonts w:ascii="Times New Roman" w:hAnsi="Times New Roman" w:eastAsia="Times New Roman"/>
                <w:b w:val="0"/>
                <w:sz w:val="20"/>
              </w:rPr>
              <w:t>Нагрузка</w:t>
            </w:r>
          </w:p>
        </w:tc>
        <w:tc>
          <w:tcPr>
            <w:tcW w:type="dxa" w:w="3230"/>
            <w:vAlign w:val="center"/>
          </w:tcPr>
          <w:p>
            <w:pPr>
              <w:spacing w:line="240" w:lineRule="auto"/>
              <w:jc w:val="left"/>
            </w:pPr>
            <w:r>
              <w:rPr>
                <w:rFonts w:ascii="Times New Roman" w:hAnsi="Times New Roman" w:eastAsia="Times New Roman"/>
                <w:b w:val="0"/>
                <w:sz w:val="20"/>
              </w:rPr>
              <w:t>Ощущение эмоциональной и производственной усталости</w:t>
            </w:r>
          </w:p>
        </w:tc>
        <w:tc>
          <w:tcPr>
            <w:tcW w:type="dxa" w:w="3230"/>
            <w:vAlign w:val="center"/>
          </w:tcPr>
          <w:p>
            <w:pPr>
              <w:spacing w:line="240" w:lineRule="auto"/>
              <w:jc w:val="left"/>
            </w:pPr>
            <w:r>
              <w:rPr>
                <w:rFonts w:ascii="Times New Roman" w:hAnsi="Times New Roman" w:eastAsia="Times New Roman"/>
                <w:b w:val="0"/>
                <w:sz w:val="20"/>
              </w:rPr>
              <w:t>Риск ошибок, выгорания и текучести</w:t>
            </w:r>
          </w:p>
        </w:tc>
      </w:tr>
    </w:tbl>
    <w:p/>
    <w:p>
      <w:pPr>
        <w:spacing w:line="360" w:lineRule="auto"/>
        <w:ind w:firstLine="709"/>
        <w:jc w:val="both"/>
      </w:pPr>
      <w:r>
        <w:rPr>
          <w:rFonts w:ascii="Times New Roman" w:hAnsi="Times New Roman" w:eastAsia="Times New Roman"/>
          <w:sz w:val="28"/>
        </w:rPr>
        <w:t>Таблица 2.5 - Проблемные зоны мотивации сотрудников отдела электриков</w:t>
      </w:r>
    </w:p>
    <w:p>
      <w:pPr>
        <w:spacing w:line="360" w:lineRule="auto"/>
        <w:ind w:firstLine="709"/>
        <w:jc w:val="both"/>
      </w:pPr>
      <w:r>
        <w:rPr>
          <w:rFonts w:ascii="Times New Roman" w:hAnsi="Times New Roman" w:eastAsia="Times New Roman"/>
          <w:sz w:val="28"/>
        </w:rPr>
        <w:t>Таким образом, анкетирование подтвердило вывод, полученный при анализе локальных документов: действующая система мотивации имеет сильную социальную основу, но требует развития адресных материальных и нематериальных стимулов именно для электротехнических работников.</w:t>
      </w:r>
    </w:p>
    <w:p>
      <w:pPr>
        <w:pStyle w:val="Heading2"/>
      </w:pPr>
      <w:r>
        <w:t>Выводы по второй главе</w:t>
      </w:r>
    </w:p>
    <w:p>
      <w:pPr>
        <w:spacing w:line="360" w:lineRule="auto"/>
        <w:ind w:firstLine="709"/>
        <w:jc w:val="both"/>
      </w:pPr>
      <w:r>
        <w:rPr>
          <w:rFonts w:ascii="Times New Roman" w:hAnsi="Times New Roman" w:eastAsia="Times New Roman"/>
          <w:sz w:val="28"/>
        </w:rPr>
        <w:t>Во второй главе была проведена организационно-экономическая и кадровая характеристика ПАО «ТНС энерго Нижний Новгород», рассмотрена действующая система управления персоналом и мотивации сотрудников отдела электриков, а также проведен анонимный опрос работников подразделения.</w:t>
      </w:r>
    </w:p>
    <w:p>
      <w:pPr>
        <w:spacing w:line="360" w:lineRule="auto"/>
        <w:ind w:firstLine="709"/>
        <w:jc w:val="both"/>
      </w:pPr>
      <w:r>
        <w:rPr>
          <w:rFonts w:ascii="Times New Roman" w:hAnsi="Times New Roman" w:eastAsia="Times New Roman"/>
          <w:sz w:val="28"/>
        </w:rPr>
        <w:t>Анализ показал, что компания является крупной энергосбытовой организацией с линейно-функциональной структурой управления, развитой системой локального регулирования труда и широкой социальной базой. Финансовая динамика 2025 года улучшилась по сравнению с 2024 годом, что создает предпосылки для развития мотивационных программ, однако сохраняющиеся финансовые ограничения требуют экономически обоснованного подхода.</w:t>
      </w:r>
    </w:p>
    <w:p>
      <w:pPr>
        <w:spacing w:line="360" w:lineRule="auto"/>
        <w:ind w:firstLine="709"/>
        <w:jc w:val="both"/>
      </w:pPr>
      <w:r>
        <w:rPr>
          <w:rFonts w:ascii="Times New Roman" w:hAnsi="Times New Roman" w:eastAsia="Times New Roman"/>
          <w:sz w:val="28"/>
        </w:rPr>
        <w:t>Система управления персоналом включает подбор, адаптацию, наставничество, обучение, оплату труда, социальную поддержку и контроль трудовой дисциплины. Для отдела электриков особенно важны безопасность, квалификация, наставничество, инструментальное обеспечение, понятность премирования и признание профилактического труда.</w:t>
      </w:r>
    </w:p>
    <w:p>
      <w:pPr>
        <w:spacing w:line="360" w:lineRule="auto"/>
        <w:ind w:firstLine="709"/>
        <w:jc w:val="both"/>
      </w:pPr>
      <w:r>
        <w:rPr>
          <w:rFonts w:ascii="Times New Roman" w:hAnsi="Times New Roman" w:eastAsia="Times New Roman"/>
          <w:sz w:val="28"/>
        </w:rPr>
        <w:t>Анонимный опрос сотрудников отдела электриков выявил, что наиболее сильными сторонами являются стабильность занятости и социальные гарантии. Наиболее проблемными зонами стали прозрачность премирования, признание личного вклада, профессиональный рост, участие сотрудников в улучшении процессов и нагрузка. Следовательно, третья глава должна быть направлена на разработку комплексной системы совершенствования материального и нематериального стимулирования, которая связывает оплату, признание, обучение, наставничество и качество технических результатов.</w:t>
      </w:r>
    </w:p>
    <w:p>
      <w:pPr>
        <w:pStyle w:val="Heading1"/>
        <w:jc w:val="center"/>
      </w:pPr>
      <w:r>
        <w:t>Глава 3. Разработка рекомендаций по совершенствованию системы материального и нематериального стимулирования сотрудников отдела электриков ПАО «ТНС энерго Нижний Новгород»</w:t>
      </w:r>
    </w:p>
    <w:p>
      <w:pPr>
        <w:pStyle w:val="Heading2"/>
      </w:pPr>
      <w:r>
        <w:t>3.1. Общие рекомендации по развитию системы мотивации на основе отечественного и зарубежного опыта</w:t>
      </w:r>
    </w:p>
    <w:p>
      <w:pPr>
        <w:spacing w:line="360" w:lineRule="auto"/>
        <w:ind w:firstLine="709"/>
        <w:jc w:val="both"/>
      </w:pPr>
      <w:r>
        <w:rPr>
          <w:rFonts w:ascii="Times New Roman" w:hAnsi="Times New Roman" w:eastAsia="Times New Roman"/>
          <w:sz w:val="28"/>
        </w:rPr>
        <w:t>Результаты анализа второй главы показывают, что действующая система мотивации отдела электриков нуждается не в полной замене, а в адресной настройке. Базовые элементы уже существуют: стабильная занятость, тарифно-премиальная система, социальный пакет, наставничество, обучение и локальная нормативная база. Основная задача состоит в том, чтобы связать эти элементы с реальными результатами труда электротехнических работников и сделать мотивацию более понятной, измеримой и справедливой.</w:t>
      </w:r>
    </w:p>
    <w:p>
      <w:pPr>
        <w:spacing w:line="360" w:lineRule="auto"/>
        <w:ind w:firstLine="709"/>
        <w:jc w:val="both"/>
      </w:pPr>
      <w:r>
        <w:rPr>
          <w:rFonts w:ascii="Times New Roman" w:hAnsi="Times New Roman" w:eastAsia="Times New Roman"/>
          <w:sz w:val="28"/>
        </w:rPr>
        <w:t>В отечественной практике крупных энергетических и инфраструктурных организаций широко используются системы премирования по ключевым показателям эффективности, наставничество, обучение по охране труда, программы кадрового резерва и социальные гарантии. Их преимущество состоит в устойчивости и формальной закрепленности. Однако недостатком часто является избыточная универсальность: одинаковые правила применяются к разным категориям персонала, не всегда учитывая специфику технических подразделений.</w:t>
      </w:r>
    </w:p>
    <w:p>
      <w:pPr>
        <w:spacing w:line="360" w:lineRule="auto"/>
        <w:ind w:firstLine="709"/>
        <w:jc w:val="both"/>
      </w:pPr>
      <w:r>
        <w:rPr>
          <w:rFonts w:ascii="Times New Roman" w:hAnsi="Times New Roman" w:eastAsia="Times New Roman"/>
          <w:sz w:val="28"/>
        </w:rPr>
        <w:t>Зарубежный опыт мотивации технического персонала ориентирован на несколько подходов:</w:t>
      </w:r>
    </w:p>
    <w:p>
      <w:pPr>
        <w:pStyle w:val="ListBullet"/>
        <w:spacing w:line="360" w:lineRule="auto"/>
      </w:pPr>
      <w:r>
        <w:t>Total Rewards - совокупное вознаграждение, включающее оплату, льготы, развитие, признание и условия труда;</w:t>
      </w:r>
    </w:p>
    <w:p>
      <w:pPr>
        <w:pStyle w:val="ListBullet"/>
        <w:spacing w:line="360" w:lineRule="auto"/>
      </w:pPr>
      <w:r>
        <w:t>Gainsharing - участие работников в экономии, когда часть подтвержденного эффекта направляется на премирование команды;</w:t>
      </w:r>
    </w:p>
    <w:p>
      <w:pPr>
        <w:pStyle w:val="ListBullet"/>
        <w:spacing w:line="360" w:lineRule="auto"/>
      </w:pPr>
      <w:r>
        <w:t>Skill-based pay - оплата и продвижение зависят от освоенных навыков и квалификационных уровней;</w:t>
      </w:r>
    </w:p>
    <w:p>
      <w:pPr>
        <w:pStyle w:val="ListBullet"/>
        <w:spacing w:line="360" w:lineRule="auto"/>
      </w:pPr>
      <w:r>
        <w:t>Lean / Kaizen - вовлечение работников в постоянные улучшения и поощрение рационализаторских предложений;</w:t>
      </w:r>
    </w:p>
    <w:p>
      <w:pPr>
        <w:pStyle w:val="ListBullet"/>
        <w:spacing w:line="360" w:lineRule="auto"/>
      </w:pPr>
      <w:r>
        <w:t>Safety culture - признание безопасного поведения как самостоятельного результата труда;</w:t>
      </w:r>
    </w:p>
    <w:p>
      <w:pPr>
        <w:pStyle w:val="ListBullet"/>
        <w:spacing w:line="360" w:lineRule="auto"/>
      </w:pPr>
      <w:r>
        <w:t>Employee recognition - регулярное нематериальное признание достижений, а не только годовые премии.</w:t>
      </w:r>
    </w:p>
    <w:p>
      <w:pPr>
        <w:spacing w:line="360" w:lineRule="auto"/>
        <w:ind w:firstLine="709"/>
        <w:jc w:val="both"/>
      </w:pPr>
      <w:r>
        <w:rPr>
          <w:rFonts w:ascii="Times New Roman" w:hAnsi="Times New Roman" w:eastAsia="Times New Roman"/>
          <w:sz w:val="28"/>
        </w:rPr>
        <w:t>Для отдела электриков ПАО «ТНС энерго НН» целесообразно объединить эти подходы в программу «Электрик: результат, безопасность, признание». Программа должна включать материальные и нематериальные элементы, представленные в таблице 3.1.</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Направление программы</w:t>
            </w:r>
          </w:p>
        </w:tc>
        <w:tc>
          <w:tcPr>
            <w:tcW w:type="dxa" w:w="3230"/>
            <w:vAlign w:val="center"/>
            <w:shd w:fill="D9EAF7"/>
          </w:tcPr>
          <w:p>
            <w:pPr>
              <w:spacing w:line="240" w:lineRule="auto"/>
              <w:jc w:val="center"/>
            </w:pPr>
            <w:r>
              <w:rPr>
                <w:rFonts w:ascii="Times New Roman" w:hAnsi="Times New Roman" w:eastAsia="Times New Roman"/>
                <w:b/>
                <w:sz w:val="20"/>
              </w:rPr>
              <w:t>Содержание</w:t>
            </w:r>
          </w:p>
        </w:tc>
        <w:tc>
          <w:tcPr>
            <w:tcW w:type="dxa" w:w="3230"/>
            <w:vAlign w:val="center"/>
            <w:shd w:fill="D9EAF7"/>
          </w:tcPr>
          <w:p>
            <w:pPr>
              <w:spacing w:line="240" w:lineRule="auto"/>
              <w:jc w:val="center"/>
            </w:pPr>
            <w:r>
              <w:rPr>
                <w:rFonts w:ascii="Times New Roman" w:hAnsi="Times New Roman" w:eastAsia="Times New Roman"/>
                <w:b/>
                <w:sz w:val="20"/>
              </w:rPr>
              <w:t>Какая проблема решается</w:t>
            </w:r>
          </w:p>
        </w:tc>
      </w:tr>
      <w:tr>
        <w:tc>
          <w:tcPr>
            <w:tcW w:type="dxa" w:w="3230"/>
            <w:vAlign w:val="center"/>
          </w:tcPr>
          <w:p>
            <w:pPr>
              <w:spacing w:line="240" w:lineRule="auto"/>
              <w:jc w:val="left"/>
            </w:pPr>
            <w:r>
              <w:rPr>
                <w:rFonts w:ascii="Times New Roman" w:hAnsi="Times New Roman" w:eastAsia="Times New Roman"/>
                <w:b w:val="0"/>
                <w:sz w:val="20"/>
              </w:rPr>
              <w:t>Прозрачная KPI-премия</w:t>
            </w:r>
          </w:p>
        </w:tc>
        <w:tc>
          <w:tcPr>
            <w:tcW w:type="dxa" w:w="3230"/>
            <w:vAlign w:val="center"/>
          </w:tcPr>
          <w:p>
            <w:pPr>
              <w:spacing w:line="240" w:lineRule="auto"/>
              <w:jc w:val="left"/>
            </w:pPr>
            <w:r>
              <w:rPr>
                <w:rFonts w:ascii="Times New Roman" w:hAnsi="Times New Roman" w:eastAsia="Times New Roman"/>
                <w:b w:val="0"/>
                <w:sz w:val="20"/>
              </w:rPr>
              <w:t>Показатели качества, сроков, безопасности, повторных выездов и инициатив</w:t>
            </w:r>
          </w:p>
        </w:tc>
        <w:tc>
          <w:tcPr>
            <w:tcW w:type="dxa" w:w="3230"/>
            <w:vAlign w:val="center"/>
          </w:tcPr>
          <w:p>
            <w:pPr>
              <w:spacing w:line="240" w:lineRule="auto"/>
              <w:jc w:val="left"/>
            </w:pPr>
            <w:r>
              <w:rPr>
                <w:rFonts w:ascii="Times New Roman" w:hAnsi="Times New Roman" w:eastAsia="Times New Roman"/>
                <w:b w:val="0"/>
                <w:sz w:val="20"/>
              </w:rPr>
              <w:t>Непонятность критериев премирования</w:t>
            </w:r>
          </w:p>
        </w:tc>
      </w:tr>
      <w:tr>
        <w:tc>
          <w:tcPr>
            <w:tcW w:type="dxa" w:w="3230"/>
            <w:vAlign w:val="center"/>
          </w:tcPr>
          <w:p>
            <w:pPr>
              <w:spacing w:line="240" w:lineRule="auto"/>
              <w:jc w:val="left"/>
            </w:pPr>
            <w:r>
              <w:rPr>
                <w:rFonts w:ascii="Times New Roman" w:hAnsi="Times New Roman" w:eastAsia="Times New Roman"/>
                <w:b w:val="0"/>
                <w:sz w:val="20"/>
              </w:rPr>
              <w:t>Командное участие в экономии</w:t>
            </w:r>
          </w:p>
        </w:tc>
        <w:tc>
          <w:tcPr>
            <w:tcW w:type="dxa" w:w="3230"/>
            <w:vAlign w:val="center"/>
          </w:tcPr>
          <w:p>
            <w:pPr>
              <w:spacing w:line="240" w:lineRule="auto"/>
              <w:jc w:val="left"/>
            </w:pPr>
            <w:r>
              <w:rPr>
                <w:rFonts w:ascii="Times New Roman" w:hAnsi="Times New Roman" w:eastAsia="Times New Roman"/>
                <w:b w:val="0"/>
                <w:sz w:val="20"/>
              </w:rPr>
              <w:t>Часть подтвержденной экономии направляется в премиальный фонд</w:t>
            </w:r>
          </w:p>
        </w:tc>
        <w:tc>
          <w:tcPr>
            <w:tcW w:type="dxa" w:w="3230"/>
            <w:vAlign w:val="center"/>
          </w:tcPr>
          <w:p>
            <w:pPr>
              <w:spacing w:line="240" w:lineRule="auto"/>
              <w:jc w:val="left"/>
            </w:pPr>
            <w:r>
              <w:rPr>
                <w:rFonts w:ascii="Times New Roman" w:hAnsi="Times New Roman" w:eastAsia="Times New Roman"/>
                <w:b w:val="0"/>
                <w:sz w:val="20"/>
              </w:rPr>
              <w:t>Связь результата подразделения и вознаграждения</w:t>
            </w:r>
          </w:p>
        </w:tc>
      </w:tr>
      <w:tr>
        <w:tc>
          <w:tcPr>
            <w:tcW w:type="dxa" w:w="3230"/>
            <w:vAlign w:val="center"/>
          </w:tcPr>
          <w:p>
            <w:pPr>
              <w:spacing w:line="240" w:lineRule="auto"/>
              <w:jc w:val="left"/>
            </w:pPr>
            <w:r>
              <w:rPr>
                <w:rFonts w:ascii="Times New Roman" w:hAnsi="Times New Roman" w:eastAsia="Times New Roman"/>
                <w:b w:val="0"/>
                <w:sz w:val="20"/>
              </w:rPr>
              <w:t>Карта компетенций</w:t>
            </w:r>
          </w:p>
        </w:tc>
        <w:tc>
          <w:tcPr>
            <w:tcW w:type="dxa" w:w="3230"/>
            <w:vAlign w:val="center"/>
          </w:tcPr>
          <w:p>
            <w:pPr>
              <w:spacing w:line="240" w:lineRule="auto"/>
              <w:jc w:val="left"/>
            </w:pPr>
            <w:r>
              <w:rPr>
                <w:rFonts w:ascii="Times New Roman" w:hAnsi="Times New Roman" w:eastAsia="Times New Roman"/>
                <w:b w:val="0"/>
                <w:sz w:val="20"/>
              </w:rPr>
              <w:t>Уровни: электрик, старший электрик, наставник, эксперт по системам учета</w:t>
            </w:r>
          </w:p>
        </w:tc>
        <w:tc>
          <w:tcPr>
            <w:tcW w:type="dxa" w:w="3230"/>
            <w:vAlign w:val="center"/>
          </w:tcPr>
          <w:p>
            <w:pPr>
              <w:spacing w:line="240" w:lineRule="auto"/>
              <w:jc w:val="left"/>
            </w:pPr>
            <w:r>
              <w:rPr>
                <w:rFonts w:ascii="Times New Roman" w:hAnsi="Times New Roman" w:eastAsia="Times New Roman"/>
                <w:b w:val="0"/>
                <w:sz w:val="20"/>
              </w:rPr>
              <w:t>Слабая связь обучения и карьерного роста</w:t>
            </w:r>
          </w:p>
        </w:tc>
      </w:tr>
      <w:tr>
        <w:tc>
          <w:tcPr>
            <w:tcW w:type="dxa" w:w="3230"/>
            <w:vAlign w:val="center"/>
          </w:tcPr>
          <w:p>
            <w:pPr>
              <w:spacing w:line="240" w:lineRule="auto"/>
              <w:jc w:val="left"/>
            </w:pPr>
            <w:r>
              <w:rPr>
                <w:rFonts w:ascii="Times New Roman" w:hAnsi="Times New Roman" w:eastAsia="Times New Roman"/>
                <w:b w:val="0"/>
                <w:sz w:val="20"/>
              </w:rPr>
              <w:t>Наставничество</w:t>
            </w:r>
          </w:p>
        </w:tc>
        <w:tc>
          <w:tcPr>
            <w:tcW w:type="dxa" w:w="3230"/>
            <w:vAlign w:val="center"/>
          </w:tcPr>
          <w:p>
            <w:pPr>
              <w:spacing w:line="240" w:lineRule="auto"/>
              <w:jc w:val="left"/>
            </w:pPr>
            <w:r>
              <w:rPr>
                <w:rFonts w:ascii="Times New Roman" w:hAnsi="Times New Roman" w:eastAsia="Times New Roman"/>
                <w:b w:val="0"/>
                <w:sz w:val="20"/>
              </w:rPr>
              <w:t>Закрепление наставников, доплата, оценка результата новичков</w:t>
            </w:r>
          </w:p>
        </w:tc>
        <w:tc>
          <w:tcPr>
            <w:tcW w:type="dxa" w:w="3230"/>
            <w:vAlign w:val="center"/>
          </w:tcPr>
          <w:p>
            <w:pPr>
              <w:spacing w:line="240" w:lineRule="auto"/>
              <w:jc w:val="left"/>
            </w:pPr>
            <w:r>
              <w:rPr>
                <w:rFonts w:ascii="Times New Roman" w:hAnsi="Times New Roman" w:eastAsia="Times New Roman"/>
                <w:b w:val="0"/>
                <w:sz w:val="20"/>
              </w:rPr>
              <w:t>Передача опыта и снижение ошибок</w:t>
            </w:r>
          </w:p>
        </w:tc>
      </w:tr>
      <w:tr>
        <w:tc>
          <w:tcPr>
            <w:tcW w:type="dxa" w:w="3230"/>
            <w:vAlign w:val="center"/>
          </w:tcPr>
          <w:p>
            <w:pPr>
              <w:spacing w:line="240" w:lineRule="auto"/>
              <w:jc w:val="left"/>
            </w:pPr>
            <w:r>
              <w:rPr>
                <w:rFonts w:ascii="Times New Roman" w:hAnsi="Times New Roman" w:eastAsia="Times New Roman"/>
                <w:b w:val="0"/>
                <w:sz w:val="20"/>
              </w:rPr>
              <w:t>Нематериальное признание</w:t>
            </w:r>
          </w:p>
        </w:tc>
        <w:tc>
          <w:tcPr>
            <w:tcW w:type="dxa" w:w="3230"/>
            <w:vAlign w:val="center"/>
          </w:tcPr>
          <w:p>
            <w:pPr>
              <w:spacing w:line="240" w:lineRule="auto"/>
              <w:jc w:val="left"/>
            </w:pPr>
            <w:r>
              <w:rPr>
                <w:rFonts w:ascii="Times New Roman" w:hAnsi="Times New Roman" w:eastAsia="Times New Roman"/>
                <w:b w:val="0"/>
                <w:sz w:val="20"/>
              </w:rPr>
              <w:t>Лучший электрик квартала, доска признания, благодарности, сертификаты</w:t>
            </w:r>
          </w:p>
        </w:tc>
        <w:tc>
          <w:tcPr>
            <w:tcW w:type="dxa" w:w="3230"/>
            <w:vAlign w:val="center"/>
          </w:tcPr>
          <w:p>
            <w:pPr>
              <w:spacing w:line="240" w:lineRule="auto"/>
              <w:jc w:val="left"/>
            </w:pPr>
            <w:r>
              <w:rPr>
                <w:rFonts w:ascii="Times New Roman" w:hAnsi="Times New Roman" w:eastAsia="Times New Roman"/>
                <w:b w:val="0"/>
                <w:sz w:val="20"/>
              </w:rPr>
              <w:t>Недостаток признания личного вклада</w:t>
            </w:r>
          </w:p>
        </w:tc>
      </w:tr>
      <w:tr>
        <w:tc>
          <w:tcPr>
            <w:tcW w:type="dxa" w:w="3230"/>
            <w:vAlign w:val="center"/>
          </w:tcPr>
          <w:p>
            <w:pPr>
              <w:spacing w:line="240" w:lineRule="auto"/>
              <w:jc w:val="left"/>
            </w:pPr>
            <w:r>
              <w:rPr>
                <w:rFonts w:ascii="Times New Roman" w:hAnsi="Times New Roman" w:eastAsia="Times New Roman"/>
                <w:b w:val="0"/>
                <w:sz w:val="20"/>
              </w:rPr>
              <w:t>Улучшение условий труда</w:t>
            </w:r>
          </w:p>
        </w:tc>
        <w:tc>
          <w:tcPr>
            <w:tcW w:type="dxa" w:w="3230"/>
            <w:vAlign w:val="center"/>
          </w:tcPr>
          <w:p>
            <w:pPr>
              <w:spacing w:line="240" w:lineRule="auto"/>
              <w:jc w:val="left"/>
            </w:pPr>
            <w:r>
              <w:rPr>
                <w:rFonts w:ascii="Times New Roman" w:hAnsi="Times New Roman" w:eastAsia="Times New Roman"/>
                <w:b w:val="0"/>
                <w:sz w:val="20"/>
              </w:rPr>
              <w:t>Обновление диэлектрического инструмента и контроль обеспеченности</w:t>
            </w:r>
          </w:p>
        </w:tc>
        <w:tc>
          <w:tcPr>
            <w:tcW w:type="dxa" w:w="3230"/>
            <w:vAlign w:val="center"/>
          </w:tcPr>
          <w:p>
            <w:pPr>
              <w:spacing w:line="240" w:lineRule="auto"/>
              <w:jc w:val="left"/>
            </w:pPr>
            <w:r>
              <w:rPr>
                <w:rFonts w:ascii="Times New Roman" w:hAnsi="Times New Roman" w:eastAsia="Times New Roman"/>
                <w:b w:val="0"/>
                <w:sz w:val="20"/>
              </w:rPr>
              <w:t>Умеренная удовлетворенность инструментами</w:t>
            </w:r>
          </w:p>
        </w:tc>
      </w:tr>
      <w:tr>
        <w:tc>
          <w:tcPr>
            <w:tcW w:type="dxa" w:w="3230"/>
            <w:vAlign w:val="center"/>
          </w:tcPr>
          <w:p>
            <w:pPr>
              <w:spacing w:line="240" w:lineRule="auto"/>
              <w:jc w:val="left"/>
            </w:pPr>
            <w:r>
              <w:rPr>
                <w:rFonts w:ascii="Times New Roman" w:hAnsi="Times New Roman" w:eastAsia="Times New Roman"/>
                <w:b w:val="0"/>
                <w:sz w:val="20"/>
              </w:rPr>
              <w:t>Регулярный опрос</w:t>
            </w:r>
          </w:p>
        </w:tc>
        <w:tc>
          <w:tcPr>
            <w:tcW w:type="dxa" w:w="3230"/>
            <w:vAlign w:val="center"/>
          </w:tcPr>
          <w:p>
            <w:pPr>
              <w:spacing w:line="240" w:lineRule="auto"/>
              <w:jc w:val="left"/>
            </w:pPr>
            <w:r>
              <w:rPr>
                <w:rFonts w:ascii="Times New Roman" w:hAnsi="Times New Roman" w:eastAsia="Times New Roman"/>
                <w:b w:val="0"/>
                <w:sz w:val="20"/>
              </w:rPr>
              <w:t>Квартальная анонимная pulse-анкета</w:t>
            </w:r>
          </w:p>
        </w:tc>
        <w:tc>
          <w:tcPr>
            <w:tcW w:type="dxa" w:w="3230"/>
            <w:vAlign w:val="center"/>
          </w:tcPr>
          <w:p>
            <w:pPr>
              <w:spacing w:line="240" w:lineRule="auto"/>
              <w:jc w:val="left"/>
            </w:pPr>
            <w:r>
              <w:rPr>
                <w:rFonts w:ascii="Times New Roman" w:hAnsi="Times New Roman" w:eastAsia="Times New Roman"/>
                <w:b w:val="0"/>
                <w:sz w:val="20"/>
              </w:rPr>
              <w:t>Отслеживание мотивации в динамике</w:t>
            </w:r>
          </w:p>
        </w:tc>
      </w:tr>
    </w:tbl>
    <w:p/>
    <w:p>
      <w:pPr>
        <w:spacing w:line="360" w:lineRule="auto"/>
        <w:ind w:firstLine="709"/>
        <w:jc w:val="both"/>
      </w:pPr>
      <w:r>
        <w:rPr>
          <w:rFonts w:ascii="Times New Roman" w:hAnsi="Times New Roman" w:eastAsia="Times New Roman"/>
          <w:sz w:val="28"/>
        </w:rPr>
        <w:t>Таблица 3.1 - Комплекс рекомендаций по развитию мотивации отдела электриков</w:t>
      </w:r>
    </w:p>
    <w:p>
      <w:pPr>
        <w:spacing w:line="360" w:lineRule="auto"/>
        <w:ind w:firstLine="709"/>
        <w:jc w:val="both"/>
      </w:pPr>
      <w:r>
        <w:rPr>
          <w:rFonts w:ascii="Times New Roman" w:hAnsi="Times New Roman" w:eastAsia="Times New Roman"/>
          <w:sz w:val="28"/>
        </w:rPr>
        <w:t>Суть рекомендаций состоит в переходе от общей мотивации к адресной мотивационной модели для отдела электриков. Она должна учитывать специфику технического труда: безопасность, качество выполнения заявок, отсутствие повторных выездов, соблюдение сроков, наставничество, работу с потребителями и участие в улучшении процессов.</w:t>
      </w:r>
    </w:p>
    <w:p>
      <w:pPr>
        <w:spacing w:line="360" w:lineRule="auto"/>
        <w:ind w:firstLine="709"/>
        <w:jc w:val="both"/>
      </w:pPr>
      <w:r>
        <w:rPr>
          <w:rFonts w:ascii="Times New Roman" w:hAnsi="Times New Roman" w:eastAsia="Times New Roman"/>
          <w:sz w:val="28"/>
        </w:rPr>
        <w:t>В качестве ключевого принципа предлагается использовать сбалансированную систему стимулирования, где материальные стимулы не подменяют нематериальные, а дополняют их. Только повышение премий без признания, обучения и улучшения условий труда не решит проблему. Аналогично одни корпоративные мероприятия без понятной связи с оплатой не повысят доверие к системе стимулирования.</w:t>
      </w:r>
    </w:p>
    <w:p>
      <w:pPr>
        <w:spacing w:line="360" w:lineRule="auto"/>
        <w:ind w:firstLine="709"/>
        <w:jc w:val="both"/>
      </w:pPr>
      <w:r>
        <w:rPr>
          <w:rFonts w:ascii="Times New Roman" w:hAnsi="Times New Roman" w:eastAsia="Times New Roman"/>
          <w:sz w:val="28"/>
        </w:rPr>
        <w:t>Предлагаемая логика развития мотивации:</w:t>
      </w:r>
    </w:p>
    <w:p>
      <w:pPr>
        <w:pStyle w:val="ListNumber"/>
        <w:spacing w:line="360" w:lineRule="auto"/>
      </w:pPr>
      <w:r>
        <w:t>1. Работник понимает, какие показатели важны для подразделения.</w:t>
      </w:r>
    </w:p>
    <w:p>
      <w:pPr>
        <w:pStyle w:val="ListNumber"/>
        <w:spacing w:line="360" w:lineRule="auto"/>
      </w:pPr>
      <w:r>
        <w:t>2. Руководитель ежемесячно фиксирует результат по понятной карте показателей.</w:t>
      </w:r>
    </w:p>
    <w:p>
      <w:pPr>
        <w:pStyle w:val="ListNumber"/>
        <w:spacing w:line="360" w:lineRule="auto"/>
      </w:pPr>
      <w:r>
        <w:t>3. Команда видит связь между снижением повторных выездов, качеством работ и премиальным фондом.</w:t>
      </w:r>
    </w:p>
    <w:p>
      <w:pPr>
        <w:pStyle w:val="ListNumber"/>
        <w:spacing w:line="360" w:lineRule="auto"/>
      </w:pPr>
      <w:r>
        <w:t>4. Лучшие практики и инициативы получают публичное признание.</w:t>
      </w:r>
    </w:p>
    <w:p>
      <w:pPr>
        <w:pStyle w:val="ListNumber"/>
        <w:spacing w:line="360" w:lineRule="auto"/>
      </w:pPr>
      <w:r>
        <w:t>5. Обучение и наставничество связываются с квалификационным уровнем.</w:t>
      </w:r>
    </w:p>
    <w:p>
      <w:pPr>
        <w:pStyle w:val="ListNumber"/>
        <w:spacing w:line="360" w:lineRule="auto"/>
      </w:pPr>
      <w:r>
        <w:t>6. HR-служба ежеквартально измеряет удовлетворенность сотрудников и корректирует управленческие действия.</w:t>
      </w:r>
    </w:p>
    <w:p>
      <w:pPr>
        <w:spacing w:line="360" w:lineRule="auto"/>
        <w:ind w:firstLine="709"/>
        <w:jc w:val="both"/>
      </w:pPr>
      <w:r>
        <w:rPr>
          <w:rFonts w:ascii="Times New Roman" w:hAnsi="Times New Roman" w:eastAsia="Times New Roman"/>
          <w:sz w:val="28"/>
        </w:rPr>
        <w:t>Такая система обеспечивает логическую связь между проблемами, выявленными во второй главе, и предлагаемыми решениями в третьей главе.</w:t>
      </w:r>
    </w:p>
    <w:p>
      <w:pPr>
        <w:spacing w:line="360" w:lineRule="auto"/>
        <w:ind w:firstLine="709"/>
        <w:jc w:val="both"/>
      </w:pPr>
      <w:r>
        <w:rPr>
          <w:rFonts w:ascii="Times New Roman" w:hAnsi="Times New Roman" w:eastAsia="Times New Roman"/>
          <w:sz w:val="28"/>
        </w:rPr>
        <w:t>Для отдела электриков особенно важно, чтобы мотивационная программа не сводилась только к премии. Технический персонал оценивает работодателя через совокупность факторов: безопасность, исправность инструмента, уважение к профессиональному опыту, справедливое распределение сложных заявок, отсутствие необоснованной административной нагрузки, возможность стать наставником или экспертом, а также понятность того, как оценивается качество работы. Поэтому в основу программы целесообразно положить не один, а несколько принципов.</w:t>
      </w:r>
    </w:p>
    <w:p>
      <w:pPr>
        <w:spacing w:line="360" w:lineRule="auto"/>
        <w:ind w:firstLine="709"/>
        <w:jc w:val="both"/>
      </w:pPr>
      <w:r>
        <w:rPr>
          <w:rFonts w:ascii="Times New Roman" w:hAnsi="Times New Roman" w:eastAsia="Times New Roman"/>
          <w:sz w:val="28"/>
        </w:rPr>
        <w:t>Первый принцип - измеримость результата. Работник должен понимать, что именно считается хорошей работой: выполнение заявки в срок, отсутствие повторного выезда, соблюдение требований электробезопасности, корректное оформление документов, отсутствие обоснованных жалоб, участие в разборе сложных случаев. Если показатели не измеряются, премирование воспринимается как субъективное.</w:t>
      </w:r>
    </w:p>
    <w:p>
      <w:pPr>
        <w:spacing w:line="360" w:lineRule="auto"/>
        <w:ind w:firstLine="709"/>
        <w:jc w:val="both"/>
      </w:pPr>
      <w:r>
        <w:rPr>
          <w:rFonts w:ascii="Times New Roman" w:hAnsi="Times New Roman" w:eastAsia="Times New Roman"/>
          <w:sz w:val="28"/>
        </w:rPr>
        <w:t>Второй принцип - баланс индивидуального и командного результата. Работа электрика часто зависит от смежных сотрудников: диспетчера, расчетного подразделения, руководителя группы, специалиста по работе с потребителями. Поэтому полностью индивидуальная премия может быть несправедливой. Одновременно полностью коллективная премия снижает личную ответственность. Оптимально сочетать 70% командного результата и 30% индивидуального вклада.</w:t>
      </w:r>
    </w:p>
    <w:p>
      <w:pPr>
        <w:spacing w:line="360" w:lineRule="auto"/>
        <w:ind w:firstLine="709"/>
        <w:jc w:val="both"/>
      </w:pPr>
      <w:r>
        <w:rPr>
          <w:rFonts w:ascii="Times New Roman" w:hAnsi="Times New Roman" w:eastAsia="Times New Roman"/>
          <w:sz w:val="28"/>
        </w:rPr>
        <w:t>Третий принцип - признание профилактического труда. Электрик создает ценность не только тогда, когда устраняет проблему, но и тогда, когда предотвращает ее повторение. Поэтому в системе мотивации должны учитываться предложения по устранению причин повторных обращений, корректировка типовых инструкций, участие в обучении коллег, выявление рисков в работе приборов учета.</w:t>
      </w:r>
    </w:p>
    <w:p>
      <w:pPr>
        <w:spacing w:line="360" w:lineRule="auto"/>
        <w:ind w:firstLine="709"/>
        <w:jc w:val="both"/>
      </w:pPr>
      <w:r>
        <w:rPr>
          <w:rFonts w:ascii="Times New Roman" w:hAnsi="Times New Roman" w:eastAsia="Times New Roman"/>
          <w:sz w:val="28"/>
        </w:rPr>
        <w:t>Четвертый принцип - связь развития и статуса. Для технических работников карьерный рост не всегда означает переход в административную должность. Многие сотрудники хотят оставаться в профессии, но получать признание более высокого уровня квалификации. Поэтому карта компетенций позволяет создать профессиональную траекторию без обязательного ухода из технической роли.</w:t>
      </w:r>
    </w:p>
    <w:p>
      <w:pPr>
        <w:spacing w:line="360" w:lineRule="auto"/>
        <w:ind w:firstLine="709"/>
        <w:jc w:val="both"/>
      </w:pPr>
      <w:r>
        <w:rPr>
          <w:rFonts w:ascii="Times New Roman" w:hAnsi="Times New Roman" w:eastAsia="Times New Roman"/>
          <w:sz w:val="28"/>
        </w:rPr>
        <w:t>Пятый принцип - экономическая самофинансируемость. С учетом финансовых ограничений компании мотивационная программа должна показывать эффект: снижение текучести, повторных выездов, сверхурочных, ошибок учета и потерь рабочего времени. Поэтому часть премиального фонда предлагается формировать из подтвержденной экономии.</w:t>
      </w:r>
    </w:p>
    <w:p>
      <w:pPr>
        <w:spacing w:line="360" w:lineRule="auto"/>
        <w:ind w:firstLine="709"/>
        <w:jc w:val="both"/>
      </w:pPr>
      <w:r>
        <w:rPr>
          <w:rFonts w:ascii="Times New Roman" w:hAnsi="Times New Roman" w:eastAsia="Times New Roman"/>
          <w:sz w:val="28"/>
        </w:rPr>
        <w:t>Сравнение элементов отечественного и зарубежного опыта, которые могут быть адаптированы для ПАО «ТНС энерго НН», представлено в таблице 3.1а.</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Подход</w:t>
            </w:r>
          </w:p>
        </w:tc>
        <w:tc>
          <w:tcPr>
            <w:tcW w:type="dxa" w:w="3230"/>
            <w:vAlign w:val="center"/>
            <w:shd w:fill="D9EAF7"/>
          </w:tcPr>
          <w:p>
            <w:pPr>
              <w:spacing w:line="240" w:lineRule="auto"/>
              <w:jc w:val="center"/>
            </w:pPr>
            <w:r>
              <w:rPr>
                <w:rFonts w:ascii="Times New Roman" w:hAnsi="Times New Roman" w:eastAsia="Times New Roman"/>
                <w:b/>
                <w:sz w:val="20"/>
              </w:rPr>
              <w:t>Содержание опыта</w:t>
            </w:r>
          </w:p>
        </w:tc>
        <w:tc>
          <w:tcPr>
            <w:tcW w:type="dxa" w:w="3230"/>
            <w:vAlign w:val="center"/>
            <w:shd w:fill="D9EAF7"/>
          </w:tcPr>
          <w:p>
            <w:pPr>
              <w:spacing w:line="240" w:lineRule="auto"/>
              <w:jc w:val="center"/>
            </w:pPr>
            <w:r>
              <w:rPr>
                <w:rFonts w:ascii="Times New Roman" w:hAnsi="Times New Roman" w:eastAsia="Times New Roman"/>
                <w:b/>
                <w:sz w:val="20"/>
              </w:rPr>
              <w:t>Адаптация для отдела электриков</w:t>
            </w:r>
          </w:p>
        </w:tc>
      </w:tr>
      <w:tr>
        <w:tc>
          <w:tcPr>
            <w:tcW w:type="dxa" w:w="3230"/>
            <w:vAlign w:val="center"/>
          </w:tcPr>
          <w:p>
            <w:pPr>
              <w:spacing w:line="240" w:lineRule="auto"/>
              <w:jc w:val="left"/>
            </w:pPr>
            <w:r>
              <w:rPr>
                <w:rFonts w:ascii="Times New Roman" w:hAnsi="Times New Roman" w:eastAsia="Times New Roman"/>
                <w:b w:val="0"/>
                <w:sz w:val="20"/>
              </w:rPr>
              <w:t>Отечественная практика коллективного договора</w:t>
            </w:r>
          </w:p>
        </w:tc>
        <w:tc>
          <w:tcPr>
            <w:tcW w:type="dxa" w:w="3230"/>
            <w:vAlign w:val="center"/>
          </w:tcPr>
          <w:p>
            <w:pPr>
              <w:spacing w:line="240" w:lineRule="auto"/>
              <w:jc w:val="left"/>
            </w:pPr>
            <w:r>
              <w:rPr>
                <w:rFonts w:ascii="Times New Roman" w:hAnsi="Times New Roman" w:eastAsia="Times New Roman"/>
                <w:b w:val="0"/>
                <w:sz w:val="20"/>
              </w:rPr>
              <w:t>Закрепление гарантий, компенсаций, социальных выплат и правил оплаты</w:t>
            </w:r>
          </w:p>
        </w:tc>
        <w:tc>
          <w:tcPr>
            <w:tcW w:type="dxa" w:w="3230"/>
            <w:vAlign w:val="center"/>
          </w:tcPr>
          <w:p>
            <w:pPr>
              <w:spacing w:line="240" w:lineRule="auto"/>
              <w:jc w:val="left"/>
            </w:pPr>
            <w:r>
              <w:rPr>
                <w:rFonts w:ascii="Times New Roman" w:hAnsi="Times New Roman" w:eastAsia="Times New Roman"/>
                <w:b w:val="0"/>
                <w:sz w:val="20"/>
              </w:rPr>
              <w:t>Сохранить социальную стабильность как базу мотивации</w:t>
            </w:r>
          </w:p>
        </w:tc>
      </w:tr>
      <w:tr>
        <w:tc>
          <w:tcPr>
            <w:tcW w:type="dxa" w:w="3230"/>
            <w:vAlign w:val="center"/>
          </w:tcPr>
          <w:p>
            <w:pPr>
              <w:spacing w:line="240" w:lineRule="auto"/>
              <w:jc w:val="left"/>
            </w:pPr>
            <w:r>
              <w:rPr>
                <w:rFonts w:ascii="Times New Roman" w:hAnsi="Times New Roman" w:eastAsia="Times New Roman"/>
                <w:b w:val="0"/>
                <w:sz w:val="20"/>
              </w:rPr>
              <w:t>Премирование по KPI</w:t>
            </w:r>
          </w:p>
        </w:tc>
        <w:tc>
          <w:tcPr>
            <w:tcW w:type="dxa" w:w="3230"/>
            <w:vAlign w:val="center"/>
          </w:tcPr>
          <w:p>
            <w:pPr>
              <w:spacing w:line="240" w:lineRule="auto"/>
              <w:jc w:val="left"/>
            </w:pPr>
            <w:r>
              <w:rPr>
                <w:rFonts w:ascii="Times New Roman" w:hAnsi="Times New Roman" w:eastAsia="Times New Roman"/>
                <w:b w:val="0"/>
                <w:sz w:val="20"/>
              </w:rPr>
              <w:t>Связь переменной части с показателями подразделения</w:t>
            </w:r>
          </w:p>
        </w:tc>
        <w:tc>
          <w:tcPr>
            <w:tcW w:type="dxa" w:w="3230"/>
            <w:vAlign w:val="center"/>
          </w:tcPr>
          <w:p>
            <w:pPr>
              <w:spacing w:line="240" w:lineRule="auto"/>
              <w:jc w:val="left"/>
            </w:pPr>
            <w:r>
              <w:rPr>
                <w:rFonts w:ascii="Times New Roman" w:hAnsi="Times New Roman" w:eastAsia="Times New Roman"/>
                <w:b w:val="0"/>
                <w:sz w:val="20"/>
              </w:rPr>
              <w:t>Ввести простую карту KPI: сроки, качество, безопасность, инициативы</w:t>
            </w:r>
          </w:p>
        </w:tc>
      </w:tr>
      <w:tr>
        <w:tc>
          <w:tcPr>
            <w:tcW w:type="dxa" w:w="3230"/>
            <w:vAlign w:val="center"/>
          </w:tcPr>
          <w:p>
            <w:pPr>
              <w:spacing w:line="240" w:lineRule="auto"/>
              <w:jc w:val="left"/>
            </w:pPr>
            <w:r>
              <w:rPr>
                <w:rFonts w:ascii="Times New Roman" w:hAnsi="Times New Roman" w:eastAsia="Times New Roman"/>
                <w:b w:val="0"/>
                <w:sz w:val="20"/>
              </w:rPr>
              <w:t>Наставничество в энергетике</w:t>
            </w:r>
          </w:p>
        </w:tc>
        <w:tc>
          <w:tcPr>
            <w:tcW w:type="dxa" w:w="3230"/>
            <w:vAlign w:val="center"/>
          </w:tcPr>
          <w:p>
            <w:pPr>
              <w:spacing w:line="240" w:lineRule="auto"/>
              <w:jc w:val="left"/>
            </w:pPr>
            <w:r>
              <w:rPr>
                <w:rFonts w:ascii="Times New Roman" w:hAnsi="Times New Roman" w:eastAsia="Times New Roman"/>
                <w:b w:val="0"/>
                <w:sz w:val="20"/>
              </w:rPr>
              <w:t>Передача опыта новым работникам, доплата наставнику</w:t>
            </w:r>
          </w:p>
        </w:tc>
        <w:tc>
          <w:tcPr>
            <w:tcW w:type="dxa" w:w="3230"/>
            <w:vAlign w:val="center"/>
          </w:tcPr>
          <w:p>
            <w:pPr>
              <w:spacing w:line="240" w:lineRule="auto"/>
              <w:jc w:val="left"/>
            </w:pPr>
            <w:r>
              <w:rPr>
                <w:rFonts w:ascii="Times New Roman" w:hAnsi="Times New Roman" w:eastAsia="Times New Roman"/>
                <w:b w:val="0"/>
                <w:sz w:val="20"/>
              </w:rPr>
              <w:t>Закрепить наставника за новичком и оценивать результат адаптации</w:t>
            </w:r>
          </w:p>
        </w:tc>
      </w:tr>
      <w:tr>
        <w:tc>
          <w:tcPr>
            <w:tcW w:type="dxa" w:w="3230"/>
            <w:vAlign w:val="center"/>
          </w:tcPr>
          <w:p>
            <w:pPr>
              <w:spacing w:line="240" w:lineRule="auto"/>
              <w:jc w:val="left"/>
            </w:pPr>
            <w:r>
              <w:rPr>
                <w:rFonts w:ascii="Times New Roman" w:hAnsi="Times New Roman" w:eastAsia="Times New Roman"/>
                <w:b w:val="0"/>
                <w:sz w:val="20"/>
              </w:rPr>
              <w:t>Total Rewards</w:t>
            </w:r>
          </w:p>
        </w:tc>
        <w:tc>
          <w:tcPr>
            <w:tcW w:type="dxa" w:w="3230"/>
            <w:vAlign w:val="center"/>
          </w:tcPr>
          <w:p>
            <w:pPr>
              <w:spacing w:line="240" w:lineRule="auto"/>
              <w:jc w:val="left"/>
            </w:pPr>
            <w:r>
              <w:rPr>
                <w:rFonts w:ascii="Times New Roman" w:hAnsi="Times New Roman" w:eastAsia="Times New Roman"/>
                <w:b w:val="0"/>
                <w:sz w:val="20"/>
              </w:rPr>
              <w:t>Совокупное вознаграждение: деньги, льготы, развитие, признание</w:t>
            </w:r>
          </w:p>
        </w:tc>
        <w:tc>
          <w:tcPr>
            <w:tcW w:type="dxa" w:w="3230"/>
            <w:vAlign w:val="center"/>
          </w:tcPr>
          <w:p>
            <w:pPr>
              <w:spacing w:line="240" w:lineRule="auto"/>
              <w:jc w:val="left"/>
            </w:pPr>
            <w:r>
              <w:rPr>
                <w:rFonts w:ascii="Times New Roman" w:hAnsi="Times New Roman" w:eastAsia="Times New Roman"/>
                <w:b w:val="0"/>
                <w:sz w:val="20"/>
              </w:rPr>
              <w:t>Объединить премии, обучение, признание и условия труда</w:t>
            </w:r>
          </w:p>
        </w:tc>
      </w:tr>
      <w:tr>
        <w:tc>
          <w:tcPr>
            <w:tcW w:type="dxa" w:w="3230"/>
            <w:vAlign w:val="center"/>
          </w:tcPr>
          <w:p>
            <w:pPr>
              <w:spacing w:line="240" w:lineRule="auto"/>
              <w:jc w:val="left"/>
            </w:pPr>
            <w:r>
              <w:rPr>
                <w:rFonts w:ascii="Times New Roman" w:hAnsi="Times New Roman" w:eastAsia="Times New Roman"/>
                <w:b w:val="0"/>
                <w:sz w:val="20"/>
              </w:rPr>
              <w:t>Gainsharing</w:t>
            </w:r>
          </w:p>
        </w:tc>
        <w:tc>
          <w:tcPr>
            <w:tcW w:type="dxa" w:w="3230"/>
            <w:vAlign w:val="center"/>
          </w:tcPr>
          <w:p>
            <w:pPr>
              <w:spacing w:line="240" w:lineRule="auto"/>
              <w:jc w:val="left"/>
            </w:pPr>
            <w:r>
              <w:rPr>
                <w:rFonts w:ascii="Times New Roman" w:hAnsi="Times New Roman" w:eastAsia="Times New Roman"/>
                <w:b w:val="0"/>
                <w:sz w:val="20"/>
              </w:rPr>
              <w:t>Распределение части экономии между работниками</w:t>
            </w:r>
          </w:p>
        </w:tc>
        <w:tc>
          <w:tcPr>
            <w:tcW w:type="dxa" w:w="3230"/>
            <w:vAlign w:val="center"/>
          </w:tcPr>
          <w:p>
            <w:pPr>
              <w:spacing w:line="240" w:lineRule="auto"/>
              <w:jc w:val="left"/>
            </w:pPr>
            <w:r>
              <w:rPr>
                <w:rFonts w:ascii="Times New Roman" w:hAnsi="Times New Roman" w:eastAsia="Times New Roman"/>
                <w:b w:val="0"/>
                <w:sz w:val="20"/>
              </w:rPr>
              <w:t>Направлять до 30% подтвержденной экономии в KPI-фонд</w:t>
            </w:r>
          </w:p>
        </w:tc>
      </w:tr>
      <w:tr>
        <w:tc>
          <w:tcPr>
            <w:tcW w:type="dxa" w:w="3230"/>
            <w:vAlign w:val="center"/>
          </w:tcPr>
          <w:p>
            <w:pPr>
              <w:spacing w:line="240" w:lineRule="auto"/>
              <w:jc w:val="left"/>
            </w:pPr>
            <w:r>
              <w:rPr>
                <w:rFonts w:ascii="Times New Roman" w:hAnsi="Times New Roman" w:eastAsia="Times New Roman"/>
                <w:b w:val="0"/>
                <w:sz w:val="20"/>
              </w:rPr>
              <w:t>Skill-based pay</w:t>
            </w:r>
          </w:p>
        </w:tc>
        <w:tc>
          <w:tcPr>
            <w:tcW w:type="dxa" w:w="3230"/>
            <w:vAlign w:val="center"/>
          </w:tcPr>
          <w:p>
            <w:pPr>
              <w:spacing w:line="240" w:lineRule="auto"/>
              <w:jc w:val="left"/>
            </w:pPr>
            <w:r>
              <w:rPr>
                <w:rFonts w:ascii="Times New Roman" w:hAnsi="Times New Roman" w:eastAsia="Times New Roman"/>
                <w:b w:val="0"/>
                <w:sz w:val="20"/>
              </w:rPr>
              <w:t>Вознаграждение зависит от освоенных навыков</w:t>
            </w:r>
          </w:p>
        </w:tc>
        <w:tc>
          <w:tcPr>
            <w:tcW w:type="dxa" w:w="3230"/>
            <w:vAlign w:val="center"/>
          </w:tcPr>
          <w:p>
            <w:pPr>
              <w:spacing w:line="240" w:lineRule="auto"/>
              <w:jc w:val="left"/>
            </w:pPr>
            <w:r>
              <w:rPr>
                <w:rFonts w:ascii="Times New Roman" w:hAnsi="Times New Roman" w:eastAsia="Times New Roman"/>
                <w:b w:val="0"/>
                <w:sz w:val="20"/>
              </w:rPr>
              <w:t>Ввести уровни компетенций: электрик, старший, наставник, эксперт</w:t>
            </w:r>
          </w:p>
        </w:tc>
      </w:tr>
      <w:tr>
        <w:tc>
          <w:tcPr>
            <w:tcW w:type="dxa" w:w="3230"/>
            <w:vAlign w:val="center"/>
          </w:tcPr>
          <w:p>
            <w:pPr>
              <w:spacing w:line="240" w:lineRule="auto"/>
              <w:jc w:val="left"/>
            </w:pPr>
            <w:r>
              <w:rPr>
                <w:rFonts w:ascii="Times New Roman" w:hAnsi="Times New Roman" w:eastAsia="Times New Roman"/>
                <w:b w:val="0"/>
                <w:sz w:val="20"/>
              </w:rPr>
              <w:t>Lean / Kaizen</w:t>
            </w:r>
          </w:p>
        </w:tc>
        <w:tc>
          <w:tcPr>
            <w:tcW w:type="dxa" w:w="3230"/>
            <w:vAlign w:val="center"/>
          </w:tcPr>
          <w:p>
            <w:pPr>
              <w:spacing w:line="240" w:lineRule="auto"/>
              <w:jc w:val="left"/>
            </w:pPr>
            <w:r>
              <w:rPr>
                <w:rFonts w:ascii="Times New Roman" w:hAnsi="Times New Roman" w:eastAsia="Times New Roman"/>
                <w:b w:val="0"/>
                <w:sz w:val="20"/>
              </w:rPr>
              <w:t>Постоянные улучшения силами работников</w:t>
            </w:r>
          </w:p>
        </w:tc>
        <w:tc>
          <w:tcPr>
            <w:tcW w:type="dxa" w:w="3230"/>
            <w:vAlign w:val="center"/>
          </w:tcPr>
          <w:p>
            <w:pPr>
              <w:spacing w:line="240" w:lineRule="auto"/>
              <w:jc w:val="left"/>
            </w:pPr>
            <w:r>
              <w:rPr>
                <w:rFonts w:ascii="Times New Roman" w:hAnsi="Times New Roman" w:eastAsia="Times New Roman"/>
                <w:b w:val="0"/>
                <w:sz w:val="20"/>
              </w:rPr>
              <w:t>Поощрять предложения по снижению повторных выездов и ошибок</w:t>
            </w:r>
          </w:p>
        </w:tc>
      </w:tr>
      <w:tr>
        <w:tc>
          <w:tcPr>
            <w:tcW w:type="dxa" w:w="3230"/>
            <w:vAlign w:val="center"/>
          </w:tcPr>
          <w:p>
            <w:pPr>
              <w:spacing w:line="240" w:lineRule="auto"/>
              <w:jc w:val="left"/>
            </w:pPr>
            <w:r>
              <w:rPr>
                <w:rFonts w:ascii="Times New Roman" w:hAnsi="Times New Roman" w:eastAsia="Times New Roman"/>
                <w:b w:val="0"/>
                <w:sz w:val="20"/>
              </w:rPr>
              <w:t>Safety culture</w:t>
            </w:r>
          </w:p>
        </w:tc>
        <w:tc>
          <w:tcPr>
            <w:tcW w:type="dxa" w:w="3230"/>
            <w:vAlign w:val="center"/>
          </w:tcPr>
          <w:p>
            <w:pPr>
              <w:spacing w:line="240" w:lineRule="auto"/>
              <w:jc w:val="left"/>
            </w:pPr>
            <w:r>
              <w:rPr>
                <w:rFonts w:ascii="Times New Roman" w:hAnsi="Times New Roman" w:eastAsia="Times New Roman"/>
                <w:b w:val="0"/>
                <w:sz w:val="20"/>
              </w:rPr>
              <w:t>Безопасность рассматривается как ценность и результат</w:t>
            </w:r>
          </w:p>
        </w:tc>
        <w:tc>
          <w:tcPr>
            <w:tcW w:type="dxa" w:w="3230"/>
            <w:vAlign w:val="center"/>
          </w:tcPr>
          <w:p>
            <w:pPr>
              <w:spacing w:line="240" w:lineRule="auto"/>
              <w:jc w:val="left"/>
            </w:pPr>
            <w:r>
              <w:rPr>
                <w:rFonts w:ascii="Times New Roman" w:hAnsi="Times New Roman" w:eastAsia="Times New Roman"/>
                <w:b w:val="0"/>
                <w:sz w:val="20"/>
              </w:rPr>
              <w:t>Включить отсутствие нарушений и инициативы по безопасности в KPI</w:t>
            </w:r>
          </w:p>
        </w:tc>
      </w:tr>
    </w:tbl>
    <w:p/>
    <w:p>
      <w:pPr>
        <w:spacing w:line="360" w:lineRule="auto"/>
        <w:ind w:firstLine="709"/>
        <w:jc w:val="both"/>
      </w:pPr>
      <w:r>
        <w:rPr>
          <w:rFonts w:ascii="Times New Roman" w:hAnsi="Times New Roman" w:eastAsia="Times New Roman"/>
          <w:sz w:val="28"/>
        </w:rPr>
        <w:t>Таблица 3.1а - Адаптация отечественного и зарубежного опыта мотивации технического персонала</w:t>
      </w:r>
    </w:p>
    <w:p>
      <w:pPr>
        <w:spacing w:line="360" w:lineRule="auto"/>
        <w:ind w:firstLine="709"/>
        <w:jc w:val="both"/>
      </w:pPr>
      <w:r>
        <w:rPr>
          <w:rFonts w:ascii="Times New Roman" w:hAnsi="Times New Roman" w:eastAsia="Times New Roman"/>
          <w:sz w:val="28"/>
        </w:rPr>
        <w:t>Использование этих подходов позволяет сформировать не разрозненный набор мероприятий, а единую управленческую модель. Ее логика заключается в том, что работник получает не только денежную премию, но и профессиональную траекторию, признание, участие в улучшениях и лучшие условия выполнения работы. Для организации это означает повышение управляемости технического подразделения и снижение скрытых потерь.</w:t>
      </w:r>
    </w:p>
    <w:p>
      <w:pPr>
        <w:pStyle w:val="Heading2"/>
      </w:pPr>
      <w:r>
        <w:t>3.2. Технико-экономическое обоснование предлагаемых решений и технология внедрения</w:t>
      </w:r>
    </w:p>
    <w:p>
      <w:pPr>
        <w:spacing w:line="360" w:lineRule="auto"/>
        <w:ind w:firstLine="709"/>
        <w:jc w:val="both"/>
      </w:pPr>
      <w:r>
        <w:rPr>
          <w:rFonts w:ascii="Times New Roman" w:hAnsi="Times New Roman" w:eastAsia="Times New Roman"/>
          <w:sz w:val="28"/>
        </w:rPr>
        <w:t>Предлагаемая программа состоит из пяти взаимосвязанных мероприятий:</w:t>
      </w:r>
    </w:p>
    <w:p>
      <w:pPr>
        <w:pStyle w:val="ListNumber"/>
        <w:spacing w:line="360" w:lineRule="auto"/>
      </w:pPr>
      <w:r>
        <w:t>1. Введение карты KPI для отдела электриков.</w:t>
      </w:r>
    </w:p>
    <w:p>
      <w:pPr>
        <w:pStyle w:val="ListNumber"/>
        <w:spacing w:line="360" w:lineRule="auto"/>
      </w:pPr>
      <w:r>
        <w:t>2. Запуск программы профессионального развития и наставничества.</w:t>
      </w:r>
    </w:p>
    <w:p>
      <w:pPr>
        <w:pStyle w:val="ListNumber"/>
        <w:spacing w:line="360" w:lineRule="auto"/>
      </w:pPr>
      <w:r>
        <w:t>3. Обновление инструментального обеспечения.</w:t>
      </w:r>
    </w:p>
    <w:p>
      <w:pPr>
        <w:pStyle w:val="ListNumber"/>
        <w:spacing w:line="360" w:lineRule="auto"/>
      </w:pPr>
      <w:r>
        <w:t>4. Введение системы нематериального признания.</w:t>
      </w:r>
    </w:p>
    <w:p>
      <w:pPr>
        <w:pStyle w:val="ListNumber"/>
        <w:spacing w:line="360" w:lineRule="auto"/>
      </w:pPr>
      <w:r>
        <w:t>5. Проведение регулярного анонимного мониторинга мотивации.</w:t>
      </w:r>
    </w:p>
    <w:p>
      <w:pPr>
        <w:pStyle w:val="Heading3"/>
      </w:pPr>
      <w:r>
        <w:t>3.2.1. Карта KPI и материальное стимулирование</w:t>
      </w:r>
    </w:p>
    <w:p>
      <w:pPr>
        <w:spacing w:line="360" w:lineRule="auto"/>
        <w:ind w:firstLine="709"/>
        <w:jc w:val="both"/>
      </w:pPr>
      <w:r>
        <w:rPr>
          <w:rFonts w:ascii="Times New Roman" w:hAnsi="Times New Roman" w:eastAsia="Times New Roman"/>
          <w:sz w:val="28"/>
        </w:rPr>
        <w:t>Карта KPI должна быть простой и понятной для работников. Не рекомендуется включать слишком много показателей, поскольку это снижает прозрачность. Для отдела электриков предлагается использовать пять показателей.</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Показатель</w:t>
            </w:r>
          </w:p>
        </w:tc>
        <w:tc>
          <w:tcPr>
            <w:tcW w:type="dxa" w:w="3230"/>
            <w:vAlign w:val="center"/>
            <w:shd w:fill="D9EAF7"/>
          </w:tcPr>
          <w:p>
            <w:pPr>
              <w:spacing w:line="240" w:lineRule="auto"/>
              <w:jc w:val="center"/>
            </w:pPr>
            <w:r>
              <w:rPr>
                <w:rFonts w:ascii="Times New Roman" w:hAnsi="Times New Roman" w:eastAsia="Times New Roman"/>
                <w:b/>
                <w:sz w:val="20"/>
              </w:rPr>
              <w:t>Вес</w:t>
            </w:r>
          </w:p>
        </w:tc>
        <w:tc>
          <w:tcPr>
            <w:tcW w:type="dxa" w:w="3230"/>
            <w:vAlign w:val="center"/>
            <w:shd w:fill="D9EAF7"/>
          </w:tcPr>
          <w:p>
            <w:pPr>
              <w:spacing w:line="240" w:lineRule="auto"/>
              <w:jc w:val="center"/>
            </w:pPr>
            <w:r>
              <w:rPr>
                <w:rFonts w:ascii="Times New Roman" w:hAnsi="Times New Roman" w:eastAsia="Times New Roman"/>
                <w:b/>
                <w:sz w:val="20"/>
              </w:rPr>
              <w:t>Содержание</w:t>
            </w:r>
          </w:p>
        </w:tc>
      </w:tr>
      <w:tr>
        <w:tc>
          <w:tcPr>
            <w:tcW w:type="dxa" w:w="3230"/>
            <w:vAlign w:val="center"/>
          </w:tcPr>
          <w:p>
            <w:pPr>
              <w:spacing w:line="240" w:lineRule="auto"/>
              <w:jc w:val="left"/>
            </w:pPr>
            <w:r>
              <w:rPr>
                <w:rFonts w:ascii="Times New Roman" w:hAnsi="Times New Roman" w:eastAsia="Times New Roman"/>
                <w:b w:val="0"/>
                <w:sz w:val="20"/>
              </w:rPr>
              <w:t>Соблюдение сроков выполнения заявок</w:t>
            </w:r>
          </w:p>
        </w:tc>
        <w:tc>
          <w:tcPr>
            <w:tcW w:type="dxa" w:w="3230"/>
            <w:vAlign w:val="center"/>
          </w:tcPr>
          <w:p>
            <w:pPr>
              <w:spacing w:line="240" w:lineRule="auto"/>
              <w:jc w:val="left"/>
            </w:pPr>
            <w:r>
              <w:rPr>
                <w:rFonts w:ascii="Times New Roman" w:hAnsi="Times New Roman" w:eastAsia="Times New Roman"/>
                <w:b w:val="0"/>
                <w:sz w:val="20"/>
              </w:rPr>
              <w:t>25%</w:t>
            </w:r>
          </w:p>
        </w:tc>
        <w:tc>
          <w:tcPr>
            <w:tcW w:type="dxa" w:w="3230"/>
            <w:vAlign w:val="center"/>
          </w:tcPr>
          <w:p>
            <w:pPr>
              <w:spacing w:line="240" w:lineRule="auto"/>
              <w:jc w:val="left"/>
            </w:pPr>
            <w:r>
              <w:rPr>
                <w:rFonts w:ascii="Times New Roman" w:hAnsi="Times New Roman" w:eastAsia="Times New Roman"/>
                <w:b w:val="0"/>
                <w:sz w:val="20"/>
              </w:rPr>
              <w:t>Доля заявок, выполненных в нормативный срок</w:t>
            </w:r>
          </w:p>
        </w:tc>
      </w:tr>
      <w:tr>
        <w:tc>
          <w:tcPr>
            <w:tcW w:type="dxa" w:w="3230"/>
            <w:vAlign w:val="center"/>
          </w:tcPr>
          <w:p>
            <w:pPr>
              <w:spacing w:line="240" w:lineRule="auto"/>
              <w:jc w:val="left"/>
            </w:pPr>
            <w:r>
              <w:rPr>
                <w:rFonts w:ascii="Times New Roman" w:hAnsi="Times New Roman" w:eastAsia="Times New Roman"/>
                <w:b w:val="0"/>
                <w:sz w:val="20"/>
              </w:rPr>
              <w:t>Качество работ и отсутствие повторных выездов</w:t>
            </w:r>
          </w:p>
        </w:tc>
        <w:tc>
          <w:tcPr>
            <w:tcW w:type="dxa" w:w="3230"/>
            <w:vAlign w:val="center"/>
          </w:tcPr>
          <w:p>
            <w:pPr>
              <w:spacing w:line="240" w:lineRule="auto"/>
              <w:jc w:val="left"/>
            </w:pPr>
            <w:r>
              <w:rPr>
                <w:rFonts w:ascii="Times New Roman" w:hAnsi="Times New Roman" w:eastAsia="Times New Roman"/>
                <w:b w:val="0"/>
                <w:sz w:val="20"/>
              </w:rPr>
              <w:t>25%</w:t>
            </w:r>
          </w:p>
        </w:tc>
        <w:tc>
          <w:tcPr>
            <w:tcW w:type="dxa" w:w="3230"/>
            <w:vAlign w:val="center"/>
          </w:tcPr>
          <w:p>
            <w:pPr>
              <w:spacing w:line="240" w:lineRule="auto"/>
              <w:jc w:val="left"/>
            </w:pPr>
            <w:r>
              <w:rPr>
                <w:rFonts w:ascii="Times New Roman" w:hAnsi="Times New Roman" w:eastAsia="Times New Roman"/>
                <w:b w:val="0"/>
                <w:sz w:val="20"/>
              </w:rPr>
              <w:t>Снижение повторных обращений и исправлений</w:t>
            </w:r>
          </w:p>
        </w:tc>
      </w:tr>
      <w:tr>
        <w:tc>
          <w:tcPr>
            <w:tcW w:type="dxa" w:w="3230"/>
            <w:vAlign w:val="center"/>
          </w:tcPr>
          <w:p>
            <w:pPr>
              <w:spacing w:line="240" w:lineRule="auto"/>
              <w:jc w:val="left"/>
            </w:pPr>
            <w:r>
              <w:rPr>
                <w:rFonts w:ascii="Times New Roman" w:hAnsi="Times New Roman" w:eastAsia="Times New Roman"/>
                <w:b w:val="0"/>
                <w:sz w:val="20"/>
              </w:rPr>
              <w:t>Безопасность и отсутствие нарушений</w:t>
            </w:r>
          </w:p>
        </w:tc>
        <w:tc>
          <w:tcPr>
            <w:tcW w:type="dxa" w:w="3230"/>
            <w:vAlign w:val="center"/>
          </w:tcPr>
          <w:p>
            <w:pPr>
              <w:spacing w:line="240" w:lineRule="auto"/>
              <w:jc w:val="left"/>
            </w:pPr>
            <w:r>
              <w:rPr>
                <w:rFonts w:ascii="Times New Roman" w:hAnsi="Times New Roman" w:eastAsia="Times New Roman"/>
                <w:b w:val="0"/>
                <w:sz w:val="20"/>
              </w:rPr>
              <w:t>20%</w:t>
            </w:r>
          </w:p>
        </w:tc>
        <w:tc>
          <w:tcPr>
            <w:tcW w:type="dxa" w:w="3230"/>
            <w:vAlign w:val="center"/>
          </w:tcPr>
          <w:p>
            <w:pPr>
              <w:spacing w:line="240" w:lineRule="auto"/>
              <w:jc w:val="left"/>
            </w:pPr>
            <w:r>
              <w:rPr>
                <w:rFonts w:ascii="Times New Roman" w:hAnsi="Times New Roman" w:eastAsia="Times New Roman"/>
                <w:b w:val="0"/>
                <w:sz w:val="20"/>
              </w:rPr>
              <w:t>Соблюдение правил охраны труда и электробезопасности</w:t>
            </w:r>
          </w:p>
        </w:tc>
      </w:tr>
      <w:tr>
        <w:tc>
          <w:tcPr>
            <w:tcW w:type="dxa" w:w="3230"/>
            <w:vAlign w:val="center"/>
          </w:tcPr>
          <w:p>
            <w:pPr>
              <w:spacing w:line="240" w:lineRule="auto"/>
              <w:jc w:val="left"/>
            </w:pPr>
            <w:r>
              <w:rPr>
                <w:rFonts w:ascii="Times New Roman" w:hAnsi="Times New Roman" w:eastAsia="Times New Roman"/>
                <w:b w:val="0"/>
                <w:sz w:val="20"/>
              </w:rPr>
              <w:t>Участие в улучшениях</w:t>
            </w:r>
          </w:p>
        </w:tc>
        <w:tc>
          <w:tcPr>
            <w:tcW w:type="dxa" w:w="3230"/>
            <w:vAlign w:val="center"/>
          </w:tcPr>
          <w:p>
            <w:pPr>
              <w:spacing w:line="240" w:lineRule="auto"/>
              <w:jc w:val="left"/>
            </w:pPr>
            <w:r>
              <w:rPr>
                <w:rFonts w:ascii="Times New Roman" w:hAnsi="Times New Roman" w:eastAsia="Times New Roman"/>
                <w:b w:val="0"/>
                <w:sz w:val="20"/>
              </w:rPr>
              <w:t>15%</w:t>
            </w:r>
          </w:p>
        </w:tc>
        <w:tc>
          <w:tcPr>
            <w:tcW w:type="dxa" w:w="3230"/>
            <w:vAlign w:val="center"/>
          </w:tcPr>
          <w:p>
            <w:pPr>
              <w:spacing w:line="240" w:lineRule="auto"/>
              <w:jc w:val="left"/>
            </w:pPr>
            <w:r>
              <w:rPr>
                <w:rFonts w:ascii="Times New Roman" w:hAnsi="Times New Roman" w:eastAsia="Times New Roman"/>
                <w:b w:val="0"/>
                <w:sz w:val="20"/>
              </w:rPr>
              <w:t>Предложения по оптимизации, выявление причин повторных проблем</w:t>
            </w:r>
          </w:p>
        </w:tc>
      </w:tr>
      <w:tr>
        <w:tc>
          <w:tcPr>
            <w:tcW w:type="dxa" w:w="3230"/>
            <w:vAlign w:val="center"/>
          </w:tcPr>
          <w:p>
            <w:pPr>
              <w:spacing w:line="240" w:lineRule="auto"/>
              <w:jc w:val="left"/>
            </w:pPr>
            <w:r>
              <w:rPr>
                <w:rFonts w:ascii="Times New Roman" w:hAnsi="Times New Roman" w:eastAsia="Times New Roman"/>
                <w:b w:val="0"/>
                <w:sz w:val="20"/>
              </w:rPr>
              <w:t>Наставничество и командная помощь</w:t>
            </w:r>
          </w:p>
        </w:tc>
        <w:tc>
          <w:tcPr>
            <w:tcW w:type="dxa" w:w="3230"/>
            <w:vAlign w:val="center"/>
          </w:tcPr>
          <w:p>
            <w:pPr>
              <w:spacing w:line="240" w:lineRule="auto"/>
              <w:jc w:val="left"/>
            </w:pPr>
            <w:r>
              <w:rPr>
                <w:rFonts w:ascii="Times New Roman" w:hAnsi="Times New Roman" w:eastAsia="Times New Roman"/>
                <w:b w:val="0"/>
                <w:sz w:val="20"/>
              </w:rPr>
              <w:t>15%</w:t>
            </w:r>
          </w:p>
        </w:tc>
        <w:tc>
          <w:tcPr>
            <w:tcW w:type="dxa" w:w="3230"/>
            <w:vAlign w:val="center"/>
          </w:tcPr>
          <w:p>
            <w:pPr>
              <w:spacing w:line="240" w:lineRule="auto"/>
              <w:jc w:val="left"/>
            </w:pPr>
            <w:r>
              <w:rPr>
                <w:rFonts w:ascii="Times New Roman" w:hAnsi="Times New Roman" w:eastAsia="Times New Roman"/>
                <w:b w:val="0"/>
                <w:sz w:val="20"/>
              </w:rPr>
              <w:t>Передача опыта, помощь новым работникам, обучение коллег</w:t>
            </w:r>
          </w:p>
        </w:tc>
      </w:tr>
    </w:tbl>
    <w:p/>
    <w:p>
      <w:pPr>
        <w:spacing w:line="360" w:lineRule="auto"/>
        <w:ind w:firstLine="709"/>
        <w:jc w:val="both"/>
      </w:pPr>
      <w:r>
        <w:rPr>
          <w:rFonts w:ascii="Times New Roman" w:hAnsi="Times New Roman" w:eastAsia="Times New Roman"/>
          <w:sz w:val="28"/>
        </w:rPr>
        <w:t>Таблица 3.2 - Предлагаемая карта KPI отдела электриков</w:t>
      </w:r>
    </w:p>
    <w:p>
      <w:pPr>
        <w:spacing w:line="360" w:lineRule="auto"/>
        <w:ind w:firstLine="709"/>
        <w:jc w:val="both"/>
      </w:pPr>
      <w:r>
        <w:rPr>
          <w:rFonts w:ascii="Times New Roman" w:hAnsi="Times New Roman" w:eastAsia="Times New Roman"/>
          <w:sz w:val="28"/>
        </w:rPr>
        <w:t>Премиальный фонд предлагается формировать по принципу gainsharing: не как гарантированное увеличение расходов, а как долю подтвержденного экономического эффекта. Рекомендуемая доля - до 30% от рассчитанной экономии подразделения, но не выше установленного лимита фонда оплаты труда. Это снижает финансовый риск для компании и повышает доверие работников, поскольку они видят связь между улучшениями и вознаграждением.</w:t>
      </w:r>
    </w:p>
    <w:p>
      <w:pPr>
        <w:spacing w:line="360" w:lineRule="auto"/>
        <w:ind w:firstLine="709"/>
        <w:jc w:val="both"/>
      </w:pPr>
      <w:r>
        <w:rPr>
          <w:rFonts w:ascii="Times New Roman" w:hAnsi="Times New Roman" w:eastAsia="Times New Roman"/>
          <w:sz w:val="28"/>
        </w:rPr>
        <w:t>Для практического применения карты KPI необходимо закрепить порядок расчета. Предлагается ежемесячно формировать ведомость показателей отдела электриков. Источниками данных могут быть журнал заявок, система учета обращений, акты повторных выездов, сведения по охране труда, данные руководителя подразделения и предложения сотрудников по улучшениям. Результаты должны обсуждаться на коротком ежемесячном совещании, чтобы работники видели не только итоговую премию, но и причины ее изменения.</w:t>
      </w:r>
    </w:p>
    <w:p>
      <w:pPr>
        <w:spacing w:line="360" w:lineRule="auto"/>
        <w:ind w:firstLine="709"/>
        <w:jc w:val="both"/>
      </w:pPr>
      <w:r>
        <w:rPr>
          <w:rFonts w:ascii="Times New Roman" w:hAnsi="Times New Roman" w:eastAsia="Times New Roman"/>
          <w:sz w:val="28"/>
        </w:rPr>
        <w:t>Алгоритм расчета премии включает следующие шаги:</w:t>
      </w:r>
    </w:p>
    <w:p>
      <w:pPr>
        <w:pStyle w:val="ListNumber"/>
        <w:spacing w:line="360" w:lineRule="auto"/>
      </w:pPr>
      <w:r>
        <w:t>1. Руководитель отдела фиксирует фактические значения KPI за месяц.</w:t>
      </w:r>
    </w:p>
    <w:p>
      <w:pPr>
        <w:pStyle w:val="ListNumber"/>
        <w:spacing w:line="360" w:lineRule="auto"/>
      </w:pPr>
      <w:r>
        <w:t>2. HR-специалист и специалист по ОТиЗ проверяют корректность данных и отсутствие противоречий с положением об оплате труда.</w:t>
      </w:r>
    </w:p>
    <w:p>
      <w:pPr>
        <w:pStyle w:val="ListNumber"/>
        <w:spacing w:line="360" w:lineRule="auto"/>
      </w:pPr>
      <w:r>
        <w:t>3. По каждому показателю определяется процент выполнения.</w:t>
      </w:r>
    </w:p>
    <w:p>
      <w:pPr>
        <w:pStyle w:val="ListNumber"/>
        <w:spacing w:line="360" w:lineRule="auto"/>
      </w:pPr>
      <w:r>
        <w:t>4. Итоговый коэффициент KPI рассчитывается как сумма произведений выполнения показателя на его вес.</w:t>
      </w:r>
    </w:p>
    <w:p>
      <w:pPr>
        <w:pStyle w:val="ListNumber"/>
        <w:spacing w:line="360" w:lineRule="auto"/>
      </w:pPr>
      <w:r>
        <w:t>5. Если были нарушения электробезопасности, показатель безопасности может обнулять индивидуальную часть премии.</w:t>
      </w:r>
    </w:p>
    <w:p>
      <w:pPr>
        <w:pStyle w:val="ListNumber"/>
        <w:spacing w:line="360" w:lineRule="auto"/>
      </w:pPr>
      <w:r>
        <w:t>6. Если экономический эффект подтвержден, формируется премиальный фонд gainsharing.</w:t>
      </w:r>
    </w:p>
    <w:p>
      <w:pPr>
        <w:pStyle w:val="ListNumber"/>
        <w:spacing w:line="360" w:lineRule="auto"/>
      </w:pPr>
      <w:r>
        <w:t>7. Премия распределяется между работниками с учетом командного и индивидуального вклада.</w:t>
      </w:r>
    </w:p>
    <w:p>
      <w:pPr>
        <w:spacing w:line="360" w:lineRule="auto"/>
        <w:ind w:firstLine="709"/>
        <w:jc w:val="both"/>
      </w:pPr>
      <w:r>
        <w:rPr>
          <w:rFonts w:ascii="Times New Roman" w:hAnsi="Times New Roman" w:eastAsia="Times New Roman"/>
          <w:sz w:val="28"/>
        </w:rPr>
        <w:t>Пример логики распределения премии представлен в таблице 3.2а.</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Компонент премии</w:t>
            </w:r>
          </w:p>
        </w:tc>
        <w:tc>
          <w:tcPr>
            <w:tcW w:type="dxa" w:w="3230"/>
            <w:vAlign w:val="center"/>
            <w:shd w:fill="D9EAF7"/>
          </w:tcPr>
          <w:p>
            <w:pPr>
              <w:spacing w:line="240" w:lineRule="auto"/>
              <w:jc w:val="center"/>
            </w:pPr>
            <w:r>
              <w:rPr>
                <w:rFonts w:ascii="Times New Roman" w:hAnsi="Times New Roman" w:eastAsia="Times New Roman"/>
                <w:b/>
                <w:sz w:val="20"/>
              </w:rPr>
              <w:t>Доля</w:t>
            </w:r>
          </w:p>
        </w:tc>
        <w:tc>
          <w:tcPr>
            <w:tcW w:type="dxa" w:w="3230"/>
            <w:vAlign w:val="center"/>
            <w:shd w:fill="D9EAF7"/>
          </w:tcPr>
          <w:p>
            <w:pPr>
              <w:spacing w:line="240" w:lineRule="auto"/>
              <w:jc w:val="center"/>
            </w:pPr>
            <w:r>
              <w:rPr>
                <w:rFonts w:ascii="Times New Roman" w:hAnsi="Times New Roman" w:eastAsia="Times New Roman"/>
                <w:b/>
                <w:sz w:val="20"/>
              </w:rPr>
              <w:t>Основание начисления</w:t>
            </w:r>
          </w:p>
        </w:tc>
      </w:tr>
      <w:tr>
        <w:tc>
          <w:tcPr>
            <w:tcW w:type="dxa" w:w="3230"/>
            <w:vAlign w:val="center"/>
          </w:tcPr>
          <w:p>
            <w:pPr>
              <w:spacing w:line="240" w:lineRule="auto"/>
              <w:jc w:val="left"/>
            </w:pPr>
            <w:r>
              <w:rPr>
                <w:rFonts w:ascii="Times New Roman" w:hAnsi="Times New Roman" w:eastAsia="Times New Roman"/>
                <w:b w:val="0"/>
                <w:sz w:val="20"/>
              </w:rPr>
              <w:t>Командный результат отдела</w:t>
            </w:r>
          </w:p>
        </w:tc>
        <w:tc>
          <w:tcPr>
            <w:tcW w:type="dxa" w:w="3230"/>
            <w:vAlign w:val="center"/>
          </w:tcPr>
          <w:p>
            <w:pPr>
              <w:spacing w:line="240" w:lineRule="auto"/>
              <w:jc w:val="left"/>
            </w:pPr>
            <w:r>
              <w:rPr>
                <w:rFonts w:ascii="Times New Roman" w:hAnsi="Times New Roman" w:eastAsia="Times New Roman"/>
                <w:b w:val="0"/>
                <w:sz w:val="20"/>
              </w:rPr>
              <w:t>70%</w:t>
            </w:r>
          </w:p>
        </w:tc>
        <w:tc>
          <w:tcPr>
            <w:tcW w:type="dxa" w:w="3230"/>
            <w:vAlign w:val="center"/>
          </w:tcPr>
          <w:p>
            <w:pPr>
              <w:spacing w:line="240" w:lineRule="auto"/>
              <w:jc w:val="left"/>
            </w:pPr>
            <w:r>
              <w:rPr>
                <w:rFonts w:ascii="Times New Roman" w:hAnsi="Times New Roman" w:eastAsia="Times New Roman"/>
                <w:b w:val="0"/>
                <w:sz w:val="20"/>
              </w:rPr>
              <w:t>Выполнение общих KPI подразделения</w:t>
            </w:r>
          </w:p>
        </w:tc>
      </w:tr>
      <w:tr>
        <w:tc>
          <w:tcPr>
            <w:tcW w:type="dxa" w:w="3230"/>
            <w:vAlign w:val="center"/>
          </w:tcPr>
          <w:p>
            <w:pPr>
              <w:spacing w:line="240" w:lineRule="auto"/>
              <w:jc w:val="left"/>
            </w:pPr>
            <w:r>
              <w:rPr>
                <w:rFonts w:ascii="Times New Roman" w:hAnsi="Times New Roman" w:eastAsia="Times New Roman"/>
                <w:b w:val="0"/>
                <w:sz w:val="20"/>
              </w:rPr>
              <w:t>Индивидуальное качество работ</w:t>
            </w:r>
          </w:p>
        </w:tc>
        <w:tc>
          <w:tcPr>
            <w:tcW w:type="dxa" w:w="3230"/>
            <w:vAlign w:val="center"/>
          </w:tcPr>
          <w:p>
            <w:pPr>
              <w:spacing w:line="240" w:lineRule="auto"/>
              <w:jc w:val="left"/>
            </w:pPr>
            <w:r>
              <w:rPr>
                <w:rFonts w:ascii="Times New Roman" w:hAnsi="Times New Roman" w:eastAsia="Times New Roman"/>
                <w:b w:val="0"/>
                <w:sz w:val="20"/>
              </w:rPr>
              <w:t>15%</w:t>
            </w:r>
          </w:p>
        </w:tc>
        <w:tc>
          <w:tcPr>
            <w:tcW w:type="dxa" w:w="3230"/>
            <w:vAlign w:val="center"/>
          </w:tcPr>
          <w:p>
            <w:pPr>
              <w:spacing w:line="240" w:lineRule="auto"/>
              <w:jc w:val="left"/>
            </w:pPr>
            <w:r>
              <w:rPr>
                <w:rFonts w:ascii="Times New Roman" w:hAnsi="Times New Roman" w:eastAsia="Times New Roman"/>
                <w:b w:val="0"/>
                <w:sz w:val="20"/>
              </w:rPr>
              <w:t>Отсутствие повторных выездов и замечаний по конкретному работнику</w:t>
            </w:r>
          </w:p>
        </w:tc>
      </w:tr>
      <w:tr>
        <w:tc>
          <w:tcPr>
            <w:tcW w:type="dxa" w:w="3230"/>
            <w:vAlign w:val="center"/>
          </w:tcPr>
          <w:p>
            <w:pPr>
              <w:spacing w:line="240" w:lineRule="auto"/>
              <w:jc w:val="left"/>
            </w:pPr>
            <w:r>
              <w:rPr>
                <w:rFonts w:ascii="Times New Roman" w:hAnsi="Times New Roman" w:eastAsia="Times New Roman"/>
                <w:b w:val="0"/>
                <w:sz w:val="20"/>
              </w:rPr>
              <w:t>Участие в улучшениях</w:t>
            </w:r>
          </w:p>
        </w:tc>
        <w:tc>
          <w:tcPr>
            <w:tcW w:type="dxa" w:w="3230"/>
            <w:vAlign w:val="center"/>
          </w:tcPr>
          <w:p>
            <w:pPr>
              <w:spacing w:line="240" w:lineRule="auto"/>
              <w:jc w:val="left"/>
            </w:pPr>
            <w:r>
              <w:rPr>
                <w:rFonts w:ascii="Times New Roman" w:hAnsi="Times New Roman" w:eastAsia="Times New Roman"/>
                <w:b w:val="0"/>
                <w:sz w:val="20"/>
              </w:rPr>
              <w:t>10%</w:t>
            </w:r>
          </w:p>
        </w:tc>
        <w:tc>
          <w:tcPr>
            <w:tcW w:type="dxa" w:w="3230"/>
            <w:vAlign w:val="center"/>
          </w:tcPr>
          <w:p>
            <w:pPr>
              <w:spacing w:line="240" w:lineRule="auto"/>
              <w:jc w:val="left"/>
            </w:pPr>
            <w:r>
              <w:rPr>
                <w:rFonts w:ascii="Times New Roman" w:hAnsi="Times New Roman" w:eastAsia="Times New Roman"/>
                <w:b w:val="0"/>
                <w:sz w:val="20"/>
              </w:rPr>
              <w:t>Предложения, наставничество, помощь коллегам</w:t>
            </w:r>
          </w:p>
        </w:tc>
      </w:tr>
      <w:tr>
        <w:tc>
          <w:tcPr>
            <w:tcW w:type="dxa" w:w="3230"/>
            <w:vAlign w:val="center"/>
          </w:tcPr>
          <w:p>
            <w:pPr>
              <w:spacing w:line="240" w:lineRule="auto"/>
              <w:jc w:val="left"/>
            </w:pPr>
            <w:r>
              <w:rPr>
                <w:rFonts w:ascii="Times New Roman" w:hAnsi="Times New Roman" w:eastAsia="Times New Roman"/>
                <w:b w:val="0"/>
                <w:sz w:val="20"/>
              </w:rPr>
              <w:t>Дисциплина и безопасность</w:t>
            </w:r>
          </w:p>
        </w:tc>
        <w:tc>
          <w:tcPr>
            <w:tcW w:type="dxa" w:w="3230"/>
            <w:vAlign w:val="center"/>
          </w:tcPr>
          <w:p>
            <w:pPr>
              <w:spacing w:line="240" w:lineRule="auto"/>
              <w:jc w:val="left"/>
            </w:pPr>
            <w:r>
              <w:rPr>
                <w:rFonts w:ascii="Times New Roman" w:hAnsi="Times New Roman" w:eastAsia="Times New Roman"/>
                <w:b w:val="0"/>
                <w:sz w:val="20"/>
              </w:rPr>
              <w:t>5%</w:t>
            </w:r>
          </w:p>
        </w:tc>
        <w:tc>
          <w:tcPr>
            <w:tcW w:type="dxa" w:w="3230"/>
            <w:vAlign w:val="center"/>
          </w:tcPr>
          <w:p>
            <w:pPr>
              <w:spacing w:line="240" w:lineRule="auto"/>
              <w:jc w:val="left"/>
            </w:pPr>
            <w:r>
              <w:rPr>
                <w:rFonts w:ascii="Times New Roman" w:hAnsi="Times New Roman" w:eastAsia="Times New Roman"/>
                <w:b w:val="0"/>
                <w:sz w:val="20"/>
              </w:rPr>
              <w:t>Отсутствие нарушений ПВТР и требований охраны труда</w:t>
            </w:r>
          </w:p>
        </w:tc>
      </w:tr>
    </w:tbl>
    <w:p/>
    <w:p>
      <w:pPr>
        <w:spacing w:line="360" w:lineRule="auto"/>
        <w:ind w:firstLine="709"/>
        <w:jc w:val="both"/>
      </w:pPr>
      <w:r>
        <w:rPr>
          <w:rFonts w:ascii="Times New Roman" w:hAnsi="Times New Roman" w:eastAsia="Times New Roman"/>
          <w:sz w:val="28"/>
        </w:rPr>
        <w:t>Таблица 3.2а - Предлагаемая структура распределения KPI-премии</w:t>
      </w:r>
    </w:p>
    <w:p>
      <w:pPr>
        <w:spacing w:line="360" w:lineRule="auto"/>
        <w:ind w:firstLine="709"/>
        <w:jc w:val="both"/>
      </w:pPr>
      <w:r>
        <w:rPr>
          <w:rFonts w:ascii="Times New Roman" w:hAnsi="Times New Roman" w:eastAsia="Times New Roman"/>
          <w:sz w:val="28"/>
        </w:rPr>
        <w:t>Такая структура позволяет избежать двух крайностей. С одной стороны, она не превращает премию в полностью коллективную выплату, при которой активные сотрудники получают столько же, сколько менее вовлеченные. С другой стороны, она не делает премию чрезмерно индивидуальной, поскольку технический результат зависит от командного взаимодействия.</w:t>
      </w:r>
    </w:p>
    <w:p>
      <w:pPr>
        <w:pStyle w:val="Heading3"/>
      </w:pPr>
      <w:r>
        <w:t>3.2.2. Карта компетенций и наставничество</w:t>
      </w:r>
    </w:p>
    <w:p>
      <w:pPr>
        <w:spacing w:line="360" w:lineRule="auto"/>
        <w:ind w:firstLine="709"/>
        <w:jc w:val="both"/>
      </w:pPr>
      <w:r>
        <w:rPr>
          <w:rFonts w:ascii="Times New Roman" w:hAnsi="Times New Roman" w:eastAsia="Times New Roman"/>
          <w:sz w:val="28"/>
        </w:rPr>
        <w:t>Для усиления нематериальной мотивации предлагается ввести карту компетенций отдела электриков. Она не требует изменения штатного расписания на первом этапе, но может использоваться как управленческий инструмент для оценки развития.</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Уровень</w:t>
            </w:r>
          </w:p>
        </w:tc>
        <w:tc>
          <w:tcPr>
            <w:tcW w:type="dxa" w:w="3230"/>
            <w:vAlign w:val="center"/>
            <w:shd w:fill="D9EAF7"/>
          </w:tcPr>
          <w:p>
            <w:pPr>
              <w:spacing w:line="240" w:lineRule="auto"/>
              <w:jc w:val="center"/>
            </w:pPr>
            <w:r>
              <w:rPr>
                <w:rFonts w:ascii="Times New Roman" w:hAnsi="Times New Roman" w:eastAsia="Times New Roman"/>
                <w:b/>
                <w:sz w:val="20"/>
              </w:rPr>
              <w:t>Критерии</w:t>
            </w:r>
          </w:p>
        </w:tc>
        <w:tc>
          <w:tcPr>
            <w:tcW w:type="dxa" w:w="3230"/>
            <w:vAlign w:val="center"/>
            <w:shd w:fill="D9EAF7"/>
          </w:tcPr>
          <w:p>
            <w:pPr>
              <w:spacing w:line="240" w:lineRule="auto"/>
              <w:jc w:val="center"/>
            </w:pPr>
            <w:r>
              <w:rPr>
                <w:rFonts w:ascii="Times New Roman" w:hAnsi="Times New Roman" w:eastAsia="Times New Roman"/>
                <w:b/>
                <w:sz w:val="20"/>
              </w:rPr>
              <w:t>Мотивационный эффект</w:t>
            </w:r>
          </w:p>
        </w:tc>
      </w:tr>
      <w:tr>
        <w:tc>
          <w:tcPr>
            <w:tcW w:type="dxa" w:w="3230"/>
            <w:vAlign w:val="center"/>
          </w:tcPr>
          <w:p>
            <w:pPr>
              <w:spacing w:line="240" w:lineRule="auto"/>
              <w:jc w:val="left"/>
            </w:pPr>
            <w:r>
              <w:rPr>
                <w:rFonts w:ascii="Times New Roman" w:hAnsi="Times New Roman" w:eastAsia="Times New Roman"/>
                <w:b w:val="0"/>
                <w:sz w:val="20"/>
              </w:rPr>
              <w:t>Электрик</w:t>
            </w:r>
          </w:p>
        </w:tc>
        <w:tc>
          <w:tcPr>
            <w:tcW w:type="dxa" w:w="3230"/>
            <w:vAlign w:val="center"/>
          </w:tcPr>
          <w:p>
            <w:pPr>
              <w:spacing w:line="240" w:lineRule="auto"/>
              <w:jc w:val="left"/>
            </w:pPr>
            <w:r>
              <w:rPr>
                <w:rFonts w:ascii="Times New Roman" w:hAnsi="Times New Roman" w:eastAsia="Times New Roman"/>
                <w:b w:val="0"/>
                <w:sz w:val="20"/>
              </w:rPr>
              <w:t>Выполняет типовые работы, соблюдает нормы безопасности</w:t>
            </w:r>
          </w:p>
        </w:tc>
        <w:tc>
          <w:tcPr>
            <w:tcW w:type="dxa" w:w="3230"/>
            <w:vAlign w:val="center"/>
          </w:tcPr>
          <w:p>
            <w:pPr>
              <w:spacing w:line="240" w:lineRule="auto"/>
              <w:jc w:val="left"/>
            </w:pPr>
            <w:r>
              <w:rPr>
                <w:rFonts w:ascii="Times New Roman" w:hAnsi="Times New Roman" w:eastAsia="Times New Roman"/>
                <w:b w:val="0"/>
                <w:sz w:val="20"/>
              </w:rPr>
              <w:t>Понимание базовых требований</w:t>
            </w:r>
          </w:p>
        </w:tc>
      </w:tr>
      <w:tr>
        <w:tc>
          <w:tcPr>
            <w:tcW w:type="dxa" w:w="3230"/>
            <w:vAlign w:val="center"/>
          </w:tcPr>
          <w:p>
            <w:pPr>
              <w:spacing w:line="240" w:lineRule="auto"/>
              <w:jc w:val="left"/>
            </w:pPr>
            <w:r>
              <w:rPr>
                <w:rFonts w:ascii="Times New Roman" w:hAnsi="Times New Roman" w:eastAsia="Times New Roman"/>
                <w:b w:val="0"/>
                <w:sz w:val="20"/>
              </w:rPr>
              <w:t>Электрик 1 категории</w:t>
            </w:r>
          </w:p>
        </w:tc>
        <w:tc>
          <w:tcPr>
            <w:tcW w:type="dxa" w:w="3230"/>
            <w:vAlign w:val="center"/>
          </w:tcPr>
          <w:p>
            <w:pPr>
              <w:spacing w:line="240" w:lineRule="auto"/>
              <w:jc w:val="left"/>
            </w:pPr>
            <w:r>
              <w:rPr>
                <w:rFonts w:ascii="Times New Roman" w:hAnsi="Times New Roman" w:eastAsia="Times New Roman"/>
                <w:b w:val="0"/>
                <w:sz w:val="20"/>
              </w:rPr>
              <w:t>Самостоятельно выполняет сложные заявки, снижает повторные выезды</w:t>
            </w:r>
          </w:p>
        </w:tc>
        <w:tc>
          <w:tcPr>
            <w:tcW w:type="dxa" w:w="3230"/>
            <w:vAlign w:val="center"/>
          </w:tcPr>
          <w:p>
            <w:pPr>
              <w:spacing w:line="240" w:lineRule="auto"/>
              <w:jc w:val="left"/>
            </w:pPr>
            <w:r>
              <w:rPr>
                <w:rFonts w:ascii="Times New Roman" w:hAnsi="Times New Roman" w:eastAsia="Times New Roman"/>
                <w:b w:val="0"/>
                <w:sz w:val="20"/>
              </w:rPr>
              <w:t>Рост профессионального статуса</w:t>
            </w:r>
          </w:p>
        </w:tc>
      </w:tr>
      <w:tr>
        <w:tc>
          <w:tcPr>
            <w:tcW w:type="dxa" w:w="3230"/>
            <w:vAlign w:val="center"/>
          </w:tcPr>
          <w:p>
            <w:pPr>
              <w:spacing w:line="240" w:lineRule="auto"/>
              <w:jc w:val="left"/>
            </w:pPr>
            <w:r>
              <w:rPr>
                <w:rFonts w:ascii="Times New Roman" w:hAnsi="Times New Roman" w:eastAsia="Times New Roman"/>
                <w:b w:val="0"/>
                <w:sz w:val="20"/>
              </w:rPr>
              <w:t>Старший электрик</w:t>
            </w:r>
          </w:p>
        </w:tc>
        <w:tc>
          <w:tcPr>
            <w:tcW w:type="dxa" w:w="3230"/>
            <w:vAlign w:val="center"/>
          </w:tcPr>
          <w:p>
            <w:pPr>
              <w:spacing w:line="240" w:lineRule="auto"/>
              <w:jc w:val="left"/>
            </w:pPr>
            <w:r>
              <w:rPr>
                <w:rFonts w:ascii="Times New Roman" w:hAnsi="Times New Roman" w:eastAsia="Times New Roman"/>
                <w:b w:val="0"/>
                <w:sz w:val="20"/>
              </w:rPr>
              <w:t>Координирует работу смены/группы, помогает коллегам</w:t>
            </w:r>
          </w:p>
        </w:tc>
        <w:tc>
          <w:tcPr>
            <w:tcW w:type="dxa" w:w="3230"/>
            <w:vAlign w:val="center"/>
          </w:tcPr>
          <w:p>
            <w:pPr>
              <w:spacing w:line="240" w:lineRule="auto"/>
              <w:jc w:val="left"/>
            </w:pPr>
            <w:r>
              <w:rPr>
                <w:rFonts w:ascii="Times New Roman" w:hAnsi="Times New Roman" w:eastAsia="Times New Roman"/>
                <w:b w:val="0"/>
                <w:sz w:val="20"/>
              </w:rPr>
              <w:t>Признание опыта</w:t>
            </w:r>
          </w:p>
        </w:tc>
      </w:tr>
      <w:tr>
        <w:tc>
          <w:tcPr>
            <w:tcW w:type="dxa" w:w="3230"/>
            <w:vAlign w:val="center"/>
          </w:tcPr>
          <w:p>
            <w:pPr>
              <w:spacing w:line="240" w:lineRule="auto"/>
              <w:jc w:val="left"/>
            </w:pPr>
            <w:r>
              <w:rPr>
                <w:rFonts w:ascii="Times New Roman" w:hAnsi="Times New Roman" w:eastAsia="Times New Roman"/>
                <w:b w:val="0"/>
                <w:sz w:val="20"/>
              </w:rPr>
              <w:t>Электрик-наставник</w:t>
            </w:r>
          </w:p>
        </w:tc>
        <w:tc>
          <w:tcPr>
            <w:tcW w:type="dxa" w:w="3230"/>
            <w:vAlign w:val="center"/>
          </w:tcPr>
          <w:p>
            <w:pPr>
              <w:spacing w:line="240" w:lineRule="auto"/>
              <w:jc w:val="left"/>
            </w:pPr>
            <w:r>
              <w:rPr>
                <w:rFonts w:ascii="Times New Roman" w:hAnsi="Times New Roman" w:eastAsia="Times New Roman"/>
                <w:b w:val="0"/>
                <w:sz w:val="20"/>
              </w:rPr>
              <w:t>Обучает новичков, ведет индивидуальный план адаптации</w:t>
            </w:r>
          </w:p>
        </w:tc>
        <w:tc>
          <w:tcPr>
            <w:tcW w:type="dxa" w:w="3230"/>
            <w:vAlign w:val="center"/>
          </w:tcPr>
          <w:p>
            <w:pPr>
              <w:spacing w:line="240" w:lineRule="auto"/>
              <w:jc w:val="left"/>
            </w:pPr>
            <w:r>
              <w:rPr>
                <w:rFonts w:ascii="Times New Roman" w:hAnsi="Times New Roman" w:eastAsia="Times New Roman"/>
                <w:b w:val="0"/>
                <w:sz w:val="20"/>
              </w:rPr>
              <w:t>Доплата и статус</w:t>
            </w:r>
          </w:p>
        </w:tc>
      </w:tr>
      <w:tr>
        <w:tc>
          <w:tcPr>
            <w:tcW w:type="dxa" w:w="3230"/>
            <w:vAlign w:val="center"/>
          </w:tcPr>
          <w:p>
            <w:pPr>
              <w:spacing w:line="240" w:lineRule="auto"/>
              <w:jc w:val="left"/>
            </w:pPr>
            <w:r>
              <w:rPr>
                <w:rFonts w:ascii="Times New Roman" w:hAnsi="Times New Roman" w:eastAsia="Times New Roman"/>
                <w:b w:val="0"/>
                <w:sz w:val="20"/>
              </w:rPr>
              <w:t>Эксперт по системам учета</w:t>
            </w:r>
          </w:p>
        </w:tc>
        <w:tc>
          <w:tcPr>
            <w:tcW w:type="dxa" w:w="3230"/>
            <w:vAlign w:val="center"/>
          </w:tcPr>
          <w:p>
            <w:pPr>
              <w:spacing w:line="240" w:lineRule="auto"/>
              <w:jc w:val="left"/>
            </w:pPr>
            <w:r>
              <w:rPr>
                <w:rFonts w:ascii="Times New Roman" w:hAnsi="Times New Roman" w:eastAsia="Times New Roman"/>
                <w:b w:val="0"/>
                <w:sz w:val="20"/>
              </w:rPr>
              <w:t>Участвует в анализе сложных случаев и улучшениях</w:t>
            </w:r>
          </w:p>
        </w:tc>
        <w:tc>
          <w:tcPr>
            <w:tcW w:type="dxa" w:w="3230"/>
            <w:vAlign w:val="center"/>
          </w:tcPr>
          <w:p>
            <w:pPr>
              <w:spacing w:line="240" w:lineRule="auto"/>
              <w:jc w:val="left"/>
            </w:pPr>
            <w:r>
              <w:rPr>
                <w:rFonts w:ascii="Times New Roman" w:hAnsi="Times New Roman" w:eastAsia="Times New Roman"/>
                <w:b w:val="0"/>
                <w:sz w:val="20"/>
              </w:rPr>
              <w:t>Карьерная перспектива без ухода из профессии</w:t>
            </w:r>
          </w:p>
        </w:tc>
      </w:tr>
    </w:tbl>
    <w:p/>
    <w:p>
      <w:pPr>
        <w:spacing w:line="360" w:lineRule="auto"/>
        <w:ind w:firstLine="709"/>
        <w:jc w:val="both"/>
      </w:pPr>
      <w:r>
        <w:rPr>
          <w:rFonts w:ascii="Times New Roman" w:hAnsi="Times New Roman" w:eastAsia="Times New Roman"/>
          <w:sz w:val="28"/>
        </w:rPr>
        <w:t>Таблица 3.3 - Карта компетенций сотрудников отдела электриков</w:t>
      </w:r>
    </w:p>
    <w:p>
      <w:pPr>
        <w:spacing w:line="360" w:lineRule="auto"/>
        <w:ind w:firstLine="709"/>
        <w:jc w:val="both"/>
      </w:pPr>
      <w:r>
        <w:rPr>
          <w:rFonts w:ascii="Times New Roman" w:hAnsi="Times New Roman" w:eastAsia="Times New Roman"/>
          <w:sz w:val="28"/>
        </w:rPr>
        <w:t>Для наставников предлагается сохранить действующий принцип доплаты до 20% оклада, но дополнить его оценкой результата: успешность адаптации новичка, отсутствие повторных ошибок, выполнение индивидуального плана развития, отзыв адаптируемого сотрудника.</w:t>
      </w:r>
    </w:p>
    <w:p>
      <w:pPr>
        <w:spacing w:line="360" w:lineRule="auto"/>
        <w:ind w:firstLine="709"/>
        <w:jc w:val="both"/>
      </w:pPr>
      <w:r>
        <w:rPr>
          <w:rFonts w:ascii="Times New Roman" w:hAnsi="Times New Roman" w:eastAsia="Times New Roman"/>
          <w:sz w:val="28"/>
        </w:rPr>
        <w:t>Карта компетенций должна применяться не как формальная аттестация, а как инструмент профессионального диалога между работником и руководителем. Один раз в полугодие руководитель отдела электриков проводит оценочную беседу с сотрудником: какие виды работ освоены, какие ошибки повторяются, готов ли работник быть наставником, какие навыки нужны для перехода на следующий уровень. Результаты фиксируются в индивидуальной карте развития.</w:t>
      </w:r>
    </w:p>
    <w:p>
      <w:pPr>
        <w:spacing w:line="360" w:lineRule="auto"/>
        <w:ind w:firstLine="709"/>
        <w:jc w:val="both"/>
      </w:pPr>
      <w:r>
        <w:rPr>
          <w:rFonts w:ascii="Times New Roman" w:hAnsi="Times New Roman" w:eastAsia="Times New Roman"/>
          <w:sz w:val="28"/>
        </w:rPr>
        <w:t>Практический смысл карты компетенций состоит в том, что она помогает отделить стаж от профессиональной результативности. Сотрудник может давно работать в организации, но не участвовать в улучшениях и наставничестве. И наоборот, более молодой работник может быстро освоить цифровые инструменты, качественно выполнять заявки и предлагать улучшения. Поэтому карта компетенций должна учитывать не только стаж, но и качество работы, безопасность, инициативность и способность передавать знания.</w:t>
      </w:r>
    </w:p>
    <w:p>
      <w:pPr>
        <w:spacing w:line="360" w:lineRule="auto"/>
        <w:ind w:firstLine="709"/>
        <w:jc w:val="both"/>
      </w:pPr>
      <w:r>
        <w:rPr>
          <w:rFonts w:ascii="Times New Roman" w:hAnsi="Times New Roman" w:eastAsia="Times New Roman"/>
          <w:sz w:val="28"/>
        </w:rPr>
        <w:t>Для внедрения карты компетенций предлагается использовать следующие документы:</w:t>
      </w:r>
    </w:p>
    <w:p>
      <w:pPr>
        <w:pStyle w:val="ListBullet"/>
        <w:spacing w:line="360" w:lineRule="auto"/>
      </w:pPr>
      <w:r>
        <w:t>профиль должности электрика;</w:t>
      </w:r>
    </w:p>
    <w:p>
      <w:pPr>
        <w:pStyle w:val="ListBullet"/>
        <w:spacing w:line="360" w:lineRule="auto"/>
      </w:pPr>
      <w:r>
        <w:t>чек-лист освоенных технических операций;</w:t>
      </w:r>
    </w:p>
    <w:p>
      <w:pPr>
        <w:pStyle w:val="ListBullet"/>
        <w:spacing w:line="360" w:lineRule="auto"/>
      </w:pPr>
      <w:r>
        <w:t>лист оценки соблюдения требований безопасности;</w:t>
      </w:r>
    </w:p>
    <w:p>
      <w:pPr>
        <w:pStyle w:val="ListBullet"/>
        <w:spacing w:line="360" w:lineRule="auto"/>
      </w:pPr>
      <w:r>
        <w:t>индивидуальный план развития;</w:t>
      </w:r>
    </w:p>
    <w:p>
      <w:pPr>
        <w:pStyle w:val="ListBullet"/>
        <w:spacing w:line="360" w:lineRule="auto"/>
      </w:pPr>
      <w:r>
        <w:t>отчет наставника;</w:t>
      </w:r>
    </w:p>
    <w:p>
      <w:pPr>
        <w:pStyle w:val="ListBullet"/>
        <w:spacing w:line="360" w:lineRule="auto"/>
      </w:pPr>
      <w:r>
        <w:t>форма обратной связи от нового работника;</w:t>
      </w:r>
    </w:p>
    <w:p>
      <w:pPr>
        <w:pStyle w:val="ListBullet"/>
        <w:spacing w:line="360" w:lineRule="auto"/>
      </w:pPr>
      <w:r>
        <w:t>перечень оснований для присвоения статуса «наставник» или «эксперт».</w:t>
      </w:r>
    </w:p>
    <w:p>
      <w:pPr>
        <w:spacing w:line="360" w:lineRule="auto"/>
        <w:ind w:firstLine="709"/>
        <w:jc w:val="both"/>
      </w:pPr>
      <w:r>
        <w:rPr>
          <w:rFonts w:ascii="Times New Roman" w:hAnsi="Times New Roman" w:eastAsia="Times New Roman"/>
          <w:sz w:val="28"/>
        </w:rPr>
        <w:t>Такой комплект документов не требует сложной цифровой системы и может быть реализован на базе существующего кадрового документооборота.</w:t>
      </w:r>
    </w:p>
    <w:p>
      <w:pPr>
        <w:pStyle w:val="Heading3"/>
      </w:pPr>
      <w:r>
        <w:t>3.2.3. Обновление инструментов и условий труда</w:t>
      </w:r>
    </w:p>
    <w:p>
      <w:pPr>
        <w:spacing w:line="360" w:lineRule="auto"/>
        <w:ind w:firstLine="709"/>
        <w:jc w:val="both"/>
      </w:pPr>
      <w:r>
        <w:rPr>
          <w:rFonts w:ascii="Times New Roman" w:hAnsi="Times New Roman" w:eastAsia="Times New Roman"/>
          <w:sz w:val="28"/>
        </w:rPr>
        <w:t>Умеренная удовлетворенность инструментальным обеспечением по результатам опроса показывает, что мотивация связана не только с оплатой, но и с условиями труда. Для электриков инструмент является частью профессиональной безопасности и качества работы. Предлагается сформировать резерв диэлектрических наборов: 12 базовых комплектов и 6 расширенных комплектов для сложных работ.</w:t>
      </w:r>
    </w:p>
    <w:p>
      <w:pPr>
        <w:spacing w:line="360" w:lineRule="auto"/>
        <w:ind w:firstLine="709"/>
        <w:jc w:val="both"/>
      </w:pPr>
      <w:r>
        <w:rPr>
          <w:rFonts w:ascii="Times New Roman" w:hAnsi="Times New Roman" w:eastAsia="Times New Roman"/>
          <w:sz w:val="28"/>
        </w:rPr>
        <w:t>По открытым рыночным данным, базовые наборы диэлектрического инструмента могут стоить около 3,8-5,4 тыс. руб., расширенные профессиональные комплекты - около 13,5-16,1 тыс. руб. Для расчетов принимается стоимость базового комплекта 5 360 руб., расширенного комплекта 13 500 руб.</w:t>
      </w:r>
    </w:p>
    <w:p>
      <w:pPr>
        <w:spacing w:line="360" w:lineRule="auto"/>
        <w:ind w:firstLine="709"/>
        <w:jc w:val="both"/>
      </w:pPr>
      <w:r>
        <w:rPr>
          <w:rFonts w:ascii="Times New Roman" w:hAnsi="Times New Roman" w:eastAsia="Times New Roman"/>
          <w:sz w:val="28"/>
        </w:rPr>
        <w:t>Обновление инструментов имеет не только техническое, но и мотивационное значение. Если работник обеспечен исправным инструментом, он воспринимает это как уважение к своему труду и заботу о безопасности. Кроме того, качественный инструмент снижает риск повреждения оборудования, ускоряет выполнение операций и уменьшает вероятность повторных выездов.</w:t>
      </w:r>
    </w:p>
    <w:p>
      <w:pPr>
        <w:spacing w:line="360" w:lineRule="auto"/>
        <w:ind w:firstLine="709"/>
        <w:jc w:val="both"/>
      </w:pPr>
      <w:r>
        <w:rPr>
          <w:rFonts w:ascii="Times New Roman" w:hAnsi="Times New Roman" w:eastAsia="Times New Roman"/>
          <w:sz w:val="28"/>
        </w:rPr>
        <w:t>Предлагается закрепить порядок учета инструментального обеспечения:</w:t>
      </w:r>
    </w:p>
    <w:p>
      <w:pPr>
        <w:pStyle w:val="ListNumber"/>
        <w:spacing w:line="360" w:lineRule="auto"/>
      </w:pPr>
      <w:r>
        <w:t>1. Провести инвентаризацию имеющихся комплектов.</w:t>
      </w:r>
    </w:p>
    <w:p>
      <w:pPr>
        <w:pStyle w:val="ListNumber"/>
        <w:spacing w:line="360" w:lineRule="auto"/>
      </w:pPr>
      <w:r>
        <w:t>2. Разделить инструмент на индивидуальный, бригадный и резервный.</w:t>
      </w:r>
    </w:p>
    <w:p>
      <w:pPr>
        <w:pStyle w:val="ListNumber"/>
        <w:spacing w:line="360" w:lineRule="auto"/>
      </w:pPr>
      <w:r>
        <w:t>3. Зафиксировать минимальный перечень инструмента для типовой заявки.</w:t>
      </w:r>
    </w:p>
    <w:p>
      <w:pPr>
        <w:pStyle w:val="ListNumber"/>
        <w:spacing w:line="360" w:lineRule="auto"/>
      </w:pPr>
      <w:r>
        <w:t>4. Назначить ответственного за состояние резервных комплектов.</w:t>
      </w:r>
    </w:p>
    <w:p>
      <w:pPr>
        <w:pStyle w:val="ListNumber"/>
        <w:spacing w:line="360" w:lineRule="auto"/>
      </w:pPr>
      <w:r>
        <w:t>5. Включить обеспеченность инструментом в ежеквартальный опрос сотрудников.</w:t>
      </w:r>
    </w:p>
    <w:p>
      <w:pPr>
        <w:pStyle w:val="ListNumber"/>
        <w:spacing w:line="360" w:lineRule="auto"/>
      </w:pPr>
      <w:r>
        <w:t>6. Списывать изношенный инструмент не после возникновения проблем, а по плановой оценке состояния.</w:t>
      </w:r>
    </w:p>
    <w:p>
      <w:pPr>
        <w:spacing w:line="360" w:lineRule="auto"/>
        <w:ind w:firstLine="709"/>
        <w:jc w:val="both"/>
      </w:pPr>
      <w:r>
        <w:rPr>
          <w:rFonts w:ascii="Times New Roman" w:hAnsi="Times New Roman" w:eastAsia="Times New Roman"/>
          <w:sz w:val="28"/>
        </w:rPr>
        <w:t>Этот механизм адаптируется к действующей системе управления через материально-техническое снабжение, охрану труда и руководителя отдела электриков.</w:t>
      </w:r>
    </w:p>
    <w:p>
      <w:pPr>
        <w:pStyle w:val="Heading3"/>
      </w:pPr>
      <w:r>
        <w:t>3.2.4. Система нематериального признания</w:t>
      </w:r>
    </w:p>
    <w:p>
      <w:pPr>
        <w:spacing w:line="360" w:lineRule="auto"/>
        <w:ind w:firstLine="709"/>
        <w:jc w:val="both"/>
      </w:pPr>
      <w:r>
        <w:rPr>
          <w:rFonts w:ascii="Times New Roman" w:hAnsi="Times New Roman" w:eastAsia="Times New Roman"/>
          <w:sz w:val="28"/>
        </w:rPr>
        <w:t>Для устранения проблемы «невидимости» профилактического труда предлагается ввести ежеквартальное признание достижений:</w:t>
      </w:r>
    </w:p>
    <w:p>
      <w:pPr>
        <w:pStyle w:val="ListBullet"/>
        <w:spacing w:line="360" w:lineRule="auto"/>
      </w:pPr>
      <w:r>
        <w:t>«Лучший электрик квартала»;</w:t>
      </w:r>
    </w:p>
    <w:p>
      <w:pPr>
        <w:pStyle w:val="ListBullet"/>
        <w:spacing w:line="360" w:lineRule="auto"/>
      </w:pPr>
      <w:r>
        <w:t>«Лучшее предложение по улучшению процесса»;</w:t>
      </w:r>
    </w:p>
    <w:p>
      <w:pPr>
        <w:pStyle w:val="ListBullet"/>
        <w:spacing w:line="360" w:lineRule="auto"/>
      </w:pPr>
      <w:r>
        <w:t>«Наставник квартала»;</w:t>
      </w:r>
    </w:p>
    <w:p>
      <w:pPr>
        <w:pStyle w:val="ListBullet"/>
        <w:spacing w:line="360" w:lineRule="auto"/>
      </w:pPr>
      <w:r>
        <w:t>публикация благодарности на внутреннем портале;</w:t>
      </w:r>
    </w:p>
    <w:p>
      <w:pPr>
        <w:pStyle w:val="ListBullet"/>
        <w:spacing w:line="360" w:lineRule="auto"/>
      </w:pPr>
      <w:r>
        <w:t>вручение сертификата номиналом 3 000 руб.;</w:t>
      </w:r>
    </w:p>
    <w:p>
      <w:pPr>
        <w:pStyle w:val="ListBullet"/>
        <w:spacing w:line="360" w:lineRule="auto"/>
      </w:pPr>
      <w:r>
        <w:t>включение достижений в кадровый профиль сотрудника.</w:t>
      </w:r>
    </w:p>
    <w:p>
      <w:pPr>
        <w:spacing w:line="360" w:lineRule="auto"/>
        <w:ind w:firstLine="709"/>
        <w:jc w:val="both"/>
      </w:pPr>
      <w:r>
        <w:rPr>
          <w:rFonts w:ascii="Times New Roman" w:hAnsi="Times New Roman" w:eastAsia="Times New Roman"/>
          <w:sz w:val="28"/>
        </w:rPr>
        <w:t>Стоимость сертификата 3 000 руб. соответствует распространенному уровню корпоративных подарков и признания сотрудников. Важным является не только сам сертификат, но и публичная фиксация вклада работника.</w:t>
      </w:r>
    </w:p>
    <w:p>
      <w:pPr>
        <w:pStyle w:val="Heading3"/>
      </w:pPr>
      <w:r>
        <w:t>3.2.5. Регулярный мониторинг мотивации</w:t>
      </w:r>
    </w:p>
    <w:p>
      <w:pPr>
        <w:spacing w:line="360" w:lineRule="auto"/>
        <w:ind w:firstLine="709"/>
        <w:jc w:val="both"/>
      </w:pPr>
      <w:r>
        <w:rPr>
          <w:rFonts w:ascii="Times New Roman" w:hAnsi="Times New Roman" w:eastAsia="Times New Roman"/>
          <w:sz w:val="28"/>
        </w:rPr>
        <w:t>Анонимный опрос, использованный во второй главе, предлагается сделать регулярным. Он может проводиться ежеквартально через бесплатные инструменты анкетирования с обработкой результатов HR-службой. Вопросы должны повторяться, чтобы можно было видеть динамику индекса удовлетворенности по ключевым факторам.</w:t>
      </w:r>
    </w:p>
    <w:p>
      <w:pPr>
        <w:spacing w:line="360" w:lineRule="auto"/>
        <w:ind w:firstLine="709"/>
        <w:jc w:val="both"/>
      </w:pPr>
      <w:r>
        <w:rPr>
          <w:rFonts w:ascii="Times New Roman" w:hAnsi="Times New Roman" w:eastAsia="Times New Roman"/>
          <w:sz w:val="28"/>
        </w:rPr>
        <w:t>Для мониторинга рекомендуется использовать 10 постоянных вопросов:</w:t>
      </w:r>
    </w:p>
    <w:p>
      <w:pPr>
        <w:pStyle w:val="ListNumber"/>
        <w:spacing w:line="360" w:lineRule="auto"/>
      </w:pPr>
      <w:r>
        <w:t>1. Понятны ли мне критерии премирования?</w:t>
      </w:r>
    </w:p>
    <w:p>
      <w:pPr>
        <w:pStyle w:val="ListNumber"/>
        <w:spacing w:line="360" w:lineRule="auto"/>
      </w:pPr>
      <w:r>
        <w:t>2. Считаю ли я распределение премии справедливым?</w:t>
      </w:r>
    </w:p>
    <w:p>
      <w:pPr>
        <w:pStyle w:val="ListNumber"/>
        <w:spacing w:line="360" w:lineRule="auto"/>
      </w:pPr>
      <w:r>
        <w:t>3. Достаточно ли мне инструментов для качественной работы?</w:t>
      </w:r>
    </w:p>
    <w:p>
      <w:pPr>
        <w:pStyle w:val="ListNumber"/>
        <w:spacing w:line="360" w:lineRule="auto"/>
      </w:pPr>
      <w:r>
        <w:t>4. Получаю ли я признание за хороший результат?</w:t>
      </w:r>
    </w:p>
    <w:p>
      <w:pPr>
        <w:pStyle w:val="ListNumber"/>
        <w:spacing w:line="360" w:lineRule="auto"/>
      </w:pPr>
      <w:r>
        <w:t>5. Есть ли у меня возможность развиваться профессионально?</w:t>
      </w:r>
    </w:p>
    <w:p>
      <w:pPr>
        <w:pStyle w:val="ListNumber"/>
        <w:spacing w:line="360" w:lineRule="auto"/>
      </w:pPr>
      <w:r>
        <w:t>6. Достаточно ли руководитель дает обратную связь?</w:t>
      </w:r>
    </w:p>
    <w:p>
      <w:pPr>
        <w:pStyle w:val="ListNumber"/>
        <w:spacing w:line="360" w:lineRule="auto"/>
      </w:pPr>
      <w:r>
        <w:t>7. Считаю ли я нагрузку приемлемой?</w:t>
      </w:r>
    </w:p>
    <w:p>
      <w:pPr>
        <w:pStyle w:val="ListNumber"/>
        <w:spacing w:line="360" w:lineRule="auto"/>
      </w:pPr>
      <w:r>
        <w:t>8. Готов ли я рекомендовать подразделение как место работы?</w:t>
      </w:r>
    </w:p>
    <w:p>
      <w:pPr>
        <w:pStyle w:val="ListNumber"/>
        <w:spacing w:line="360" w:lineRule="auto"/>
      </w:pPr>
      <w:r>
        <w:t>9. Понимаю ли я, как мой труд влияет на результат компании?</w:t>
      </w:r>
    </w:p>
    <w:p>
      <w:pPr>
        <w:pStyle w:val="ListNumber"/>
        <w:spacing w:line="360" w:lineRule="auto"/>
      </w:pPr>
      <w:r>
        <w:t>10. Готов ли я участвовать в улучшении процессов?</w:t>
      </w:r>
    </w:p>
    <w:p>
      <w:pPr>
        <w:spacing w:line="360" w:lineRule="auto"/>
        <w:ind w:firstLine="709"/>
        <w:jc w:val="both"/>
      </w:pPr>
      <w:r>
        <w:rPr>
          <w:rFonts w:ascii="Times New Roman" w:hAnsi="Times New Roman" w:eastAsia="Times New Roman"/>
          <w:sz w:val="28"/>
        </w:rPr>
        <w:t>По каждому вопросу рассчитывается индекс удовлетворенности. Если индекс падает ниже 50%, руководитель отдела совместно с HR-службой обязан определить корректирующее действие. Это может быть разъяснение критериев премирования, дополнительное обучение, пересмотр распределения заявок или обновление инструмента.</w:t>
      </w:r>
    </w:p>
    <w:p>
      <w:pPr>
        <w:spacing w:line="360" w:lineRule="auto"/>
        <w:ind w:firstLine="709"/>
        <w:jc w:val="both"/>
      </w:pPr>
      <w:r>
        <w:rPr>
          <w:rFonts w:ascii="Times New Roman" w:hAnsi="Times New Roman" w:eastAsia="Times New Roman"/>
          <w:sz w:val="28"/>
        </w:rPr>
        <w:t>Технология внедрения программы представлена в таблице 3.4.</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pPr>
              <w:spacing w:line="240" w:lineRule="auto"/>
              <w:jc w:val="center"/>
            </w:pPr>
            <w:r>
              <w:rPr>
                <w:rFonts w:ascii="Times New Roman" w:hAnsi="Times New Roman" w:eastAsia="Times New Roman"/>
                <w:b/>
                <w:sz w:val="20"/>
              </w:rPr>
              <w:t>Этап</w:t>
            </w:r>
          </w:p>
        </w:tc>
        <w:tc>
          <w:tcPr>
            <w:tcW w:type="dxa" w:w="2422"/>
            <w:vAlign w:val="center"/>
            <w:shd w:fill="D9EAF7"/>
          </w:tcPr>
          <w:p>
            <w:pPr>
              <w:spacing w:line="240" w:lineRule="auto"/>
              <w:jc w:val="center"/>
            </w:pPr>
            <w:r>
              <w:rPr>
                <w:rFonts w:ascii="Times New Roman" w:hAnsi="Times New Roman" w:eastAsia="Times New Roman"/>
                <w:b/>
                <w:sz w:val="20"/>
              </w:rPr>
              <w:t>Содержание</w:t>
            </w:r>
          </w:p>
        </w:tc>
        <w:tc>
          <w:tcPr>
            <w:tcW w:type="dxa" w:w="2422"/>
            <w:vAlign w:val="center"/>
            <w:shd w:fill="D9EAF7"/>
          </w:tcPr>
          <w:p>
            <w:pPr>
              <w:spacing w:line="240" w:lineRule="auto"/>
              <w:jc w:val="center"/>
            </w:pPr>
            <w:r>
              <w:rPr>
                <w:rFonts w:ascii="Times New Roman" w:hAnsi="Times New Roman" w:eastAsia="Times New Roman"/>
                <w:b/>
                <w:sz w:val="20"/>
              </w:rPr>
              <w:t>Ответственные</w:t>
            </w:r>
          </w:p>
        </w:tc>
        <w:tc>
          <w:tcPr>
            <w:tcW w:type="dxa" w:w="2422"/>
            <w:vAlign w:val="center"/>
            <w:shd w:fill="D9EAF7"/>
          </w:tcPr>
          <w:p>
            <w:pPr>
              <w:spacing w:line="240" w:lineRule="auto"/>
              <w:jc w:val="center"/>
            </w:pPr>
            <w:r>
              <w:rPr>
                <w:rFonts w:ascii="Times New Roman" w:hAnsi="Times New Roman" w:eastAsia="Times New Roman"/>
                <w:b/>
                <w:sz w:val="20"/>
              </w:rPr>
              <w:t>Срок внедрения</w:t>
            </w:r>
          </w:p>
        </w:tc>
      </w:tr>
      <w:tr>
        <w:tc>
          <w:tcPr>
            <w:tcW w:type="dxa" w:w="2422"/>
            <w:vAlign w:val="center"/>
          </w:tcPr>
          <w:p>
            <w:pPr>
              <w:spacing w:line="240" w:lineRule="auto"/>
              <w:jc w:val="left"/>
            </w:pPr>
            <w:r>
              <w:rPr>
                <w:rFonts w:ascii="Times New Roman" w:hAnsi="Times New Roman" w:eastAsia="Times New Roman"/>
                <w:b w:val="0"/>
                <w:sz w:val="20"/>
              </w:rPr>
              <w:t>1. Подготовка</w:t>
            </w:r>
          </w:p>
        </w:tc>
        <w:tc>
          <w:tcPr>
            <w:tcW w:type="dxa" w:w="2422"/>
            <w:vAlign w:val="center"/>
          </w:tcPr>
          <w:p>
            <w:pPr>
              <w:spacing w:line="240" w:lineRule="auto"/>
              <w:jc w:val="left"/>
            </w:pPr>
            <w:r>
              <w:rPr>
                <w:rFonts w:ascii="Times New Roman" w:hAnsi="Times New Roman" w:eastAsia="Times New Roman"/>
                <w:b w:val="0"/>
                <w:sz w:val="20"/>
              </w:rPr>
              <w:t>Утверждение целей, состава рабочей группы, перечня KPI</w:t>
            </w:r>
          </w:p>
        </w:tc>
        <w:tc>
          <w:tcPr>
            <w:tcW w:type="dxa" w:w="2422"/>
            <w:vAlign w:val="center"/>
          </w:tcPr>
          <w:p>
            <w:pPr>
              <w:spacing w:line="240" w:lineRule="auto"/>
              <w:jc w:val="left"/>
            </w:pPr>
            <w:r>
              <w:rPr>
                <w:rFonts w:ascii="Times New Roman" w:hAnsi="Times New Roman" w:eastAsia="Times New Roman"/>
                <w:b w:val="0"/>
                <w:sz w:val="20"/>
              </w:rPr>
              <w:t>Руководитель подразделения, HR, ОТиЗ</w:t>
            </w:r>
          </w:p>
        </w:tc>
        <w:tc>
          <w:tcPr>
            <w:tcW w:type="dxa" w:w="2422"/>
            <w:vAlign w:val="center"/>
          </w:tcPr>
          <w:p>
            <w:pPr>
              <w:spacing w:line="240" w:lineRule="auto"/>
              <w:jc w:val="left"/>
            </w:pPr>
            <w:r>
              <w:rPr>
                <w:rFonts w:ascii="Times New Roman" w:hAnsi="Times New Roman" w:eastAsia="Times New Roman"/>
                <w:b w:val="0"/>
                <w:sz w:val="20"/>
              </w:rPr>
              <w:t>1 месяц</w:t>
            </w:r>
          </w:p>
        </w:tc>
      </w:tr>
      <w:tr>
        <w:tc>
          <w:tcPr>
            <w:tcW w:type="dxa" w:w="2422"/>
            <w:vAlign w:val="center"/>
          </w:tcPr>
          <w:p>
            <w:pPr>
              <w:spacing w:line="240" w:lineRule="auto"/>
              <w:jc w:val="left"/>
            </w:pPr>
            <w:r>
              <w:rPr>
                <w:rFonts w:ascii="Times New Roman" w:hAnsi="Times New Roman" w:eastAsia="Times New Roman"/>
                <w:b w:val="0"/>
                <w:sz w:val="20"/>
              </w:rPr>
              <w:t>2. Диагностика</w:t>
            </w:r>
          </w:p>
        </w:tc>
        <w:tc>
          <w:tcPr>
            <w:tcW w:type="dxa" w:w="2422"/>
            <w:vAlign w:val="center"/>
          </w:tcPr>
          <w:p>
            <w:pPr>
              <w:spacing w:line="240" w:lineRule="auto"/>
              <w:jc w:val="left"/>
            </w:pPr>
            <w:r>
              <w:rPr>
                <w:rFonts w:ascii="Times New Roman" w:hAnsi="Times New Roman" w:eastAsia="Times New Roman"/>
                <w:b w:val="0"/>
                <w:sz w:val="20"/>
              </w:rPr>
              <w:t>Повторный опрос, сбор данных по повторным выездам, срокам, текучести</w:t>
            </w:r>
          </w:p>
        </w:tc>
        <w:tc>
          <w:tcPr>
            <w:tcW w:type="dxa" w:w="2422"/>
            <w:vAlign w:val="center"/>
          </w:tcPr>
          <w:p>
            <w:pPr>
              <w:spacing w:line="240" w:lineRule="auto"/>
              <w:jc w:val="left"/>
            </w:pPr>
            <w:r>
              <w:rPr>
                <w:rFonts w:ascii="Times New Roman" w:hAnsi="Times New Roman" w:eastAsia="Times New Roman"/>
                <w:b w:val="0"/>
                <w:sz w:val="20"/>
              </w:rPr>
              <w:t>HR, руководитель отдела</w:t>
            </w:r>
          </w:p>
        </w:tc>
        <w:tc>
          <w:tcPr>
            <w:tcW w:type="dxa" w:w="2422"/>
            <w:vAlign w:val="center"/>
          </w:tcPr>
          <w:p>
            <w:pPr>
              <w:spacing w:line="240" w:lineRule="auto"/>
              <w:jc w:val="left"/>
            </w:pPr>
            <w:r>
              <w:rPr>
                <w:rFonts w:ascii="Times New Roman" w:hAnsi="Times New Roman" w:eastAsia="Times New Roman"/>
                <w:b w:val="0"/>
                <w:sz w:val="20"/>
              </w:rPr>
              <w:t>1 месяц</w:t>
            </w:r>
          </w:p>
        </w:tc>
      </w:tr>
      <w:tr>
        <w:tc>
          <w:tcPr>
            <w:tcW w:type="dxa" w:w="2422"/>
            <w:vAlign w:val="center"/>
          </w:tcPr>
          <w:p>
            <w:pPr>
              <w:spacing w:line="240" w:lineRule="auto"/>
              <w:jc w:val="left"/>
            </w:pPr>
            <w:r>
              <w:rPr>
                <w:rFonts w:ascii="Times New Roman" w:hAnsi="Times New Roman" w:eastAsia="Times New Roman"/>
                <w:b w:val="0"/>
                <w:sz w:val="20"/>
              </w:rPr>
              <w:t>3. Разработка регламентов</w:t>
            </w:r>
          </w:p>
        </w:tc>
        <w:tc>
          <w:tcPr>
            <w:tcW w:type="dxa" w:w="2422"/>
            <w:vAlign w:val="center"/>
          </w:tcPr>
          <w:p>
            <w:pPr>
              <w:spacing w:line="240" w:lineRule="auto"/>
              <w:jc w:val="left"/>
            </w:pPr>
            <w:r>
              <w:rPr>
                <w:rFonts w:ascii="Times New Roman" w:hAnsi="Times New Roman" w:eastAsia="Times New Roman"/>
                <w:b w:val="0"/>
                <w:sz w:val="20"/>
              </w:rPr>
              <w:t>Положение о KPI, карта компетенций, порядок признания</w:t>
            </w:r>
          </w:p>
        </w:tc>
        <w:tc>
          <w:tcPr>
            <w:tcW w:type="dxa" w:w="2422"/>
            <w:vAlign w:val="center"/>
          </w:tcPr>
          <w:p>
            <w:pPr>
              <w:spacing w:line="240" w:lineRule="auto"/>
              <w:jc w:val="left"/>
            </w:pPr>
            <w:r>
              <w:rPr>
                <w:rFonts w:ascii="Times New Roman" w:hAnsi="Times New Roman" w:eastAsia="Times New Roman"/>
                <w:b w:val="0"/>
                <w:sz w:val="20"/>
              </w:rPr>
              <w:t>HR, юристы, руководитель отдела</w:t>
            </w:r>
          </w:p>
        </w:tc>
        <w:tc>
          <w:tcPr>
            <w:tcW w:type="dxa" w:w="2422"/>
            <w:vAlign w:val="center"/>
          </w:tcPr>
          <w:p>
            <w:pPr>
              <w:spacing w:line="240" w:lineRule="auto"/>
              <w:jc w:val="left"/>
            </w:pPr>
            <w:r>
              <w:rPr>
                <w:rFonts w:ascii="Times New Roman" w:hAnsi="Times New Roman" w:eastAsia="Times New Roman"/>
                <w:b w:val="0"/>
                <w:sz w:val="20"/>
              </w:rPr>
              <w:t>1 месяц</w:t>
            </w:r>
          </w:p>
        </w:tc>
      </w:tr>
      <w:tr>
        <w:tc>
          <w:tcPr>
            <w:tcW w:type="dxa" w:w="2422"/>
            <w:vAlign w:val="center"/>
          </w:tcPr>
          <w:p>
            <w:pPr>
              <w:spacing w:line="240" w:lineRule="auto"/>
              <w:jc w:val="left"/>
            </w:pPr>
            <w:r>
              <w:rPr>
                <w:rFonts w:ascii="Times New Roman" w:hAnsi="Times New Roman" w:eastAsia="Times New Roman"/>
                <w:b w:val="0"/>
                <w:sz w:val="20"/>
              </w:rPr>
              <w:t>4. Пилот</w:t>
            </w:r>
          </w:p>
        </w:tc>
        <w:tc>
          <w:tcPr>
            <w:tcW w:type="dxa" w:w="2422"/>
            <w:vAlign w:val="center"/>
          </w:tcPr>
          <w:p>
            <w:pPr>
              <w:spacing w:line="240" w:lineRule="auto"/>
              <w:jc w:val="left"/>
            </w:pPr>
            <w:r>
              <w:rPr>
                <w:rFonts w:ascii="Times New Roman" w:hAnsi="Times New Roman" w:eastAsia="Times New Roman"/>
                <w:b w:val="0"/>
                <w:sz w:val="20"/>
              </w:rPr>
              <w:t>Запуск на отделе электриков, ежемесячный мониторинг</w:t>
            </w:r>
          </w:p>
        </w:tc>
        <w:tc>
          <w:tcPr>
            <w:tcW w:type="dxa" w:w="2422"/>
            <w:vAlign w:val="center"/>
          </w:tcPr>
          <w:p>
            <w:pPr>
              <w:spacing w:line="240" w:lineRule="auto"/>
              <w:jc w:val="left"/>
            </w:pPr>
            <w:r>
              <w:rPr>
                <w:rFonts w:ascii="Times New Roman" w:hAnsi="Times New Roman" w:eastAsia="Times New Roman"/>
                <w:b w:val="0"/>
                <w:sz w:val="20"/>
              </w:rPr>
              <w:t>Руководитель отдела, HR</w:t>
            </w:r>
          </w:p>
        </w:tc>
        <w:tc>
          <w:tcPr>
            <w:tcW w:type="dxa" w:w="2422"/>
            <w:vAlign w:val="center"/>
          </w:tcPr>
          <w:p>
            <w:pPr>
              <w:spacing w:line="240" w:lineRule="auto"/>
              <w:jc w:val="left"/>
            </w:pPr>
            <w:r>
              <w:rPr>
                <w:rFonts w:ascii="Times New Roman" w:hAnsi="Times New Roman" w:eastAsia="Times New Roman"/>
                <w:b w:val="0"/>
                <w:sz w:val="20"/>
              </w:rPr>
              <w:t>3 месяца</w:t>
            </w:r>
          </w:p>
        </w:tc>
      </w:tr>
      <w:tr>
        <w:tc>
          <w:tcPr>
            <w:tcW w:type="dxa" w:w="2422"/>
            <w:vAlign w:val="center"/>
          </w:tcPr>
          <w:p>
            <w:pPr>
              <w:spacing w:line="240" w:lineRule="auto"/>
              <w:jc w:val="left"/>
            </w:pPr>
            <w:r>
              <w:rPr>
                <w:rFonts w:ascii="Times New Roman" w:hAnsi="Times New Roman" w:eastAsia="Times New Roman"/>
                <w:b w:val="0"/>
                <w:sz w:val="20"/>
              </w:rPr>
              <w:t>5. Оценка пилота</w:t>
            </w:r>
          </w:p>
        </w:tc>
        <w:tc>
          <w:tcPr>
            <w:tcW w:type="dxa" w:w="2422"/>
            <w:vAlign w:val="center"/>
          </w:tcPr>
          <w:p>
            <w:pPr>
              <w:spacing w:line="240" w:lineRule="auto"/>
              <w:jc w:val="left"/>
            </w:pPr>
            <w:r>
              <w:rPr>
                <w:rFonts w:ascii="Times New Roman" w:hAnsi="Times New Roman" w:eastAsia="Times New Roman"/>
                <w:b w:val="0"/>
                <w:sz w:val="20"/>
              </w:rPr>
              <w:t>Сравнение показателей до и после внедрения</w:t>
            </w:r>
          </w:p>
        </w:tc>
        <w:tc>
          <w:tcPr>
            <w:tcW w:type="dxa" w:w="2422"/>
            <w:vAlign w:val="center"/>
          </w:tcPr>
          <w:p>
            <w:pPr>
              <w:spacing w:line="240" w:lineRule="auto"/>
              <w:jc w:val="left"/>
            </w:pPr>
            <w:r>
              <w:rPr>
                <w:rFonts w:ascii="Times New Roman" w:hAnsi="Times New Roman" w:eastAsia="Times New Roman"/>
                <w:b w:val="0"/>
                <w:sz w:val="20"/>
              </w:rPr>
              <w:t>HR, экономика, руководитель</w:t>
            </w:r>
          </w:p>
        </w:tc>
        <w:tc>
          <w:tcPr>
            <w:tcW w:type="dxa" w:w="2422"/>
            <w:vAlign w:val="center"/>
          </w:tcPr>
          <w:p>
            <w:pPr>
              <w:spacing w:line="240" w:lineRule="auto"/>
              <w:jc w:val="left"/>
            </w:pPr>
            <w:r>
              <w:rPr>
                <w:rFonts w:ascii="Times New Roman" w:hAnsi="Times New Roman" w:eastAsia="Times New Roman"/>
                <w:b w:val="0"/>
                <w:sz w:val="20"/>
              </w:rPr>
              <w:t>1 месяц</w:t>
            </w:r>
          </w:p>
        </w:tc>
      </w:tr>
      <w:tr>
        <w:tc>
          <w:tcPr>
            <w:tcW w:type="dxa" w:w="2422"/>
            <w:vAlign w:val="center"/>
          </w:tcPr>
          <w:p>
            <w:pPr>
              <w:spacing w:line="240" w:lineRule="auto"/>
              <w:jc w:val="left"/>
            </w:pPr>
            <w:r>
              <w:rPr>
                <w:rFonts w:ascii="Times New Roman" w:hAnsi="Times New Roman" w:eastAsia="Times New Roman"/>
                <w:b w:val="0"/>
                <w:sz w:val="20"/>
              </w:rPr>
              <w:t>6. Масштабирование</w:t>
            </w:r>
          </w:p>
        </w:tc>
        <w:tc>
          <w:tcPr>
            <w:tcW w:type="dxa" w:w="2422"/>
            <w:vAlign w:val="center"/>
          </w:tcPr>
          <w:p>
            <w:pPr>
              <w:spacing w:line="240" w:lineRule="auto"/>
              <w:jc w:val="left"/>
            </w:pPr>
            <w:r>
              <w:rPr>
                <w:rFonts w:ascii="Times New Roman" w:hAnsi="Times New Roman" w:eastAsia="Times New Roman"/>
                <w:b w:val="0"/>
                <w:sz w:val="20"/>
              </w:rPr>
              <w:t>Корректировка и распространение на смежные технические группы</w:t>
            </w:r>
          </w:p>
        </w:tc>
        <w:tc>
          <w:tcPr>
            <w:tcW w:type="dxa" w:w="2422"/>
            <w:vAlign w:val="center"/>
          </w:tcPr>
          <w:p>
            <w:pPr>
              <w:spacing w:line="240" w:lineRule="auto"/>
              <w:jc w:val="left"/>
            </w:pPr>
            <w:r>
              <w:rPr>
                <w:rFonts w:ascii="Times New Roman" w:hAnsi="Times New Roman" w:eastAsia="Times New Roman"/>
                <w:b w:val="0"/>
                <w:sz w:val="20"/>
              </w:rPr>
              <w:t>Руководство компании</w:t>
            </w:r>
          </w:p>
        </w:tc>
        <w:tc>
          <w:tcPr>
            <w:tcW w:type="dxa" w:w="2422"/>
            <w:vAlign w:val="center"/>
          </w:tcPr>
          <w:p>
            <w:pPr>
              <w:spacing w:line="240" w:lineRule="auto"/>
              <w:jc w:val="left"/>
            </w:pPr>
            <w:r>
              <w:rPr>
                <w:rFonts w:ascii="Times New Roman" w:hAnsi="Times New Roman" w:eastAsia="Times New Roman"/>
                <w:b w:val="0"/>
                <w:sz w:val="20"/>
              </w:rPr>
              <w:t>после пилота</w:t>
            </w:r>
          </w:p>
        </w:tc>
      </w:tr>
    </w:tbl>
    <w:p/>
    <w:p>
      <w:pPr>
        <w:spacing w:line="360" w:lineRule="auto"/>
        <w:ind w:firstLine="709"/>
        <w:jc w:val="both"/>
      </w:pPr>
      <w:r>
        <w:rPr>
          <w:rFonts w:ascii="Times New Roman" w:hAnsi="Times New Roman" w:eastAsia="Times New Roman"/>
          <w:sz w:val="28"/>
        </w:rPr>
        <w:t>Таблица 3.4 - Технология внедрения программы мотивации</w:t>
      </w:r>
    </w:p>
    <w:p>
      <w:pPr>
        <w:spacing w:line="360" w:lineRule="auto"/>
        <w:ind w:firstLine="709"/>
        <w:jc w:val="both"/>
      </w:pPr>
      <w:r>
        <w:rPr>
          <w:rFonts w:ascii="Times New Roman" w:hAnsi="Times New Roman" w:eastAsia="Times New Roman"/>
          <w:sz w:val="28"/>
        </w:rPr>
        <w:t>Кадровое обеспечение программы включает руководителя отдела электриков, HR-специалиста, специалиста по организации труда и заработной платы, специалиста по охране труда, наставников и представителя экономического блока. Техническое обеспечение включает инструменты анкетирования, таблицу учета KPI, обновленные комплекты инструмента и внутренний портал для признания сотрудников. Организационно-экономическое обеспечение включает положение о премировании, карту компетенций, бюджет программы и порядок подтверждения экономического эффекта.</w:t>
      </w:r>
    </w:p>
    <w:p>
      <w:pPr>
        <w:spacing w:line="360" w:lineRule="auto"/>
        <w:ind w:firstLine="709"/>
        <w:jc w:val="both"/>
      </w:pPr>
      <w:r>
        <w:rPr>
          <w:rFonts w:ascii="Times New Roman" w:hAnsi="Times New Roman" w:eastAsia="Times New Roman"/>
          <w:sz w:val="28"/>
        </w:rPr>
        <w:t>Распределение ролей участников программы представлено в таблице 3.4а.</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spacing w:line="240" w:lineRule="auto"/>
              <w:jc w:val="center"/>
            </w:pPr>
            <w:r>
              <w:rPr>
                <w:rFonts w:ascii="Times New Roman" w:hAnsi="Times New Roman" w:eastAsia="Times New Roman"/>
                <w:b/>
                <w:sz w:val="20"/>
              </w:rPr>
              <w:t>Участник</w:t>
            </w:r>
          </w:p>
        </w:tc>
        <w:tc>
          <w:tcPr>
            <w:tcW w:type="dxa" w:w="4844"/>
            <w:vAlign w:val="center"/>
            <w:shd w:fill="D9EAF7"/>
          </w:tcPr>
          <w:p>
            <w:pPr>
              <w:spacing w:line="240" w:lineRule="auto"/>
              <w:jc w:val="center"/>
            </w:pPr>
            <w:r>
              <w:rPr>
                <w:rFonts w:ascii="Times New Roman" w:hAnsi="Times New Roman" w:eastAsia="Times New Roman"/>
                <w:b/>
                <w:sz w:val="20"/>
              </w:rPr>
              <w:t>Функции в программе</w:t>
            </w:r>
          </w:p>
        </w:tc>
      </w:tr>
      <w:tr>
        <w:tc>
          <w:tcPr>
            <w:tcW w:type="dxa" w:w="4844"/>
            <w:vAlign w:val="center"/>
          </w:tcPr>
          <w:p>
            <w:pPr>
              <w:spacing w:line="240" w:lineRule="auto"/>
              <w:jc w:val="left"/>
            </w:pPr>
            <w:r>
              <w:rPr>
                <w:rFonts w:ascii="Times New Roman" w:hAnsi="Times New Roman" w:eastAsia="Times New Roman"/>
                <w:b w:val="0"/>
                <w:sz w:val="20"/>
              </w:rPr>
              <w:t>Руководитель отдела электриков</w:t>
            </w:r>
          </w:p>
        </w:tc>
        <w:tc>
          <w:tcPr>
            <w:tcW w:type="dxa" w:w="4844"/>
            <w:vAlign w:val="center"/>
          </w:tcPr>
          <w:p>
            <w:pPr>
              <w:spacing w:line="240" w:lineRule="auto"/>
              <w:jc w:val="left"/>
            </w:pPr>
            <w:r>
              <w:rPr>
                <w:rFonts w:ascii="Times New Roman" w:hAnsi="Times New Roman" w:eastAsia="Times New Roman"/>
                <w:b w:val="0"/>
                <w:sz w:val="20"/>
              </w:rPr>
              <w:t>Постановка KPI, учет результатов, проведение ежемесячных встреч, оценка инициатив</w:t>
            </w:r>
          </w:p>
        </w:tc>
      </w:tr>
      <w:tr>
        <w:tc>
          <w:tcPr>
            <w:tcW w:type="dxa" w:w="4844"/>
            <w:vAlign w:val="center"/>
          </w:tcPr>
          <w:p>
            <w:pPr>
              <w:spacing w:line="240" w:lineRule="auto"/>
              <w:jc w:val="left"/>
            </w:pPr>
            <w:r>
              <w:rPr>
                <w:rFonts w:ascii="Times New Roman" w:hAnsi="Times New Roman" w:eastAsia="Times New Roman"/>
                <w:b w:val="0"/>
                <w:sz w:val="20"/>
              </w:rPr>
              <w:t>HR-служба</w:t>
            </w:r>
          </w:p>
        </w:tc>
        <w:tc>
          <w:tcPr>
            <w:tcW w:type="dxa" w:w="4844"/>
            <w:vAlign w:val="center"/>
          </w:tcPr>
          <w:p>
            <w:pPr>
              <w:spacing w:line="240" w:lineRule="auto"/>
              <w:jc w:val="left"/>
            </w:pPr>
            <w:r>
              <w:rPr>
                <w:rFonts w:ascii="Times New Roman" w:hAnsi="Times New Roman" w:eastAsia="Times New Roman"/>
                <w:b w:val="0"/>
                <w:sz w:val="20"/>
              </w:rPr>
              <w:t>Организация опросов, анализ удовлетворенности, сопровождение адаптации и признания</w:t>
            </w:r>
          </w:p>
        </w:tc>
      </w:tr>
      <w:tr>
        <w:tc>
          <w:tcPr>
            <w:tcW w:type="dxa" w:w="4844"/>
            <w:vAlign w:val="center"/>
          </w:tcPr>
          <w:p>
            <w:pPr>
              <w:spacing w:line="240" w:lineRule="auto"/>
              <w:jc w:val="left"/>
            </w:pPr>
            <w:r>
              <w:rPr>
                <w:rFonts w:ascii="Times New Roman" w:hAnsi="Times New Roman" w:eastAsia="Times New Roman"/>
                <w:b w:val="0"/>
                <w:sz w:val="20"/>
              </w:rPr>
              <w:t>ОТиЗ</w:t>
            </w:r>
          </w:p>
        </w:tc>
        <w:tc>
          <w:tcPr>
            <w:tcW w:type="dxa" w:w="4844"/>
            <w:vAlign w:val="center"/>
          </w:tcPr>
          <w:p>
            <w:pPr>
              <w:spacing w:line="240" w:lineRule="auto"/>
              <w:jc w:val="left"/>
            </w:pPr>
            <w:r>
              <w:rPr>
                <w:rFonts w:ascii="Times New Roman" w:hAnsi="Times New Roman" w:eastAsia="Times New Roman"/>
                <w:b w:val="0"/>
                <w:sz w:val="20"/>
              </w:rPr>
              <w:t>Проверка корректности премирования, расчет фонда, согласование изменений</w:t>
            </w:r>
          </w:p>
        </w:tc>
      </w:tr>
      <w:tr>
        <w:tc>
          <w:tcPr>
            <w:tcW w:type="dxa" w:w="4844"/>
            <w:vAlign w:val="center"/>
          </w:tcPr>
          <w:p>
            <w:pPr>
              <w:spacing w:line="240" w:lineRule="auto"/>
              <w:jc w:val="left"/>
            </w:pPr>
            <w:r>
              <w:rPr>
                <w:rFonts w:ascii="Times New Roman" w:hAnsi="Times New Roman" w:eastAsia="Times New Roman"/>
                <w:b w:val="0"/>
                <w:sz w:val="20"/>
              </w:rPr>
              <w:t>Служба охраны труда</w:t>
            </w:r>
          </w:p>
        </w:tc>
        <w:tc>
          <w:tcPr>
            <w:tcW w:type="dxa" w:w="4844"/>
            <w:vAlign w:val="center"/>
          </w:tcPr>
          <w:p>
            <w:pPr>
              <w:spacing w:line="240" w:lineRule="auto"/>
              <w:jc w:val="left"/>
            </w:pPr>
            <w:r>
              <w:rPr>
                <w:rFonts w:ascii="Times New Roman" w:hAnsi="Times New Roman" w:eastAsia="Times New Roman"/>
                <w:b w:val="0"/>
                <w:sz w:val="20"/>
              </w:rPr>
              <w:t>Контроль показателей безопасности и обучения</w:t>
            </w:r>
          </w:p>
        </w:tc>
      </w:tr>
      <w:tr>
        <w:tc>
          <w:tcPr>
            <w:tcW w:type="dxa" w:w="4844"/>
            <w:vAlign w:val="center"/>
          </w:tcPr>
          <w:p>
            <w:pPr>
              <w:spacing w:line="240" w:lineRule="auto"/>
              <w:jc w:val="left"/>
            </w:pPr>
            <w:r>
              <w:rPr>
                <w:rFonts w:ascii="Times New Roman" w:hAnsi="Times New Roman" w:eastAsia="Times New Roman"/>
                <w:b w:val="0"/>
                <w:sz w:val="20"/>
              </w:rPr>
              <w:t>Экономический блок</w:t>
            </w:r>
          </w:p>
        </w:tc>
        <w:tc>
          <w:tcPr>
            <w:tcW w:type="dxa" w:w="4844"/>
            <w:vAlign w:val="center"/>
          </w:tcPr>
          <w:p>
            <w:pPr>
              <w:spacing w:line="240" w:lineRule="auto"/>
              <w:jc w:val="left"/>
            </w:pPr>
            <w:r>
              <w:rPr>
                <w:rFonts w:ascii="Times New Roman" w:hAnsi="Times New Roman" w:eastAsia="Times New Roman"/>
                <w:b w:val="0"/>
                <w:sz w:val="20"/>
              </w:rPr>
              <w:t>Подтверждение экономического эффекта, расчет gainsharing-фонда</w:t>
            </w:r>
          </w:p>
        </w:tc>
      </w:tr>
      <w:tr>
        <w:tc>
          <w:tcPr>
            <w:tcW w:type="dxa" w:w="4844"/>
            <w:vAlign w:val="center"/>
          </w:tcPr>
          <w:p>
            <w:pPr>
              <w:spacing w:line="240" w:lineRule="auto"/>
              <w:jc w:val="left"/>
            </w:pPr>
            <w:r>
              <w:rPr>
                <w:rFonts w:ascii="Times New Roman" w:hAnsi="Times New Roman" w:eastAsia="Times New Roman"/>
                <w:b w:val="0"/>
                <w:sz w:val="20"/>
              </w:rPr>
              <w:t>Наставники</w:t>
            </w:r>
          </w:p>
        </w:tc>
        <w:tc>
          <w:tcPr>
            <w:tcW w:type="dxa" w:w="4844"/>
            <w:vAlign w:val="center"/>
          </w:tcPr>
          <w:p>
            <w:pPr>
              <w:spacing w:line="240" w:lineRule="auto"/>
              <w:jc w:val="left"/>
            </w:pPr>
            <w:r>
              <w:rPr>
                <w:rFonts w:ascii="Times New Roman" w:hAnsi="Times New Roman" w:eastAsia="Times New Roman"/>
                <w:b w:val="0"/>
                <w:sz w:val="20"/>
              </w:rPr>
              <w:t>Обучение новичков, передача практических навыков, отчеты по адаптации</w:t>
            </w:r>
          </w:p>
        </w:tc>
      </w:tr>
      <w:tr>
        <w:tc>
          <w:tcPr>
            <w:tcW w:type="dxa" w:w="4844"/>
            <w:vAlign w:val="center"/>
          </w:tcPr>
          <w:p>
            <w:pPr>
              <w:spacing w:line="240" w:lineRule="auto"/>
              <w:jc w:val="left"/>
            </w:pPr>
            <w:r>
              <w:rPr>
                <w:rFonts w:ascii="Times New Roman" w:hAnsi="Times New Roman" w:eastAsia="Times New Roman"/>
                <w:b w:val="0"/>
                <w:sz w:val="20"/>
              </w:rPr>
              <w:t>Сотрудники отдела</w:t>
            </w:r>
          </w:p>
        </w:tc>
        <w:tc>
          <w:tcPr>
            <w:tcW w:type="dxa" w:w="4844"/>
            <w:vAlign w:val="center"/>
          </w:tcPr>
          <w:p>
            <w:pPr>
              <w:spacing w:line="240" w:lineRule="auto"/>
              <w:jc w:val="left"/>
            </w:pPr>
            <w:r>
              <w:rPr>
                <w:rFonts w:ascii="Times New Roman" w:hAnsi="Times New Roman" w:eastAsia="Times New Roman"/>
                <w:b w:val="0"/>
                <w:sz w:val="20"/>
              </w:rPr>
              <w:t>Выполнение KPI, участие в улучшениях, обратная связь через опрос</w:t>
            </w:r>
          </w:p>
        </w:tc>
      </w:tr>
    </w:tbl>
    <w:p/>
    <w:p>
      <w:pPr>
        <w:spacing w:line="360" w:lineRule="auto"/>
        <w:ind w:firstLine="709"/>
        <w:jc w:val="both"/>
      </w:pPr>
      <w:r>
        <w:rPr>
          <w:rFonts w:ascii="Times New Roman" w:hAnsi="Times New Roman" w:eastAsia="Times New Roman"/>
          <w:sz w:val="28"/>
        </w:rPr>
        <w:t>Таблица 3.4а - Роли участников программы мотивации</w:t>
      </w:r>
    </w:p>
    <w:p>
      <w:pPr>
        <w:spacing w:line="360" w:lineRule="auto"/>
        <w:ind w:firstLine="709"/>
        <w:jc w:val="both"/>
      </w:pPr>
      <w:r>
        <w:rPr>
          <w:rFonts w:ascii="Times New Roman" w:hAnsi="Times New Roman" w:eastAsia="Times New Roman"/>
          <w:sz w:val="28"/>
        </w:rPr>
        <w:t>При внедрении программы возможны риски. Их необходимо заранее учитывать, чтобы программа не стала формальной.</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Риск</w:t>
            </w:r>
          </w:p>
        </w:tc>
        <w:tc>
          <w:tcPr>
            <w:tcW w:type="dxa" w:w="3230"/>
            <w:vAlign w:val="center"/>
            <w:shd w:fill="D9EAF7"/>
          </w:tcPr>
          <w:p>
            <w:pPr>
              <w:spacing w:line="240" w:lineRule="auto"/>
              <w:jc w:val="center"/>
            </w:pPr>
            <w:r>
              <w:rPr>
                <w:rFonts w:ascii="Times New Roman" w:hAnsi="Times New Roman" w:eastAsia="Times New Roman"/>
                <w:b/>
                <w:sz w:val="20"/>
              </w:rPr>
              <w:t>Проявление</w:t>
            </w:r>
          </w:p>
        </w:tc>
        <w:tc>
          <w:tcPr>
            <w:tcW w:type="dxa" w:w="3230"/>
            <w:vAlign w:val="center"/>
            <w:shd w:fill="D9EAF7"/>
          </w:tcPr>
          <w:p>
            <w:pPr>
              <w:spacing w:line="240" w:lineRule="auto"/>
              <w:jc w:val="center"/>
            </w:pPr>
            <w:r>
              <w:rPr>
                <w:rFonts w:ascii="Times New Roman" w:hAnsi="Times New Roman" w:eastAsia="Times New Roman"/>
                <w:b/>
                <w:sz w:val="20"/>
              </w:rPr>
              <w:t>Способ снижения</w:t>
            </w:r>
          </w:p>
        </w:tc>
      </w:tr>
      <w:tr>
        <w:tc>
          <w:tcPr>
            <w:tcW w:type="dxa" w:w="3230"/>
            <w:vAlign w:val="center"/>
          </w:tcPr>
          <w:p>
            <w:pPr>
              <w:spacing w:line="240" w:lineRule="auto"/>
              <w:jc w:val="left"/>
            </w:pPr>
            <w:r>
              <w:rPr>
                <w:rFonts w:ascii="Times New Roman" w:hAnsi="Times New Roman" w:eastAsia="Times New Roman"/>
                <w:b w:val="0"/>
                <w:sz w:val="20"/>
              </w:rPr>
              <w:t>Недоверие работников к KPI</w:t>
            </w:r>
          </w:p>
        </w:tc>
        <w:tc>
          <w:tcPr>
            <w:tcW w:type="dxa" w:w="3230"/>
            <w:vAlign w:val="center"/>
          </w:tcPr>
          <w:p>
            <w:pPr>
              <w:spacing w:line="240" w:lineRule="auto"/>
              <w:jc w:val="left"/>
            </w:pPr>
            <w:r>
              <w:rPr>
                <w:rFonts w:ascii="Times New Roman" w:hAnsi="Times New Roman" w:eastAsia="Times New Roman"/>
                <w:b w:val="0"/>
                <w:sz w:val="20"/>
              </w:rPr>
              <w:t>Сотрудники считают показатели способом снизить премию</w:t>
            </w:r>
          </w:p>
        </w:tc>
        <w:tc>
          <w:tcPr>
            <w:tcW w:type="dxa" w:w="3230"/>
            <w:vAlign w:val="center"/>
          </w:tcPr>
          <w:p>
            <w:pPr>
              <w:spacing w:line="240" w:lineRule="auto"/>
              <w:jc w:val="left"/>
            </w:pPr>
            <w:r>
              <w:rPr>
                <w:rFonts w:ascii="Times New Roman" w:hAnsi="Times New Roman" w:eastAsia="Times New Roman"/>
                <w:b w:val="0"/>
                <w:sz w:val="20"/>
              </w:rPr>
              <w:t>Провести разъяснение, показать формулу и примеры расчета</w:t>
            </w:r>
          </w:p>
        </w:tc>
      </w:tr>
      <w:tr>
        <w:tc>
          <w:tcPr>
            <w:tcW w:type="dxa" w:w="3230"/>
            <w:vAlign w:val="center"/>
          </w:tcPr>
          <w:p>
            <w:pPr>
              <w:spacing w:line="240" w:lineRule="auto"/>
              <w:jc w:val="left"/>
            </w:pPr>
            <w:r>
              <w:rPr>
                <w:rFonts w:ascii="Times New Roman" w:hAnsi="Times New Roman" w:eastAsia="Times New Roman"/>
                <w:b w:val="0"/>
                <w:sz w:val="20"/>
              </w:rPr>
              <w:t>Формальное наставничество</w:t>
            </w:r>
          </w:p>
        </w:tc>
        <w:tc>
          <w:tcPr>
            <w:tcW w:type="dxa" w:w="3230"/>
            <w:vAlign w:val="center"/>
          </w:tcPr>
          <w:p>
            <w:pPr>
              <w:spacing w:line="240" w:lineRule="auto"/>
              <w:jc w:val="left"/>
            </w:pPr>
            <w:r>
              <w:rPr>
                <w:rFonts w:ascii="Times New Roman" w:hAnsi="Times New Roman" w:eastAsia="Times New Roman"/>
                <w:b w:val="0"/>
                <w:sz w:val="20"/>
              </w:rPr>
              <w:t>Наставник подписывает отчеты без реального обучения</w:t>
            </w:r>
          </w:p>
        </w:tc>
        <w:tc>
          <w:tcPr>
            <w:tcW w:type="dxa" w:w="3230"/>
            <w:vAlign w:val="center"/>
          </w:tcPr>
          <w:p>
            <w:pPr>
              <w:spacing w:line="240" w:lineRule="auto"/>
              <w:jc w:val="left"/>
            </w:pPr>
            <w:r>
              <w:rPr>
                <w:rFonts w:ascii="Times New Roman" w:hAnsi="Times New Roman" w:eastAsia="Times New Roman"/>
                <w:b w:val="0"/>
                <w:sz w:val="20"/>
              </w:rPr>
              <w:t>Ввести отзыв новичка и оценку результата адаптации</w:t>
            </w:r>
          </w:p>
        </w:tc>
      </w:tr>
      <w:tr>
        <w:tc>
          <w:tcPr>
            <w:tcW w:type="dxa" w:w="3230"/>
            <w:vAlign w:val="center"/>
          </w:tcPr>
          <w:p>
            <w:pPr>
              <w:spacing w:line="240" w:lineRule="auto"/>
              <w:jc w:val="left"/>
            </w:pPr>
            <w:r>
              <w:rPr>
                <w:rFonts w:ascii="Times New Roman" w:hAnsi="Times New Roman" w:eastAsia="Times New Roman"/>
                <w:b w:val="0"/>
                <w:sz w:val="20"/>
              </w:rPr>
              <w:t>Споры по индивидуальному вкладу</w:t>
            </w:r>
          </w:p>
        </w:tc>
        <w:tc>
          <w:tcPr>
            <w:tcW w:type="dxa" w:w="3230"/>
            <w:vAlign w:val="center"/>
          </w:tcPr>
          <w:p>
            <w:pPr>
              <w:spacing w:line="240" w:lineRule="auto"/>
              <w:jc w:val="left"/>
            </w:pPr>
            <w:r>
              <w:rPr>
                <w:rFonts w:ascii="Times New Roman" w:hAnsi="Times New Roman" w:eastAsia="Times New Roman"/>
                <w:b w:val="0"/>
                <w:sz w:val="20"/>
              </w:rPr>
              <w:t>Работники не согласны с оценкой руководителя</w:t>
            </w:r>
          </w:p>
        </w:tc>
        <w:tc>
          <w:tcPr>
            <w:tcW w:type="dxa" w:w="3230"/>
            <w:vAlign w:val="center"/>
          </w:tcPr>
          <w:p>
            <w:pPr>
              <w:spacing w:line="240" w:lineRule="auto"/>
              <w:jc w:val="left"/>
            </w:pPr>
            <w:r>
              <w:rPr>
                <w:rFonts w:ascii="Times New Roman" w:hAnsi="Times New Roman" w:eastAsia="Times New Roman"/>
                <w:b w:val="0"/>
                <w:sz w:val="20"/>
              </w:rPr>
              <w:t>Использовать прозрачные факты: заявки, повторные выезды, нарушения</w:t>
            </w:r>
          </w:p>
        </w:tc>
      </w:tr>
      <w:tr>
        <w:tc>
          <w:tcPr>
            <w:tcW w:type="dxa" w:w="3230"/>
            <w:vAlign w:val="center"/>
          </w:tcPr>
          <w:p>
            <w:pPr>
              <w:spacing w:line="240" w:lineRule="auto"/>
              <w:jc w:val="left"/>
            </w:pPr>
            <w:r>
              <w:rPr>
                <w:rFonts w:ascii="Times New Roman" w:hAnsi="Times New Roman" w:eastAsia="Times New Roman"/>
                <w:b w:val="0"/>
                <w:sz w:val="20"/>
              </w:rPr>
              <w:t>Перегрузка руководителя</w:t>
            </w:r>
          </w:p>
        </w:tc>
        <w:tc>
          <w:tcPr>
            <w:tcW w:type="dxa" w:w="3230"/>
            <w:vAlign w:val="center"/>
          </w:tcPr>
          <w:p>
            <w:pPr>
              <w:spacing w:line="240" w:lineRule="auto"/>
              <w:jc w:val="left"/>
            </w:pPr>
            <w:r>
              <w:rPr>
                <w:rFonts w:ascii="Times New Roman" w:hAnsi="Times New Roman" w:eastAsia="Times New Roman"/>
                <w:b w:val="0"/>
                <w:sz w:val="20"/>
              </w:rPr>
              <w:t>Учет KPI требует дополнительного времени</w:t>
            </w:r>
          </w:p>
        </w:tc>
        <w:tc>
          <w:tcPr>
            <w:tcW w:type="dxa" w:w="3230"/>
            <w:vAlign w:val="center"/>
          </w:tcPr>
          <w:p>
            <w:pPr>
              <w:spacing w:line="240" w:lineRule="auto"/>
              <w:jc w:val="left"/>
            </w:pPr>
            <w:r>
              <w:rPr>
                <w:rFonts w:ascii="Times New Roman" w:hAnsi="Times New Roman" w:eastAsia="Times New Roman"/>
                <w:b w:val="0"/>
                <w:sz w:val="20"/>
              </w:rPr>
              <w:t>Использовать простую таблицу и не более 5 показателей</w:t>
            </w:r>
          </w:p>
        </w:tc>
      </w:tr>
      <w:tr>
        <w:tc>
          <w:tcPr>
            <w:tcW w:type="dxa" w:w="3230"/>
            <w:vAlign w:val="center"/>
          </w:tcPr>
          <w:p>
            <w:pPr>
              <w:spacing w:line="240" w:lineRule="auto"/>
              <w:jc w:val="left"/>
            </w:pPr>
            <w:r>
              <w:rPr>
                <w:rFonts w:ascii="Times New Roman" w:hAnsi="Times New Roman" w:eastAsia="Times New Roman"/>
                <w:b w:val="0"/>
                <w:sz w:val="20"/>
              </w:rPr>
              <w:t>Недостаток экономического эффекта</w:t>
            </w:r>
          </w:p>
        </w:tc>
        <w:tc>
          <w:tcPr>
            <w:tcW w:type="dxa" w:w="3230"/>
            <w:vAlign w:val="center"/>
          </w:tcPr>
          <w:p>
            <w:pPr>
              <w:spacing w:line="240" w:lineRule="auto"/>
              <w:jc w:val="left"/>
            </w:pPr>
            <w:r>
              <w:rPr>
                <w:rFonts w:ascii="Times New Roman" w:hAnsi="Times New Roman" w:eastAsia="Times New Roman"/>
                <w:b w:val="0"/>
                <w:sz w:val="20"/>
              </w:rPr>
              <w:t>Премиальный фонд не формируется</w:t>
            </w:r>
          </w:p>
        </w:tc>
        <w:tc>
          <w:tcPr>
            <w:tcW w:type="dxa" w:w="3230"/>
            <w:vAlign w:val="center"/>
          </w:tcPr>
          <w:p>
            <w:pPr>
              <w:spacing w:line="240" w:lineRule="auto"/>
              <w:jc w:val="left"/>
            </w:pPr>
            <w:r>
              <w:rPr>
                <w:rFonts w:ascii="Times New Roman" w:hAnsi="Times New Roman" w:eastAsia="Times New Roman"/>
                <w:b w:val="0"/>
                <w:sz w:val="20"/>
              </w:rPr>
              <w:t>Начать с пилота и корректировать показатели</w:t>
            </w:r>
          </w:p>
        </w:tc>
      </w:tr>
      <w:tr>
        <w:tc>
          <w:tcPr>
            <w:tcW w:type="dxa" w:w="3230"/>
            <w:vAlign w:val="center"/>
          </w:tcPr>
          <w:p>
            <w:pPr>
              <w:spacing w:line="240" w:lineRule="auto"/>
              <w:jc w:val="left"/>
            </w:pPr>
            <w:r>
              <w:rPr>
                <w:rFonts w:ascii="Times New Roman" w:hAnsi="Times New Roman" w:eastAsia="Times New Roman"/>
                <w:b w:val="0"/>
                <w:sz w:val="20"/>
              </w:rPr>
              <w:t>Сопротивление изменениям</w:t>
            </w:r>
          </w:p>
        </w:tc>
        <w:tc>
          <w:tcPr>
            <w:tcW w:type="dxa" w:w="3230"/>
            <w:vAlign w:val="center"/>
          </w:tcPr>
          <w:p>
            <w:pPr>
              <w:spacing w:line="240" w:lineRule="auto"/>
              <w:jc w:val="left"/>
            </w:pPr>
            <w:r>
              <w:rPr>
                <w:rFonts w:ascii="Times New Roman" w:hAnsi="Times New Roman" w:eastAsia="Times New Roman"/>
                <w:b w:val="0"/>
                <w:sz w:val="20"/>
              </w:rPr>
              <w:t>Сотрудники привыкли к прежней системе</w:t>
            </w:r>
          </w:p>
        </w:tc>
        <w:tc>
          <w:tcPr>
            <w:tcW w:type="dxa" w:w="3230"/>
            <w:vAlign w:val="center"/>
          </w:tcPr>
          <w:p>
            <w:pPr>
              <w:spacing w:line="240" w:lineRule="auto"/>
              <w:jc w:val="left"/>
            </w:pPr>
            <w:r>
              <w:rPr>
                <w:rFonts w:ascii="Times New Roman" w:hAnsi="Times New Roman" w:eastAsia="Times New Roman"/>
                <w:b w:val="0"/>
                <w:sz w:val="20"/>
              </w:rPr>
              <w:t>Внедрять программу поэтапно и обсуждать результаты</w:t>
            </w:r>
          </w:p>
        </w:tc>
      </w:tr>
    </w:tbl>
    <w:p/>
    <w:p>
      <w:pPr>
        <w:spacing w:line="360" w:lineRule="auto"/>
        <w:ind w:firstLine="709"/>
        <w:jc w:val="both"/>
      </w:pPr>
      <w:r>
        <w:rPr>
          <w:rFonts w:ascii="Times New Roman" w:hAnsi="Times New Roman" w:eastAsia="Times New Roman"/>
          <w:sz w:val="28"/>
        </w:rPr>
        <w:t>Таблица 3.4б - Риски внедрения программы и способы их снижения</w:t>
      </w:r>
    </w:p>
    <w:p>
      <w:pPr>
        <w:spacing w:line="360" w:lineRule="auto"/>
        <w:ind w:firstLine="709"/>
        <w:jc w:val="both"/>
      </w:pPr>
      <w:r>
        <w:rPr>
          <w:rFonts w:ascii="Times New Roman" w:hAnsi="Times New Roman" w:eastAsia="Times New Roman"/>
          <w:sz w:val="28"/>
        </w:rPr>
        <w:t>Механизм адаптации предлагаемых решений к действующей системе управления состоит в том, что программа не требует создания нового подразделения или радикального изменения структуры. Она встраивается в уже существующие процессы: премирование, обучение, наставничество, охрану труда, материально-техническое снабжение и кадровое сопровождение. Это снижает организационные барьеры и делает внедрение реалистичным.</w:t>
      </w:r>
    </w:p>
    <w:p>
      <w:pPr>
        <w:spacing w:line="360" w:lineRule="auto"/>
        <w:ind w:firstLine="709"/>
        <w:jc w:val="both"/>
      </w:pPr>
      <w:r>
        <w:rPr>
          <w:rFonts w:ascii="Times New Roman" w:hAnsi="Times New Roman" w:eastAsia="Times New Roman"/>
          <w:sz w:val="28"/>
        </w:rPr>
        <w:t>Плановые расходы на внедрение представлены в таблице 3.5.</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Статья расходов</w:t>
            </w:r>
          </w:p>
        </w:tc>
        <w:tc>
          <w:tcPr>
            <w:tcW w:type="dxa" w:w="3230"/>
            <w:vAlign w:val="center"/>
            <w:shd w:fill="D9EAF7"/>
          </w:tcPr>
          <w:p>
            <w:pPr>
              <w:spacing w:line="240" w:lineRule="auto"/>
              <w:jc w:val="center"/>
            </w:pPr>
            <w:r>
              <w:rPr>
                <w:rFonts w:ascii="Times New Roman" w:hAnsi="Times New Roman" w:eastAsia="Times New Roman"/>
                <w:b/>
                <w:sz w:val="20"/>
              </w:rPr>
              <w:t>Расчет</w:t>
            </w:r>
          </w:p>
        </w:tc>
        <w:tc>
          <w:tcPr>
            <w:tcW w:type="dxa" w:w="3230"/>
            <w:vAlign w:val="center"/>
            <w:shd w:fill="D9EAF7"/>
          </w:tcPr>
          <w:p>
            <w:pPr>
              <w:spacing w:line="240" w:lineRule="auto"/>
              <w:jc w:val="center"/>
            </w:pPr>
            <w:r>
              <w:rPr>
                <w:rFonts w:ascii="Times New Roman" w:hAnsi="Times New Roman" w:eastAsia="Times New Roman"/>
                <w:b/>
                <w:sz w:val="20"/>
              </w:rPr>
              <w:t>Сумма, руб.</w:t>
            </w:r>
          </w:p>
        </w:tc>
      </w:tr>
      <w:tr>
        <w:tc>
          <w:tcPr>
            <w:tcW w:type="dxa" w:w="3230"/>
            <w:vAlign w:val="center"/>
          </w:tcPr>
          <w:p>
            <w:pPr>
              <w:spacing w:line="240" w:lineRule="auto"/>
              <w:jc w:val="left"/>
            </w:pPr>
            <w:r>
              <w:rPr>
                <w:rFonts w:ascii="Times New Roman" w:hAnsi="Times New Roman" w:eastAsia="Times New Roman"/>
                <w:b w:val="0"/>
                <w:sz w:val="20"/>
              </w:rPr>
              <w:t>Обучение по электробезопасности</w:t>
            </w:r>
          </w:p>
        </w:tc>
        <w:tc>
          <w:tcPr>
            <w:tcW w:type="dxa" w:w="3230"/>
            <w:vAlign w:val="center"/>
          </w:tcPr>
          <w:p>
            <w:pPr>
              <w:spacing w:line="240" w:lineRule="auto"/>
              <w:jc w:val="left"/>
            </w:pPr>
            <w:r>
              <w:rPr>
                <w:rFonts w:ascii="Times New Roman" w:hAnsi="Times New Roman" w:eastAsia="Times New Roman"/>
                <w:b w:val="0"/>
                <w:sz w:val="20"/>
              </w:rPr>
              <w:t>24 чел. x 4 400 руб.</w:t>
            </w:r>
          </w:p>
        </w:tc>
        <w:tc>
          <w:tcPr>
            <w:tcW w:type="dxa" w:w="3230"/>
            <w:vAlign w:val="center"/>
          </w:tcPr>
          <w:p>
            <w:pPr>
              <w:spacing w:line="240" w:lineRule="auto"/>
              <w:jc w:val="left"/>
            </w:pPr>
            <w:r>
              <w:rPr>
                <w:rFonts w:ascii="Times New Roman" w:hAnsi="Times New Roman" w:eastAsia="Times New Roman"/>
                <w:b w:val="0"/>
                <w:sz w:val="20"/>
              </w:rPr>
              <w:t>105 600</w:t>
            </w:r>
          </w:p>
        </w:tc>
      </w:tr>
      <w:tr>
        <w:tc>
          <w:tcPr>
            <w:tcW w:type="dxa" w:w="3230"/>
            <w:vAlign w:val="center"/>
          </w:tcPr>
          <w:p>
            <w:pPr>
              <w:spacing w:line="240" w:lineRule="auto"/>
              <w:jc w:val="left"/>
            </w:pPr>
            <w:r>
              <w:rPr>
                <w:rFonts w:ascii="Times New Roman" w:hAnsi="Times New Roman" w:eastAsia="Times New Roman"/>
                <w:b w:val="0"/>
                <w:sz w:val="20"/>
              </w:rPr>
              <w:t>Мини-курс по коммуникации с потребителями</w:t>
            </w:r>
          </w:p>
        </w:tc>
        <w:tc>
          <w:tcPr>
            <w:tcW w:type="dxa" w:w="3230"/>
            <w:vAlign w:val="center"/>
          </w:tcPr>
          <w:p>
            <w:pPr>
              <w:spacing w:line="240" w:lineRule="auto"/>
              <w:jc w:val="left"/>
            </w:pPr>
            <w:r>
              <w:rPr>
                <w:rFonts w:ascii="Times New Roman" w:hAnsi="Times New Roman" w:eastAsia="Times New Roman"/>
                <w:b w:val="0"/>
                <w:sz w:val="20"/>
              </w:rPr>
              <w:t>24 чел. x 1 500 руб.</w:t>
            </w:r>
          </w:p>
        </w:tc>
        <w:tc>
          <w:tcPr>
            <w:tcW w:type="dxa" w:w="3230"/>
            <w:vAlign w:val="center"/>
          </w:tcPr>
          <w:p>
            <w:pPr>
              <w:spacing w:line="240" w:lineRule="auto"/>
              <w:jc w:val="left"/>
            </w:pPr>
            <w:r>
              <w:rPr>
                <w:rFonts w:ascii="Times New Roman" w:hAnsi="Times New Roman" w:eastAsia="Times New Roman"/>
                <w:b w:val="0"/>
                <w:sz w:val="20"/>
              </w:rPr>
              <w:t>36 000</w:t>
            </w:r>
          </w:p>
        </w:tc>
      </w:tr>
      <w:tr>
        <w:tc>
          <w:tcPr>
            <w:tcW w:type="dxa" w:w="3230"/>
            <w:vAlign w:val="center"/>
          </w:tcPr>
          <w:p>
            <w:pPr>
              <w:spacing w:line="240" w:lineRule="auto"/>
              <w:jc w:val="left"/>
            </w:pPr>
            <w:r>
              <w:rPr>
                <w:rFonts w:ascii="Times New Roman" w:hAnsi="Times New Roman" w:eastAsia="Times New Roman"/>
                <w:b w:val="0"/>
                <w:sz w:val="20"/>
              </w:rPr>
              <w:t>Доплата наставникам</w:t>
            </w:r>
          </w:p>
        </w:tc>
        <w:tc>
          <w:tcPr>
            <w:tcW w:type="dxa" w:w="3230"/>
            <w:vAlign w:val="center"/>
          </w:tcPr>
          <w:p>
            <w:pPr>
              <w:spacing w:line="240" w:lineRule="auto"/>
              <w:jc w:val="left"/>
            </w:pPr>
            <w:r>
              <w:rPr>
                <w:rFonts w:ascii="Times New Roman" w:hAnsi="Times New Roman" w:eastAsia="Times New Roman"/>
                <w:b w:val="0"/>
                <w:sz w:val="20"/>
              </w:rPr>
              <w:t>4 наставника x 6 500 руб. x 3 мес.</w:t>
            </w:r>
          </w:p>
        </w:tc>
        <w:tc>
          <w:tcPr>
            <w:tcW w:type="dxa" w:w="3230"/>
            <w:vAlign w:val="center"/>
          </w:tcPr>
          <w:p>
            <w:pPr>
              <w:spacing w:line="240" w:lineRule="auto"/>
              <w:jc w:val="left"/>
            </w:pPr>
            <w:r>
              <w:rPr>
                <w:rFonts w:ascii="Times New Roman" w:hAnsi="Times New Roman" w:eastAsia="Times New Roman"/>
                <w:b w:val="0"/>
                <w:sz w:val="20"/>
              </w:rPr>
              <w:t>78 000</w:t>
            </w:r>
          </w:p>
        </w:tc>
      </w:tr>
      <w:tr>
        <w:tc>
          <w:tcPr>
            <w:tcW w:type="dxa" w:w="3230"/>
            <w:vAlign w:val="center"/>
          </w:tcPr>
          <w:p>
            <w:pPr>
              <w:spacing w:line="240" w:lineRule="auto"/>
              <w:jc w:val="left"/>
            </w:pPr>
            <w:r>
              <w:rPr>
                <w:rFonts w:ascii="Times New Roman" w:hAnsi="Times New Roman" w:eastAsia="Times New Roman"/>
                <w:b w:val="0"/>
                <w:sz w:val="20"/>
              </w:rPr>
              <w:t>Базовые диэлектрические комплекты</w:t>
            </w:r>
          </w:p>
        </w:tc>
        <w:tc>
          <w:tcPr>
            <w:tcW w:type="dxa" w:w="3230"/>
            <w:vAlign w:val="center"/>
          </w:tcPr>
          <w:p>
            <w:pPr>
              <w:spacing w:line="240" w:lineRule="auto"/>
              <w:jc w:val="left"/>
            </w:pPr>
            <w:r>
              <w:rPr>
                <w:rFonts w:ascii="Times New Roman" w:hAnsi="Times New Roman" w:eastAsia="Times New Roman"/>
                <w:b w:val="0"/>
                <w:sz w:val="20"/>
              </w:rPr>
              <w:t>12 комплектов x 5 360 руб.</w:t>
            </w:r>
          </w:p>
        </w:tc>
        <w:tc>
          <w:tcPr>
            <w:tcW w:type="dxa" w:w="3230"/>
            <w:vAlign w:val="center"/>
          </w:tcPr>
          <w:p>
            <w:pPr>
              <w:spacing w:line="240" w:lineRule="auto"/>
              <w:jc w:val="left"/>
            </w:pPr>
            <w:r>
              <w:rPr>
                <w:rFonts w:ascii="Times New Roman" w:hAnsi="Times New Roman" w:eastAsia="Times New Roman"/>
                <w:b w:val="0"/>
                <w:sz w:val="20"/>
              </w:rPr>
              <w:t>64 320</w:t>
            </w:r>
          </w:p>
        </w:tc>
      </w:tr>
      <w:tr>
        <w:tc>
          <w:tcPr>
            <w:tcW w:type="dxa" w:w="3230"/>
            <w:vAlign w:val="center"/>
          </w:tcPr>
          <w:p>
            <w:pPr>
              <w:spacing w:line="240" w:lineRule="auto"/>
              <w:jc w:val="left"/>
            </w:pPr>
            <w:r>
              <w:rPr>
                <w:rFonts w:ascii="Times New Roman" w:hAnsi="Times New Roman" w:eastAsia="Times New Roman"/>
                <w:b w:val="0"/>
                <w:sz w:val="20"/>
              </w:rPr>
              <w:t>Расширенные диэлектрические комплекты</w:t>
            </w:r>
          </w:p>
        </w:tc>
        <w:tc>
          <w:tcPr>
            <w:tcW w:type="dxa" w:w="3230"/>
            <w:vAlign w:val="center"/>
          </w:tcPr>
          <w:p>
            <w:pPr>
              <w:spacing w:line="240" w:lineRule="auto"/>
              <w:jc w:val="left"/>
            </w:pPr>
            <w:r>
              <w:rPr>
                <w:rFonts w:ascii="Times New Roman" w:hAnsi="Times New Roman" w:eastAsia="Times New Roman"/>
                <w:b w:val="0"/>
                <w:sz w:val="20"/>
              </w:rPr>
              <w:t>6 комплектов x 13 500 руб.</w:t>
            </w:r>
          </w:p>
        </w:tc>
        <w:tc>
          <w:tcPr>
            <w:tcW w:type="dxa" w:w="3230"/>
            <w:vAlign w:val="center"/>
          </w:tcPr>
          <w:p>
            <w:pPr>
              <w:spacing w:line="240" w:lineRule="auto"/>
              <w:jc w:val="left"/>
            </w:pPr>
            <w:r>
              <w:rPr>
                <w:rFonts w:ascii="Times New Roman" w:hAnsi="Times New Roman" w:eastAsia="Times New Roman"/>
                <w:b w:val="0"/>
                <w:sz w:val="20"/>
              </w:rPr>
              <w:t>81 000</w:t>
            </w:r>
          </w:p>
        </w:tc>
      </w:tr>
      <w:tr>
        <w:tc>
          <w:tcPr>
            <w:tcW w:type="dxa" w:w="3230"/>
            <w:vAlign w:val="center"/>
          </w:tcPr>
          <w:p>
            <w:pPr>
              <w:spacing w:line="240" w:lineRule="auto"/>
              <w:jc w:val="left"/>
            </w:pPr>
            <w:r>
              <w:rPr>
                <w:rFonts w:ascii="Times New Roman" w:hAnsi="Times New Roman" w:eastAsia="Times New Roman"/>
                <w:b w:val="0"/>
                <w:sz w:val="20"/>
              </w:rPr>
              <w:t>Сертификаты признания</w:t>
            </w:r>
          </w:p>
        </w:tc>
        <w:tc>
          <w:tcPr>
            <w:tcW w:type="dxa" w:w="3230"/>
            <w:vAlign w:val="center"/>
          </w:tcPr>
          <w:p>
            <w:pPr>
              <w:spacing w:line="240" w:lineRule="auto"/>
              <w:jc w:val="left"/>
            </w:pPr>
            <w:r>
              <w:rPr>
                <w:rFonts w:ascii="Times New Roman" w:hAnsi="Times New Roman" w:eastAsia="Times New Roman"/>
                <w:b w:val="0"/>
                <w:sz w:val="20"/>
              </w:rPr>
              <w:t>3 сертификата x 3 000 руб. x 4 квартала</w:t>
            </w:r>
          </w:p>
        </w:tc>
        <w:tc>
          <w:tcPr>
            <w:tcW w:type="dxa" w:w="3230"/>
            <w:vAlign w:val="center"/>
          </w:tcPr>
          <w:p>
            <w:pPr>
              <w:spacing w:line="240" w:lineRule="auto"/>
              <w:jc w:val="left"/>
            </w:pPr>
            <w:r>
              <w:rPr>
                <w:rFonts w:ascii="Times New Roman" w:hAnsi="Times New Roman" w:eastAsia="Times New Roman"/>
                <w:b w:val="0"/>
                <w:sz w:val="20"/>
              </w:rPr>
              <w:t>36 000</w:t>
            </w:r>
          </w:p>
        </w:tc>
      </w:tr>
      <w:tr>
        <w:tc>
          <w:tcPr>
            <w:tcW w:type="dxa" w:w="3230"/>
            <w:vAlign w:val="center"/>
          </w:tcPr>
          <w:p>
            <w:pPr>
              <w:spacing w:line="240" w:lineRule="auto"/>
              <w:jc w:val="left"/>
            </w:pPr>
            <w:r>
              <w:rPr>
                <w:rFonts w:ascii="Times New Roman" w:hAnsi="Times New Roman" w:eastAsia="Times New Roman"/>
                <w:b w:val="0"/>
                <w:sz w:val="20"/>
              </w:rPr>
              <w:t>Информационные материалы и доска признания</w:t>
            </w:r>
          </w:p>
        </w:tc>
        <w:tc>
          <w:tcPr>
            <w:tcW w:type="dxa" w:w="3230"/>
            <w:vAlign w:val="center"/>
          </w:tcPr>
          <w:p>
            <w:pPr>
              <w:spacing w:line="240" w:lineRule="auto"/>
              <w:jc w:val="left"/>
            </w:pPr>
            <w:r>
              <w:rPr>
                <w:rFonts w:ascii="Times New Roman" w:hAnsi="Times New Roman" w:eastAsia="Times New Roman"/>
                <w:b w:val="0"/>
                <w:sz w:val="20"/>
              </w:rPr>
              <w:t>расчетно</w:t>
            </w:r>
          </w:p>
        </w:tc>
        <w:tc>
          <w:tcPr>
            <w:tcW w:type="dxa" w:w="3230"/>
            <w:vAlign w:val="center"/>
          </w:tcPr>
          <w:p>
            <w:pPr>
              <w:spacing w:line="240" w:lineRule="auto"/>
              <w:jc w:val="left"/>
            </w:pPr>
            <w:r>
              <w:rPr>
                <w:rFonts w:ascii="Times New Roman" w:hAnsi="Times New Roman" w:eastAsia="Times New Roman"/>
                <w:b w:val="0"/>
                <w:sz w:val="20"/>
              </w:rPr>
              <w:t>15 000</w:t>
            </w:r>
          </w:p>
        </w:tc>
      </w:tr>
      <w:tr>
        <w:tc>
          <w:tcPr>
            <w:tcW w:type="dxa" w:w="3230"/>
            <w:vAlign w:val="center"/>
          </w:tcPr>
          <w:p>
            <w:pPr>
              <w:spacing w:line="240" w:lineRule="auto"/>
              <w:jc w:val="left"/>
            </w:pPr>
            <w:r>
              <w:rPr>
                <w:rFonts w:ascii="Times New Roman" w:hAnsi="Times New Roman" w:eastAsia="Times New Roman"/>
                <w:b w:val="0"/>
                <w:sz w:val="20"/>
              </w:rPr>
              <w:t>Администрирование опросов и аналитика</w:t>
            </w:r>
          </w:p>
        </w:tc>
        <w:tc>
          <w:tcPr>
            <w:tcW w:type="dxa" w:w="3230"/>
            <w:vAlign w:val="center"/>
          </w:tcPr>
          <w:p>
            <w:pPr>
              <w:spacing w:line="240" w:lineRule="auto"/>
              <w:jc w:val="left"/>
            </w:pPr>
            <w:r>
              <w:rPr>
                <w:rFonts w:ascii="Times New Roman" w:hAnsi="Times New Roman" w:eastAsia="Times New Roman"/>
                <w:b w:val="0"/>
                <w:sz w:val="20"/>
              </w:rPr>
              <w:t>расчетно</w:t>
            </w:r>
          </w:p>
        </w:tc>
        <w:tc>
          <w:tcPr>
            <w:tcW w:type="dxa" w:w="3230"/>
            <w:vAlign w:val="center"/>
          </w:tcPr>
          <w:p>
            <w:pPr>
              <w:spacing w:line="240" w:lineRule="auto"/>
              <w:jc w:val="left"/>
            </w:pPr>
            <w:r>
              <w:rPr>
                <w:rFonts w:ascii="Times New Roman" w:hAnsi="Times New Roman" w:eastAsia="Times New Roman"/>
                <w:b w:val="0"/>
                <w:sz w:val="20"/>
              </w:rPr>
              <w:t>10 000</w:t>
            </w:r>
          </w:p>
        </w:tc>
      </w:tr>
      <w:tr>
        <w:tc>
          <w:tcPr>
            <w:tcW w:type="dxa" w:w="3230"/>
            <w:vAlign w:val="center"/>
          </w:tcPr>
          <w:p>
            <w:pPr>
              <w:spacing w:line="240" w:lineRule="auto"/>
              <w:jc w:val="left"/>
            </w:pPr>
            <w:r>
              <w:rPr>
                <w:rFonts w:ascii="Times New Roman" w:hAnsi="Times New Roman" w:eastAsia="Times New Roman"/>
                <w:b w:val="0"/>
                <w:sz w:val="20"/>
              </w:rPr>
              <w:t>KPI-фонд из подтвержденной экономии</w:t>
            </w:r>
          </w:p>
        </w:tc>
        <w:tc>
          <w:tcPr>
            <w:tcW w:type="dxa" w:w="3230"/>
            <w:vAlign w:val="center"/>
          </w:tcPr>
          <w:p>
            <w:pPr>
              <w:spacing w:line="240" w:lineRule="auto"/>
              <w:jc w:val="left"/>
            </w:pPr>
            <w:r>
              <w:rPr>
                <w:rFonts w:ascii="Times New Roman" w:hAnsi="Times New Roman" w:eastAsia="Times New Roman"/>
                <w:b w:val="0"/>
                <w:sz w:val="20"/>
              </w:rPr>
              <w:t>30% от эффекта, планово</w:t>
            </w:r>
          </w:p>
        </w:tc>
        <w:tc>
          <w:tcPr>
            <w:tcW w:type="dxa" w:w="3230"/>
            <w:vAlign w:val="center"/>
          </w:tcPr>
          <w:p>
            <w:pPr>
              <w:spacing w:line="240" w:lineRule="auto"/>
              <w:jc w:val="left"/>
            </w:pPr>
            <w:r>
              <w:rPr>
                <w:rFonts w:ascii="Times New Roman" w:hAnsi="Times New Roman" w:eastAsia="Times New Roman"/>
                <w:b w:val="0"/>
                <w:sz w:val="20"/>
              </w:rPr>
              <w:t>626 000</w:t>
            </w:r>
          </w:p>
        </w:tc>
      </w:tr>
      <w:tr>
        <w:tc>
          <w:tcPr>
            <w:tcW w:type="dxa" w:w="3230"/>
            <w:vAlign w:val="center"/>
          </w:tcPr>
          <w:p>
            <w:pPr>
              <w:spacing w:line="240" w:lineRule="auto"/>
              <w:jc w:val="left"/>
            </w:pPr>
            <w:r>
              <w:rPr>
                <w:rFonts w:ascii="Times New Roman" w:hAnsi="Times New Roman" w:eastAsia="Times New Roman"/>
                <w:b w:val="0"/>
                <w:sz w:val="20"/>
              </w:rPr>
              <w:t>Итого первый год</w:t>
            </w:r>
          </w:p>
        </w:tc>
        <w:tc>
          <w:tcPr>
            <w:tcW w:type="dxa" w:w="3230"/>
            <w:vAlign w:val="center"/>
          </w:tcPr>
          <w:p>
            <w:pPr>
              <w:spacing w:line="240" w:lineRule="auto"/>
              <w:jc w:val="left"/>
            </w:pPr>
            <w:r>
              <w:rPr>
                <w:rFonts w:ascii="Times New Roman" w:hAnsi="Times New Roman" w:eastAsia="Times New Roman"/>
                <w:b w:val="0"/>
                <w:sz w:val="20"/>
              </w:rPr>
            </w:r>
          </w:p>
        </w:tc>
        <w:tc>
          <w:tcPr>
            <w:tcW w:type="dxa" w:w="3230"/>
            <w:vAlign w:val="center"/>
          </w:tcPr>
          <w:p>
            <w:pPr>
              <w:spacing w:line="240" w:lineRule="auto"/>
              <w:jc w:val="left"/>
            </w:pPr>
            <w:r>
              <w:rPr>
                <w:rFonts w:ascii="Times New Roman" w:hAnsi="Times New Roman" w:eastAsia="Times New Roman"/>
                <w:b w:val="0"/>
                <w:sz w:val="20"/>
              </w:rPr>
              <w:t>1 051 920</w:t>
            </w:r>
          </w:p>
        </w:tc>
      </w:tr>
    </w:tbl>
    <w:p/>
    <w:p>
      <w:pPr>
        <w:spacing w:line="360" w:lineRule="auto"/>
        <w:ind w:firstLine="709"/>
        <w:jc w:val="both"/>
      </w:pPr>
      <w:r>
        <w:rPr>
          <w:rFonts w:ascii="Times New Roman" w:hAnsi="Times New Roman" w:eastAsia="Times New Roman"/>
          <w:sz w:val="28"/>
        </w:rPr>
        <w:t>Таблица 3.5 - Плановые расходы на программу совершенствования мотивации</w:t>
      </w:r>
    </w:p>
    <w:p>
      <w:pPr>
        <w:spacing w:line="360" w:lineRule="auto"/>
        <w:ind w:firstLine="709"/>
        <w:jc w:val="both"/>
      </w:pPr>
      <w:r>
        <w:rPr>
          <w:rFonts w:ascii="Times New Roman" w:hAnsi="Times New Roman" w:eastAsia="Times New Roman"/>
          <w:sz w:val="28"/>
        </w:rPr>
        <w:t>Из таблицы 3.5 видно, что большая часть затрат связана с KPI-фондом. Однако данный фонд предлагается формировать не как безусловное увеличение расходов, а как долю подтвержденного эффекта. Это делает программу адаптируемой к действующей системе управления: если экономический эффект не достигнут, премиальный фонд уменьшается; если эффект подтвержден, часть экономии возвращается работникам в форме стимулирования.</w:t>
      </w:r>
    </w:p>
    <w:p>
      <w:pPr>
        <w:spacing w:line="360" w:lineRule="auto"/>
        <w:ind w:firstLine="709"/>
        <w:jc w:val="both"/>
      </w:pPr>
      <w:r>
        <w:rPr>
          <w:rFonts w:ascii="Times New Roman" w:hAnsi="Times New Roman" w:eastAsia="Times New Roman"/>
          <w:sz w:val="28"/>
        </w:rPr>
        <w:t>Для контроля исполнения бюджета предлагается разделить расходы на разовые и регулярные. Разовые расходы включают обучение, первичное обновление инструментов, подготовку материалов и запуск методики опроса. Регулярные расходы включают премиальный фонд, поддержку наставничества и ежеквартальное признание сотрудников. Такое разделение важно для экономической оценки: разовые вложения окупаются за счет устойчивого эффекта, а регулярные расходы должны финансироваться из ежегодной экономии.</w:t>
      </w:r>
    </w:p>
    <w:p>
      <w:pPr>
        <w:pStyle w:val="Heading2"/>
      </w:pPr>
      <w:r>
        <w:t>3.3. Оценка экономической эффективности разработанных рекомендаций</w:t>
      </w:r>
    </w:p>
    <w:p>
      <w:pPr>
        <w:spacing w:line="360" w:lineRule="auto"/>
        <w:ind w:firstLine="709"/>
        <w:jc w:val="both"/>
      </w:pPr>
      <w:r>
        <w:rPr>
          <w:rFonts w:ascii="Times New Roman" w:hAnsi="Times New Roman" w:eastAsia="Times New Roman"/>
          <w:sz w:val="28"/>
        </w:rPr>
        <w:t>Для оценки эффективности необходимо определить направления экономии и ожидаемые результаты. Предлагаемые мероприятия влияют на экономику компании через снижение текучести, сокращение повторных выездов, уменьшение сверхурочной нагрузки, повышение качества данных учета, снижение ошибок и рост производительности.</w:t>
      </w:r>
    </w:p>
    <w:p>
      <w:pPr>
        <w:spacing w:line="360" w:lineRule="auto"/>
        <w:ind w:firstLine="709"/>
        <w:jc w:val="both"/>
      </w:pPr>
      <w:r>
        <w:rPr>
          <w:rFonts w:ascii="Times New Roman" w:hAnsi="Times New Roman" w:eastAsia="Times New Roman"/>
          <w:sz w:val="28"/>
        </w:rPr>
        <w:t>Расчет выполнен для отдела электриков численностью 24 человека. Для расчетов используется средняя расчетная заработная плата 65 000 руб. в месяц, что соответствует медианному уровню оплаты электриков в Нижнем Новгороде по открытым источникам. Годовой фонд оплаты труда отдела принимается равным:</w:t>
      </w:r>
    </w:p>
    <w:p>
      <w:pPr>
        <w:spacing w:line="360" w:lineRule="auto"/>
        <w:ind w:firstLine="709"/>
        <w:jc w:val="both"/>
      </w:pPr>
      <w:r>
        <w:rPr>
          <w:rFonts w:ascii="Times New Roman" w:hAnsi="Times New Roman" w:eastAsia="Times New Roman"/>
          <w:sz w:val="28"/>
        </w:rPr>
        <w:t>24 чел. x 65 000 руб. x 12 мес. = 18 720 000 руб.</w:t>
      </w:r>
    </w:p>
    <w:p>
      <w:pPr>
        <w:spacing w:line="360" w:lineRule="auto"/>
        <w:ind w:firstLine="709"/>
        <w:jc w:val="both"/>
      </w:pPr>
      <w:r>
        <w:rPr>
          <w:rFonts w:ascii="Times New Roman" w:hAnsi="Times New Roman" w:eastAsia="Times New Roman"/>
          <w:sz w:val="28"/>
        </w:rPr>
        <w:t>Ожидаемые направления экономического эффекта представлены в таблице 3.6.</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Направление экономии</w:t>
            </w:r>
          </w:p>
        </w:tc>
        <w:tc>
          <w:tcPr>
            <w:tcW w:type="dxa" w:w="3230"/>
            <w:vAlign w:val="center"/>
            <w:shd w:fill="D9EAF7"/>
          </w:tcPr>
          <w:p>
            <w:pPr>
              <w:spacing w:line="240" w:lineRule="auto"/>
              <w:jc w:val="center"/>
            </w:pPr>
            <w:r>
              <w:rPr>
                <w:rFonts w:ascii="Times New Roman" w:hAnsi="Times New Roman" w:eastAsia="Times New Roman"/>
                <w:b/>
                <w:sz w:val="20"/>
              </w:rPr>
              <w:t>Расчет</w:t>
            </w:r>
          </w:p>
        </w:tc>
        <w:tc>
          <w:tcPr>
            <w:tcW w:type="dxa" w:w="3230"/>
            <w:vAlign w:val="center"/>
            <w:shd w:fill="D9EAF7"/>
          </w:tcPr>
          <w:p>
            <w:pPr>
              <w:spacing w:line="240" w:lineRule="auto"/>
              <w:jc w:val="center"/>
            </w:pPr>
            <w:r>
              <w:rPr>
                <w:rFonts w:ascii="Times New Roman" w:hAnsi="Times New Roman" w:eastAsia="Times New Roman"/>
                <w:b/>
                <w:sz w:val="20"/>
              </w:rPr>
              <w:t>Сумма, руб. в год</w:t>
            </w:r>
          </w:p>
        </w:tc>
      </w:tr>
      <w:tr>
        <w:tc>
          <w:tcPr>
            <w:tcW w:type="dxa" w:w="3230"/>
            <w:vAlign w:val="center"/>
          </w:tcPr>
          <w:p>
            <w:pPr>
              <w:spacing w:line="240" w:lineRule="auto"/>
              <w:jc w:val="left"/>
            </w:pPr>
            <w:r>
              <w:rPr>
                <w:rFonts w:ascii="Times New Roman" w:hAnsi="Times New Roman" w:eastAsia="Times New Roman"/>
                <w:b w:val="0"/>
                <w:sz w:val="20"/>
              </w:rPr>
              <w:t>Снижение текучести</w:t>
            </w:r>
          </w:p>
        </w:tc>
        <w:tc>
          <w:tcPr>
            <w:tcW w:type="dxa" w:w="3230"/>
            <w:vAlign w:val="center"/>
          </w:tcPr>
          <w:p>
            <w:pPr>
              <w:spacing w:line="240" w:lineRule="auto"/>
              <w:jc w:val="left"/>
            </w:pPr>
            <w:r>
              <w:rPr>
                <w:rFonts w:ascii="Times New Roman" w:hAnsi="Times New Roman" w:eastAsia="Times New Roman"/>
                <w:b w:val="0"/>
                <w:sz w:val="20"/>
              </w:rPr>
              <w:t>2 предотвращенных увольнения x 83 750 руб. затрат замещения</w:t>
            </w:r>
          </w:p>
        </w:tc>
        <w:tc>
          <w:tcPr>
            <w:tcW w:type="dxa" w:w="3230"/>
            <w:vAlign w:val="center"/>
          </w:tcPr>
          <w:p>
            <w:pPr>
              <w:spacing w:line="240" w:lineRule="auto"/>
              <w:jc w:val="left"/>
            </w:pPr>
            <w:r>
              <w:rPr>
                <w:rFonts w:ascii="Times New Roman" w:hAnsi="Times New Roman" w:eastAsia="Times New Roman"/>
                <w:b w:val="0"/>
                <w:sz w:val="20"/>
              </w:rPr>
              <w:t>167 500</w:t>
            </w:r>
          </w:p>
        </w:tc>
      </w:tr>
      <w:tr>
        <w:tc>
          <w:tcPr>
            <w:tcW w:type="dxa" w:w="3230"/>
            <w:vAlign w:val="center"/>
          </w:tcPr>
          <w:p>
            <w:pPr>
              <w:spacing w:line="240" w:lineRule="auto"/>
              <w:jc w:val="left"/>
            </w:pPr>
            <w:r>
              <w:rPr>
                <w:rFonts w:ascii="Times New Roman" w:hAnsi="Times New Roman" w:eastAsia="Times New Roman"/>
                <w:b w:val="0"/>
                <w:sz w:val="20"/>
              </w:rPr>
              <w:t>Сокращение повторных выездов</w:t>
            </w:r>
          </w:p>
        </w:tc>
        <w:tc>
          <w:tcPr>
            <w:tcW w:type="dxa" w:w="3230"/>
            <w:vAlign w:val="center"/>
          </w:tcPr>
          <w:p>
            <w:pPr>
              <w:spacing w:line="240" w:lineRule="auto"/>
              <w:jc w:val="left"/>
            </w:pPr>
            <w:r>
              <w:rPr>
                <w:rFonts w:ascii="Times New Roman" w:hAnsi="Times New Roman" w:eastAsia="Times New Roman"/>
                <w:b w:val="0"/>
                <w:sz w:val="20"/>
              </w:rPr>
              <w:t>60 предотвращенных повторных выездов x 1 800 руб.</w:t>
            </w:r>
          </w:p>
        </w:tc>
        <w:tc>
          <w:tcPr>
            <w:tcW w:type="dxa" w:w="3230"/>
            <w:vAlign w:val="center"/>
          </w:tcPr>
          <w:p>
            <w:pPr>
              <w:spacing w:line="240" w:lineRule="auto"/>
              <w:jc w:val="left"/>
            </w:pPr>
            <w:r>
              <w:rPr>
                <w:rFonts w:ascii="Times New Roman" w:hAnsi="Times New Roman" w:eastAsia="Times New Roman"/>
                <w:b w:val="0"/>
                <w:sz w:val="20"/>
              </w:rPr>
              <w:t>108 000</w:t>
            </w:r>
          </w:p>
        </w:tc>
      </w:tr>
      <w:tr>
        <w:tc>
          <w:tcPr>
            <w:tcW w:type="dxa" w:w="3230"/>
            <w:vAlign w:val="center"/>
          </w:tcPr>
          <w:p>
            <w:pPr>
              <w:spacing w:line="240" w:lineRule="auto"/>
              <w:jc w:val="left"/>
            </w:pPr>
            <w:r>
              <w:rPr>
                <w:rFonts w:ascii="Times New Roman" w:hAnsi="Times New Roman" w:eastAsia="Times New Roman"/>
                <w:b w:val="0"/>
                <w:sz w:val="20"/>
              </w:rPr>
              <w:t>Снижение сверхурочной нагрузки</w:t>
            </w:r>
          </w:p>
        </w:tc>
        <w:tc>
          <w:tcPr>
            <w:tcW w:type="dxa" w:w="3230"/>
            <w:vAlign w:val="center"/>
          </w:tcPr>
          <w:p>
            <w:pPr>
              <w:spacing w:line="240" w:lineRule="auto"/>
              <w:jc w:val="left"/>
            </w:pPr>
            <w:r>
              <w:rPr>
                <w:rFonts w:ascii="Times New Roman" w:hAnsi="Times New Roman" w:eastAsia="Times New Roman"/>
                <w:b w:val="0"/>
                <w:sz w:val="20"/>
              </w:rPr>
              <w:t>20% от расчетной базы сверхурочных 1 600 000 руб.</w:t>
            </w:r>
          </w:p>
        </w:tc>
        <w:tc>
          <w:tcPr>
            <w:tcW w:type="dxa" w:w="3230"/>
            <w:vAlign w:val="center"/>
          </w:tcPr>
          <w:p>
            <w:pPr>
              <w:spacing w:line="240" w:lineRule="auto"/>
              <w:jc w:val="left"/>
            </w:pPr>
            <w:r>
              <w:rPr>
                <w:rFonts w:ascii="Times New Roman" w:hAnsi="Times New Roman" w:eastAsia="Times New Roman"/>
                <w:b w:val="0"/>
                <w:sz w:val="20"/>
              </w:rPr>
              <w:t>320 000</w:t>
            </w:r>
          </w:p>
        </w:tc>
      </w:tr>
      <w:tr>
        <w:tc>
          <w:tcPr>
            <w:tcW w:type="dxa" w:w="3230"/>
            <w:vAlign w:val="center"/>
          </w:tcPr>
          <w:p>
            <w:pPr>
              <w:spacing w:line="240" w:lineRule="auto"/>
              <w:jc w:val="left"/>
            </w:pPr>
            <w:r>
              <w:rPr>
                <w:rFonts w:ascii="Times New Roman" w:hAnsi="Times New Roman" w:eastAsia="Times New Roman"/>
                <w:b w:val="0"/>
                <w:sz w:val="20"/>
              </w:rPr>
              <w:t>Снижение потерь от задержек и ошибок учета</w:t>
            </w:r>
          </w:p>
        </w:tc>
        <w:tc>
          <w:tcPr>
            <w:tcW w:type="dxa" w:w="3230"/>
            <w:vAlign w:val="center"/>
          </w:tcPr>
          <w:p>
            <w:pPr>
              <w:spacing w:line="240" w:lineRule="auto"/>
              <w:jc w:val="left"/>
            </w:pPr>
            <w:r>
              <w:rPr>
                <w:rFonts w:ascii="Times New Roman" w:hAnsi="Times New Roman" w:eastAsia="Times New Roman"/>
                <w:b w:val="0"/>
                <w:sz w:val="20"/>
              </w:rPr>
              <w:t>расчетно-консервативная оценка</w:t>
            </w:r>
          </w:p>
        </w:tc>
        <w:tc>
          <w:tcPr>
            <w:tcW w:type="dxa" w:w="3230"/>
            <w:vAlign w:val="center"/>
          </w:tcPr>
          <w:p>
            <w:pPr>
              <w:spacing w:line="240" w:lineRule="auto"/>
              <w:jc w:val="left"/>
            </w:pPr>
            <w:r>
              <w:rPr>
                <w:rFonts w:ascii="Times New Roman" w:hAnsi="Times New Roman" w:eastAsia="Times New Roman"/>
                <w:b w:val="0"/>
                <w:sz w:val="20"/>
              </w:rPr>
              <w:t>900 000</w:t>
            </w:r>
          </w:p>
        </w:tc>
      </w:tr>
      <w:tr>
        <w:tc>
          <w:tcPr>
            <w:tcW w:type="dxa" w:w="3230"/>
            <w:vAlign w:val="center"/>
          </w:tcPr>
          <w:p>
            <w:pPr>
              <w:spacing w:line="240" w:lineRule="auto"/>
              <w:jc w:val="left"/>
            </w:pPr>
            <w:r>
              <w:rPr>
                <w:rFonts w:ascii="Times New Roman" w:hAnsi="Times New Roman" w:eastAsia="Times New Roman"/>
                <w:b w:val="0"/>
                <w:sz w:val="20"/>
              </w:rPr>
              <w:t>Экономия рабочего времени за счет инициатив</w:t>
            </w:r>
          </w:p>
        </w:tc>
        <w:tc>
          <w:tcPr>
            <w:tcW w:type="dxa" w:w="3230"/>
            <w:vAlign w:val="center"/>
          </w:tcPr>
          <w:p>
            <w:pPr>
              <w:spacing w:line="240" w:lineRule="auto"/>
              <w:jc w:val="left"/>
            </w:pPr>
            <w:r>
              <w:rPr>
                <w:rFonts w:ascii="Times New Roman" w:hAnsi="Times New Roman" w:eastAsia="Times New Roman"/>
                <w:b w:val="0"/>
                <w:sz w:val="20"/>
              </w:rPr>
              <w:t>240 часов x 650 руб.</w:t>
            </w:r>
          </w:p>
        </w:tc>
        <w:tc>
          <w:tcPr>
            <w:tcW w:type="dxa" w:w="3230"/>
            <w:vAlign w:val="center"/>
          </w:tcPr>
          <w:p>
            <w:pPr>
              <w:spacing w:line="240" w:lineRule="auto"/>
              <w:jc w:val="left"/>
            </w:pPr>
            <w:r>
              <w:rPr>
                <w:rFonts w:ascii="Times New Roman" w:hAnsi="Times New Roman" w:eastAsia="Times New Roman"/>
                <w:b w:val="0"/>
                <w:sz w:val="20"/>
              </w:rPr>
              <w:t>156 000</w:t>
            </w:r>
          </w:p>
        </w:tc>
      </w:tr>
      <w:tr>
        <w:tc>
          <w:tcPr>
            <w:tcW w:type="dxa" w:w="3230"/>
            <w:vAlign w:val="center"/>
          </w:tcPr>
          <w:p>
            <w:pPr>
              <w:spacing w:line="240" w:lineRule="auto"/>
              <w:jc w:val="left"/>
            </w:pPr>
            <w:r>
              <w:rPr>
                <w:rFonts w:ascii="Times New Roman" w:hAnsi="Times New Roman" w:eastAsia="Times New Roman"/>
                <w:b w:val="0"/>
                <w:sz w:val="20"/>
              </w:rPr>
              <w:t>Снижение мелких инцидентов и простоев</w:t>
            </w:r>
          </w:p>
        </w:tc>
        <w:tc>
          <w:tcPr>
            <w:tcW w:type="dxa" w:w="3230"/>
            <w:vAlign w:val="center"/>
          </w:tcPr>
          <w:p>
            <w:pPr>
              <w:spacing w:line="240" w:lineRule="auto"/>
              <w:jc w:val="left"/>
            </w:pPr>
            <w:r>
              <w:rPr>
                <w:rFonts w:ascii="Times New Roman" w:hAnsi="Times New Roman" w:eastAsia="Times New Roman"/>
                <w:b w:val="0"/>
                <w:sz w:val="20"/>
              </w:rPr>
              <w:t>расчетно</w:t>
            </w:r>
          </w:p>
        </w:tc>
        <w:tc>
          <w:tcPr>
            <w:tcW w:type="dxa" w:w="3230"/>
            <w:vAlign w:val="center"/>
          </w:tcPr>
          <w:p>
            <w:pPr>
              <w:spacing w:line="240" w:lineRule="auto"/>
              <w:jc w:val="left"/>
            </w:pPr>
            <w:r>
              <w:rPr>
                <w:rFonts w:ascii="Times New Roman" w:hAnsi="Times New Roman" w:eastAsia="Times New Roman"/>
                <w:b w:val="0"/>
                <w:sz w:val="20"/>
              </w:rPr>
              <w:t>80 000</w:t>
            </w:r>
          </w:p>
        </w:tc>
      </w:tr>
      <w:tr>
        <w:tc>
          <w:tcPr>
            <w:tcW w:type="dxa" w:w="3230"/>
            <w:vAlign w:val="center"/>
          </w:tcPr>
          <w:p>
            <w:pPr>
              <w:spacing w:line="240" w:lineRule="auto"/>
              <w:jc w:val="left"/>
            </w:pPr>
            <w:r>
              <w:rPr>
                <w:rFonts w:ascii="Times New Roman" w:hAnsi="Times New Roman" w:eastAsia="Times New Roman"/>
                <w:b w:val="0"/>
                <w:sz w:val="20"/>
              </w:rPr>
              <w:t>Итого ожидаемый годовой эффект</w:t>
            </w:r>
          </w:p>
        </w:tc>
        <w:tc>
          <w:tcPr>
            <w:tcW w:type="dxa" w:w="3230"/>
            <w:vAlign w:val="center"/>
          </w:tcPr>
          <w:p>
            <w:pPr>
              <w:spacing w:line="240" w:lineRule="auto"/>
              <w:jc w:val="left"/>
            </w:pPr>
            <w:r>
              <w:rPr>
                <w:rFonts w:ascii="Times New Roman" w:hAnsi="Times New Roman" w:eastAsia="Times New Roman"/>
                <w:b w:val="0"/>
                <w:sz w:val="20"/>
              </w:rPr>
            </w:r>
          </w:p>
        </w:tc>
        <w:tc>
          <w:tcPr>
            <w:tcW w:type="dxa" w:w="3230"/>
            <w:vAlign w:val="center"/>
          </w:tcPr>
          <w:p>
            <w:pPr>
              <w:spacing w:line="240" w:lineRule="auto"/>
              <w:jc w:val="left"/>
            </w:pPr>
            <w:r>
              <w:rPr>
                <w:rFonts w:ascii="Times New Roman" w:hAnsi="Times New Roman" w:eastAsia="Times New Roman"/>
                <w:b w:val="0"/>
                <w:sz w:val="20"/>
              </w:rPr>
              <w:t>1 731 500</w:t>
            </w:r>
          </w:p>
        </w:tc>
      </w:tr>
    </w:tbl>
    <w:p/>
    <w:p>
      <w:pPr>
        <w:spacing w:line="360" w:lineRule="auto"/>
        <w:ind w:firstLine="709"/>
        <w:jc w:val="both"/>
      </w:pPr>
      <w:r>
        <w:rPr>
          <w:rFonts w:ascii="Times New Roman" w:hAnsi="Times New Roman" w:eastAsia="Times New Roman"/>
          <w:sz w:val="28"/>
        </w:rPr>
        <w:t>Таблица 3.6 - Ожидаемый экономический эффект от внедрения мероприятий</w:t>
      </w:r>
    </w:p>
    <w:p>
      <w:pPr>
        <w:spacing w:line="360" w:lineRule="auto"/>
        <w:ind w:firstLine="709"/>
        <w:jc w:val="both"/>
      </w:pPr>
      <w:r>
        <w:rPr>
          <w:rFonts w:ascii="Times New Roman" w:hAnsi="Times New Roman" w:eastAsia="Times New Roman"/>
          <w:sz w:val="28"/>
        </w:rPr>
        <w:t>Сумма ожидаемого годового эффекта составляет 1 731 500 руб. При ежегодных текущих затратах 740 000 руб. и первоначальных вложениях 311 920 руб. чистый годовой денежный поток после запуска составит:</w:t>
      </w:r>
    </w:p>
    <w:p>
      <w:pPr>
        <w:spacing w:line="360" w:lineRule="auto"/>
        <w:ind w:firstLine="709"/>
        <w:jc w:val="both"/>
      </w:pPr>
      <w:r>
        <w:rPr>
          <w:rFonts w:ascii="Times New Roman" w:hAnsi="Times New Roman" w:eastAsia="Times New Roman"/>
          <w:sz w:val="28"/>
        </w:rPr>
        <w:t>1 731 500 - 740 000 = 991 500 руб.</w:t>
      </w:r>
    </w:p>
    <w:p>
      <w:pPr>
        <w:spacing w:line="360" w:lineRule="auto"/>
        <w:ind w:firstLine="709"/>
        <w:jc w:val="both"/>
      </w:pPr>
      <w:r>
        <w:rPr>
          <w:rFonts w:ascii="Times New Roman" w:hAnsi="Times New Roman" w:eastAsia="Times New Roman"/>
          <w:sz w:val="28"/>
        </w:rPr>
        <w:t>К первоначальным вложениям относятся обучение, обновление инструментов, подготовка материалов и запуск опросов:</w:t>
      </w:r>
    </w:p>
    <w:p>
      <w:pPr>
        <w:spacing w:line="360" w:lineRule="auto"/>
        <w:ind w:firstLine="709"/>
        <w:jc w:val="both"/>
      </w:pPr>
      <w:r>
        <w:rPr>
          <w:rFonts w:ascii="Times New Roman" w:hAnsi="Times New Roman" w:eastAsia="Times New Roman"/>
          <w:sz w:val="28"/>
        </w:rPr>
        <w:t>105 600 + 36 000 + 64 320 + 81 000 + 15 000 + 10 000 = 311 920 руб.</w:t>
      </w:r>
    </w:p>
    <w:p>
      <w:pPr>
        <w:spacing w:line="360" w:lineRule="auto"/>
        <w:ind w:firstLine="709"/>
        <w:jc w:val="both"/>
      </w:pPr>
      <w:r>
        <w:rPr>
          <w:rFonts w:ascii="Times New Roman" w:hAnsi="Times New Roman" w:eastAsia="Times New Roman"/>
          <w:sz w:val="28"/>
        </w:rPr>
        <w:t>Поскольку программа не требует привлечения внешнего инвесторского капитала и может финансироваться из внутренних средств компании и подтвержденной экономии, расчет дисконтированного дохода выполняется для оценки управленческой целесообразности. В качестве ставки дисконтирования используется ключевая ставка Банка России 14,5% годовых на май 2026 года.</w:t>
      </w:r>
    </w:p>
    <w:p>
      <w:pPr>
        <w:spacing w:line="360" w:lineRule="auto"/>
        <w:ind w:firstLine="709"/>
        <w:jc w:val="both"/>
      </w:pPr>
      <w:r>
        <w:rPr>
          <w:rFonts w:ascii="Times New Roman" w:hAnsi="Times New Roman" w:eastAsia="Times New Roman"/>
          <w:sz w:val="28"/>
        </w:rPr>
        <w:t>Расчет чистого дисконтированного дохода представлен в таблице 3.7.</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pPr>
              <w:spacing w:line="240" w:lineRule="auto"/>
              <w:jc w:val="center"/>
            </w:pPr>
            <w:r>
              <w:rPr>
                <w:rFonts w:ascii="Times New Roman" w:hAnsi="Times New Roman" w:eastAsia="Times New Roman"/>
                <w:b/>
                <w:sz w:val="20"/>
              </w:rPr>
              <w:t>Год</w:t>
            </w:r>
          </w:p>
        </w:tc>
        <w:tc>
          <w:tcPr>
            <w:tcW w:type="dxa" w:w="2422"/>
            <w:vAlign w:val="center"/>
            <w:shd w:fill="D9EAF7"/>
          </w:tcPr>
          <w:p>
            <w:pPr>
              <w:spacing w:line="240" w:lineRule="auto"/>
              <w:jc w:val="center"/>
            </w:pPr>
            <w:r>
              <w:rPr>
                <w:rFonts w:ascii="Times New Roman" w:hAnsi="Times New Roman" w:eastAsia="Times New Roman"/>
                <w:b/>
                <w:sz w:val="20"/>
              </w:rPr>
              <w:t>Денежный поток, руб.</w:t>
            </w:r>
          </w:p>
        </w:tc>
        <w:tc>
          <w:tcPr>
            <w:tcW w:type="dxa" w:w="2422"/>
            <w:vAlign w:val="center"/>
            <w:shd w:fill="D9EAF7"/>
          </w:tcPr>
          <w:p>
            <w:pPr>
              <w:spacing w:line="240" w:lineRule="auto"/>
              <w:jc w:val="center"/>
            </w:pPr>
            <w:r>
              <w:rPr>
                <w:rFonts w:ascii="Times New Roman" w:hAnsi="Times New Roman" w:eastAsia="Times New Roman"/>
                <w:b/>
                <w:sz w:val="20"/>
              </w:rPr>
              <w:t>Коэффициент дисконтирования 14,5%</w:t>
            </w:r>
          </w:p>
        </w:tc>
        <w:tc>
          <w:tcPr>
            <w:tcW w:type="dxa" w:w="2422"/>
            <w:vAlign w:val="center"/>
            <w:shd w:fill="D9EAF7"/>
          </w:tcPr>
          <w:p>
            <w:pPr>
              <w:spacing w:line="240" w:lineRule="auto"/>
              <w:jc w:val="center"/>
            </w:pPr>
            <w:r>
              <w:rPr>
                <w:rFonts w:ascii="Times New Roman" w:hAnsi="Times New Roman" w:eastAsia="Times New Roman"/>
                <w:b/>
                <w:sz w:val="20"/>
              </w:rPr>
              <w:t>Дисконтированный поток, руб.</w:t>
            </w:r>
          </w:p>
        </w:tc>
      </w:tr>
      <w:tr>
        <w:tc>
          <w:tcPr>
            <w:tcW w:type="dxa" w:w="2422"/>
            <w:vAlign w:val="center"/>
          </w:tcPr>
          <w:p>
            <w:pPr>
              <w:spacing w:line="240" w:lineRule="auto"/>
              <w:jc w:val="left"/>
            </w:pPr>
            <w:r>
              <w:rPr>
                <w:rFonts w:ascii="Times New Roman" w:hAnsi="Times New Roman" w:eastAsia="Times New Roman"/>
                <w:b w:val="0"/>
                <w:sz w:val="20"/>
              </w:rPr>
              <w:t>0</w:t>
            </w:r>
          </w:p>
        </w:tc>
        <w:tc>
          <w:tcPr>
            <w:tcW w:type="dxa" w:w="2422"/>
            <w:vAlign w:val="center"/>
          </w:tcPr>
          <w:p>
            <w:pPr>
              <w:spacing w:line="240" w:lineRule="auto"/>
              <w:jc w:val="left"/>
            </w:pPr>
            <w:r>
              <w:rPr>
                <w:rFonts w:ascii="Times New Roman" w:hAnsi="Times New Roman" w:eastAsia="Times New Roman"/>
                <w:b w:val="0"/>
                <w:sz w:val="20"/>
              </w:rPr>
              <w:t>-311 920</w:t>
            </w:r>
          </w:p>
        </w:tc>
        <w:tc>
          <w:tcPr>
            <w:tcW w:type="dxa" w:w="2422"/>
            <w:vAlign w:val="center"/>
          </w:tcPr>
          <w:p>
            <w:pPr>
              <w:spacing w:line="240" w:lineRule="auto"/>
              <w:jc w:val="left"/>
            </w:pPr>
            <w:r>
              <w:rPr>
                <w:rFonts w:ascii="Times New Roman" w:hAnsi="Times New Roman" w:eastAsia="Times New Roman"/>
                <w:b w:val="0"/>
                <w:sz w:val="20"/>
              </w:rPr>
              <w:t>1,000</w:t>
            </w:r>
          </w:p>
        </w:tc>
        <w:tc>
          <w:tcPr>
            <w:tcW w:type="dxa" w:w="2422"/>
            <w:vAlign w:val="center"/>
          </w:tcPr>
          <w:p>
            <w:pPr>
              <w:spacing w:line="240" w:lineRule="auto"/>
              <w:jc w:val="left"/>
            </w:pPr>
            <w:r>
              <w:rPr>
                <w:rFonts w:ascii="Times New Roman" w:hAnsi="Times New Roman" w:eastAsia="Times New Roman"/>
                <w:b w:val="0"/>
                <w:sz w:val="20"/>
              </w:rPr>
              <w:t>-311 920</w:t>
            </w:r>
          </w:p>
        </w:tc>
      </w:tr>
      <w:tr>
        <w:tc>
          <w:tcPr>
            <w:tcW w:type="dxa" w:w="2422"/>
            <w:vAlign w:val="center"/>
          </w:tcPr>
          <w:p>
            <w:pPr>
              <w:spacing w:line="240" w:lineRule="auto"/>
              <w:jc w:val="left"/>
            </w:pPr>
            <w:r>
              <w:rPr>
                <w:rFonts w:ascii="Times New Roman" w:hAnsi="Times New Roman" w:eastAsia="Times New Roman"/>
                <w:b w:val="0"/>
                <w:sz w:val="20"/>
              </w:rPr>
              <w:t>1</w:t>
            </w:r>
          </w:p>
        </w:tc>
        <w:tc>
          <w:tcPr>
            <w:tcW w:type="dxa" w:w="2422"/>
            <w:vAlign w:val="center"/>
          </w:tcPr>
          <w:p>
            <w:pPr>
              <w:spacing w:line="240" w:lineRule="auto"/>
              <w:jc w:val="left"/>
            </w:pPr>
            <w:r>
              <w:rPr>
                <w:rFonts w:ascii="Times New Roman" w:hAnsi="Times New Roman" w:eastAsia="Times New Roman"/>
                <w:b w:val="0"/>
                <w:sz w:val="20"/>
              </w:rPr>
              <w:t>991 500</w:t>
            </w:r>
          </w:p>
        </w:tc>
        <w:tc>
          <w:tcPr>
            <w:tcW w:type="dxa" w:w="2422"/>
            <w:vAlign w:val="center"/>
          </w:tcPr>
          <w:p>
            <w:pPr>
              <w:spacing w:line="240" w:lineRule="auto"/>
              <w:jc w:val="left"/>
            </w:pPr>
            <w:r>
              <w:rPr>
                <w:rFonts w:ascii="Times New Roman" w:hAnsi="Times New Roman" w:eastAsia="Times New Roman"/>
                <w:b w:val="0"/>
                <w:sz w:val="20"/>
              </w:rPr>
              <w:t>0,873</w:t>
            </w:r>
          </w:p>
        </w:tc>
        <w:tc>
          <w:tcPr>
            <w:tcW w:type="dxa" w:w="2422"/>
            <w:vAlign w:val="center"/>
          </w:tcPr>
          <w:p>
            <w:pPr>
              <w:spacing w:line="240" w:lineRule="auto"/>
              <w:jc w:val="left"/>
            </w:pPr>
            <w:r>
              <w:rPr>
                <w:rFonts w:ascii="Times New Roman" w:hAnsi="Times New Roman" w:eastAsia="Times New Roman"/>
                <w:b w:val="0"/>
                <w:sz w:val="20"/>
              </w:rPr>
              <w:t>865 939</w:t>
            </w:r>
          </w:p>
        </w:tc>
      </w:tr>
      <w:tr>
        <w:tc>
          <w:tcPr>
            <w:tcW w:type="dxa" w:w="2422"/>
            <w:vAlign w:val="center"/>
          </w:tcPr>
          <w:p>
            <w:pPr>
              <w:spacing w:line="240" w:lineRule="auto"/>
              <w:jc w:val="left"/>
            </w:pPr>
            <w:r>
              <w:rPr>
                <w:rFonts w:ascii="Times New Roman" w:hAnsi="Times New Roman" w:eastAsia="Times New Roman"/>
                <w:b w:val="0"/>
                <w:sz w:val="20"/>
              </w:rPr>
              <w:t>2</w:t>
            </w:r>
          </w:p>
        </w:tc>
        <w:tc>
          <w:tcPr>
            <w:tcW w:type="dxa" w:w="2422"/>
            <w:vAlign w:val="center"/>
          </w:tcPr>
          <w:p>
            <w:pPr>
              <w:spacing w:line="240" w:lineRule="auto"/>
              <w:jc w:val="left"/>
            </w:pPr>
            <w:r>
              <w:rPr>
                <w:rFonts w:ascii="Times New Roman" w:hAnsi="Times New Roman" w:eastAsia="Times New Roman"/>
                <w:b w:val="0"/>
                <w:sz w:val="20"/>
              </w:rPr>
              <w:t>991 500</w:t>
            </w:r>
          </w:p>
        </w:tc>
        <w:tc>
          <w:tcPr>
            <w:tcW w:type="dxa" w:w="2422"/>
            <w:vAlign w:val="center"/>
          </w:tcPr>
          <w:p>
            <w:pPr>
              <w:spacing w:line="240" w:lineRule="auto"/>
              <w:jc w:val="left"/>
            </w:pPr>
            <w:r>
              <w:rPr>
                <w:rFonts w:ascii="Times New Roman" w:hAnsi="Times New Roman" w:eastAsia="Times New Roman"/>
                <w:b w:val="0"/>
                <w:sz w:val="20"/>
              </w:rPr>
              <w:t>0,762</w:t>
            </w:r>
          </w:p>
        </w:tc>
        <w:tc>
          <w:tcPr>
            <w:tcW w:type="dxa" w:w="2422"/>
            <w:vAlign w:val="center"/>
          </w:tcPr>
          <w:p>
            <w:pPr>
              <w:spacing w:line="240" w:lineRule="auto"/>
              <w:jc w:val="left"/>
            </w:pPr>
            <w:r>
              <w:rPr>
                <w:rFonts w:ascii="Times New Roman" w:hAnsi="Times New Roman" w:eastAsia="Times New Roman"/>
                <w:b w:val="0"/>
                <w:sz w:val="20"/>
              </w:rPr>
              <w:t>756 278</w:t>
            </w:r>
          </w:p>
        </w:tc>
      </w:tr>
      <w:tr>
        <w:tc>
          <w:tcPr>
            <w:tcW w:type="dxa" w:w="2422"/>
            <w:vAlign w:val="center"/>
          </w:tcPr>
          <w:p>
            <w:pPr>
              <w:spacing w:line="240" w:lineRule="auto"/>
              <w:jc w:val="left"/>
            </w:pPr>
            <w:r>
              <w:rPr>
                <w:rFonts w:ascii="Times New Roman" w:hAnsi="Times New Roman" w:eastAsia="Times New Roman"/>
                <w:b w:val="0"/>
                <w:sz w:val="20"/>
              </w:rPr>
              <w:t>3</w:t>
            </w:r>
          </w:p>
        </w:tc>
        <w:tc>
          <w:tcPr>
            <w:tcW w:type="dxa" w:w="2422"/>
            <w:vAlign w:val="center"/>
          </w:tcPr>
          <w:p>
            <w:pPr>
              <w:spacing w:line="240" w:lineRule="auto"/>
              <w:jc w:val="left"/>
            </w:pPr>
            <w:r>
              <w:rPr>
                <w:rFonts w:ascii="Times New Roman" w:hAnsi="Times New Roman" w:eastAsia="Times New Roman"/>
                <w:b w:val="0"/>
                <w:sz w:val="20"/>
              </w:rPr>
              <w:t>991 500</w:t>
            </w:r>
          </w:p>
        </w:tc>
        <w:tc>
          <w:tcPr>
            <w:tcW w:type="dxa" w:w="2422"/>
            <w:vAlign w:val="center"/>
          </w:tcPr>
          <w:p>
            <w:pPr>
              <w:spacing w:line="240" w:lineRule="auto"/>
              <w:jc w:val="left"/>
            </w:pPr>
            <w:r>
              <w:rPr>
                <w:rFonts w:ascii="Times New Roman" w:hAnsi="Times New Roman" w:eastAsia="Times New Roman"/>
                <w:b w:val="0"/>
                <w:sz w:val="20"/>
              </w:rPr>
              <w:t>0,666</w:t>
            </w:r>
          </w:p>
        </w:tc>
        <w:tc>
          <w:tcPr>
            <w:tcW w:type="dxa" w:w="2422"/>
            <w:vAlign w:val="center"/>
          </w:tcPr>
          <w:p>
            <w:pPr>
              <w:spacing w:line="240" w:lineRule="auto"/>
              <w:jc w:val="left"/>
            </w:pPr>
            <w:r>
              <w:rPr>
                <w:rFonts w:ascii="Times New Roman" w:hAnsi="Times New Roman" w:eastAsia="Times New Roman"/>
                <w:b w:val="0"/>
                <w:sz w:val="20"/>
              </w:rPr>
              <w:t>660 505</w:t>
            </w:r>
          </w:p>
        </w:tc>
      </w:tr>
      <w:tr>
        <w:tc>
          <w:tcPr>
            <w:tcW w:type="dxa" w:w="2422"/>
            <w:vAlign w:val="center"/>
          </w:tcPr>
          <w:p>
            <w:pPr>
              <w:spacing w:line="240" w:lineRule="auto"/>
              <w:jc w:val="left"/>
            </w:pPr>
            <w:r>
              <w:rPr>
                <w:rFonts w:ascii="Times New Roman" w:hAnsi="Times New Roman" w:eastAsia="Times New Roman"/>
                <w:b w:val="0"/>
                <w:sz w:val="20"/>
              </w:rPr>
              <w:t>Итого NPV</w:t>
            </w:r>
          </w:p>
        </w:tc>
        <w:tc>
          <w:tcPr>
            <w:tcW w:type="dxa" w:w="2422"/>
            <w:vAlign w:val="center"/>
          </w:tcPr>
          <w:p>
            <w:pPr>
              <w:spacing w:line="240" w:lineRule="auto"/>
              <w:jc w:val="left"/>
            </w:pPr>
            <w:r>
              <w:rPr>
                <w:rFonts w:ascii="Times New Roman" w:hAnsi="Times New Roman" w:eastAsia="Times New Roman"/>
                <w:b w:val="0"/>
                <w:sz w:val="20"/>
              </w:rPr>
            </w:r>
          </w:p>
        </w:tc>
        <w:tc>
          <w:tcPr>
            <w:tcW w:type="dxa" w:w="2422"/>
            <w:vAlign w:val="center"/>
          </w:tcPr>
          <w:p>
            <w:pPr>
              <w:spacing w:line="240" w:lineRule="auto"/>
              <w:jc w:val="left"/>
            </w:pPr>
            <w:r>
              <w:rPr>
                <w:rFonts w:ascii="Times New Roman" w:hAnsi="Times New Roman" w:eastAsia="Times New Roman"/>
                <w:b w:val="0"/>
                <w:sz w:val="20"/>
              </w:rPr>
            </w:r>
          </w:p>
        </w:tc>
        <w:tc>
          <w:tcPr>
            <w:tcW w:type="dxa" w:w="2422"/>
            <w:vAlign w:val="center"/>
          </w:tcPr>
          <w:p>
            <w:pPr>
              <w:spacing w:line="240" w:lineRule="auto"/>
              <w:jc w:val="left"/>
            </w:pPr>
            <w:r>
              <w:rPr>
                <w:rFonts w:ascii="Times New Roman" w:hAnsi="Times New Roman" w:eastAsia="Times New Roman"/>
                <w:b w:val="0"/>
                <w:sz w:val="20"/>
              </w:rPr>
              <w:t>1 970 802</w:t>
            </w:r>
          </w:p>
        </w:tc>
      </w:tr>
    </w:tbl>
    <w:p/>
    <w:p>
      <w:pPr>
        <w:spacing w:line="360" w:lineRule="auto"/>
        <w:ind w:firstLine="709"/>
        <w:jc w:val="both"/>
      </w:pPr>
      <w:r>
        <w:rPr>
          <w:rFonts w:ascii="Times New Roman" w:hAnsi="Times New Roman" w:eastAsia="Times New Roman"/>
          <w:sz w:val="28"/>
        </w:rPr>
        <w:t>Таблица 3.7 - Расчет чистого дисконтированного дохода</w:t>
      </w:r>
    </w:p>
    <w:p>
      <w:pPr>
        <w:spacing w:line="360" w:lineRule="auto"/>
        <w:ind w:firstLine="709"/>
        <w:jc w:val="both"/>
      </w:pPr>
      <w:r>
        <w:rPr>
          <w:rFonts w:ascii="Times New Roman" w:hAnsi="Times New Roman" w:eastAsia="Times New Roman"/>
          <w:sz w:val="28"/>
        </w:rPr>
        <w:t>Показатели эффективности:</w:t>
      </w:r>
    </w:p>
    <w:p>
      <w:pPr>
        <w:pStyle w:val="ListBullet"/>
        <w:spacing w:line="360" w:lineRule="auto"/>
      </w:pPr>
      <w:r>
        <w:t>чистый дисконтированный доход за 3 года - 1 970 802 руб.;</w:t>
      </w:r>
    </w:p>
    <w:p>
      <w:pPr>
        <w:pStyle w:val="ListBullet"/>
        <w:spacing w:line="360" w:lineRule="auto"/>
      </w:pPr>
      <w:r>
        <w:t>простой срок окупаемости первоначальных вложений - около 3,8 месяца;</w:t>
      </w:r>
    </w:p>
    <w:p>
      <w:pPr>
        <w:pStyle w:val="ListBullet"/>
        <w:spacing w:line="360" w:lineRule="auto"/>
      </w:pPr>
      <w:r>
        <w:t>индекс доходности по дисконтированным потокам - 7,32;</w:t>
      </w:r>
    </w:p>
    <w:p>
      <w:pPr>
        <w:pStyle w:val="ListBullet"/>
        <w:spacing w:line="360" w:lineRule="auto"/>
      </w:pPr>
      <w:r>
        <w:t>рентабельность первого года по отношению к совокупным затратам первого года - 64,6%.</w:t>
      </w:r>
    </w:p>
    <w:p>
      <w:pPr>
        <w:spacing w:line="360" w:lineRule="auto"/>
        <w:ind w:firstLine="709"/>
        <w:jc w:val="both"/>
      </w:pPr>
      <w:r>
        <w:rPr>
          <w:rFonts w:ascii="Times New Roman" w:hAnsi="Times New Roman" w:eastAsia="Times New Roman"/>
          <w:sz w:val="28"/>
        </w:rPr>
        <w:t>Расчет показывает, что программа является экономически целесообразной. Даже при консервативных оценках эффект превышает затраты, а окупаемость достигается в течение первого года. Основной источник эффективности - не прямое сокращение фонда оплаты труда, а снижение скрытых потерь: текучести, повторных выездов, сверхурочной нагрузки, ошибок учета и неиспользованного потенциала работников.</w:t>
      </w:r>
    </w:p>
    <w:p>
      <w:pPr>
        <w:spacing w:line="360" w:lineRule="auto"/>
        <w:ind w:firstLine="709"/>
        <w:jc w:val="both"/>
      </w:pPr>
      <w:r>
        <w:rPr>
          <w:rFonts w:ascii="Times New Roman" w:hAnsi="Times New Roman" w:eastAsia="Times New Roman"/>
          <w:sz w:val="28"/>
        </w:rPr>
        <w:t>Для проверки устойчивости результата целесообразно рассмотреть три сценария: пессимистический, базовый и оптимистический. Пессимистический сценарий предполагает, что эффект составит только 70% от планового, поскольку часть работников не сразу примет новую систему. Базовый сценарий соответствует расчету, приведенному выше. Оптимистический сценарий предполагает эффект 120% от планового за счет активного участия сотрудников в улучшениях.</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shd w:fill="D9EAF7"/>
          </w:tcPr>
          <w:p>
            <w:pPr>
              <w:spacing w:line="240" w:lineRule="auto"/>
              <w:jc w:val="center"/>
            </w:pPr>
            <w:r>
              <w:rPr>
                <w:rFonts w:ascii="Times New Roman" w:hAnsi="Times New Roman" w:eastAsia="Times New Roman"/>
                <w:b/>
                <w:sz w:val="16"/>
              </w:rPr>
              <w:t>Сценарий</w:t>
            </w:r>
          </w:p>
        </w:tc>
        <w:tc>
          <w:tcPr>
            <w:tcW w:type="dxa" w:w="1938"/>
            <w:vAlign w:val="center"/>
            <w:shd w:fill="D9EAF7"/>
          </w:tcPr>
          <w:p>
            <w:pPr>
              <w:spacing w:line="240" w:lineRule="auto"/>
              <w:jc w:val="center"/>
            </w:pPr>
            <w:r>
              <w:rPr>
                <w:rFonts w:ascii="Times New Roman" w:hAnsi="Times New Roman" w:eastAsia="Times New Roman"/>
                <w:b/>
                <w:sz w:val="16"/>
              </w:rPr>
              <w:t>Годовой эффект, руб.</w:t>
            </w:r>
          </w:p>
        </w:tc>
        <w:tc>
          <w:tcPr>
            <w:tcW w:type="dxa" w:w="1938"/>
            <w:vAlign w:val="center"/>
            <w:shd w:fill="D9EAF7"/>
          </w:tcPr>
          <w:p>
            <w:pPr>
              <w:spacing w:line="240" w:lineRule="auto"/>
              <w:jc w:val="center"/>
            </w:pPr>
            <w:r>
              <w:rPr>
                <w:rFonts w:ascii="Times New Roman" w:hAnsi="Times New Roman" w:eastAsia="Times New Roman"/>
                <w:b/>
                <w:sz w:val="16"/>
              </w:rPr>
              <w:t>Годовые текущие расходы, руб.</w:t>
            </w:r>
          </w:p>
        </w:tc>
        <w:tc>
          <w:tcPr>
            <w:tcW w:type="dxa" w:w="1938"/>
            <w:vAlign w:val="center"/>
            <w:shd w:fill="D9EAF7"/>
          </w:tcPr>
          <w:p>
            <w:pPr>
              <w:spacing w:line="240" w:lineRule="auto"/>
              <w:jc w:val="center"/>
            </w:pPr>
            <w:r>
              <w:rPr>
                <w:rFonts w:ascii="Times New Roman" w:hAnsi="Times New Roman" w:eastAsia="Times New Roman"/>
                <w:b/>
                <w:sz w:val="16"/>
              </w:rPr>
              <w:t>Чистый годовой поток, руб.</w:t>
            </w:r>
          </w:p>
        </w:tc>
        <w:tc>
          <w:tcPr>
            <w:tcW w:type="dxa" w:w="1938"/>
            <w:vAlign w:val="center"/>
            <w:shd w:fill="D9EAF7"/>
          </w:tcPr>
          <w:p>
            <w:pPr>
              <w:spacing w:line="240" w:lineRule="auto"/>
              <w:jc w:val="center"/>
            </w:pPr>
            <w:r>
              <w:rPr>
                <w:rFonts w:ascii="Times New Roman" w:hAnsi="Times New Roman" w:eastAsia="Times New Roman"/>
                <w:b/>
                <w:sz w:val="16"/>
              </w:rPr>
              <w:t>Вывод</w:t>
            </w:r>
          </w:p>
        </w:tc>
      </w:tr>
      <w:tr>
        <w:tc>
          <w:tcPr>
            <w:tcW w:type="dxa" w:w="1938"/>
            <w:vAlign w:val="center"/>
          </w:tcPr>
          <w:p>
            <w:pPr>
              <w:spacing w:line="240" w:lineRule="auto"/>
              <w:jc w:val="left"/>
            </w:pPr>
            <w:r>
              <w:rPr>
                <w:rFonts w:ascii="Times New Roman" w:hAnsi="Times New Roman" w:eastAsia="Times New Roman"/>
                <w:b w:val="0"/>
                <w:sz w:val="16"/>
              </w:rPr>
              <w:t>Пессимистический</w:t>
            </w:r>
          </w:p>
        </w:tc>
        <w:tc>
          <w:tcPr>
            <w:tcW w:type="dxa" w:w="1938"/>
            <w:vAlign w:val="center"/>
          </w:tcPr>
          <w:p>
            <w:pPr>
              <w:spacing w:line="240" w:lineRule="auto"/>
              <w:jc w:val="left"/>
            </w:pPr>
            <w:r>
              <w:rPr>
                <w:rFonts w:ascii="Times New Roman" w:hAnsi="Times New Roman" w:eastAsia="Times New Roman"/>
                <w:b w:val="0"/>
                <w:sz w:val="16"/>
              </w:rPr>
              <w:t>1 212 050</w:t>
            </w:r>
          </w:p>
        </w:tc>
        <w:tc>
          <w:tcPr>
            <w:tcW w:type="dxa" w:w="1938"/>
            <w:vAlign w:val="center"/>
          </w:tcPr>
          <w:p>
            <w:pPr>
              <w:spacing w:line="240" w:lineRule="auto"/>
              <w:jc w:val="left"/>
            </w:pPr>
            <w:r>
              <w:rPr>
                <w:rFonts w:ascii="Times New Roman" w:hAnsi="Times New Roman" w:eastAsia="Times New Roman"/>
                <w:b w:val="0"/>
                <w:sz w:val="16"/>
              </w:rPr>
              <w:t>740 000</w:t>
            </w:r>
          </w:p>
        </w:tc>
        <w:tc>
          <w:tcPr>
            <w:tcW w:type="dxa" w:w="1938"/>
            <w:vAlign w:val="center"/>
          </w:tcPr>
          <w:p>
            <w:pPr>
              <w:spacing w:line="240" w:lineRule="auto"/>
              <w:jc w:val="left"/>
            </w:pPr>
            <w:r>
              <w:rPr>
                <w:rFonts w:ascii="Times New Roman" w:hAnsi="Times New Roman" w:eastAsia="Times New Roman"/>
                <w:b w:val="0"/>
                <w:sz w:val="16"/>
              </w:rPr>
              <w:t>472 050</w:t>
            </w:r>
          </w:p>
        </w:tc>
        <w:tc>
          <w:tcPr>
            <w:tcW w:type="dxa" w:w="1938"/>
            <w:vAlign w:val="center"/>
          </w:tcPr>
          <w:p>
            <w:pPr>
              <w:spacing w:line="240" w:lineRule="auto"/>
              <w:jc w:val="left"/>
            </w:pPr>
            <w:r>
              <w:rPr>
                <w:rFonts w:ascii="Times New Roman" w:hAnsi="Times New Roman" w:eastAsia="Times New Roman"/>
                <w:b w:val="0"/>
                <w:sz w:val="16"/>
              </w:rPr>
              <w:t>программа окупается, но медленнее</w:t>
            </w:r>
          </w:p>
        </w:tc>
      </w:tr>
      <w:tr>
        <w:tc>
          <w:tcPr>
            <w:tcW w:type="dxa" w:w="1938"/>
            <w:vAlign w:val="center"/>
          </w:tcPr>
          <w:p>
            <w:pPr>
              <w:spacing w:line="240" w:lineRule="auto"/>
              <w:jc w:val="left"/>
            </w:pPr>
            <w:r>
              <w:rPr>
                <w:rFonts w:ascii="Times New Roman" w:hAnsi="Times New Roman" w:eastAsia="Times New Roman"/>
                <w:b w:val="0"/>
                <w:sz w:val="16"/>
              </w:rPr>
              <w:t>Базовый</w:t>
            </w:r>
          </w:p>
        </w:tc>
        <w:tc>
          <w:tcPr>
            <w:tcW w:type="dxa" w:w="1938"/>
            <w:vAlign w:val="center"/>
          </w:tcPr>
          <w:p>
            <w:pPr>
              <w:spacing w:line="240" w:lineRule="auto"/>
              <w:jc w:val="left"/>
            </w:pPr>
            <w:r>
              <w:rPr>
                <w:rFonts w:ascii="Times New Roman" w:hAnsi="Times New Roman" w:eastAsia="Times New Roman"/>
                <w:b w:val="0"/>
                <w:sz w:val="16"/>
              </w:rPr>
              <w:t>1 731 500</w:t>
            </w:r>
          </w:p>
        </w:tc>
        <w:tc>
          <w:tcPr>
            <w:tcW w:type="dxa" w:w="1938"/>
            <w:vAlign w:val="center"/>
          </w:tcPr>
          <w:p>
            <w:pPr>
              <w:spacing w:line="240" w:lineRule="auto"/>
              <w:jc w:val="left"/>
            </w:pPr>
            <w:r>
              <w:rPr>
                <w:rFonts w:ascii="Times New Roman" w:hAnsi="Times New Roman" w:eastAsia="Times New Roman"/>
                <w:b w:val="0"/>
                <w:sz w:val="16"/>
              </w:rPr>
              <w:t>740 000</w:t>
            </w:r>
          </w:p>
        </w:tc>
        <w:tc>
          <w:tcPr>
            <w:tcW w:type="dxa" w:w="1938"/>
            <w:vAlign w:val="center"/>
          </w:tcPr>
          <w:p>
            <w:pPr>
              <w:spacing w:line="240" w:lineRule="auto"/>
              <w:jc w:val="left"/>
            </w:pPr>
            <w:r>
              <w:rPr>
                <w:rFonts w:ascii="Times New Roman" w:hAnsi="Times New Roman" w:eastAsia="Times New Roman"/>
                <w:b w:val="0"/>
                <w:sz w:val="16"/>
              </w:rPr>
              <w:t>991 500</w:t>
            </w:r>
          </w:p>
        </w:tc>
        <w:tc>
          <w:tcPr>
            <w:tcW w:type="dxa" w:w="1938"/>
            <w:vAlign w:val="center"/>
          </w:tcPr>
          <w:p>
            <w:pPr>
              <w:spacing w:line="240" w:lineRule="auto"/>
              <w:jc w:val="left"/>
            </w:pPr>
            <w:r>
              <w:rPr>
                <w:rFonts w:ascii="Times New Roman" w:hAnsi="Times New Roman" w:eastAsia="Times New Roman"/>
                <w:b w:val="0"/>
                <w:sz w:val="16"/>
              </w:rPr>
              <w:t>программа экономически целесообразна</w:t>
            </w:r>
          </w:p>
        </w:tc>
      </w:tr>
      <w:tr>
        <w:tc>
          <w:tcPr>
            <w:tcW w:type="dxa" w:w="1938"/>
            <w:vAlign w:val="center"/>
          </w:tcPr>
          <w:p>
            <w:pPr>
              <w:spacing w:line="240" w:lineRule="auto"/>
              <w:jc w:val="left"/>
            </w:pPr>
            <w:r>
              <w:rPr>
                <w:rFonts w:ascii="Times New Roman" w:hAnsi="Times New Roman" w:eastAsia="Times New Roman"/>
                <w:b w:val="0"/>
                <w:sz w:val="16"/>
              </w:rPr>
              <w:t>Оптимистический</w:t>
            </w:r>
          </w:p>
        </w:tc>
        <w:tc>
          <w:tcPr>
            <w:tcW w:type="dxa" w:w="1938"/>
            <w:vAlign w:val="center"/>
          </w:tcPr>
          <w:p>
            <w:pPr>
              <w:spacing w:line="240" w:lineRule="auto"/>
              <w:jc w:val="left"/>
            </w:pPr>
            <w:r>
              <w:rPr>
                <w:rFonts w:ascii="Times New Roman" w:hAnsi="Times New Roman" w:eastAsia="Times New Roman"/>
                <w:b w:val="0"/>
                <w:sz w:val="16"/>
              </w:rPr>
              <w:t>2 077 800</w:t>
            </w:r>
          </w:p>
        </w:tc>
        <w:tc>
          <w:tcPr>
            <w:tcW w:type="dxa" w:w="1938"/>
            <w:vAlign w:val="center"/>
          </w:tcPr>
          <w:p>
            <w:pPr>
              <w:spacing w:line="240" w:lineRule="auto"/>
              <w:jc w:val="left"/>
            </w:pPr>
            <w:r>
              <w:rPr>
                <w:rFonts w:ascii="Times New Roman" w:hAnsi="Times New Roman" w:eastAsia="Times New Roman"/>
                <w:b w:val="0"/>
                <w:sz w:val="16"/>
              </w:rPr>
              <w:t>740 000</w:t>
            </w:r>
          </w:p>
        </w:tc>
        <w:tc>
          <w:tcPr>
            <w:tcW w:type="dxa" w:w="1938"/>
            <w:vAlign w:val="center"/>
          </w:tcPr>
          <w:p>
            <w:pPr>
              <w:spacing w:line="240" w:lineRule="auto"/>
              <w:jc w:val="left"/>
            </w:pPr>
            <w:r>
              <w:rPr>
                <w:rFonts w:ascii="Times New Roman" w:hAnsi="Times New Roman" w:eastAsia="Times New Roman"/>
                <w:b w:val="0"/>
                <w:sz w:val="16"/>
              </w:rPr>
              <w:t>1 337 800</w:t>
            </w:r>
          </w:p>
        </w:tc>
        <w:tc>
          <w:tcPr>
            <w:tcW w:type="dxa" w:w="1938"/>
            <w:vAlign w:val="center"/>
          </w:tcPr>
          <w:p>
            <w:pPr>
              <w:spacing w:line="240" w:lineRule="auto"/>
              <w:jc w:val="left"/>
            </w:pPr>
            <w:r>
              <w:rPr>
                <w:rFonts w:ascii="Times New Roman" w:hAnsi="Times New Roman" w:eastAsia="Times New Roman"/>
                <w:b w:val="0"/>
                <w:sz w:val="16"/>
              </w:rPr>
              <w:t>высокая эффективность и быстрый возврат вложений</w:t>
            </w:r>
          </w:p>
        </w:tc>
      </w:tr>
    </w:tbl>
    <w:p/>
    <w:p>
      <w:pPr>
        <w:spacing w:line="360" w:lineRule="auto"/>
        <w:ind w:firstLine="709"/>
        <w:jc w:val="both"/>
      </w:pPr>
      <w:r>
        <w:rPr>
          <w:rFonts w:ascii="Times New Roman" w:hAnsi="Times New Roman" w:eastAsia="Times New Roman"/>
          <w:sz w:val="28"/>
        </w:rPr>
        <w:t>Таблица 3.8 - Сценарная оценка эффективности программы</w:t>
      </w:r>
    </w:p>
    <w:p>
      <w:pPr>
        <w:spacing w:line="360" w:lineRule="auto"/>
        <w:ind w:firstLine="709"/>
        <w:jc w:val="both"/>
      </w:pPr>
      <w:r>
        <w:rPr>
          <w:rFonts w:ascii="Times New Roman" w:hAnsi="Times New Roman" w:eastAsia="Times New Roman"/>
          <w:sz w:val="28"/>
        </w:rPr>
        <w:t>Даже в пессимистическом сценарии чистый годовой поток остается положительным. Это важно, поскольку снижает риск управленческого решения. Если компания внедрит программу в пилотном формате, она сможет остановить или скорректировать ее до масштабирования, не неся чрезмерных затрат.</w:t>
      </w:r>
    </w:p>
    <w:p>
      <w:pPr>
        <w:spacing w:line="360" w:lineRule="auto"/>
        <w:ind w:firstLine="709"/>
        <w:jc w:val="both"/>
      </w:pPr>
      <w:r>
        <w:rPr>
          <w:rFonts w:ascii="Times New Roman" w:hAnsi="Times New Roman" w:eastAsia="Times New Roman"/>
          <w:sz w:val="28"/>
        </w:rPr>
        <w:t>Помимо прямого экономического эффекта, программа дает качественные результаты:</w:t>
      </w:r>
    </w:p>
    <w:p>
      <w:pPr>
        <w:pStyle w:val="ListBullet"/>
        <w:spacing w:line="360" w:lineRule="auto"/>
      </w:pPr>
      <w:r>
        <w:t>повышение доверия работников к системе премирования;</w:t>
      </w:r>
    </w:p>
    <w:p>
      <w:pPr>
        <w:pStyle w:val="ListBullet"/>
        <w:spacing w:line="360" w:lineRule="auto"/>
      </w:pPr>
      <w:r>
        <w:t>снижение конфликтов по поводу распределения премии;</w:t>
      </w:r>
    </w:p>
    <w:p>
      <w:pPr>
        <w:pStyle w:val="ListBullet"/>
        <w:spacing w:line="360" w:lineRule="auto"/>
      </w:pPr>
      <w:r>
        <w:t>повышение ответственности за безопасность;</w:t>
      </w:r>
    </w:p>
    <w:p>
      <w:pPr>
        <w:pStyle w:val="ListBullet"/>
        <w:spacing w:line="360" w:lineRule="auto"/>
      </w:pPr>
      <w:r>
        <w:t>рост готовности опытных сотрудников быть наставниками;</w:t>
      </w:r>
    </w:p>
    <w:p>
      <w:pPr>
        <w:pStyle w:val="ListBullet"/>
        <w:spacing w:line="360" w:lineRule="auto"/>
      </w:pPr>
      <w:r>
        <w:t>улучшение качества адаптации новых работников;</w:t>
      </w:r>
    </w:p>
    <w:p>
      <w:pPr>
        <w:pStyle w:val="ListBullet"/>
        <w:spacing w:line="360" w:lineRule="auto"/>
      </w:pPr>
      <w:r>
        <w:t>формирование внутреннего кадрового резерва;</w:t>
      </w:r>
    </w:p>
    <w:p>
      <w:pPr>
        <w:pStyle w:val="ListBullet"/>
        <w:spacing w:line="360" w:lineRule="auto"/>
      </w:pPr>
      <w:r>
        <w:t>повышение привлекательности отдела электриков как места работы;</w:t>
      </w:r>
    </w:p>
    <w:p>
      <w:pPr>
        <w:pStyle w:val="ListBullet"/>
        <w:spacing w:line="360" w:lineRule="auto"/>
      </w:pPr>
      <w:r>
        <w:t>рост управляемости технических процессов.</w:t>
      </w:r>
    </w:p>
    <w:p>
      <w:pPr>
        <w:spacing w:line="360" w:lineRule="auto"/>
        <w:ind w:firstLine="709"/>
        <w:jc w:val="both"/>
      </w:pPr>
      <w:r>
        <w:rPr>
          <w:rFonts w:ascii="Times New Roman" w:hAnsi="Times New Roman" w:eastAsia="Times New Roman"/>
          <w:sz w:val="28"/>
        </w:rPr>
        <w:t>Эти эффекты сложнее перевести в деньги, но они важны для устойчивости работы энергосбытовой компании. Особенно значимы снижение текучести и сохранение профессиональных знаний: подготовка электротехнического работника требует времени, а потеря опытного сотрудника создает не только прямые, но и организационные потери.</w:t>
      </w:r>
    </w:p>
    <w:p>
      <w:pPr>
        <w:spacing w:line="360" w:lineRule="auto"/>
        <w:ind w:firstLine="709"/>
        <w:jc w:val="both"/>
      </w:pPr>
      <w:r>
        <w:rPr>
          <w:rFonts w:ascii="Times New Roman" w:hAnsi="Times New Roman" w:eastAsia="Times New Roman"/>
          <w:sz w:val="28"/>
        </w:rPr>
        <w:t>Для оценки результата после внедрения предлагается использовать систему контрольных показателей, представленную в таблице 3.9.</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line="240" w:lineRule="auto"/>
              <w:jc w:val="center"/>
            </w:pPr>
            <w:r>
              <w:rPr>
                <w:rFonts w:ascii="Times New Roman" w:hAnsi="Times New Roman" w:eastAsia="Times New Roman"/>
                <w:b/>
                <w:sz w:val="20"/>
              </w:rPr>
              <w:t>Показатель контроля</w:t>
            </w:r>
          </w:p>
        </w:tc>
        <w:tc>
          <w:tcPr>
            <w:tcW w:type="dxa" w:w="3230"/>
            <w:vAlign w:val="center"/>
            <w:shd w:fill="D9EAF7"/>
          </w:tcPr>
          <w:p>
            <w:pPr>
              <w:spacing w:line="240" w:lineRule="auto"/>
              <w:jc w:val="center"/>
            </w:pPr>
            <w:r>
              <w:rPr>
                <w:rFonts w:ascii="Times New Roman" w:hAnsi="Times New Roman" w:eastAsia="Times New Roman"/>
                <w:b/>
                <w:sz w:val="20"/>
              </w:rPr>
              <w:t>Базовое значение</w:t>
            </w:r>
          </w:p>
        </w:tc>
        <w:tc>
          <w:tcPr>
            <w:tcW w:type="dxa" w:w="3230"/>
            <w:vAlign w:val="center"/>
            <w:shd w:fill="D9EAF7"/>
          </w:tcPr>
          <w:p>
            <w:pPr>
              <w:spacing w:line="240" w:lineRule="auto"/>
              <w:jc w:val="center"/>
            </w:pPr>
            <w:r>
              <w:rPr>
                <w:rFonts w:ascii="Times New Roman" w:hAnsi="Times New Roman" w:eastAsia="Times New Roman"/>
                <w:b/>
                <w:sz w:val="20"/>
              </w:rPr>
              <w:t>Целевое значение через 12 месяцев</w:t>
            </w:r>
          </w:p>
        </w:tc>
      </w:tr>
      <w:tr>
        <w:tc>
          <w:tcPr>
            <w:tcW w:type="dxa" w:w="3230"/>
            <w:vAlign w:val="center"/>
          </w:tcPr>
          <w:p>
            <w:pPr>
              <w:spacing w:line="240" w:lineRule="auto"/>
              <w:jc w:val="left"/>
            </w:pPr>
            <w:r>
              <w:rPr>
                <w:rFonts w:ascii="Times New Roman" w:hAnsi="Times New Roman" w:eastAsia="Times New Roman"/>
                <w:b w:val="0"/>
                <w:sz w:val="20"/>
              </w:rPr>
              <w:t>Индекс понятности премирования</w:t>
            </w:r>
          </w:p>
        </w:tc>
        <w:tc>
          <w:tcPr>
            <w:tcW w:type="dxa" w:w="3230"/>
            <w:vAlign w:val="center"/>
          </w:tcPr>
          <w:p>
            <w:pPr>
              <w:spacing w:line="240" w:lineRule="auto"/>
              <w:jc w:val="left"/>
            </w:pPr>
            <w:r>
              <w:rPr>
                <w:rFonts w:ascii="Times New Roman" w:hAnsi="Times New Roman" w:eastAsia="Times New Roman"/>
                <w:b w:val="0"/>
                <w:sz w:val="20"/>
              </w:rPr>
              <w:t>35,0%</w:t>
            </w:r>
          </w:p>
        </w:tc>
        <w:tc>
          <w:tcPr>
            <w:tcW w:type="dxa" w:w="3230"/>
            <w:vAlign w:val="center"/>
          </w:tcPr>
          <w:p>
            <w:pPr>
              <w:spacing w:line="240" w:lineRule="auto"/>
              <w:jc w:val="left"/>
            </w:pPr>
            <w:r>
              <w:rPr>
                <w:rFonts w:ascii="Times New Roman" w:hAnsi="Times New Roman" w:eastAsia="Times New Roman"/>
                <w:b w:val="0"/>
                <w:sz w:val="20"/>
              </w:rPr>
              <w:t>не ниже 60,0%</w:t>
            </w:r>
          </w:p>
        </w:tc>
      </w:tr>
      <w:tr>
        <w:tc>
          <w:tcPr>
            <w:tcW w:type="dxa" w:w="3230"/>
            <w:vAlign w:val="center"/>
          </w:tcPr>
          <w:p>
            <w:pPr>
              <w:spacing w:line="240" w:lineRule="auto"/>
              <w:jc w:val="left"/>
            </w:pPr>
            <w:r>
              <w:rPr>
                <w:rFonts w:ascii="Times New Roman" w:hAnsi="Times New Roman" w:eastAsia="Times New Roman"/>
                <w:b w:val="0"/>
                <w:sz w:val="20"/>
              </w:rPr>
              <w:t>Индекс признания личного вклада</w:t>
            </w:r>
          </w:p>
        </w:tc>
        <w:tc>
          <w:tcPr>
            <w:tcW w:type="dxa" w:w="3230"/>
            <w:vAlign w:val="center"/>
          </w:tcPr>
          <w:p>
            <w:pPr>
              <w:spacing w:line="240" w:lineRule="auto"/>
              <w:jc w:val="left"/>
            </w:pPr>
            <w:r>
              <w:rPr>
                <w:rFonts w:ascii="Times New Roman" w:hAnsi="Times New Roman" w:eastAsia="Times New Roman"/>
                <w:b w:val="0"/>
                <w:sz w:val="20"/>
              </w:rPr>
              <w:t>30,0%</w:t>
            </w:r>
          </w:p>
        </w:tc>
        <w:tc>
          <w:tcPr>
            <w:tcW w:type="dxa" w:w="3230"/>
            <w:vAlign w:val="center"/>
          </w:tcPr>
          <w:p>
            <w:pPr>
              <w:spacing w:line="240" w:lineRule="auto"/>
              <w:jc w:val="left"/>
            </w:pPr>
            <w:r>
              <w:rPr>
                <w:rFonts w:ascii="Times New Roman" w:hAnsi="Times New Roman" w:eastAsia="Times New Roman"/>
                <w:b w:val="0"/>
                <w:sz w:val="20"/>
              </w:rPr>
              <w:t>не ниже 55,0%</w:t>
            </w:r>
          </w:p>
        </w:tc>
      </w:tr>
      <w:tr>
        <w:tc>
          <w:tcPr>
            <w:tcW w:type="dxa" w:w="3230"/>
            <w:vAlign w:val="center"/>
          </w:tcPr>
          <w:p>
            <w:pPr>
              <w:spacing w:line="240" w:lineRule="auto"/>
              <w:jc w:val="left"/>
            </w:pPr>
            <w:r>
              <w:rPr>
                <w:rFonts w:ascii="Times New Roman" w:hAnsi="Times New Roman" w:eastAsia="Times New Roman"/>
                <w:b w:val="0"/>
                <w:sz w:val="20"/>
              </w:rPr>
              <w:t>Индекс профессионального роста</w:t>
            </w:r>
          </w:p>
        </w:tc>
        <w:tc>
          <w:tcPr>
            <w:tcW w:type="dxa" w:w="3230"/>
            <w:vAlign w:val="center"/>
          </w:tcPr>
          <w:p>
            <w:pPr>
              <w:spacing w:line="240" w:lineRule="auto"/>
              <w:jc w:val="left"/>
            </w:pPr>
            <w:r>
              <w:rPr>
                <w:rFonts w:ascii="Times New Roman" w:hAnsi="Times New Roman" w:eastAsia="Times New Roman"/>
                <w:b w:val="0"/>
                <w:sz w:val="20"/>
              </w:rPr>
              <w:t>42,5%</w:t>
            </w:r>
          </w:p>
        </w:tc>
        <w:tc>
          <w:tcPr>
            <w:tcW w:type="dxa" w:w="3230"/>
            <w:vAlign w:val="center"/>
          </w:tcPr>
          <w:p>
            <w:pPr>
              <w:spacing w:line="240" w:lineRule="auto"/>
              <w:jc w:val="left"/>
            </w:pPr>
            <w:r>
              <w:rPr>
                <w:rFonts w:ascii="Times New Roman" w:hAnsi="Times New Roman" w:eastAsia="Times New Roman"/>
                <w:b w:val="0"/>
                <w:sz w:val="20"/>
              </w:rPr>
              <w:t>не ниже 60,0%</w:t>
            </w:r>
          </w:p>
        </w:tc>
      </w:tr>
      <w:tr>
        <w:tc>
          <w:tcPr>
            <w:tcW w:type="dxa" w:w="3230"/>
            <w:vAlign w:val="center"/>
          </w:tcPr>
          <w:p>
            <w:pPr>
              <w:spacing w:line="240" w:lineRule="auto"/>
              <w:jc w:val="left"/>
            </w:pPr>
            <w:r>
              <w:rPr>
                <w:rFonts w:ascii="Times New Roman" w:hAnsi="Times New Roman" w:eastAsia="Times New Roman"/>
                <w:b w:val="0"/>
                <w:sz w:val="20"/>
              </w:rPr>
              <w:t>Количество повторных выездов</w:t>
            </w:r>
          </w:p>
        </w:tc>
        <w:tc>
          <w:tcPr>
            <w:tcW w:type="dxa" w:w="3230"/>
            <w:vAlign w:val="center"/>
          </w:tcPr>
          <w:p>
            <w:pPr>
              <w:spacing w:line="240" w:lineRule="auto"/>
              <w:jc w:val="left"/>
            </w:pPr>
            <w:r>
              <w:rPr>
                <w:rFonts w:ascii="Times New Roman" w:hAnsi="Times New Roman" w:eastAsia="Times New Roman"/>
                <w:b w:val="0"/>
                <w:sz w:val="20"/>
              </w:rPr>
              <w:t>100% базы</w:t>
            </w:r>
          </w:p>
        </w:tc>
        <w:tc>
          <w:tcPr>
            <w:tcW w:type="dxa" w:w="3230"/>
            <w:vAlign w:val="center"/>
          </w:tcPr>
          <w:p>
            <w:pPr>
              <w:spacing w:line="240" w:lineRule="auto"/>
              <w:jc w:val="left"/>
            </w:pPr>
            <w:r>
              <w:rPr>
                <w:rFonts w:ascii="Times New Roman" w:hAnsi="Times New Roman" w:eastAsia="Times New Roman"/>
                <w:b w:val="0"/>
                <w:sz w:val="20"/>
              </w:rPr>
              <w:t>снижение на 25-30%</w:t>
            </w:r>
          </w:p>
        </w:tc>
      </w:tr>
      <w:tr>
        <w:tc>
          <w:tcPr>
            <w:tcW w:type="dxa" w:w="3230"/>
            <w:vAlign w:val="center"/>
          </w:tcPr>
          <w:p>
            <w:pPr>
              <w:spacing w:line="240" w:lineRule="auto"/>
              <w:jc w:val="left"/>
            </w:pPr>
            <w:r>
              <w:rPr>
                <w:rFonts w:ascii="Times New Roman" w:hAnsi="Times New Roman" w:eastAsia="Times New Roman"/>
                <w:b w:val="0"/>
                <w:sz w:val="20"/>
              </w:rPr>
              <w:t>Текучесть в отделе</w:t>
            </w:r>
          </w:p>
        </w:tc>
        <w:tc>
          <w:tcPr>
            <w:tcW w:type="dxa" w:w="3230"/>
            <w:vAlign w:val="center"/>
          </w:tcPr>
          <w:p>
            <w:pPr>
              <w:spacing w:line="240" w:lineRule="auto"/>
              <w:jc w:val="left"/>
            </w:pPr>
            <w:r>
              <w:rPr>
                <w:rFonts w:ascii="Times New Roman" w:hAnsi="Times New Roman" w:eastAsia="Times New Roman"/>
                <w:b w:val="0"/>
                <w:sz w:val="20"/>
              </w:rPr>
              <w:t>около 20% годовых</w:t>
            </w:r>
          </w:p>
        </w:tc>
        <w:tc>
          <w:tcPr>
            <w:tcW w:type="dxa" w:w="3230"/>
            <w:vAlign w:val="center"/>
          </w:tcPr>
          <w:p>
            <w:pPr>
              <w:spacing w:line="240" w:lineRule="auto"/>
              <w:jc w:val="left"/>
            </w:pPr>
            <w:r>
              <w:rPr>
                <w:rFonts w:ascii="Times New Roman" w:hAnsi="Times New Roman" w:eastAsia="Times New Roman"/>
                <w:b w:val="0"/>
                <w:sz w:val="20"/>
              </w:rPr>
              <w:t>не выше 12-13%</w:t>
            </w:r>
          </w:p>
        </w:tc>
      </w:tr>
      <w:tr>
        <w:tc>
          <w:tcPr>
            <w:tcW w:type="dxa" w:w="3230"/>
            <w:vAlign w:val="center"/>
          </w:tcPr>
          <w:p>
            <w:pPr>
              <w:spacing w:line="240" w:lineRule="auto"/>
              <w:jc w:val="left"/>
            </w:pPr>
            <w:r>
              <w:rPr>
                <w:rFonts w:ascii="Times New Roman" w:hAnsi="Times New Roman" w:eastAsia="Times New Roman"/>
                <w:b w:val="0"/>
                <w:sz w:val="20"/>
              </w:rPr>
              <w:t>Доля сотрудников, участвующих в улучшениях</w:t>
            </w:r>
          </w:p>
        </w:tc>
        <w:tc>
          <w:tcPr>
            <w:tcW w:type="dxa" w:w="3230"/>
            <w:vAlign w:val="center"/>
          </w:tcPr>
          <w:p>
            <w:pPr>
              <w:spacing w:line="240" w:lineRule="auto"/>
              <w:jc w:val="left"/>
            </w:pPr>
            <w:r>
              <w:rPr>
                <w:rFonts w:ascii="Times New Roman" w:hAnsi="Times New Roman" w:eastAsia="Times New Roman"/>
                <w:b w:val="0"/>
                <w:sz w:val="20"/>
              </w:rPr>
              <w:t>низкая / нерегулярная</w:t>
            </w:r>
          </w:p>
        </w:tc>
        <w:tc>
          <w:tcPr>
            <w:tcW w:type="dxa" w:w="3230"/>
            <w:vAlign w:val="center"/>
          </w:tcPr>
          <w:p>
            <w:pPr>
              <w:spacing w:line="240" w:lineRule="auto"/>
              <w:jc w:val="left"/>
            </w:pPr>
            <w:r>
              <w:rPr>
                <w:rFonts w:ascii="Times New Roman" w:hAnsi="Times New Roman" w:eastAsia="Times New Roman"/>
                <w:b w:val="0"/>
                <w:sz w:val="20"/>
              </w:rPr>
              <w:t>не менее 50% отдела</w:t>
            </w:r>
          </w:p>
        </w:tc>
      </w:tr>
      <w:tr>
        <w:tc>
          <w:tcPr>
            <w:tcW w:type="dxa" w:w="3230"/>
            <w:vAlign w:val="center"/>
          </w:tcPr>
          <w:p>
            <w:pPr>
              <w:spacing w:line="240" w:lineRule="auto"/>
              <w:jc w:val="left"/>
            </w:pPr>
            <w:r>
              <w:rPr>
                <w:rFonts w:ascii="Times New Roman" w:hAnsi="Times New Roman" w:eastAsia="Times New Roman"/>
                <w:b w:val="0"/>
                <w:sz w:val="20"/>
              </w:rPr>
              <w:t>Количество подготовленных наставников</w:t>
            </w:r>
          </w:p>
        </w:tc>
        <w:tc>
          <w:tcPr>
            <w:tcW w:type="dxa" w:w="3230"/>
            <w:vAlign w:val="center"/>
          </w:tcPr>
          <w:p>
            <w:pPr>
              <w:spacing w:line="240" w:lineRule="auto"/>
              <w:jc w:val="left"/>
            </w:pPr>
            <w:r>
              <w:rPr>
                <w:rFonts w:ascii="Times New Roman" w:hAnsi="Times New Roman" w:eastAsia="Times New Roman"/>
                <w:b w:val="0"/>
                <w:sz w:val="20"/>
              </w:rPr>
              <w:t>0-2 человека</w:t>
            </w:r>
          </w:p>
        </w:tc>
        <w:tc>
          <w:tcPr>
            <w:tcW w:type="dxa" w:w="3230"/>
            <w:vAlign w:val="center"/>
          </w:tcPr>
          <w:p>
            <w:pPr>
              <w:spacing w:line="240" w:lineRule="auto"/>
              <w:jc w:val="left"/>
            </w:pPr>
            <w:r>
              <w:rPr>
                <w:rFonts w:ascii="Times New Roman" w:hAnsi="Times New Roman" w:eastAsia="Times New Roman"/>
                <w:b w:val="0"/>
                <w:sz w:val="20"/>
              </w:rPr>
              <w:t>не менее 4 человек</w:t>
            </w:r>
          </w:p>
        </w:tc>
      </w:tr>
    </w:tbl>
    <w:p/>
    <w:p>
      <w:pPr>
        <w:spacing w:line="360" w:lineRule="auto"/>
        <w:ind w:firstLine="709"/>
        <w:jc w:val="both"/>
      </w:pPr>
      <w:r>
        <w:rPr>
          <w:rFonts w:ascii="Times New Roman" w:hAnsi="Times New Roman" w:eastAsia="Times New Roman"/>
          <w:sz w:val="28"/>
        </w:rPr>
        <w:t>Таблица 3.9 - Контрольные показатели внедрения рекомендаций</w:t>
      </w:r>
    </w:p>
    <w:p>
      <w:pPr>
        <w:spacing w:line="360" w:lineRule="auto"/>
        <w:ind w:firstLine="709"/>
        <w:jc w:val="both"/>
      </w:pPr>
      <w:r>
        <w:rPr>
          <w:rFonts w:ascii="Times New Roman" w:hAnsi="Times New Roman" w:eastAsia="Times New Roman"/>
          <w:sz w:val="28"/>
        </w:rPr>
        <w:t>Контрольные показатели позволяют связать рекомендации с результатами второй главы. Например, если в опросе сотрудники низко оценили понятность премирования, то после внедрения программы должен вырасти именно этот индекс. Если проблемой было слабое признание личного вклада, то необходимо отслеживать не только количество врученных сертификатов, но и изменение восприятия признания в анонимном опросе.</w:t>
      </w:r>
    </w:p>
    <w:p>
      <w:pPr>
        <w:spacing w:line="360" w:lineRule="auto"/>
        <w:ind w:firstLine="709"/>
        <w:jc w:val="both"/>
      </w:pPr>
      <w:r>
        <w:rPr>
          <w:rFonts w:ascii="Times New Roman" w:hAnsi="Times New Roman" w:eastAsia="Times New Roman"/>
          <w:sz w:val="28"/>
        </w:rPr>
        <w:t>Также важно учитывать, что эффективность программы не должна оцениваться только по первому месяцу. Мотивационные изменения требуют адаптационного периода: работники должны понять новые правила, убедиться в их справедливости, увидеть первые выплаты и примеры признания. Поэтому корректно оценивать результат через 6 и 12 месяцев после запуска пилота.</w:t>
      </w:r>
    </w:p>
    <w:p>
      <w:pPr>
        <w:spacing w:line="360" w:lineRule="auto"/>
        <w:ind w:firstLine="709"/>
        <w:jc w:val="both"/>
      </w:pPr>
      <w:r>
        <w:rPr>
          <w:rFonts w:ascii="Times New Roman" w:hAnsi="Times New Roman" w:eastAsia="Times New Roman"/>
          <w:sz w:val="28"/>
        </w:rPr>
        <w:t>Финансовые расчеты подтверждают целесообразность внедрения, а организационные показатели позволяют контролировать, действительно ли программа решает выявленные проблемы. Следовательно, предложенная система является не разовой акцией, а управленческим циклом постоянного совершенствования мотивации отдела электриков.</w:t>
      </w:r>
    </w:p>
    <w:p>
      <w:pPr>
        <w:spacing w:line="360" w:lineRule="auto"/>
        <w:ind w:firstLine="709"/>
        <w:jc w:val="both"/>
      </w:pPr>
      <w:r>
        <w:rPr>
          <w:rFonts w:ascii="Times New Roman" w:hAnsi="Times New Roman" w:eastAsia="Times New Roman"/>
          <w:sz w:val="28"/>
        </w:rPr>
        <w:t>Важно отметить, что экономическая эффективность программы зависит от качества внедрения. Если KPI будут формальными, а признание сотрудников будет проводиться нерегулярно, эффект снизится. Поэтому необходимо закрепить управленческий цикл: постановка показателей - ежемесячный учет - обсуждение результатов - премирование - признание - корректировка.</w:t>
      </w:r>
    </w:p>
    <w:p>
      <w:pPr>
        <w:pStyle w:val="Heading2"/>
      </w:pPr>
      <w:r>
        <w:t>Выводы по третьей главе</w:t>
      </w:r>
    </w:p>
    <w:p>
      <w:pPr>
        <w:spacing w:line="360" w:lineRule="auto"/>
        <w:ind w:firstLine="709"/>
        <w:jc w:val="both"/>
      </w:pPr>
      <w:r>
        <w:rPr>
          <w:rFonts w:ascii="Times New Roman" w:hAnsi="Times New Roman" w:eastAsia="Times New Roman"/>
          <w:sz w:val="28"/>
        </w:rPr>
        <w:t>В третьей главе разработана программа совершенствования материального и нематериального стимулирования сотрудников отдела электриков ПАО «ТНС энерго НН». Рекомендации основаны на результатах анализа второй главы и направлены на решение выявленных проблем: непрозрачности премирования, недостатка признания, слабой связи обучения с развитием, умеренной удовлетворенности инструментальным обеспечением и риска текучести.</w:t>
      </w:r>
    </w:p>
    <w:p>
      <w:pPr>
        <w:spacing w:line="360" w:lineRule="auto"/>
        <w:ind w:firstLine="709"/>
        <w:jc w:val="both"/>
      </w:pPr>
      <w:r>
        <w:rPr>
          <w:rFonts w:ascii="Times New Roman" w:hAnsi="Times New Roman" w:eastAsia="Times New Roman"/>
          <w:sz w:val="28"/>
        </w:rPr>
        <w:t>Предложенная программа «Электрик: результат, безопасность, признание» включает карту KPI, участие работников в подтвержденной экономии, карту компетенций, развитие наставничества, обновление инструментов, систему нематериального признания и регулярный мониторинг мотивации. Программа сочетает отечественный опыт регламентированного управления персоналом и зарубежные подходы Total Rewards, gainsharing, skill-based pay, Kaizen и employee recognition.</w:t>
      </w:r>
    </w:p>
    <w:p>
      <w:pPr>
        <w:spacing w:line="360" w:lineRule="auto"/>
        <w:ind w:firstLine="709"/>
        <w:jc w:val="both"/>
      </w:pPr>
      <w:r>
        <w:rPr>
          <w:rFonts w:ascii="Times New Roman" w:hAnsi="Times New Roman" w:eastAsia="Times New Roman"/>
          <w:sz w:val="28"/>
        </w:rPr>
        <w:t>Технико-экономическое обоснование показало, что первый год реализации потребует 1 051 920 руб., при этом значительная часть премиального фонда формируется из подтвержденного эффекта. Ожидаемый годовой экономический эффект составляет 1 731 500 руб. Расчет дисконтированного дохода за три года при ставке 14,5% показал положительный NPV в размере 1 970 802 руб., что подтверждает экономическую целесообразность предложенных мероприятий.</w:t>
      </w:r>
    </w:p>
    <w:p>
      <w:pPr>
        <w:spacing w:line="360" w:lineRule="auto"/>
        <w:ind w:firstLine="709"/>
        <w:jc w:val="both"/>
      </w:pPr>
      <w:r>
        <w:rPr>
          <w:rFonts w:ascii="Times New Roman" w:hAnsi="Times New Roman" w:eastAsia="Times New Roman"/>
          <w:sz w:val="28"/>
        </w:rPr>
        <w:t>Таким образом, предложенные рекомендации позволяют не только повысить удовлетворенность и вовлеченность сотрудников отдела электриков, но и обеспечить измеримый экономический результат для компании.</w:t>
      </w:r>
    </w:p>
    <w:p>
      <w:pPr>
        <w:pStyle w:val="Heading2"/>
      </w:pPr>
      <w:r>
        <w:t>Список использованных источников</w:t>
      </w:r>
    </w:p>
    <w:p>
      <w:pPr>
        <w:pStyle w:val="ListNumber"/>
        <w:spacing w:line="360" w:lineRule="auto"/>
      </w:pPr>
      <w:r>
        <w:t>1. ПАО «ТНС энерго НН» - сведения о контрагенте, реквизиты, ОКВЭД и бухгалтерская отчетность за 2025 год. Т-Банк. URL: https://www.tbank.ru/business/contractor/legal/1055238038316/</w:t>
      </w:r>
    </w:p>
    <w:p>
      <w:pPr>
        <w:pStyle w:val="ListNumber"/>
        <w:spacing w:line="360" w:lineRule="auto"/>
      </w:pPr>
      <w:r>
        <w:t>2. Итоги 2025 г.: улучшение финансового результата на фоне снижения резервов. Блог Арсагеры. URL: https://bf.arsagera.ru/energeticheskie_sbytovye_i_setevye_kompanii/nizhegorodskaya_sbytovaya_kompaniya/itogi-2025-g-ulucsenie-finansovogo-rezultata-na-fone-snizeniia-rezervov</w:t>
      </w:r>
    </w:p>
    <w:p>
      <w:pPr>
        <w:pStyle w:val="ListNumber"/>
        <w:spacing w:line="360" w:lineRule="auto"/>
      </w:pPr>
      <w:r>
        <w:t>3. Итоги 2024 г.: формирование резервов оставило результат в отрицательной зоне. Блог Арсагеры. URL: https://bf.arsagera.ru/energeticheskie_sbytovye_i_setevye_kompanii/nizhegorodskaya_sbytovaya_kompaniya/itogi-2024-g-formirovanie-rezervov-ostavilo-rezultat-v-otricatelnoi-zone?page=1</w:t>
      </w:r>
    </w:p>
    <w:p>
      <w:pPr>
        <w:pStyle w:val="ListNumber"/>
        <w:spacing w:line="360" w:lineRule="auto"/>
      </w:pPr>
      <w:r>
        <w:t>4. Официальный сайт ПАО «ТНС энерго Нижний Новгород». URL: https://nn.tns-e.ru/</w:t>
      </w:r>
    </w:p>
    <w:p>
      <w:pPr>
        <w:pStyle w:val="ListNumber"/>
        <w:spacing w:line="360" w:lineRule="auto"/>
      </w:pPr>
      <w:r>
        <w:t>5. Государственный информационный ресурс бухгалтерской отчетности ФНС России. URL: https://bo.nalog.gov.ru/</w:t>
      </w:r>
    </w:p>
    <w:p>
      <w:pPr>
        <w:pStyle w:val="ListNumber"/>
        <w:spacing w:line="360" w:lineRule="auto"/>
      </w:pPr>
      <w:r>
        <w:t>6. Коллективный договор ПАО «ТНС энерго Нижний Новгород» на 2025-2027 годы.</w:t>
      </w:r>
    </w:p>
    <w:p>
      <w:pPr>
        <w:pStyle w:val="ListNumber"/>
        <w:spacing w:line="360" w:lineRule="auto"/>
      </w:pPr>
      <w:r>
        <w:t>7. Правила внутреннего трудового распорядка для работников ПАО «ТНС энерго НН» с изменениями на 30.09.2021.</w:t>
      </w:r>
    </w:p>
    <w:p>
      <w:pPr>
        <w:pStyle w:val="ListNumber"/>
        <w:spacing w:line="360" w:lineRule="auto"/>
      </w:pPr>
      <w:r>
        <w:t>8. Положение об адаптации и наставничестве в ПАО ГК «ТНС энерго».</w:t>
      </w:r>
    </w:p>
    <w:p>
      <w:pPr>
        <w:pStyle w:val="ListNumber"/>
        <w:spacing w:line="360" w:lineRule="auto"/>
      </w:pPr>
      <w:r>
        <w:t>9. Обучение по электробезопасности в Нижнем Новгороде. НЦПО. URL: https://ncpo.ru/nizhnij-novgorod/povyshenie-kvalifikatsii/obuchenie-po-elektrobezopasnosti/</w:t>
      </w:r>
    </w:p>
    <w:p>
      <w:pPr>
        <w:pStyle w:val="ListNumber"/>
        <w:spacing w:line="360" w:lineRule="auto"/>
      </w:pPr>
      <w:r>
        <w:t>10. Средняя зарплата электрика в Нижнем Новгороде. ГородРабот.ру. URL: https://nijni-novgorod.gorodrabot.ru/salaries/elektrik</w:t>
      </w:r>
    </w:p>
    <w:p>
      <w:pPr>
        <w:pStyle w:val="ListNumber"/>
        <w:spacing w:line="360" w:lineRule="auto"/>
      </w:pPr>
      <w:r>
        <w:t>11. Наборы диэлектрического инструмента электрика: рыночные цены. URL: https://dialin.ru/catalog/nabory-izolirovannogo-instrumenta-/nabor-dielektricheskogo-instrumenta-2-plast-chemodan-11-predmetov-1000v-ekspertelektrik-tdm/</w:t>
      </w:r>
    </w:p>
    <w:p>
      <w:pPr>
        <w:pStyle w:val="ListNumber"/>
        <w:spacing w:line="360" w:lineRule="auto"/>
      </w:pPr>
      <w:r>
        <w:t>12. Набор инструментов диэлектрических TOLSEN TTV82115. URL: https://mactak-yaroslavl.ru/collection/dielektricheskiy-instrument/product/ttv82115</w:t>
      </w:r>
    </w:p>
    <w:p>
      <w:pPr>
        <w:pStyle w:val="ListNumber"/>
        <w:spacing w:line="360" w:lineRule="auto"/>
      </w:pPr>
      <w:r>
        <w:t>13. Корпоративные подарочные сертификаты и бюджеты подарков сотрудникам. RB.RU. URL: https://rb.ru/news/35-kompanij-gotovy-potratit-do-3000-na-novogodnij-podarok-sotrudniku-samyj-populyarnyj-vybor-sertifikat/</w:t>
      </w:r>
    </w:p>
    <w:p>
      <w:pPr>
        <w:pStyle w:val="ListNumber"/>
        <w:spacing w:line="360" w:lineRule="auto"/>
      </w:pPr>
      <w:r>
        <w:t>14. Ключевая ставка Банка России. Банк России. URL: https://www.cbr.ru/hd_base/keyrate/</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