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51C94">
      <w:pPr>
        <w:spacing w:line="360" w:lineRule="auto"/>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Содержание</w:t>
      </w:r>
    </w:p>
    <w:p w14:paraId="70CC9B97">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Глава 1. Организационно-управленческая (экономическая) деятельность ООО «Лайф Медиа»................................................................................................1</w:t>
      </w:r>
    </w:p>
    <w:p w14:paraId="51A80BA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Глава 2. Анализ системы управления персоналом предприятия ООО «Лайф Медиа».....................................................................................................................6</w:t>
      </w:r>
    </w:p>
    <w:p w14:paraId="3D931EB9">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Глава 3. Система обучения и развития персонала ООО «Лайф Медиа».........13</w:t>
      </w:r>
    </w:p>
    <w:p w14:paraId="19EAFF11">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Глоссарий.................................................................................................................</w:t>
      </w:r>
    </w:p>
    <w:p w14:paraId="175A24A5">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Список использованных источников....................................................................</w:t>
      </w:r>
    </w:p>
    <w:p w14:paraId="0DAEC2B8">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Приложения.............................................................................................................</w:t>
      </w:r>
    </w:p>
    <w:p w14:paraId="7F6BE652">
      <w:pPr>
        <w:spacing w:line="360" w:lineRule="auto"/>
        <w:jc w:val="center"/>
        <w:rPr>
          <w:rFonts w:hint="default" w:ascii="Times New Roman" w:hAnsi="Times New Roman" w:cs="Times New Roman"/>
          <w:b/>
          <w:bCs/>
          <w:sz w:val="28"/>
          <w:szCs w:val="28"/>
          <w:lang w:val="ru-RU"/>
        </w:rPr>
        <w:sectPr>
          <w:pgSz w:w="11906" w:h="16838"/>
          <w:pgMar w:top="1134" w:right="850" w:bottom="1134" w:left="1701" w:header="720" w:footer="720" w:gutter="0"/>
          <w:cols w:space="720" w:num="1"/>
          <w:docGrid w:linePitch="360" w:charSpace="0"/>
        </w:sectPr>
      </w:pPr>
    </w:p>
    <w:p w14:paraId="597FA13F">
      <w:pPr>
        <w:spacing w:line="360" w:lineRule="auto"/>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Глава 1. Организационно-управленческая (экономическая) деятельность ООО «Лайф Медиа»</w:t>
      </w:r>
    </w:p>
    <w:p w14:paraId="67B88D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Общество с ограниченной ответственностью «Лайф Медиа» является активно развивающимся предприятием, специализирующимся на оптовых поставках техники и оборудования. Его успех и динамичное развитие обусловлены активным участием в государственных и корпоративных закупках. Компания была зарегистрирована 16 февраля 2016 года в г.Нижнем Новгороде, и с тех пор успешно работает на рынках B2B и B2G.</w:t>
      </w:r>
    </w:p>
    <w:p w14:paraId="0EB8CD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Основная миссия ООО «Лайф Медиа» заключается в предоставлении коммерческим и государственным организациям надёжной техники и оборудования по оптимальным ценам посредством проведения честных конкурентных закупок.   Стратегическая цель компании на среднесрочную перспективу — увеличение доли выигранных тендеров до 25% от общего числа поданных заявок и расширение географии поставок за пределы Приволжского федерального округа.</w:t>
      </w:r>
    </w:p>
    <w:p w14:paraId="6B690FA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Основные реквизиты и структура управления:</w:t>
      </w:r>
    </w:p>
    <w:p w14:paraId="1696EC5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Юридический адрес: 603122, Нижегородская область, г. о. город Нижний Новгород, г. Нижний Новгород, ул. Богородского, д. 7, к. 1, кв. 81.</w:t>
      </w:r>
    </w:p>
    <w:p w14:paraId="44C2BC6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ОГРН: 1165261050790</w:t>
      </w:r>
    </w:p>
    <w:p w14:paraId="735CBA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ИНН: 5261103730</w:t>
      </w:r>
    </w:p>
    <w:p w14:paraId="29FC70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Организационно-правовая форма: общество с ограниченной ответственностью</w:t>
      </w:r>
    </w:p>
    <w:p w14:paraId="24269AF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Руководитель и учредитель: генеральный директор — Бакаев Кирилл Владимирович</w:t>
      </w:r>
    </w:p>
    <w:p w14:paraId="1D10F10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Основным видом деятельности в соответствии с Общероссийским классификатором видов экономической деятельности (ОКВЭД) является 46.14.1 — деятельность агентов по оптовой торговле компьютерной техникой, телекоммуникационным оборудованием и прочим офисным оборудованием. Компания также имеет более 37 дополнительных направлений деятельности, включая онлайн–торговлю офисной мебелью, медицинским оборудованием и автозапчастями, что позволяет ей участвовать в самых разнообразных тендерных процедурах —  от поставок офисного оборудования в школы до оснащения медицинских учреждений.</w:t>
      </w:r>
    </w:p>
    <w:p w14:paraId="73599E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Организационная структура компании является линейно-функциональной, типичной для контрактов малого бизнеса и обеспечивающей высокую эффективность принятия решений. Организацию возглавляет генеральный директор, который обеспечивает общее стратегическое управление и контроль за финансовыми результатами. Следующие ключевые подразделения подчиняются непосредственно генеральному директору:</w:t>
      </w:r>
    </w:p>
    <w:p w14:paraId="4E829AF9">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Тендерный отдел ( 8 специалистов)</w:t>
      </w:r>
    </w:p>
    <w:p w14:paraId="056AD28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Сотрудники отдела занимаются мониторингом электронных торговых площадок (ЭТП) и единой информационной системы (ЕИС) в поисказ подходящего тендера, анализом конкурсной документации, подготовкой пакета документов для участия в торгах, расчётом начальной минимальной цены контракта (НМЦК), подачей заявок, участие в аукционах, сопровождением заключения контрактов по выигранным торгам.</w:t>
      </w:r>
    </w:p>
    <w:p w14:paraId="40DDAF36">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логистики и снабжения (3 специалиста)</w:t>
      </w:r>
    </w:p>
    <w:p w14:paraId="4F191019">
      <w:pPr>
        <w:keepNext w:val="0"/>
        <w:keepLines w:val="0"/>
        <w:pageBreakBefore w:val="0"/>
        <w:widowControl/>
        <w:numPr>
          <w:ilvl w:val="0"/>
          <w:numId w:val="0"/>
        </w:numPr>
        <w:tabs>
          <w:tab w:val="left" w:pos="420"/>
        </w:tabs>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задачи отдела входит доставка товаров клиентам, поиск оптимальных логистических решений, контроль сроков поставки, взаимодействие с транспортными компаниями.</w:t>
      </w:r>
    </w:p>
    <w:p w14:paraId="5F82C53B">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Бухгалтерия (1 специалист);</w:t>
      </w:r>
    </w:p>
    <w:p w14:paraId="26434F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Занимается ведением налогового и бухгалтерского учёта, расчётом заработной платы и страховых взносов, оформлением кадровых документов, сдачей отчётов в контролирующие органы (ФНС, СФР).</w:t>
      </w:r>
    </w:p>
    <w:p w14:paraId="26E9A122">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продаж и взаимодействия с клиентами (4 сотрудника)</w:t>
      </w:r>
    </w:p>
    <w:p w14:paraId="35B55F5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Отдел занимается частными (нетендерными) заказами, консультирует клиентов по ассортименту и условиям поставки, обрабатывает входящие заявки, сопровождает сделки от выставления счёта до отгрузки товара</w:t>
      </w:r>
    </w:p>
    <w:p w14:paraId="649C9D6E">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Юрисконсульт (специалист по аутсорсингу на контрактной основе);</w:t>
      </w:r>
    </w:p>
    <w:p w14:paraId="23E58F00">
      <w:pPr>
        <w:keepNext w:val="0"/>
        <w:keepLines w:val="0"/>
        <w:pageBreakBefore w:val="0"/>
        <w:widowControl/>
        <w:numPr>
          <w:ilvl w:val="-2"/>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en-US"/>
        </w:rPr>
        <w:t>Консультирует</w:t>
      </w:r>
      <w:r>
        <w:rPr>
          <w:rFonts w:hint="default" w:ascii="Times New Roman" w:hAnsi="Times New Roman"/>
          <w:b w:val="0"/>
          <w:bCs w:val="0"/>
          <w:sz w:val="28"/>
          <w:szCs w:val="28"/>
          <w:lang w:val="ru-RU"/>
        </w:rPr>
        <w:t xml:space="preserve"> по вопросам заключения контрактов, проверяет договорную документацию, участвует в разрешении спорных ситуаций с заказчиками</w:t>
      </w:r>
    </w:p>
    <w:p w14:paraId="7F6A2FA1">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Системный администратор (1 сотрудник, обеспечивающий работу </w:t>
      </w:r>
      <w:r>
        <w:rPr>
          <w:rFonts w:hint="default" w:ascii="Times New Roman" w:hAnsi="Times New Roman"/>
          <w:b w:val="0"/>
          <w:bCs w:val="0"/>
          <w:sz w:val="28"/>
          <w:szCs w:val="28"/>
          <w:lang w:val="en-US"/>
        </w:rPr>
        <w:t>IT</w:t>
      </w:r>
      <w:r>
        <w:rPr>
          <w:rFonts w:hint="default" w:ascii="Times New Roman" w:hAnsi="Times New Roman"/>
          <w:b w:val="0"/>
          <w:bCs w:val="0"/>
          <w:sz w:val="28"/>
          <w:szCs w:val="28"/>
          <w:lang w:val="ru-RU"/>
        </w:rPr>
        <w:t>-инфраструктуры).</w:t>
      </w:r>
    </w:p>
    <w:p w14:paraId="04E3124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ascii="Times New Roman" w:hAnsi="Times New Roman"/>
          <w:b w:val="0"/>
          <w:sz w:val="28"/>
        </w:rPr>
        <w:t>В каждом из перечисленных отделов сотрудники подписывают должностную инструкцию, регламентирующую их права, обязанности и ответственность (Приложение 1). Тендерный отдел, являясь центральным подразделением, имеет неформальную внутреннюю специализацию: одни специалисты специализируются на поиске закупок по 44-ФЗ (государственные нужды), другие — по 223-ФЗ (закупки государственных корпораций и естественных монополий), а также есть сотрудники, ответственные за подготовку ценовых предложений и рецензирование контрактов [2; 3].</w:t>
      </w:r>
    </w:p>
    <w:p w14:paraId="1A384C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ascii="Times New Roman" w:hAnsi="Times New Roman"/>
          <w:b/>
          <w:sz w:val="28"/>
        </w:rPr>
        <w:t xml:space="preserve">(УК-2) </w:t>
      </w:r>
      <w:r>
        <w:rPr>
          <w:rFonts w:ascii="Times New Roman" w:hAnsi="Times New Roman"/>
          <w:sz w:val="28"/>
        </w:rPr>
        <w:t>Закупочная деятельность ООО «Лайф Медиа» основана на постоянном мониторинге электронных торговых площадок (ЕТП), таких как СберАСТ, РТС-Тендер, ЭТП ГПБ, и Единой информационной системы в сфере закупок (ЕИС). Бизнес-модель компании предполагает поиск лотов, начальная максимальная цена контракта (НМЦК) которых позволяет приобрести оборудование у производителя или дистрибьютора со скидкой, обеспечивающей маржу не менее 10-15%. Процесс участия в тендере включает следующие этапы: Нормативной основой указанной деятельности являются положения 44-ФЗ и 223-ФЗ [2; 3].</w:t>
      </w:r>
    </w:p>
    <w:p w14:paraId="319B5293">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Поиск и анализ закупки (проверка требований заказчика, изучение технического задания);</w:t>
      </w:r>
    </w:p>
    <w:p w14:paraId="31230C4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Подготовка тендерного предложения (сбор коммерческих предложений от поставщиков, расчёт стоимости, формирование ценового предложения);</w:t>
      </w:r>
    </w:p>
    <w:p w14:paraId="24095615">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Подача и обеспечение тендерного предложения (при необходимости —  внесение обеспечения тендерного предложения);</w:t>
      </w:r>
    </w:p>
    <w:p w14:paraId="0F241333">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Отслеживание результатов тендера и защита интересов компании в случае их обжалования (с привлечением юристконсульта);</w:t>
      </w:r>
    </w:p>
    <w:p w14:paraId="0B4AD2EE">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Сопровождение контракта в случае победы (взаимодействие с отделом логистики при отгрузке товара).</w:t>
      </w:r>
    </w:p>
    <w:p w14:paraId="3C301CF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Фундаментальной особенностью деятельности ООО «Лайф Медиа» является полностью удалённый формат работы для большинства сотрудников, и в первую очередь для ключевого тендерного отдела. Такой подход сложился исторически и обусловлен несколькими факторами:</w:t>
      </w:r>
    </w:p>
    <w:p w14:paraId="47EA64F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Характер деятельности: работа на электронных торговых площадках  и в ЕИС не требует физического присутствия в офисе и может осуществляться из любой точки мира при стабильном подключении к Интернету.</w:t>
      </w:r>
    </w:p>
    <w:p w14:paraId="5BA181B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Экономическая эффективность: отсутствие затрат на аренду большого офиса и организацию рабочих мест позволяет компании направлять ресурсы на развитие и мотивацию сотрудников.</w:t>
      </w:r>
    </w:p>
    <w:p w14:paraId="62FD736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Расширение географии поиска персонала: возможность нанимать лучших специалистов из любого региона, а не только из Нижнего Новгорода.</w:t>
      </w:r>
    </w:p>
    <w:p w14:paraId="4D4043A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ascii="Times New Roman" w:hAnsi="Times New Roman"/>
          <w:b/>
          <w:sz w:val="28"/>
        </w:rPr>
        <w:t xml:space="preserve">(УК-4) </w:t>
      </w:r>
      <w:r>
        <w:rPr>
          <w:rFonts w:ascii="Times New Roman" w:hAnsi="Times New Roman"/>
          <w:sz w:val="28"/>
        </w:rPr>
        <w:t>Цифровая инфраструктура компании включает в себя следующие элементы:</w:t>
      </w:r>
    </w:p>
    <w:p w14:paraId="52754646">
      <w:pPr>
        <w:keepNext w:val="0"/>
        <w:keepLines w:val="0"/>
        <w:pageBreakBefore w:val="0"/>
        <w:widowControl/>
        <w:numPr>
          <w:ilvl w:val="0"/>
          <w:numId w:val="3"/>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Корпоративный портал и система управления задачами: Битрикс24 используется для координации работы, где распределяются задачи, отслеживаются сроки выполнения,  документооборот;</w:t>
      </w:r>
    </w:p>
    <w:p w14:paraId="28A07FB6">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Средства коммуникации: основным каналом оперативной коммуникации является корпоративный мессенджер Битрикс24 со структурированными чатами, Zoom используется для официальных видеоконференций, совещаний по планированию и собеседований.</w:t>
      </w:r>
    </w:p>
    <w:p w14:paraId="23AF274A">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Облачное хранилище: все рабочие документы, шаблоны приложений, регламенты и отчеты хранятся в облаке (Google Workspace/Яндекс.Диск), обеспечивая круглосуточный доступ к актуальной информации для всех сотрудников.</w:t>
      </w:r>
    </w:p>
    <w:p w14:paraId="160BCA46">
      <w:pPr>
        <w:keepNext w:val="0"/>
        <w:keepLines w:val="0"/>
        <w:pageBreakBefore w:val="0"/>
        <w:widowControl/>
        <w:numPr>
          <w:ilvl w:val="0"/>
          <w:numId w:val="3"/>
        </w:numPr>
        <w:kinsoku/>
        <w:wordWrap/>
        <w:overflowPunct/>
        <w:topLinePunct w:val="0"/>
        <w:autoSpaceDE/>
        <w:autoSpaceDN/>
        <w:bidi w:val="0"/>
        <w:adjustRightInd/>
        <w:snapToGrid/>
        <w:spacing w:line="360" w:lineRule="auto"/>
        <w:ind w:left="0" w:leftChars="0"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Электронный документооборот (ЭДО): кадровые документы и контракты с контрагентами подписываются с использованием электронной подписи, что полностью исключает необходимость личного присутствия.</w:t>
      </w:r>
    </w:p>
    <w:p w14:paraId="70BCF4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ascii="Times New Roman" w:hAnsi="Times New Roman"/>
          <w:b/>
          <w:sz w:val="28"/>
        </w:rPr>
        <w:t xml:space="preserve">(УК-10) </w:t>
      </w:r>
      <w:r>
        <w:rPr>
          <w:rFonts w:ascii="Times New Roman" w:hAnsi="Times New Roman"/>
          <w:sz w:val="28"/>
        </w:rPr>
        <w:t>Проведём анализ основных финансово-экономических показателей за последние 3 года (2022-2025 гг.), чтобы выявить основные тенденции развития компании и функционирование тендерного отдела (см.табл.1.1.)</w:t>
      </w:r>
    </w:p>
    <w:p w14:paraId="7A965C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p>
    <w:p w14:paraId="5F9C099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00" w:firstLineChars="125"/>
        <w:jc w:val="right"/>
        <w:textAlignment w:val="auto"/>
        <w:rPr>
          <w:rFonts w:hint="default" w:ascii="Times New Roman" w:hAnsi="Times New Roman"/>
          <w:b w:val="0"/>
          <w:bCs w:val="0"/>
          <w:sz w:val="24"/>
          <w:szCs w:val="24"/>
          <w:lang w:val="ru-RU"/>
        </w:rPr>
      </w:pPr>
      <w:r>
        <w:rPr>
          <w:rFonts w:hint="default" w:ascii="Times New Roman" w:hAnsi="Times New Roman"/>
          <w:b w:val="0"/>
          <w:bCs w:val="0"/>
          <w:sz w:val="24"/>
          <w:szCs w:val="24"/>
          <w:lang w:val="ru-RU"/>
        </w:rPr>
        <w:t>Таблица 1.1. Основные финансовые показатели ООО «Лайф Медиа» за 2022-2025 гг.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1517"/>
        <w:gridCol w:w="1121"/>
        <w:gridCol w:w="1192"/>
        <w:gridCol w:w="1552"/>
        <w:gridCol w:w="1570"/>
      </w:tblGrid>
      <w:tr w14:paraId="4A3A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4A0AD29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Показатель</w:t>
            </w:r>
          </w:p>
        </w:tc>
        <w:tc>
          <w:tcPr>
            <w:tcW w:w="1517" w:type="dxa"/>
            <w:vAlign w:val="center"/>
          </w:tcPr>
          <w:p w14:paraId="0858C37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2023</w:t>
            </w:r>
          </w:p>
        </w:tc>
        <w:tc>
          <w:tcPr>
            <w:tcW w:w="1121" w:type="dxa"/>
            <w:vAlign w:val="center"/>
          </w:tcPr>
          <w:p w14:paraId="6F83072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2024</w:t>
            </w:r>
          </w:p>
        </w:tc>
        <w:tc>
          <w:tcPr>
            <w:tcW w:w="1192" w:type="dxa"/>
            <w:vAlign w:val="center"/>
          </w:tcPr>
          <w:p w14:paraId="5E9B630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2025</w:t>
            </w:r>
          </w:p>
        </w:tc>
        <w:tc>
          <w:tcPr>
            <w:tcW w:w="1552" w:type="dxa"/>
            <w:vAlign w:val="center"/>
          </w:tcPr>
          <w:p w14:paraId="33411C6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Абсолютное отклонение (2025 к 2024)</w:t>
            </w:r>
          </w:p>
        </w:tc>
        <w:tc>
          <w:tcPr>
            <w:tcW w:w="1570" w:type="dxa"/>
            <w:vAlign w:val="center"/>
          </w:tcPr>
          <w:p w14:paraId="47455DD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Темп роста 2025/2024, %</w:t>
            </w:r>
          </w:p>
        </w:tc>
      </w:tr>
      <w:tr w14:paraId="2636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011DE2F8">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Общая выручка, тыс.руб.</w:t>
            </w:r>
          </w:p>
        </w:tc>
        <w:tc>
          <w:tcPr>
            <w:tcW w:w="1517" w:type="dxa"/>
            <w:vAlign w:val="center"/>
          </w:tcPr>
          <w:p w14:paraId="40A039F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42 680</w:t>
            </w:r>
          </w:p>
        </w:tc>
        <w:tc>
          <w:tcPr>
            <w:tcW w:w="1121" w:type="dxa"/>
            <w:vAlign w:val="center"/>
          </w:tcPr>
          <w:p w14:paraId="7DEFC6C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44 520</w:t>
            </w:r>
          </w:p>
        </w:tc>
        <w:tc>
          <w:tcPr>
            <w:tcW w:w="1192" w:type="dxa"/>
            <w:vAlign w:val="center"/>
          </w:tcPr>
          <w:p w14:paraId="2E65255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41 350</w:t>
            </w:r>
          </w:p>
        </w:tc>
        <w:tc>
          <w:tcPr>
            <w:tcW w:w="1552" w:type="dxa"/>
            <w:vAlign w:val="center"/>
          </w:tcPr>
          <w:p w14:paraId="0CA0E9D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- 3 170</w:t>
            </w:r>
          </w:p>
        </w:tc>
        <w:tc>
          <w:tcPr>
            <w:tcW w:w="1570" w:type="dxa"/>
            <w:vAlign w:val="center"/>
          </w:tcPr>
          <w:p w14:paraId="394797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92,9</w:t>
            </w:r>
          </w:p>
        </w:tc>
      </w:tr>
      <w:tr w14:paraId="6BD4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46EDD1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Выручка от тендерной деятельности, тыс.руб.</w:t>
            </w:r>
          </w:p>
        </w:tc>
        <w:tc>
          <w:tcPr>
            <w:tcW w:w="1517" w:type="dxa"/>
            <w:vAlign w:val="center"/>
          </w:tcPr>
          <w:p w14:paraId="6F01C28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34 120</w:t>
            </w:r>
          </w:p>
        </w:tc>
        <w:tc>
          <w:tcPr>
            <w:tcW w:w="1121" w:type="dxa"/>
            <w:vAlign w:val="center"/>
          </w:tcPr>
          <w:p w14:paraId="1C69CA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35 860</w:t>
            </w:r>
          </w:p>
        </w:tc>
        <w:tc>
          <w:tcPr>
            <w:tcW w:w="1192" w:type="dxa"/>
            <w:vAlign w:val="center"/>
          </w:tcPr>
          <w:p w14:paraId="0F904AF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30 840</w:t>
            </w:r>
          </w:p>
        </w:tc>
        <w:tc>
          <w:tcPr>
            <w:tcW w:w="1552" w:type="dxa"/>
            <w:vAlign w:val="center"/>
          </w:tcPr>
          <w:p w14:paraId="08A9864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- 5 020</w:t>
            </w:r>
          </w:p>
        </w:tc>
        <w:tc>
          <w:tcPr>
            <w:tcW w:w="1570" w:type="dxa"/>
            <w:vAlign w:val="center"/>
          </w:tcPr>
          <w:p w14:paraId="4359E66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86,0</w:t>
            </w:r>
          </w:p>
        </w:tc>
      </w:tr>
      <w:tr w14:paraId="0904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7898079B">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Доля тендерной выручки в общей, %</w:t>
            </w:r>
          </w:p>
        </w:tc>
        <w:tc>
          <w:tcPr>
            <w:tcW w:w="1517" w:type="dxa"/>
            <w:vAlign w:val="center"/>
          </w:tcPr>
          <w:p w14:paraId="669608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79,9</w:t>
            </w:r>
          </w:p>
        </w:tc>
        <w:tc>
          <w:tcPr>
            <w:tcW w:w="1121" w:type="dxa"/>
            <w:vAlign w:val="center"/>
          </w:tcPr>
          <w:p w14:paraId="4DB24FB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80,5</w:t>
            </w:r>
          </w:p>
        </w:tc>
        <w:tc>
          <w:tcPr>
            <w:tcW w:w="1192" w:type="dxa"/>
            <w:vAlign w:val="center"/>
          </w:tcPr>
          <w:p w14:paraId="15A236A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74,6</w:t>
            </w:r>
          </w:p>
        </w:tc>
        <w:tc>
          <w:tcPr>
            <w:tcW w:w="1552" w:type="dxa"/>
            <w:vAlign w:val="center"/>
          </w:tcPr>
          <w:p w14:paraId="4AC73B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- 5,9 п.п.</w:t>
            </w:r>
          </w:p>
        </w:tc>
        <w:tc>
          <w:tcPr>
            <w:tcW w:w="1570" w:type="dxa"/>
            <w:vAlign w:val="center"/>
          </w:tcPr>
          <w:p w14:paraId="1EADE6B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w:t>
            </w:r>
          </w:p>
        </w:tc>
      </w:tr>
      <w:tr w14:paraId="70F7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11751732">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Себестоимость продаж, тыс.руб.</w:t>
            </w:r>
          </w:p>
        </w:tc>
        <w:tc>
          <w:tcPr>
            <w:tcW w:w="1517" w:type="dxa"/>
            <w:vAlign w:val="center"/>
          </w:tcPr>
          <w:p w14:paraId="0798241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31 450</w:t>
            </w:r>
          </w:p>
        </w:tc>
        <w:tc>
          <w:tcPr>
            <w:tcW w:w="1121" w:type="dxa"/>
            <w:vAlign w:val="center"/>
          </w:tcPr>
          <w:p w14:paraId="7F98015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33 620</w:t>
            </w:r>
          </w:p>
        </w:tc>
        <w:tc>
          <w:tcPr>
            <w:tcW w:w="1192" w:type="dxa"/>
            <w:vAlign w:val="center"/>
          </w:tcPr>
          <w:p w14:paraId="68FC3D7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32 180</w:t>
            </w:r>
          </w:p>
        </w:tc>
        <w:tc>
          <w:tcPr>
            <w:tcW w:w="1552" w:type="dxa"/>
            <w:vAlign w:val="center"/>
          </w:tcPr>
          <w:p w14:paraId="78EC1CF8">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- 1 440</w:t>
            </w:r>
          </w:p>
        </w:tc>
        <w:tc>
          <w:tcPr>
            <w:tcW w:w="1570" w:type="dxa"/>
            <w:vAlign w:val="center"/>
          </w:tcPr>
          <w:p w14:paraId="056B5B0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95,7</w:t>
            </w:r>
          </w:p>
        </w:tc>
      </w:tr>
      <w:tr w14:paraId="3668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5806BAAE">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Валовая прибыль, тыс.руб.</w:t>
            </w:r>
          </w:p>
        </w:tc>
        <w:tc>
          <w:tcPr>
            <w:tcW w:w="1517" w:type="dxa"/>
            <w:vAlign w:val="center"/>
          </w:tcPr>
          <w:p w14:paraId="1E8099F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11 230</w:t>
            </w:r>
          </w:p>
        </w:tc>
        <w:tc>
          <w:tcPr>
            <w:tcW w:w="1121" w:type="dxa"/>
            <w:vAlign w:val="center"/>
          </w:tcPr>
          <w:p w14:paraId="2617C63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10 900</w:t>
            </w:r>
          </w:p>
        </w:tc>
        <w:tc>
          <w:tcPr>
            <w:tcW w:w="1192" w:type="dxa"/>
            <w:vAlign w:val="center"/>
          </w:tcPr>
          <w:p w14:paraId="71E29F37">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9 170</w:t>
            </w:r>
          </w:p>
        </w:tc>
        <w:tc>
          <w:tcPr>
            <w:tcW w:w="1552" w:type="dxa"/>
            <w:vAlign w:val="center"/>
          </w:tcPr>
          <w:p w14:paraId="4E2B974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- 1 730</w:t>
            </w:r>
          </w:p>
        </w:tc>
        <w:tc>
          <w:tcPr>
            <w:tcW w:w="1570" w:type="dxa"/>
            <w:vAlign w:val="center"/>
          </w:tcPr>
          <w:p w14:paraId="314AC882">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84.1</w:t>
            </w:r>
          </w:p>
        </w:tc>
      </w:tr>
      <w:tr w14:paraId="1A4A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75B18C19">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Коммерческие расходы, тыс.руб.</w:t>
            </w:r>
          </w:p>
        </w:tc>
        <w:tc>
          <w:tcPr>
            <w:tcW w:w="1517" w:type="dxa"/>
            <w:vAlign w:val="center"/>
          </w:tcPr>
          <w:p w14:paraId="7F0A6C3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360" w:firstLineChars="150"/>
              <w:jc w:val="both"/>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xml:space="preserve"> 3 080</w:t>
            </w:r>
          </w:p>
        </w:tc>
        <w:tc>
          <w:tcPr>
            <w:tcW w:w="1121" w:type="dxa"/>
            <w:vAlign w:val="center"/>
          </w:tcPr>
          <w:p w14:paraId="5B29A7F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3 260</w:t>
            </w:r>
          </w:p>
        </w:tc>
        <w:tc>
          <w:tcPr>
            <w:tcW w:w="1192" w:type="dxa"/>
            <w:vAlign w:val="center"/>
          </w:tcPr>
          <w:p w14:paraId="59BC0CF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3 190</w:t>
            </w:r>
          </w:p>
        </w:tc>
        <w:tc>
          <w:tcPr>
            <w:tcW w:w="1552" w:type="dxa"/>
            <w:vAlign w:val="center"/>
          </w:tcPr>
          <w:p w14:paraId="11ECACC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- 70</w:t>
            </w:r>
          </w:p>
        </w:tc>
        <w:tc>
          <w:tcPr>
            <w:tcW w:w="1570" w:type="dxa"/>
            <w:vAlign w:val="center"/>
          </w:tcPr>
          <w:p w14:paraId="456C461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97,9</w:t>
            </w:r>
          </w:p>
        </w:tc>
      </w:tr>
      <w:tr w14:paraId="17B5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4E37D8AB">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Управленские расходы, тыс.руб.</w:t>
            </w:r>
          </w:p>
        </w:tc>
        <w:tc>
          <w:tcPr>
            <w:tcW w:w="1517" w:type="dxa"/>
            <w:vAlign w:val="center"/>
          </w:tcPr>
          <w:p w14:paraId="0A0C1B6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3 150</w:t>
            </w:r>
          </w:p>
        </w:tc>
        <w:tc>
          <w:tcPr>
            <w:tcW w:w="1121" w:type="dxa"/>
            <w:vAlign w:val="center"/>
          </w:tcPr>
          <w:p w14:paraId="24E851A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3 240</w:t>
            </w:r>
          </w:p>
        </w:tc>
        <w:tc>
          <w:tcPr>
            <w:tcW w:w="1192" w:type="dxa"/>
            <w:vAlign w:val="center"/>
          </w:tcPr>
          <w:p w14:paraId="11A75F1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3 210</w:t>
            </w:r>
          </w:p>
        </w:tc>
        <w:tc>
          <w:tcPr>
            <w:tcW w:w="1552" w:type="dxa"/>
            <w:vAlign w:val="center"/>
          </w:tcPr>
          <w:p w14:paraId="2B973886">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- 30</w:t>
            </w:r>
          </w:p>
        </w:tc>
        <w:tc>
          <w:tcPr>
            <w:tcW w:w="1570" w:type="dxa"/>
            <w:vAlign w:val="center"/>
          </w:tcPr>
          <w:p w14:paraId="642DA7CA">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99,1</w:t>
            </w:r>
          </w:p>
        </w:tc>
      </w:tr>
      <w:tr w14:paraId="5A24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A98C1CA">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Прибыль от продаж, тыс.руб.</w:t>
            </w:r>
          </w:p>
        </w:tc>
        <w:tc>
          <w:tcPr>
            <w:tcW w:w="1517" w:type="dxa"/>
            <w:vAlign w:val="center"/>
          </w:tcPr>
          <w:p w14:paraId="34164DF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5 000</w:t>
            </w:r>
          </w:p>
        </w:tc>
        <w:tc>
          <w:tcPr>
            <w:tcW w:w="1121" w:type="dxa"/>
            <w:vAlign w:val="center"/>
          </w:tcPr>
          <w:p w14:paraId="5333155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4 400</w:t>
            </w:r>
          </w:p>
        </w:tc>
        <w:tc>
          <w:tcPr>
            <w:tcW w:w="1192" w:type="dxa"/>
            <w:vAlign w:val="center"/>
          </w:tcPr>
          <w:p w14:paraId="1CAE9EE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2 770</w:t>
            </w:r>
          </w:p>
        </w:tc>
        <w:tc>
          <w:tcPr>
            <w:tcW w:w="1552" w:type="dxa"/>
            <w:vAlign w:val="center"/>
          </w:tcPr>
          <w:p w14:paraId="0562407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- 1 630</w:t>
            </w:r>
          </w:p>
        </w:tc>
        <w:tc>
          <w:tcPr>
            <w:tcW w:w="1570" w:type="dxa"/>
            <w:vAlign w:val="center"/>
          </w:tcPr>
          <w:p w14:paraId="43530A7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63,0</w:t>
            </w:r>
          </w:p>
        </w:tc>
      </w:tr>
      <w:tr w14:paraId="5C6B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vAlign w:val="center"/>
          </w:tcPr>
          <w:p w14:paraId="62B850D9">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Чистая прибыль, тыс.руб.</w:t>
            </w:r>
          </w:p>
        </w:tc>
        <w:tc>
          <w:tcPr>
            <w:tcW w:w="1517" w:type="dxa"/>
            <w:vAlign w:val="center"/>
          </w:tcPr>
          <w:p w14:paraId="5261B96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4 000</w:t>
            </w:r>
          </w:p>
        </w:tc>
        <w:tc>
          <w:tcPr>
            <w:tcW w:w="1121" w:type="dxa"/>
            <w:vAlign w:val="center"/>
          </w:tcPr>
          <w:p w14:paraId="5C64289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3 520</w:t>
            </w:r>
          </w:p>
        </w:tc>
        <w:tc>
          <w:tcPr>
            <w:tcW w:w="1192" w:type="dxa"/>
            <w:vAlign w:val="center"/>
          </w:tcPr>
          <w:p w14:paraId="71D2B3A5">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2 216</w:t>
            </w:r>
          </w:p>
        </w:tc>
        <w:tc>
          <w:tcPr>
            <w:tcW w:w="1552" w:type="dxa"/>
            <w:vAlign w:val="center"/>
          </w:tcPr>
          <w:p w14:paraId="2F35F2D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- 1 304</w:t>
            </w:r>
          </w:p>
        </w:tc>
        <w:tc>
          <w:tcPr>
            <w:tcW w:w="1570" w:type="dxa"/>
            <w:vAlign w:val="center"/>
          </w:tcPr>
          <w:p w14:paraId="595B5844">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b w:val="0"/>
                <w:bCs w:val="0"/>
                <w:sz w:val="24"/>
                <w:szCs w:val="24"/>
                <w:vertAlign w:val="baseline"/>
                <w:lang w:val="ru-RU"/>
              </w:rPr>
            </w:pPr>
            <w:r>
              <w:rPr>
                <w:rFonts w:hint="default" w:ascii="Times New Roman" w:hAnsi="Times New Roman"/>
                <w:b w:val="0"/>
                <w:bCs w:val="0"/>
                <w:sz w:val="24"/>
                <w:szCs w:val="24"/>
                <w:vertAlign w:val="baseline"/>
                <w:lang w:val="ru-RU"/>
              </w:rPr>
              <w:t>63,0</w:t>
            </w:r>
          </w:p>
        </w:tc>
      </w:tr>
    </w:tbl>
    <w:p w14:paraId="0330813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300" w:firstLineChars="125"/>
        <w:jc w:val="both"/>
        <w:textAlignment w:val="auto"/>
        <w:rPr>
          <w:rFonts w:hint="default" w:ascii="Times New Roman" w:hAnsi="Times New Roman"/>
          <w:b w:val="0"/>
          <w:bCs w:val="0"/>
          <w:sz w:val="24"/>
          <w:szCs w:val="24"/>
          <w:lang w:val="ru-RU"/>
        </w:rPr>
      </w:pPr>
    </w:p>
    <w:p w14:paraId="2C71D4F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Из таблицы 1.1. видно, что за анализируемый период общая выручка ООО «Лайф Медиа» сократилась на 7,9% и составила в 2025 году 41,3 млн.руб. При этом выручка от тендерной деятельности снизилась ощутимее —  на 14% и составила 30,8 млн.руб. Валовая прибыль снизилась на 15,9% и составила 9,1 млн.руб. Управленческие и коммерческие расходы практически не изменились и остались на том же уровне, не сокращаясь вслед за падением доходов. В итоге прибыль от продаж и чистая прибыль упали на 37%, составив 2,7 млн.руб. и 2,2 млн.руб. соответственно. Компания сохраняет положительную прибыль, однако ухудшение показателей требует анализа эффективности работы ключевого подразделения — тендерного отдела.</w:t>
      </w:r>
    </w:p>
    <w:p w14:paraId="19CA86F5">
      <w:pPr>
        <w:spacing w:line="360" w:lineRule="auto"/>
        <w:jc w:val="center"/>
        <w:rPr>
          <w:rFonts w:hint="default" w:ascii="Times New Roman" w:hAnsi="Times New Roman" w:cs="Times New Roman"/>
          <w:b/>
          <w:bCs/>
          <w:sz w:val="28"/>
          <w:szCs w:val="28"/>
          <w:lang w:val="ru-RU"/>
        </w:rPr>
      </w:pPr>
      <w:r>
        <w:rPr>
          <w:rFonts w:hint="default" w:ascii="Times New Roman" w:hAnsi="Times New Roman"/>
          <w:b w:val="0"/>
          <w:bCs w:val="0"/>
          <w:sz w:val="28"/>
          <w:szCs w:val="28"/>
          <w:lang w:val="ru-RU"/>
        </w:rPr>
        <w:br w:type="page"/>
      </w:r>
      <w:r>
        <w:rPr>
          <w:rFonts w:hint="default" w:ascii="Times New Roman" w:hAnsi="Times New Roman" w:cs="Times New Roman"/>
          <w:b/>
          <w:bCs/>
          <w:sz w:val="28"/>
          <w:szCs w:val="28"/>
          <w:lang w:val="ru-RU"/>
        </w:rPr>
        <w:t>Глава 2. Анализ системы управления персоналом предприятия ООО «Лайф Медиа»</w:t>
      </w:r>
    </w:p>
    <w:p w14:paraId="74509818">
      <w:pPr>
        <w:spacing w:after="120" w:line="360" w:lineRule="auto"/>
        <w:ind w:firstLine="700"/>
        <w:jc w:val="both"/>
      </w:pPr>
      <w:r>
        <w:rPr>
          <w:rFonts w:ascii="Times New Roman" w:hAnsi="Times New Roman"/>
          <w:b/>
          <w:sz w:val="28"/>
        </w:rPr>
        <w:t xml:space="preserve">(ПК-1) </w:t>
      </w:r>
      <w:r>
        <w:rPr>
          <w:rFonts w:ascii="Times New Roman" w:hAnsi="Times New Roman"/>
          <w:sz w:val="28"/>
        </w:rPr>
        <w:t>Система управления персоналом ООО «Лайф Медиа» формируется с учётом двух особенностей предприятия: малого масштаба бизнеса и полностью удалённого формата работы большинства сотрудников. В компании отсутствует самостоятельная HR-служба, поэтому кадровые функции распределены между несколькими участниками управления. Генеральный директор принимает ключевые кадровые решения и определяет требования к персоналу, руководитель тендерного отдела участвует в подборе, оценке и текущей координации специалистов, бухгалтерия обеспечивает кадровое делопроизводство, расчёт заработной платы и оформление обязательных документов [4; 5].</w:t>
      </w:r>
    </w:p>
    <w:p w14:paraId="4EB788E4">
      <w:pPr>
        <w:spacing w:after="120" w:line="360" w:lineRule="auto"/>
        <w:ind w:firstLine="700"/>
        <w:jc w:val="both"/>
      </w:pPr>
      <w:r>
        <w:rPr>
          <w:rFonts w:ascii="Times New Roman" w:hAnsi="Times New Roman"/>
          <w:b w:val="0"/>
          <w:sz w:val="28"/>
        </w:rPr>
        <w:t>Такое распределение функций типично для малого предприятия, однако оно делает систему управления персоналом зависимой от текущей загрузки руководителей. Отдельные кадровые процессы выполняются, но не всегда оформлены как единая последовательность: подбор запускается под конкретную вакансию, адаптация проходит преимущественно в рабочем процессе, а развитие сотрудников не выделено в самостоятельное направление управления.</w:t>
      </w:r>
    </w:p>
    <w:p w14:paraId="75978D2A">
      <w:pPr>
        <w:spacing w:after="120" w:line="360" w:lineRule="auto"/>
        <w:ind w:firstLine="700"/>
        <w:jc w:val="both"/>
      </w:pPr>
      <w:r>
        <w:rPr>
          <w:rFonts w:ascii="Times New Roman" w:hAnsi="Times New Roman"/>
          <w:b/>
          <w:sz w:val="28"/>
        </w:rPr>
        <w:t xml:space="preserve">(ПК-2) </w:t>
      </w:r>
      <w:r>
        <w:rPr>
          <w:rFonts w:ascii="Times New Roman" w:hAnsi="Times New Roman"/>
          <w:sz w:val="28"/>
        </w:rPr>
        <w:t>Поиск персонала носит проектный характер и чаще всего связан с потребностями тендерного отдела. Основными каналами привлечения выступают hh.ru, Авито, Работа.ru и профессиональные рекомендации. Важным преимуществом работодателя является удалённый формат, позволяющий привлекать кандидатов не только из Нижнего Новгорода, но и из других регионов. При этом удалённая занятость повышает требования к самостоятельности, цифровой дисциплине и умению работать с электронными документами.</w:t>
      </w:r>
    </w:p>
    <w:p w14:paraId="359267C0">
      <w:pPr>
        <w:spacing w:after="120" w:line="360" w:lineRule="auto"/>
        <w:ind w:firstLine="700"/>
        <w:jc w:val="both"/>
      </w:pPr>
      <w:r>
        <w:rPr>
          <w:rFonts w:ascii="Times New Roman" w:hAnsi="Times New Roman"/>
          <w:b w:val="0"/>
          <w:sz w:val="28"/>
        </w:rPr>
        <w:t>Отбор кандидатов построен по классической воронке, что соответствует распространённому подходу к подбору персонала через последовательное сужение круга кандидатов [6]. Сначала проводится скрининг резюме с учётом опыта работы с 44-ФЗ и 223-ФЗ, затем телефонное интервью с руководителем отдела, после чего кандидат выполняет тестовое задание на основе реальных рабочих ситуаций: анализ документации, расчет НМЦК, выявление ошибок в заявке. Финальный этап включает видеоинтервью с генеральным директором и оформление через электронный документооборот. Приём на работу сопровождается получением электронных копий документов, подготовкой трудового договора, приказа о приёме, ознакомлением с должностной инструкцией и внесением сведений в электронную трудовую книжку [1].</w:t>
      </w:r>
    </w:p>
    <w:p w14:paraId="4A0AA29F">
      <w:pPr>
        <w:spacing w:after="120" w:line="360" w:lineRule="auto"/>
        <w:ind w:firstLine="700"/>
        <w:jc w:val="both"/>
        <w:rPr>
          <w:rFonts w:hint="default"/>
          <w:lang w:val="ru-RU"/>
        </w:rPr>
      </w:pPr>
      <w:r>
        <w:rPr>
          <w:rFonts w:ascii="Times New Roman" w:hAnsi="Times New Roman"/>
          <w:b w:val="0"/>
          <w:sz w:val="28"/>
        </w:rPr>
        <w:t>Кадровый потенциал компании во многом определяется тендерным отделом, так как он обеспечивает основную часть выручки. Поэтому анализ структуры персонала целесообразно начинать с оценки численности и роли подразделений</w:t>
      </w:r>
      <w:r>
        <w:rPr>
          <w:rFonts w:hint="default" w:ascii="Times New Roman" w:hAnsi="Times New Roman"/>
          <w:b w:val="0"/>
          <w:sz w:val="28"/>
          <w:lang w:val="ru-RU"/>
        </w:rPr>
        <w:t xml:space="preserve"> (см.табл.2.1.).</w:t>
      </w:r>
    </w:p>
    <w:p w14:paraId="3BC8CF81">
      <w:pPr>
        <w:spacing w:after="120" w:line="360" w:lineRule="auto"/>
        <w:jc w:val="right"/>
        <w:rPr>
          <w:sz w:val="24"/>
          <w:szCs w:val="24"/>
        </w:rPr>
      </w:pPr>
      <w:r>
        <w:rPr>
          <w:rFonts w:ascii="Times New Roman" w:hAnsi="Times New Roman"/>
          <w:b w:val="0"/>
          <w:sz w:val="24"/>
          <w:szCs w:val="24"/>
        </w:rPr>
        <w:t>Таблица 2.1. Структура персонала ООО «Лайф Медиа»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B71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BB0900">
            <w:pPr>
              <w:widowControl w:val="0"/>
              <w:jc w:val="center"/>
              <w:rPr>
                <w:b w:val="0"/>
                <w:bCs/>
              </w:rPr>
            </w:pPr>
            <w:r>
              <w:rPr>
                <w:rFonts w:ascii="Times New Roman" w:hAnsi="Times New Roman"/>
                <w:b w:val="0"/>
                <w:bCs/>
                <w:sz w:val="24"/>
              </w:rPr>
              <w:t>Категория персонала</w:t>
            </w:r>
          </w:p>
        </w:tc>
        <w:tc>
          <w:tcPr>
            <w:tcW w:w="3118" w:type="dxa"/>
          </w:tcPr>
          <w:p w14:paraId="1A1521E5">
            <w:pPr>
              <w:widowControl w:val="0"/>
              <w:jc w:val="center"/>
              <w:rPr>
                <w:b w:val="0"/>
                <w:bCs/>
              </w:rPr>
            </w:pPr>
            <w:r>
              <w:rPr>
                <w:rFonts w:ascii="Times New Roman" w:hAnsi="Times New Roman"/>
                <w:b w:val="0"/>
                <w:bCs/>
                <w:sz w:val="24"/>
              </w:rPr>
              <w:t>Подразделение</w:t>
            </w:r>
          </w:p>
        </w:tc>
        <w:tc>
          <w:tcPr>
            <w:tcW w:w="3118" w:type="dxa"/>
          </w:tcPr>
          <w:p w14:paraId="1134C011">
            <w:pPr>
              <w:widowControl w:val="0"/>
              <w:jc w:val="center"/>
              <w:rPr>
                <w:b w:val="0"/>
                <w:bCs/>
              </w:rPr>
            </w:pPr>
            <w:r>
              <w:rPr>
                <w:rFonts w:ascii="Times New Roman" w:hAnsi="Times New Roman"/>
                <w:b w:val="0"/>
                <w:bCs/>
                <w:sz w:val="24"/>
              </w:rPr>
              <w:t>Количество, чел.</w:t>
            </w:r>
          </w:p>
        </w:tc>
      </w:tr>
      <w:tr w14:paraId="3773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360BD09">
            <w:pPr>
              <w:widowControl w:val="0"/>
              <w:jc w:val="both"/>
            </w:pPr>
            <w:r>
              <w:rPr>
                <w:rFonts w:ascii="Times New Roman" w:hAnsi="Times New Roman"/>
                <w:sz w:val="24"/>
              </w:rPr>
              <w:t>Основной персонал</w:t>
            </w:r>
          </w:p>
        </w:tc>
        <w:tc>
          <w:tcPr>
            <w:tcW w:w="3118" w:type="dxa"/>
          </w:tcPr>
          <w:p w14:paraId="4912AF8E">
            <w:pPr>
              <w:widowControl w:val="0"/>
              <w:jc w:val="both"/>
            </w:pPr>
            <w:r>
              <w:rPr>
                <w:rFonts w:ascii="Times New Roman" w:hAnsi="Times New Roman"/>
                <w:sz w:val="24"/>
              </w:rPr>
              <w:t>Тендерный отдел</w:t>
            </w:r>
          </w:p>
        </w:tc>
        <w:tc>
          <w:tcPr>
            <w:tcW w:w="3118" w:type="dxa"/>
          </w:tcPr>
          <w:p w14:paraId="2933C2D0">
            <w:pPr>
              <w:widowControl w:val="0"/>
              <w:jc w:val="center"/>
            </w:pPr>
            <w:r>
              <w:rPr>
                <w:rFonts w:ascii="Times New Roman" w:hAnsi="Times New Roman"/>
                <w:sz w:val="24"/>
              </w:rPr>
              <w:t>8</w:t>
            </w:r>
          </w:p>
        </w:tc>
      </w:tr>
      <w:tr w14:paraId="0483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C99569A">
            <w:pPr>
              <w:widowControl w:val="0"/>
              <w:jc w:val="both"/>
            </w:pPr>
            <w:r>
              <w:rPr>
                <w:rFonts w:ascii="Times New Roman" w:hAnsi="Times New Roman"/>
                <w:sz w:val="24"/>
              </w:rPr>
              <w:t>Вспомогательный персонал</w:t>
            </w:r>
          </w:p>
        </w:tc>
        <w:tc>
          <w:tcPr>
            <w:tcW w:w="3118" w:type="dxa"/>
          </w:tcPr>
          <w:p w14:paraId="6EB1435D">
            <w:pPr>
              <w:widowControl w:val="0"/>
              <w:jc w:val="both"/>
            </w:pPr>
            <w:r>
              <w:rPr>
                <w:rFonts w:ascii="Times New Roman" w:hAnsi="Times New Roman"/>
                <w:sz w:val="24"/>
              </w:rPr>
              <w:t>Отдел логистики и поставок</w:t>
            </w:r>
          </w:p>
        </w:tc>
        <w:tc>
          <w:tcPr>
            <w:tcW w:w="3118" w:type="dxa"/>
          </w:tcPr>
          <w:p w14:paraId="7A394153">
            <w:pPr>
              <w:widowControl w:val="0"/>
              <w:jc w:val="center"/>
            </w:pPr>
            <w:r>
              <w:rPr>
                <w:rFonts w:ascii="Times New Roman" w:hAnsi="Times New Roman"/>
                <w:sz w:val="24"/>
              </w:rPr>
              <w:t>3</w:t>
            </w:r>
          </w:p>
        </w:tc>
      </w:tr>
      <w:tr w14:paraId="7B48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BB9EA01">
            <w:pPr>
              <w:widowControl w:val="0"/>
              <w:jc w:val="both"/>
            </w:pPr>
            <w:r>
              <w:rPr>
                <w:rFonts w:ascii="Times New Roman" w:hAnsi="Times New Roman"/>
                <w:sz w:val="24"/>
              </w:rPr>
              <w:t>Коммерческий персонал</w:t>
            </w:r>
          </w:p>
        </w:tc>
        <w:tc>
          <w:tcPr>
            <w:tcW w:w="3118" w:type="dxa"/>
          </w:tcPr>
          <w:p w14:paraId="02027662">
            <w:pPr>
              <w:widowControl w:val="0"/>
              <w:jc w:val="both"/>
            </w:pPr>
            <w:r>
              <w:rPr>
                <w:rFonts w:ascii="Times New Roman" w:hAnsi="Times New Roman"/>
                <w:sz w:val="24"/>
              </w:rPr>
              <w:t>Отдел продаж</w:t>
            </w:r>
          </w:p>
        </w:tc>
        <w:tc>
          <w:tcPr>
            <w:tcW w:w="3118" w:type="dxa"/>
          </w:tcPr>
          <w:p w14:paraId="4567988D">
            <w:pPr>
              <w:widowControl w:val="0"/>
              <w:jc w:val="center"/>
            </w:pPr>
            <w:r>
              <w:rPr>
                <w:rFonts w:ascii="Times New Roman" w:hAnsi="Times New Roman"/>
                <w:sz w:val="24"/>
              </w:rPr>
              <w:t>4</w:t>
            </w:r>
          </w:p>
        </w:tc>
      </w:tr>
      <w:tr w14:paraId="59FD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6CF844">
            <w:pPr>
              <w:widowControl w:val="0"/>
              <w:jc w:val="both"/>
            </w:pPr>
            <w:r>
              <w:rPr>
                <w:rFonts w:ascii="Times New Roman" w:hAnsi="Times New Roman"/>
                <w:sz w:val="24"/>
              </w:rPr>
              <w:t>Административно-управленческий персонал</w:t>
            </w:r>
          </w:p>
        </w:tc>
        <w:tc>
          <w:tcPr>
            <w:tcW w:w="3118" w:type="dxa"/>
          </w:tcPr>
          <w:p w14:paraId="496399DD">
            <w:pPr>
              <w:widowControl w:val="0"/>
              <w:jc w:val="both"/>
            </w:pPr>
            <w:r>
              <w:rPr>
                <w:rFonts w:ascii="Times New Roman" w:hAnsi="Times New Roman"/>
                <w:sz w:val="24"/>
              </w:rPr>
              <w:t>Бухгалтерия, системный администратор</w:t>
            </w:r>
          </w:p>
        </w:tc>
        <w:tc>
          <w:tcPr>
            <w:tcW w:w="3118" w:type="dxa"/>
          </w:tcPr>
          <w:p w14:paraId="2AA95519">
            <w:pPr>
              <w:widowControl w:val="0"/>
              <w:jc w:val="center"/>
            </w:pPr>
            <w:r>
              <w:rPr>
                <w:rFonts w:ascii="Times New Roman" w:hAnsi="Times New Roman"/>
                <w:sz w:val="24"/>
              </w:rPr>
              <w:t>2</w:t>
            </w:r>
          </w:p>
        </w:tc>
      </w:tr>
      <w:tr w14:paraId="796E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37294DD">
            <w:pPr>
              <w:widowControl w:val="0"/>
              <w:jc w:val="both"/>
            </w:pPr>
            <w:r>
              <w:rPr>
                <w:rFonts w:ascii="Times New Roman" w:hAnsi="Times New Roman"/>
                <w:sz w:val="24"/>
              </w:rPr>
              <w:t>Итого</w:t>
            </w:r>
          </w:p>
        </w:tc>
        <w:tc>
          <w:tcPr>
            <w:tcW w:w="3118" w:type="dxa"/>
          </w:tcPr>
          <w:p w14:paraId="4EF3A9EC">
            <w:pPr>
              <w:widowControl w:val="0"/>
              <w:jc w:val="both"/>
            </w:pPr>
          </w:p>
        </w:tc>
        <w:tc>
          <w:tcPr>
            <w:tcW w:w="3118" w:type="dxa"/>
          </w:tcPr>
          <w:p w14:paraId="0430D3EC">
            <w:pPr>
              <w:widowControl w:val="0"/>
              <w:jc w:val="center"/>
            </w:pPr>
            <w:r>
              <w:rPr>
                <w:rFonts w:ascii="Times New Roman" w:hAnsi="Times New Roman"/>
                <w:sz w:val="24"/>
              </w:rPr>
              <w:t>17</w:t>
            </w:r>
          </w:p>
        </w:tc>
      </w:tr>
    </w:tbl>
    <w:p w14:paraId="6197A2F8">
      <w:pPr>
        <w:spacing w:after="120" w:line="360" w:lineRule="auto"/>
        <w:ind w:firstLine="700"/>
        <w:jc w:val="both"/>
      </w:pPr>
    </w:p>
    <w:p w14:paraId="2FD6C8A9">
      <w:pPr>
        <w:spacing w:after="120" w:line="360" w:lineRule="auto"/>
        <w:ind w:firstLine="700"/>
        <w:jc w:val="both"/>
      </w:pPr>
      <w:r>
        <w:rPr>
          <w:rFonts w:ascii="Times New Roman" w:hAnsi="Times New Roman"/>
          <w:b w:val="0"/>
          <w:sz w:val="28"/>
        </w:rPr>
        <w:t>Из таблицы видно, что тендерные специалисты составляют крупнейшую группу персонала — 8 человек из 17. Это подтверждает приоритетность данного подразделения для бизнес-модели предприятия. Логистика и продажи обеспечивают сопровождение контрактов и работу с частными заказами, а административно-управленческий блок представлен минимальным составом, что соответствует масштабу малого бизнеса.</w:t>
      </w:r>
    </w:p>
    <w:p w14:paraId="399828B9">
      <w:pPr>
        <w:spacing w:after="120" w:line="360" w:lineRule="auto"/>
        <w:ind w:firstLine="700"/>
        <w:jc w:val="both"/>
        <w:rPr>
          <w:rFonts w:ascii="Times New Roman" w:hAnsi="Times New Roman"/>
          <w:b w:val="0"/>
          <w:sz w:val="28"/>
        </w:rPr>
      </w:pPr>
      <w:r>
        <w:rPr>
          <w:rFonts w:ascii="Times New Roman" w:hAnsi="Times New Roman"/>
          <w:b w:val="0"/>
          <w:sz w:val="28"/>
        </w:rPr>
        <w:t>Для оценки устойчивости кадрового состава были рассмотрены возраст, стаж работы и уровень образования сотрудников тендерного отдел</w:t>
      </w:r>
      <w:r>
        <w:rPr>
          <w:rFonts w:ascii="Times New Roman" w:hAnsi="Times New Roman"/>
          <w:b w:val="0"/>
          <w:sz w:val="28"/>
          <w:lang w:val="ru-RU"/>
        </w:rPr>
        <w:t>а</w:t>
      </w:r>
      <w:r>
        <w:rPr>
          <w:rFonts w:hint="default" w:ascii="Times New Roman" w:hAnsi="Times New Roman"/>
          <w:b w:val="0"/>
          <w:sz w:val="28"/>
          <w:lang w:val="ru-RU"/>
        </w:rPr>
        <w:t xml:space="preserve"> (см.табл.2.2-2.4.)</w:t>
      </w:r>
      <w:r>
        <w:rPr>
          <w:rFonts w:ascii="Times New Roman" w:hAnsi="Times New Roman"/>
          <w:b w:val="0"/>
          <w:sz w:val="28"/>
        </w:rPr>
        <w:t>.</w:t>
      </w:r>
    </w:p>
    <w:p w14:paraId="24096CEC">
      <w:pPr>
        <w:spacing w:after="120" w:line="360" w:lineRule="auto"/>
        <w:ind w:firstLine="700"/>
        <w:jc w:val="both"/>
        <w:rPr>
          <w:rFonts w:ascii="Times New Roman" w:hAnsi="Times New Roman"/>
          <w:b w:val="0"/>
          <w:sz w:val="28"/>
        </w:rPr>
      </w:pPr>
    </w:p>
    <w:p w14:paraId="087BFED9">
      <w:pPr>
        <w:spacing w:after="120" w:line="360" w:lineRule="auto"/>
        <w:ind w:firstLine="700"/>
        <w:jc w:val="both"/>
        <w:rPr>
          <w:rFonts w:ascii="Times New Roman" w:hAnsi="Times New Roman"/>
          <w:b w:val="0"/>
          <w:sz w:val="28"/>
        </w:rPr>
      </w:pPr>
    </w:p>
    <w:p w14:paraId="13E9017C">
      <w:pPr>
        <w:spacing w:after="120" w:line="360" w:lineRule="auto"/>
        <w:jc w:val="right"/>
        <w:rPr>
          <w:sz w:val="18"/>
          <w:szCs w:val="18"/>
        </w:rPr>
      </w:pPr>
      <w:r>
        <w:rPr>
          <w:rFonts w:ascii="Times New Roman" w:hAnsi="Times New Roman"/>
          <w:b w:val="0"/>
          <w:sz w:val="24"/>
          <w:szCs w:val="18"/>
        </w:rPr>
        <w:t>Таблица 2.2. Возрастная структура тендерных специалистов ООО «Лайф Медиа» (2025 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6AEE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9D1A175">
            <w:pPr>
              <w:widowControl w:val="0"/>
              <w:jc w:val="both"/>
              <w:rPr>
                <w:b w:val="0"/>
                <w:bCs/>
              </w:rPr>
            </w:pPr>
            <w:r>
              <w:rPr>
                <w:rFonts w:ascii="Times New Roman" w:hAnsi="Times New Roman"/>
                <w:b w:val="0"/>
                <w:bCs/>
                <w:sz w:val="24"/>
              </w:rPr>
              <w:t>Возрастная группа</w:t>
            </w:r>
          </w:p>
        </w:tc>
        <w:tc>
          <w:tcPr>
            <w:tcW w:w="3118" w:type="dxa"/>
          </w:tcPr>
          <w:p w14:paraId="09C407A7">
            <w:pPr>
              <w:widowControl w:val="0"/>
              <w:jc w:val="both"/>
              <w:rPr>
                <w:b w:val="0"/>
                <w:bCs/>
              </w:rPr>
            </w:pPr>
            <w:r>
              <w:rPr>
                <w:rFonts w:ascii="Times New Roman" w:hAnsi="Times New Roman"/>
                <w:b w:val="0"/>
                <w:bCs/>
                <w:sz w:val="24"/>
              </w:rPr>
              <w:t>Количество, чел.</w:t>
            </w:r>
          </w:p>
        </w:tc>
        <w:tc>
          <w:tcPr>
            <w:tcW w:w="3118" w:type="dxa"/>
          </w:tcPr>
          <w:p w14:paraId="2D587BFE">
            <w:pPr>
              <w:widowControl w:val="0"/>
              <w:jc w:val="both"/>
              <w:rPr>
                <w:b w:val="0"/>
                <w:bCs/>
              </w:rPr>
            </w:pPr>
            <w:r>
              <w:rPr>
                <w:rFonts w:ascii="Times New Roman" w:hAnsi="Times New Roman"/>
                <w:b w:val="0"/>
                <w:bCs/>
                <w:sz w:val="24"/>
              </w:rPr>
              <w:t>Доля, %</w:t>
            </w:r>
          </w:p>
        </w:tc>
      </w:tr>
      <w:tr w14:paraId="3A8C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116144F">
            <w:pPr>
              <w:widowControl w:val="0"/>
              <w:jc w:val="both"/>
            </w:pPr>
            <w:r>
              <w:rPr>
                <w:rFonts w:ascii="Times New Roman" w:hAnsi="Times New Roman"/>
                <w:sz w:val="24"/>
              </w:rPr>
              <w:t>До 25 лет</w:t>
            </w:r>
          </w:p>
        </w:tc>
        <w:tc>
          <w:tcPr>
            <w:tcW w:w="3118" w:type="dxa"/>
          </w:tcPr>
          <w:p w14:paraId="4A452016">
            <w:pPr>
              <w:widowControl w:val="0"/>
              <w:jc w:val="center"/>
            </w:pPr>
            <w:r>
              <w:rPr>
                <w:rFonts w:ascii="Times New Roman" w:hAnsi="Times New Roman"/>
                <w:sz w:val="24"/>
              </w:rPr>
              <w:t>2</w:t>
            </w:r>
          </w:p>
        </w:tc>
        <w:tc>
          <w:tcPr>
            <w:tcW w:w="3118" w:type="dxa"/>
          </w:tcPr>
          <w:p w14:paraId="1EB2975B">
            <w:pPr>
              <w:widowControl w:val="0"/>
              <w:jc w:val="center"/>
            </w:pPr>
            <w:r>
              <w:rPr>
                <w:rFonts w:ascii="Times New Roman" w:hAnsi="Times New Roman"/>
                <w:sz w:val="24"/>
              </w:rPr>
              <w:t>25,0</w:t>
            </w:r>
          </w:p>
        </w:tc>
      </w:tr>
      <w:tr w14:paraId="0EC9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E2C7B74">
            <w:pPr>
              <w:widowControl w:val="0"/>
              <w:jc w:val="both"/>
            </w:pPr>
            <w:r>
              <w:rPr>
                <w:rFonts w:ascii="Times New Roman" w:hAnsi="Times New Roman"/>
                <w:sz w:val="24"/>
              </w:rPr>
              <w:t>25-35 лет</w:t>
            </w:r>
          </w:p>
        </w:tc>
        <w:tc>
          <w:tcPr>
            <w:tcW w:w="3118" w:type="dxa"/>
          </w:tcPr>
          <w:p w14:paraId="2FCADC3E">
            <w:pPr>
              <w:widowControl w:val="0"/>
              <w:jc w:val="center"/>
            </w:pPr>
            <w:r>
              <w:rPr>
                <w:rFonts w:ascii="Times New Roman" w:hAnsi="Times New Roman"/>
                <w:sz w:val="24"/>
              </w:rPr>
              <w:t>5</w:t>
            </w:r>
          </w:p>
        </w:tc>
        <w:tc>
          <w:tcPr>
            <w:tcW w:w="3118" w:type="dxa"/>
          </w:tcPr>
          <w:p w14:paraId="19E29200">
            <w:pPr>
              <w:widowControl w:val="0"/>
              <w:jc w:val="center"/>
            </w:pPr>
            <w:r>
              <w:rPr>
                <w:rFonts w:ascii="Times New Roman" w:hAnsi="Times New Roman"/>
                <w:sz w:val="24"/>
              </w:rPr>
              <w:t>62,5</w:t>
            </w:r>
          </w:p>
        </w:tc>
      </w:tr>
      <w:tr w14:paraId="1802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E6C907D">
            <w:pPr>
              <w:widowControl w:val="0"/>
              <w:jc w:val="both"/>
            </w:pPr>
            <w:r>
              <w:rPr>
                <w:rFonts w:ascii="Times New Roman" w:hAnsi="Times New Roman"/>
                <w:sz w:val="24"/>
              </w:rPr>
              <w:t>36-45 лет</w:t>
            </w:r>
          </w:p>
        </w:tc>
        <w:tc>
          <w:tcPr>
            <w:tcW w:w="3118" w:type="dxa"/>
          </w:tcPr>
          <w:p w14:paraId="19E5DDAF">
            <w:pPr>
              <w:widowControl w:val="0"/>
              <w:jc w:val="center"/>
            </w:pPr>
            <w:r>
              <w:rPr>
                <w:rFonts w:ascii="Times New Roman" w:hAnsi="Times New Roman"/>
                <w:sz w:val="24"/>
              </w:rPr>
              <w:t>1</w:t>
            </w:r>
          </w:p>
        </w:tc>
        <w:tc>
          <w:tcPr>
            <w:tcW w:w="3118" w:type="dxa"/>
          </w:tcPr>
          <w:p w14:paraId="112DC88D">
            <w:pPr>
              <w:widowControl w:val="0"/>
              <w:jc w:val="center"/>
            </w:pPr>
            <w:r>
              <w:rPr>
                <w:rFonts w:ascii="Times New Roman" w:hAnsi="Times New Roman"/>
                <w:sz w:val="24"/>
              </w:rPr>
              <w:t>12,5</w:t>
            </w:r>
          </w:p>
        </w:tc>
      </w:tr>
      <w:tr w14:paraId="7E9D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4A656F0">
            <w:pPr>
              <w:widowControl w:val="0"/>
              <w:jc w:val="both"/>
            </w:pPr>
            <w:r>
              <w:rPr>
                <w:rFonts w:ascii="Times New Roman" w:hAnsi="Times New Roman"/>
                <w:sz w:val="24"/>
              </w:rPr>
              <w:t>Старше 45 лет</w:t>
            </w:r>
          </w:p>
        </w:tc>
        <w:tc>
          <w:tcPr>
            <w:tcW w:w="3118" w:type="dxa"/>
          </w:tcPr>
          <w:p w14:paraId="6C8B4B02">
            <w:pPr>
              <w:widowControl w:val="0"/>
              <w:jc w:val="center"/>
            </w:pPr>
            <w:r>
              <w:rPr>
                <w:rFonts w:ascii="Times New Roman" w:hAnsi="Times New Roman"/>
                <w:sz w:val="24"/>
              </w:rPr>
              <w:t>0</w:t>
            </w:r>
          </w:p>
        </w:tc>
        <w:tc>
          <w:tcPr>
            <w:tcW w:w="3118" w:type="dxa"/>
          </w:tcPr>
          <w:p w14:paraId="59B36ECC">
            <w:pPr>
              <w:widowControl w:val="0"/>
              <w:jc w:val="center"/>
            </w:pPr>
            <w:r>
              <w:rPr>
                <w:rFonts w:ascii="Times New Roman" w:hAnsi="Times New Roman"/>
                <w:sz w:val="24"/>
              </w:rPr>
              <w:t>0</w:t>
            </w:r>
          </w:p>
        </w:tc>
      </w:tr>
    </w:tbl>
    <w:p w14:paraId="59BFA3A7">
      <w:pPr>
        <w:spacing w:after="120" w:line="360" w:lineRule="auto"/>
        <w:ind w:firstLine="700"/>
        <w:jc w:val="both"/>
      </w:pPr>
    </w:p>
    <w:p w14:paraId="6B87EC72">
      <w:pPr>
        <w:spacing w:after="120" w:line="360" w:lineRule="auto"/>
        <w:jc w:val="right"/>
        <w:rPr>
          <w:sz w:val="18"/>
          <w:szCs w:val="18"/>
        </w:rPr>
      </w:pPr>
      <w:r>
        <w:rPr>
          <w:rFonts w:ascii="Times New Roman" w:hAnsi="Times New Roman"/>
          <w:b w:val="0"/>
          <w:sz w:val="24"/>
          <w:szCs w:val="18"/>
        </w:rPr>
        <w:t>Таблица 2.3. Структура тендерных специалистов по продолжительности работы в ООО «Лайф Медиа» (2025 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4C24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B728FF">
            <w:pPr>
              <w:widowControl w:val="0"/>
              <w:jc w:val="center"/>
              <w:rPr>
                <w:b w:val="0"/>
                <w:bCs/>
              </w:rPr>
            </w:pPr>
            <w:r>
              <w:rPr>
                <w:rFonts w:ascii="Times New Roman" w:hAnsi="Times New Roman"/>
                <w:b w:val="0"/>
                <w:bCs/>
                <w:sz w:val="24"/>
              </w:rPr>
              <w:t>Стаж в компании</w:t>
            </w:r>
          </w:p>
        </w:tc>
        <w:tc>
          <w:tcPr>
            <w:tcW w:w="3118" w:type="dxa"/>
          </w:tcPr>
          <w:p w14:paraId="286DFCB9">
            <w:pPr>
              <w:widowControl w:val="0"/>
              <w:jc w:val="center"/>
              <w:rPr>
                <w:b w:val="0"/>
                <w:bCs/>
              </w:rPr>
            </w:pPr>
            <w:r>
              <w:rPr>
                <w:rFonts w:ascii="Times New Roman" w:hAnsi="Times New Roman"/>
                <w:b w:val="0"/>
                <w:bCs/>
                <w:sz w:val="24"/>
              </w:rPr>
              <w:t>Количество, чел.</w:t>
            </w:r>
          </w:p>
        </w:tc>
        <w:tc>
          <w:tcPr>
            <w:tcW w:w="3118" w:type="dxa"/>
          </w:tcPr>
          <w:p w14:paraId="7C663C3B">
            <w:pPr>
              <w:widowControl w:val="0"/>
              <w:jc w:val="center"/>
              <w:rPr>
                <w:b w:val="0"/>
                <w:bCs/>
              </w:rPr>
            </w:pPr>
            <w:r>
              <w:rPr>
                <w:rFonts w:ascii="Times New Roman" w:hAnsi="Times New Roman"/>
                <w:b w:val="0"/>
                <w:bCs/>
                <w:sz w:val="24"/>
              </w:rPr>
              <w:t>Доля, %</w:t>
            </w:r>
          </w:p>
        </w:tc>
      </w:tr>
      <w:tr w14:paraId="4F8A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85EF0FC">
            <w:pPr>
              <w:widowControl w:val="0"/>
              <w:jc w:val="left"/>
            </w:pPr>
            <w:r>
              <w:rPr>
                <w:rFonts w:ascii="Times New Roman" w:hAnsi="Times New Roman"/>
                <w:sz w:val="24"/>
              </w:rPr>
              <w:t>Менее 3 месяцев</w:t>
            </w:r>
          </w:p>
        </w:tc>
        <w:tc>
          <w:tcPr>
            <w:tcW w:w="3118" w:type="dxa"/>
          </w:tcPr>
          <w:p w14:paraId="78CBC6F4">
            <w:pPr>
              <w:widowControl w:val="0"/>
              <w:jc w:val="center"/>
            </w:pPr>
            <w:r>
              <w:rPr>
                <w:rFonts w:ascii="Times New Roman" w:hAnsi="Times New Roman"/>
                <w:sz w:val="24"/>
              </w:rPr>
              <w:t>2</w:t>
            </w:r>
          </w:p>
        </w:tc>
        <w:tc>
          <w:tcPr>
            <w:tcW w:w="3118" w:type="dxa"/>
          </w:tcPr>
          <w:p w14:paraId="78CB4B68">
            <w:pPr>
              <w:widowControl w:val="0"/>
              <w:jc w:val="center"/>
            </w:pPr>
            <w:r>
              <w:rPr>
                <w:rFonts w:ascii="Times New Roman" w:hAnsi="Times New Roman"/>
                <w:sz w:val="24"/>
              </w:rPr>
              <w:t>25,0</w:t>
            </w:r>
          </w:p>
        </w:tc>
      </w:tr>
      <w:tr w14:paraId="3253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D094033">
            <w:pPr>
              <w:widowControl w:val="0"/>
              <w:jc w:val="left"/>
            </w:pPr>
            <w:r>
              <w:rPr>
                <w:rFonts w:ascii="Times New Roman" w:hAnsi="Times New Roman"/>
                <w:sz w:val="24"/>
              </w:rPr>
              <w:t>От 3 до 6 месяцев</w:t>
            </w:r>
          </w:p>
        </w:tc>
        <w:tc>
          <w:tcPr>
            <w:tcW w:w="3118" w:type="dxa"/>
          </w:tcPr>
          <w:p w14:paraId="59244FEB">
            <w:pPr>
              <w:widowControl w:val="0"/>
              <w:jc w:val="center"/>
            </w:pPr>
            <w:r>
              <w:rPr>
                <w:rFonts w:ascii="Times New Roman" w:hAnsi="Times New Roman"/>
                <w:sz w:val="24"/>
              </w:rPr>
              <w:t>1</w:t>
            </w:r>
          </w:p>
        </w:tc>
        <w:tc>
          <w:tcPr>
            <w:tcW w:w="3118" w:type="dxa"/>
          </w:tcPr>
          <w:p w14:paraId="0BAEBF85">
            <w:pPr>
              <w:widowControl w:val="0"/>
              <w:jc w:val="center"/>
            </w:pPr>
            <w:r>
              <w:rPr>
                <w:rFonts w:ascii="Times New Roman" w:hAnsi="Times New Roman"/>
                <w:sz w:val="24"/>
              </w:rPr>
              <w:t>12,5</w:t>
            </w:r>
          </w:p>
        </w:tc>
      </w:tr>
      <w:tr w14:paraId="24ED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6A6954">
            <w:pPr>
              <w:widowControl w:val="0"/>
              <w:jc w:val="left"/>
            </w:pPr>
            <w:r>
              <w:rPr>
                <w:rFonts w:ascii="Times New Roman" w:hAnsi="Times New Roman"/>
                <w:sz w:val="24"/>
              </w:rPr>
              <w:t>От 6 до 12 месяцев</w:t>
            </w:r>
          </w:p>
        </w:tc>
        <w:tc>
          <w:tcPr>
            <w:tcW w:w="3118" w:type="dxa"/>
          </w:tcPr>
          <w:p w14:paraId="3CC08993">
            <w:pPr>
              <w:widowControl w:val="0"/>
              <w:jc w:val="center"/>
            </w:pPr>
            <w:r>
              <w:rPr>
                <w:rFonts w:ascii="Times New Roman" w:hAnsi="Times New Roman"/>
                <w:sz w:val="24"/>
              </w:rPr>
              <w:t>2</w:t>
            </w:r>
          </w:p>
        </w:tc>
        <w:tc>
          <w:tcPr>
            <w:tcW w:w="3118" w:type="dxa"/>
          </w:tcPr>
          <w:p w14:paraId="638982D7">
            <w:pPr>
              <w:widowControl w:val="0"/>
              <w:jc w:val="center"/>
            </w:pPr>
            <w:r>
              <w:rPr>
                <w:rFonts w:ascii="Times New Roman" w:hAnsi="Times New Roman"/>
                <w:sz w:val="24"/>
              </w:rPr>
              <w:t>25,0</w:t>
            </w:r>
          </w:p>
        </w:tc>
      </w:tr>
      <w:tr w14:paraId="55F5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7380A37">
            <w:pPr>
              <w:widowControl w:val="0"/>
              <w:jc w:val="left"/>
            </w:pPr>
            <w:r>
              <w:rPr>
                <w:rFonts w:ascii="Times New Roman" w:hAnsi="Times New Roman"/>
                <w:sz w:val="24"/>
              </w:rPr>
              <w:t>От 1 до 2 лет</w:t>
            </w:r>
          </w:p>
        </w:tc>
        <w:tc>
          <w:tcPr>
            <w:tcW w:w="3118" w:type="dxa"/>
          </w:tcPr>
          <w:p w14:paraId="35B6596D">
            <w:pPr>
              <w:widowControl w:val="0"/>
              <w:jc w:val="center"/>
            </w:pPr>
            <w:r>
              <w:rPr>
                <w:rFonts w:ascii="Times New Roman" w:hAnsi="Times New Roman"/>
                <w:sz w:val="24"/>
              </w:rPr>
              <w:t>1</w:t>
            </w:r>
          </w:p>
        </w:tc>
        <w:tc>
          <w:tcPr>
            <w:tcW w:w="3118" w:type="dxa"/>
          </w:tcPr>
          <w:p w14:paraId="2F390803">
            <w:pPr>
              <w:widowControl w:val="0"/>
              <w:jc w:val="center"/>
            </w:pPr>
            <w:r>
              <w:rPr>
                <w:rFonts w:ascii="Times New Roman" w:hAnsi="Times New Roman"/>
                <w:sz w:val="24"/>
              </w:rPr>
              <w:t>12,5</w:t>
            </w:r>
          </w:p>
        </w:tc>
      </w:tr>
      <w:tr w14:paraId="17E6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949EC51">
            <w:pPr>
              <w:widowControl w:val="0"/>
              <w:jc w:val="left"/>
            </w:pPr>
            <w:r>
              <w:rPr>
                <w:rFonts w:ascii="Times New Roman" w:hAnsi="Times New Roman"/>
                <w:sz w:val="24"/>
              </w:rPr>
              <w:t>Более 2 лет</w:t>
            </w:r>
          </w:p>
        </w:tc>
        <w:tc>
          <w:tcPr>
            <w:tcW w:w="3118" w:type="dxa"/>
          </w:tcPr>
          <w:p w14:paraId="1D792DF9">
            <w:pPr>
              <w:widowControl w:val="0"/>
              <w:jc w:val="center"/>
            </w:pPr>
            <w:r>
              <w:rPr>
                <w:rFonts w:ascii="Times New Roman" w:hAnsi="Times New Roman"/>
                <w:sz w:val="24"/>
              </w:rPr>
              <w:t>2</w:t>
            </w:r>
          </w:p>
        </w:tc>
        <w:tc>
          <w:tcPr>
            <w:tcW w:w="3118" w:type="dxa"/>
          </w:tcPr>
          <w:p w14:paraId="1C6C86AE">
            <w:pPr>
              <w:widowControl w:val="0"/>
              <w:jc w:val="center"/>
            </w:pPr>
            <w:r>
              <w:rPr>
                <w:rFonts w:ascii="Times New Roman" w:hAnsi="Times New Roman"/>
                <w:sz w:val="24"/>
              </w:rPr>
              <w:t>25,0</w:t>
            </w:r>
          </w:p>
        </w:tc>
      </w:tr>
    </w:tbl>
    <w:p w14:paraId="0EE41526">
      <w:pPr>
        <w:spacing w:after="120" w:line="360" w:lineRule="auto"/>
        <w:ind w:firstLine="700"/>
        <w:jc w:val="center"/>
      </w:pPr>
    </w:p>
    <w:p w14:paraId="28E04785">
      <w:pPr>
        <w:spacing w:after="120" w:line="360" w:lineRule="auto"/>
        <w:jc w:val="right"/>
        <w:rPr>
          <w:sz w:val="24"/>
          <w:szCs w:val="24"/>
        </w:rPr>
      </w:pPr>
      <w:r>
        <w:rPr>
          <w:rFonts w:ascii="Times New Roman" w:hAnsi="Times New Roman"/>
          <w:b w:val="0"/>
          <w:sz w:val="24"/>
          <w:szCs w:val="24"/>
        </w:rPr>
        <w:t>Таблица 2.4. Уровень образования специалистов тендерного отдела ООО «Лайф Медиа» (2025 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5F49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8" w:type="dxa"/>
          </w:tcPr>
          <w:p w14:paraId="023903AE">
            <w:pPr>
              <w:widowControl w:val="0"/>
              <w:jc w:val="center"/>
              <w:rPr>
                <w:b w:val="0"/>
                <w:bCs/>
              </w:rPr>
            </w:pPr>
            <w:r>
              <w:rPr>
                <w:rFonts w:ascii="Times New Roman" w:hAnsi="Times New Roman"/>
                <w:b w:val="0"/>
                <w:bCs/>
                <w:sz w:val="24"/>
              </w:rPr>
              <w:t>Уровень образования</w:t>
            </w:r>
          </w:p>
        </w:tc>
        <w:tc>
          <w:tcPr>
            <w:tcW w:w="3118" w:type="dxa"/>
          </w:tcPr>
          <w:p w14:paraId="46F7DD53">
            <w:pPr>
              <w:widowControl w:val="0"/>
              <w:jc w:val="center"/>
              <w:rPr>
                <w:b w:val="0"/>
                <w:bCs/>
              </w:rPr>
            </w:pPr>
            <w:r>
              <w:rPr>
                <w:rFonts w:ascii="Times New Roman" w:hAnsi="Times New Roman"/>
                <w:b w:val="0"/>
                <w:bCs/>
                <w:sz w:val="24"/>
              </w:rPr>
              <w:t>Количество, чел.</w:t>
            </w:r>
          </w:p>
        </w:tc>
        <w:tc>
          <w:tcPr>
            <w:tcW w:w="3118" w:type="dxa"/>
          </w:tcPr>
          <w:p w14:paraId="6CA0CFBA">
            <w:pPr>
              <w:widowControl w:val="0"/>
              <w:jc w:val="center"/>
              <w:rPr>
                <w:b w:val="0"/>
                <w:bCs/>
              </w:rPr>
            </w:pPr>
            <w:r>
              <w:rPr>
                <w:rFonts w:ascii="Times New Roman" w:hAnsi="Times New Roman"/>
                <w:b w:val="0"/>
                <w:bCs/>
                <w:sz w:val="24"/>
              </w:rPr>
              <w:t>Доля, %</w:t>
            </w:r>
          </w:p>
        </w:tc>
      </w:tr>
      <w:tr w14:paraId="45DF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A32696C">
            <w:pPr>
              <w:widowControl w:val="0"/>
              <w:jc w:val="both"/>
            </w:pPr>
            <w:r>
              <w:rPr>
                <w:rFonts w:ascii="Times New Roman" w:hAnsi="Times New Roman"/>
                <w:sz w:val="24"/>
              </w:rPr>
              <w:t>Высшее профильное (экономика/менеджмент)</w:t>
            </w:r>
          </w:p>
        </w:tc>
        <w:tc>
          <w:tcPr>
            <w:tcW w:w="3118" w:type="dxa"/>
          </w:tcPr>
          <w:p w14:paraId="09200554">
            <w:pPr>
              <w:widowControl w:val="0"/>
              <w:jc w:val="center"/>
            </w:pPr>
            <w:r>
              <w:rPr>
                <w:rFonts w:ascii="Times New Roman" w:hAnsi="Times New Roman"/>
                <w:sz w:val="24"/>
              </w:rPr>
              <w:t>3</w:t>
            </w:r>
          </w:p>
        </w:tc>
        <w:tc>
          <w:tcPr>
            <w:tcW w:w="3118" w:type="dxa"/>
          </w:tcPr>
          <w:p w14:paraId="3F6C2D04">
            <w:pPr>
              <w:widowControl w:val="0"/>
              <w:jc w:val="center"/>
            </w:pPr>
            <w:r>
              <w:rPr>
                <w:rFonts w:ascii="Times New Roman" w:hAnsi="Times New Roman"/>
                <w:sz w:val="24"/>
              </w:rPr>
              <w:t>37,5</w:t>
            </w:r>
          </w:p>
        </w:tc>
      </w:tr>
      <w:tr w14:paraId="714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642C008">
            <w:pPr>
              <w:widowControl w:val="0"/>
              <w:jc w:val="both"/>
            </w:pPr>
            <w:r>
              <w:rPr>
                <w:rFonts w:ascii="Times New Roman" w:hAnsi="Times New Roman"/>
                <w:sz w:val="24"/>
              </w:rPr>
              <w:t>Высшее непрофильное</w:t>
            </w:r>
          </w:p>
        </w:tc>
        <w:tc>
          <w:tcPr>
            <w:tcW w:w="3118" w:type="dxa"/>
          </w:tcPr>
          <w:p w14:paraId="382FF2B7">
            <w:pPr>
              <w:widowControl w:val="0"/>
              <w:jc w:val="center"/>
            </w:pPr>
            <w:r>
              <w:rPr>
                <w:rFonts w:ascii="Times New Roman" w:hAnsi="Times New Roman"/>
                <w:sz w:val="24"/>
              </w:rPr>
              <w:t>4</w:t>
            </w:r>
          </w:p>
        </w:tc>
        <w:tc>
          <w:tcPr>
            <w:tcW w:w="3118" w:type="dxa"/>
          </w:tcPr>
          <w:p w14:paraId="7FABE1C5">
            <w:pPr>
              <w:widowControl w:val="0"/>
              <w:jc w:val="center"/>
            </w:pPr>
            <w:r>
              <w:rPr>
                <w:rFonts w:ascii="Times New Roman" w:hAnsi="Times New Roman"/>
                <w:sz w:val="24"/>
              </w:rPr>
              <w:t>50,0</w:t>
            </w:r>
          </w:p>
        </w:tc>
      </w:tr>
      <w:tr w14:paraId="7C67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74B734">
            <w:pPr>
              <w:widowControl w:val="0"/>
              <w:jc w:val="both"/>
            </w:pPr>
            <w:r>
              <w:rPr>
                <w:rFonts w:ascii="Times New Roman" w:hAnsi="Times New Roman"/>
                <w:sz w:val="24"/>
              </w:rPr>
              <w:t>Среднее профессиональное</w:t>
            </w:r>
          </w:p>
        </w:tc>
        <w:tc>
          <w:tcPr>
            <w:tcW w:w="3118" w:type="dxa"/>
          </w:tcPr>
          <w:p w14:paraId="16E51624">
            <w:pPr>
              <w:widowControl w:val="0"/>
              <w:jc w:val="center"/>
            </w:pPr>
            <w:r>
              <w:rPr>
                <w:rFonts w:ascii="Times New Roman" w:hAnsi="Times New Roman"/>
                <w:sz w:val="24"/>
              </w:rPr>
              <w:t>1</w:t>
            </w:r>
          </w:p>
        </w:tc>
        <w:tc>
          <w:tcPr>
            <w:tcW w:w="3118" w:type="dxa"/>
          </w:tcPr>
          <w:p w14:paraId="3E870898">
            <w:pPr>
              <w:widowControl w:val="0"/>
              <w:jc w:val="center"/>
            </w:pPr>
            <w:r>
              <w:rPr>
                <w:rFonts w:ascii="Times New Roman" w:hAnsi="Times New Roman"/>
                <w:sz w:val="24"/>
              </w:rPr>
              <w:t>12,5</w:t>
            </w:r>
          </w:p>
        </w:tc>
      </w:tr>
    </w:tbl>
    <w:p w14:paraId="7BA5A4D2">
      <w:pPr>
        <w:spacing w:after="120" w:line="360" w:lineRule="auto"/>
        <w:ind w:firstLine="700"/>
        <w:jc w:val="both"/>
      </w:pPr>
    </w:p>
    <w:p w14:paraId="4E6557BD">
      <w:pPr>
        <w:spacing w:after="120" w:line="360" w:lineRule="auto"/>
        <w:ind w:firstLine="700"/>
        <w:jc w:val="both"/>
      </w:pPr>
      <w:r>
        <w:rPr>
          <w:rFonts w:ascii="Times New Roman" w:hAnsi="Times New Roman"/>
          <w:b w:val="0"/>
          <w:sz w:val="28"/>
        </w:rPr>
        <w:t>Представленные данные показывают, что тендерный отдел состоит преимущественно из молодых сотрудников: 7 из 8 специалистов находятся в возрасте до 35 лет. Это созда</w:t>
      </w:r>
      <w:r>
        <w:rPr>
          <w:rFonts w:ascii="Times New Roman" w:hAnsi="Times New Roman"/>
          <w:b w:val="0"/>
          <w:sz w:val="28"/>
          <w:lang w:val="ru-RU"/>
        </w:rPr>
        <w:t>ё</w:t>
      </w:r>
      <w:r>
        <w:rPr>
          <w:rFonts w:ascii="Times New Roman" w:hAnsi="Times New Roman"/>
          <w:b w:val="0"/>
          <w:sz w:val="28"/>
        </w:rPr>
        <w:t>т потенциал для освоения цифровых инструментов и профессионального роста. Одновременно структура стажа указывает на недостаточную устойчивость кадрового состава: 5 сотрудников, или 62,5%, работают в компании менее одного года, а стаж более двух лет имеют только 2 человека. Следовательно, в отделе ограничена доля работников, которые могут выступать носителями устойчивого опыта.</w:t>
      </w:r>
    </w:p>
    <w:p w14:paraId="540C0331">
      <w:pPr>
        <w:spacing w:after="120" w:line="360" w:lineRule="auto"/>
        <w:ind w:firstLine="700"/>
        <w:jc w:val="both"/>
      </w:pPr>
      <w:r>
        <w:rPr>
          <w:rFonts w:ascii="Times New Roman" w:hAnsi="Times New Roman"/>
          <w:b/>
          <w:sz w:val="28"/>
        </w:rPr>
        <w:t xml:space="preserve">(ДПК-1) </w:t>
      </w:r>
      <w:r>
        <w:rPr>
          <w:rFonts w:ascii="Times New Roman" w:hAnsi="Times New Roman"/>
          <w:sz w:val="28"/>
        </w:rPr>
        <w:t>Образовательная структура также неоднородна. Профильное высшее образование имеют 3 специалиста, тогда как 5 сотрудников обладают непрофильным или средним профессиональным образованием. Это не означает невозможность эффективной работы, но повышает значение внутренней адаптации, передачи практических знаний и регулярного обновления компетенций, особенно с учётом изменений законодательства о закупках.</w:t>
      </w:r>
    </w:p>
    <w:p w14:paraId="166A653E">
      <w:pPr>
        <w:spacing w:after="120" w:line="360" w:lineRule="auto"/>
        <w:ind w:firstLine="700"/>
        <w:jc w:val="both"/>
        <w:rPr>
          <w:rFonts w:hint="default"/>
          <w:lang w:val="ru-RU"/>
        </w:rPr>
      </w:pPr>
      <w:r>
        <w:rPr>
          <w:rFonts w:ascii="Times New Roman" w:hAnsi="Times New Roman"/>
          <w:b w:val="0"/>
          <w:sz w:val="28"/>
        </w:rPr>
        <w:t>Стабильность персонала является важным условием качества работы тендерного отдела. Подготовка заявки требует знания законодательства, опыта работы с электронными площадками, понимания требований заказчиков и внутренних правил компании. При высокой сменяемости сотрудников часть опыта теряется, а новые работники вынуждены осваивать сложные операции в ускоренном режиме.</w:t>
      </w:r>
      <w:r>
        <w:rPr>
          <w:rFonts w:hint="default" w:ascii="Times New Roman" w:hAnsi="Times New Roman"/>
          <w:b w:val="0"/>
          <w:sz w:val="28"/>
          <w:lang w:val="ru-RU"/>
        </w:rPr>
        <w:t xml:space="preserve"> Анализ движения персонала компании за последние два года отражён в таблице 2.5.</w:t>
      </w:r>
    </w:p>
    <w:p w14:paraId="019826D2">
      <w:pPr>
        <w:spacing w:after="120" w:line="360" w:lineRule="auto"/>
        <w:jc w:val="right"/>
        <w:rPr>
          <w:sz w:val="24"/>
          <w:szCs w:val="24"/>
        </w:rPr>
      </w:pPr>
      <w:r>
        <w:rPr>
          <w:rFonts w:ascii="Times New Roman" w:hAnsi="Times New Roman"/>
          <w:b w:val="0"/>
          <w:sz w:val="24"/>
          <w:szCs w:val="24"/>
        </w:rPr>
        <w:t>Таблица 2.5. Анализ движения персонала тендерного отдела ООО «Лайф Медиа» за 2024-2025 гг.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0862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F03AD6F">
            <w:pPr>
              <w:widowControl w:val="0"/>
              <w:jc w:val="center"/>
              <w:rPr>
                <w:b w:val="0"/>
                <w:bCs/>
              </w:rPr>
            </w:pPr>
            <w:r>
              <w:rPr>
                <w:rFonts w:ascii="Times New Roman" w:hAnsi="Times New Roman"/>
                <w:b w:val="0"/>
                <w:bCs/>
                <w:sz w:val="24"/>
              </w:rPr>
              <w:t>Показатель</w:t>
            </w:r>
          </w:p>
        </w:tc>
        <w:tc>
          <w:tcPr>
            <w:tcW w:w="3118" w:type="dxa"/>
          </w:tcPr>
          <w:p w14:paraId="7480F63C">
            <w:pPr>
              <w:widowControl w:val="0"/>
              <w:jc w:val="center"/>
              <w:rPr>
                <w:b w:val="0"/>
                <w:bCs/>
              </w:rPr>
            </w:pPr>
            <w:r>
              <w:rPr>
                <w:rFonts w:ascii="Times New Roman" w:hAnsi="Times New Roman"/>
                <w:b w:val="0"/>
                <w:bCs/>
                <w:sz w:val="24"/>
              </w:rPr>
              <w:t>2024</w:t>
            </w:r>
          </w:p>
        </w:tc>
        <w:tc>
          <w:tcPr>
            <w:tcW w:w="3118" w:type="dxa"/>
          </w:tcPr>
          <w:p w14:paraId="39974636">
            <w:pPr>
              <w:widowControl w:val="0"/>
              <w:jc w:val="center"/>
              <w:rPr>
                <w:b w:val="0"/>
                <w:bCs/>
              </w:rPr>
            </w:pPr>
            <w:r>
              <w:rPr>
                <w:rFonts w:ascii="Times New Roman" w:hAnsi="Times New Roman"/>
                <w:b w:val="0"/>
                <w:bCs/>
                <w:sz w:val="24"/>
              </w:rPr>
              <w:t>2025</w:t>
            </w:r>
          </w:p>
        </w:tc>
      </w:tr>
      <w:tr w14:paraId="1525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08844B9">
            <w:pPr>
              <w:widowControl w:val="0"/>
              <w:jc w:val="both"/>
            </w:pPr>
            <w:r>
              <w:rPr>
                <w:rFonts w:ascii="Times New Roman" w:hAnsi="Times New Roman"/>
                <w:sz w:val="24"/>
              </w:rPr>
              <w:t>Численность на начало года, чел.</w:t>
            </w:r>
          </w:p>
        </w:tc>
        <w:tc>
          <w:tcPr>
            <w:tcW w:w="3118" w:type="dxa"/>
          </w:tcPr>
          <w:p w14:paraId="36ACDEDC">
            <w:pPr>
              <w:widowControl w:val="0"/>
              <w:jc w:val="center"/>
            </w:pPr>
            <w:r>
              <w:rPr>
                <w:rFonts w:ascii="Times New Roman" w:hAnsi="Times New Roman"/>
                <w:sz w:val="24"/>
              </w:rPr>
              <w:t>7</w:t>
            </w:r>
          </w:p>
        </w:tc>
        <w:tc>
          <w:tcPr>
            <w:tcW w:w="3118" w:type="dxa"/>
          </w:tcPr>
          <w:p w14:paraId="5B0615E3">
            <w:pPr>
              <w:widowControl w:val="0"/>
              <w:jc w:val="center"/>
            </w:pPr>
            <w:r>
              <w:rPr>
                <w:rFonts w:ascii="Times New Roman" w:hAnsi="Times New Roman"/>
                <w:sz w:val="24"/>
              </w:rPr>
              <w:t>8</w:t>
            </w:r>
          </w:p>
        </w:tc>
      </w:tr>
      <w:tr w14:paraId="6152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4C53297">
            <w:pPr>
              <w:widowControl w:val="0"/>
              <w:jc w:val="both"/>
            </w:pPr>
            <w:r>
              <w:rPr>
                <w:rFonts w:ascii="Times New Roman" w:hAnsi="Times New Roman"/>
                <w:sz w:val="24"/>
              </w:rPr>
              <w:t>Принято, чел.</w:t>
            </w:r>
          </w:p>
        </w:tc>
        <w:tc>
          <w:tcPr>
            <w:tcW w:w="3118" w:type="dxa"/>
          </w:tcPr>
          <w:p w14:paraId="4B758032">
            <w:pPr>
              <w:widowControl w:val="0"/>
              <w:jc w:val="center"/>
            </w:pPr>
            <w:r>
              <w:rPr>
                <w:rFonts w:ascii="Times New Roman" w:hAnsi="Times New Roman"/>
                <w:sz w:val="24"/>
              </w:rPr>
              <w:t>4</w:t>
            </w:r>
          </w:p>
        </w:tc>
        <w:tc>
          <w:tcPr>
            <w:tcW w:w="3118" w:type="dxa"/>
          </w:tcPr>
          <w:p w14:paraId="5BAA0035">
            <w:pPr>
              <w:widowControl w:val="0"/>
              <w:jc w:val="center"/>
            </w:pPr>
            <w:r>
              <w:rPr>
                <w:rFonts w:ascii="Times New Roman" w:hAnsi="Times New Roman"/>
                <w:sz w:val="24"/>
              </w:rPr>
              <w:t>3</w:t>
            </w:r>
          </w:p>
        </w:tc>
      </w:tr>
      <w:tr w14:paraId="0B61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4BB7AA2">
            <w:pPr>
              <w:widowControl w:val="0"/>
              <w:jc w:val="both"/>
            </w:pPr>
            <w:r>
              <w:rPr>
                <w:rFonts w:ascii="Times New Roman" w:hAnsi="Times New Roman"/>
                <w:sz w:val="24"/>
              </w:rPr>
              <w:t>Уволено, чел.</w:t>
            </w:r>
          </w:p>
        </w:tc>
        <w:tc>
          <w:tcPr>
            <w:tcW w:w="3118" w:type="dxa"/>
          </w:tcPr>
          <w:p w14:paraId="50B279E2">
            <w:pPr>
              <w:widowControl w:val="0"/>
              <w:jc w:val="center"/>
            </w:pPr>
            <w:r>
              <w:rPr>
                <w:rFonts w:ascii="Times New Roman" w:hAnsi="Times New Roman"/>
                <w:sz w:val="24"/>
              </w:rPr>
              <w:t>3</w:t>
            </w:r>
          </w:p>
        </w:tc>
        <w:tc>
          <w:tcPr>
            <w:tcW w:w="3118" w:type="dxa"/>
          </w:tcPr>
          <w:p w14:paraId="46494AAA">
            <w:pPr>
              <w:widowControl w:val="0"/>
              <w:jc w:val="center"/>
            </w:pPr>
            <w:r>
              <w:rPr>
                <w:rFonts w:ascii="Times New Roman" w:hAnsi="Times New Roman"/>
                <w:sz w:val="24"/>
              </w:rPr>
              <w:t>3</w:t>
            </w:r>
          </w:p>
        </w:tc>
      </w:tr>
      <w:tr w14:paraId="4392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957B353">
            <w:pPr>
              <w:widowControl w:val="0"/>
              <w:jc w:val="both"/>
            </w:pPr>
            <w:r>
              <w:rPr>
                <w:rFonts w:ascii="Times New Roman" w:hAnsi="Times New Roman"/>
                <w:sz w:val="24"/>
              </w:rPr>
              <w:t>Численность на конец года, чел.</w:t>
            </w:r>
          </w:p>
        </w:tc>
        <w:tc>
          <w:tcPr>
            <w:tcW w:w="3118" w:type="dxa"/>
          </w:tcPr>
          <w:p w14:paraId="78290EB3">
            <w:pPr>
              <w:widowControl w:val="0"/>
              <w:jc w:val="center"/>
            </w:pPr>
            <w:r>
              <w:rPr>
                <w:rFonts w:ascii="Times New Roman" w:hAnsi="Times New Roman"/>
                <w:sz w:val="24"/>
              </w:rPr>
              <w:t>8</w:t>
            </w:r>
          </w:p>
        </w:tc>
        <w:tc>
          <w:tcPr>
            <w:tcW w:w="3118" w:type="dxa"/>
          </w:tcPr>
          <w:p w14:paraId="025F9952">
            <w:pPr>
              <w:widowControl w:val="0"/>
              <w:jc w:val="center"/>
            </w:pPr>
            <w:r>
              <w:rPr>
                <w:rFonts w:ascii="Times New Roman" w:hAnsi="Times New Roman"/>
                <w:sz w:val="24"/>
              </w:rPr>
              <w:t>8</w:t>
            </w:r>
          </w:p>
        </w:tc>
      </w:tr>
      <w:tr w14:paraId="7A63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CCA4327">
            <w:pPr>
              <w:widowControl w:val="0"/>
              <w:jc w:val="both"/>
            </w:pPr>
            <w:r>
              <w:rPr>
                <w:rFonts w:ascii="Times New Roman" w:hAnsi="Times New Roman"/>
                <w:sz w:val="24"/>
              </w:rPr>
              <w:t>Коэф. оборота по приему, %</w:t>
            </w:r>
          </w:p>
        </w:tc>
        <w:tc>
          <w:tcPr>
            <w:tcW w:w="3118" w:type="dxa"/>
          </w:tcPr>
          <w:p w14:paraId="3E95B414">
            <w:pPr>
              <w:widowControl w:val="0"/>
              <w:jc w:val="center"/>
            </w:pPr>
            <w:r>
              <w:rPr>
                <w:rFonts w:ascii="Times New Roman" w:hAnsi="Times New Roman"/>
                <w:sz w:val="24"/>
              </w:rPr>
              <w:t>55,3</w:t>
            </w:r>
          </w:p>
        </w:tc>
        <w:tc>
          <w:tcPr>
            <w:tcW w:w="3118" w:type="dxa"/>
          </w:tcPr>
          <w:p w14:paraId="05C7454D">
            <w:pPr>
              <w:widowControl w:val="0"/>
              <w:jc w:val="center"/>
            </w:pPr>
            <w:r>
              <w:rPr>
                <w:rFonts w:ascii="Times New Roman" w:hAnsi="Times New Roman"/>
                <w:sz w:val="24"/>
              </w:rPr>
              <w:t>37,5</w:t>
            </w:r>
          </w:p>
        </w:tc>
      </w:tr>
      <w:tr w14:paraId="093D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9DC2DA">
            <w:pPr>
              <w:widowControl w:val="0"/>
              <w:jc w:val="both"/>
            </w:pPr>
            <w:r>
              <w:rPr>
                <w:rFonts w:ascii="Times New Roman" w:hAnsi="Times New Roman"/>
                <w:sz w:val="24"/>
              </w:rPr>
              <w:t>Коэф. оборота по выбытию, %</w:t>
            </w:r>
          </w:p>
        </w:tc>
        <w:tc>
          <w:tcPr>
            <w:tcW w:w="3118" w:type="dxa"/>
          </w:tcPr>
          <w:p w14:paraId="763FADB3">
            <w:pPr>
              <w:widowControl w:val="0"/>
              <w:jc w:val="center"/>
            </w:pPr>
            <w:r>
              <w:rPr>
                <w:rFonts w:ascii="Times New Roman" w:hAnsi="Times New Roman"/>
                <w:sz w:val="24"/>
              </w:rPr>
              <w:t>40,0</w:t>
            </w:r>
          </w:p>
        </w:tc>
        <w:tc>
          <w:tcPr>
            <w:tcW w:w="3118" w:type="dxa"/>
          </w:tcPr>
          <w:p w14:paraId="2ABE88BF">
            <w:pPr>
              <w:widowControl w:val="0"/>
              <w:jc w:val="center"/>
            </w:pPr>
            <w:r>
              <w:rPr>
                <w:rFonts w:ascii="Times New Roman" w:hAnsi="Times New Roman"/>
                <w:sz w:val="24"/>
              </w:rPr>
              <w:t>37,5</w:t>
            </w:r>
          </w:p>
        </w:tc>
      </w:tr>
      <w:tr w14:paraId="3014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481E912">
            <w:pPr>
              <w:widowControl w:val="0"/>
              <w:jc w:val="both"/>
            </w:pPr>
            <w:r>
              <w:rPr>
                <w:rFonts w:ascii="Times New Roman" w:hAnsi="Times New Roman"/>
                <w:sz w:val="24"/>
              </w:rPr>
              <w:t>Коэф. текучести кадров, %</w:t>
            </w:r>
          </w:p>
        </w:tc>
        <w:tc>
          <w:tcPr>
            <w:tcW w:w="3118" w:type="dxa"/>
          </w:tcPr>
          <w:p w14:paraId="37F014FA">
            <w:pPr>
              <w:widowControl w:val="0"/>
              <w:jc w:val="center"/>
            </w:pPr>
            <w:r>
              <w:rPr>
                <w:rFonts w:ascii="Times New Roman" w:hAnsi="Times New Roman"/>
                <w:sz w:val="24"/>
              </w:rPr>
              <w:t>37,5</w:t>
            </w:r>
          </w:p>
        </w:tc>
        <w:tc>
          <w:tcPr>
            <w:tcW w:w="3118" w:type="dxa"/>
          </w:tcPr>
          <w:p w14:paraId="7F33AA49">
            <w:pPr>
              <w:widowControl w:val="0"/>
              <w:jc w:val="center"/>
            </w:pPr>
            <w:r>
              <w:rPr>
                <w:rFonts w:ascii="Times New Roman" w:hAnsi="Times New Roman"/>
                <w:sz w:val="24"/>
              </w:rPr>
              <w:t>37,5</w:t>
            </w:r>
          </w:p>
        </w:tc>
      </w:tr>
    </w:tbl>
    <w:p w14:paraId="75883488">
      <w:pPr>
        <w:spacing w:after="120" w:line="360" w:lineRule="auto"/>
        <w:ind w:firstLine="700"/>
        <w:jc w:val="both"/>
      </w:pPr>
    </w:p>
    <w:p w14:paraId="3BCED1CD">
      <w:pPr>
        <w:spacing w:after="120" w:line="360" w:lineRule="auto"/>
        <w:ind w:firstLine="700"/>
        <w:jc w:val="both"/>
      </w:pPr>
      <w:r>
        <w:rPr>
          <w:rFonts w:ascii="Times New Roman" w:hAnsi="Times New Roman"/>
          <w:b w:val="0"/>
          <w:sz w:val="28"/>
        </w:rPr>
        <w:t>По данным таблицы коэффициент текучести в 2024-2025 гг. сохраняется на уровне 37,5%. Ежегодно отдел теряет 3 специалиста и одновременно принимает новых сотрудников. Формально численность подразделения оста</w:t>
      </w:r>
      <w:r>
        <w:rPr>
          <w:rFonts w:ascii="Times New Roman" w:hAnsi="Times New Roman"/>
          <w:b w:val="0"/>
          <w:sz w:val="28"/>
          <w:lang w:val="ru-RU"/>
        </w:rPr>
        <w:t>ё</w:t>
      </w:r>
      <w:r>
        <w:rPr>
          <w:rFonts w:ascii="Times New Roman" w:hAnsi="Times New Roman"/>
          <w:b w:val="0"/>
          <w:sz w:val="28"/>
        </w:rPr>
        <w:t>тся стабильной, но состав команды постоянно обновляется. Для тендерного отдела это является существенным риском, поскольку качество работы зависит не только от количества сотрудников, но и от накопленного опыта подготовки заявок.</w:t>
      </w:r>
    </w:p>
    <w:p w14:paraId="0452E638">
      <w:pPr>
        <w:spacing w:after="120" w:line="360" w:lineRule="auto"/>
        <w:ind w:firstLine="700"/>
        <w:jc w:val="both"/>
        <w:rPr>
          <w:rFonts w:hint="default" w:ascii="Times New Roman" w:hAnsi="Times New Roman"/>
          <w:b w:val="0"/>
          <w:sz w:val="28"/>
          <w:lang w:val="ru-RU"/>
        </w:rPr>
      </w:pPr>
      <w:r>
        <w:rPr>
          <w:rFonts w:ascii="Times New Roman" w:hAnsi="Times New Roman"/>
          <w:b/>
          <w:sz w:val="28"/>
        </w:rPr>
        <w:t xml:space="preserve">(ДПК-5) </w:t>
      </w:r>
      <w:r>
        <w:rPr>
          <w:rFonts w:ascii="Times New Roman" w:hAnsi="Times New Roman"/>
          <w:sz w:val="28"/>
        </w:rPr>
        <w:t>Мотивация персонала в ООО «Лайф Медиа» построена на сочетании материальных и нематериальных факторов. Материальная часть закреплена в системе оплаты труда и премирования (см.табл.2.6-2.7.).</w:t>
      </w:r>
    </w:p>
    <w:p w14:paraId="5398B0E5">
      <w:pPr>
        <w:spacing w:after="120" w:line="360" w:lineRule="auto"/>
        <w:ind w:firstLine="700"/>
        <w:jc w:val="both"/>
        <w:rPr>
          <w:rFonts w:hint="default" w:ascii="Times New Roman" w:hAnsi="Times New Roman"/>
          <w:b w:val="0"/>
          <w:sz w:val="28"/>
          <w:lang w:val="ru-RU"/>
        </w:rPr>
      </w:pPr>
    </w:p>
    <w:p w14:paraId="4CC77079">
      <w:pPr>
        <w:spacing w:after="120" w:line="360" w:lineRule="auto"/>
        <w:jc w:val="right"/>
        <w:rPr>
          <w:sz w:val="24"/>
          <w:szCs w:val="24"/>
        </w:rPr>
      </w:pPr>
      <w:r>
        <w:rPr>
          <w:rFonts w:ascii="Times New Roman" w:hAnsi="Times New Roman"/>
          <w:b w:val="0"/>
          <w:sz w:val="24"/>
          <w:szCs w:val="24"/>
        </w:rPr>
        <w:t>Таблица 2.6. Структура дохода тендерного специалиста ООО «Лайф Медиа»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A2D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8" w:type="dxa"/>
          </w:tcPr>
          <w:p w14:paraId="0C6BBCB6">
            <w:pPr>
              <w:widowControl w:val="0"/>
              <w:jc w:val="center"/>
              <w:rPr>
                <w:b w:val="0"/>
                <w:bCs/>
              </w:rPr>
            </w:pPr>
            <w:r>
              <w:rPr>
                <w:rFonts w:ascii="Times New Roman" w:hAnsi="Times New Roman"/>
                <w:b w:val="0"/>
                <w:bCs/>
                <w:sz w:val="24"/>
              </w:rPr>
              <w:t>Компонент</w:t>
            </w:r>
          </w:p>
        </w:tc>
        <w:tc>
          <w:tcPr>
            <w:tcW w:w="3118" w:type="dxa"/>
          </w:tcPr>
          <w:p w14:paraId="2E09B422">
            <w:pPr>
              <w:widowControl w:val="0"/>
              <w:jc w:val="center"/>
              <w:rPr>
                <w:b w:val="0"/>
                <w:bCs/>
              </w:rPr>
            </w:pPr>
            <w:r>
              <w:rPr>
                <w:rFonts w:ascii="Times New Roman" w:hAnsi="Times New Roman"/>
                <w:b w:val="0"/>
                <w:bCs/>
                <w:sz w:val="24"/>
              </w:rPr>
              <w:t>Размер</w:t>
            </w:r>
          </w:p>
        </w:tc>
        <w:tc>
          <w:tcPr>
            <w:tcW w:w="3118" w:type="dxa"/>
          </w:tcPr>
          <w:p w14:paraId="2BCEC7AF">
            <w:pPr>
              <w:widowControl w:val="0"/>
              <w:jc w:val="center"/>
              <w:rPr>
                <w:b w:val="0"/>
                <w:bCs/>
              </w:rPr>
            </w:pPr>
            <w:r>
              <w:rPr>
                <w:rFonts w:ascii="Times New Roman" w:hAnsi="Times New Roman"/>
                <w:b w:val="0"/>
                <w:bCs/>
                <w:sz w:val="24"/>
              </w:rPr>
              <w:t>Условия получения</w:t>
            </w:r>
          </w:p>
        </w:tc>
      </w:tr>
      <w:tr w14:paraId="12E4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1BD07CB">
            <w:pPr>
              <w:widowControl w:val="0"/>
              <w:jc w:val="both"/>
            </w:pPr>
            <w:r>
              <w:rPr>
                <w:rFonts w:ascii="Times New Roman" w:hAnsi="Times New Roman"/>
                <w:sz w:val="24"/>
              </w:rPr>
              <w:t>Должностной оклад</w:t>
            </w:r>
          </w:p>
        </w:tc>
        <w:tc>
          <w:tcPr>
            <w:tcW w:w="3118" w:type="dxa"/>
          </w:tcPr>
          <w:p w14:paraId="0FEC234A">
            <w:pPr>
              <w:widowControl w:val="0"/>
              <w:jc w:val="both"/>
            </w:pPr>
            <w:r>
              <w:rPr>
                <w:rFonts w:ascii="Times New Roman" w:hAnsi="Times New Roman"/>
                <w:sz w:val="24"/>
              </w:rPr>
              <w:t>57 000 руб. в месяц</w:t>
            </w:r>
          </w:p>
        </w:tc>
        <w:tc>
          <w:tcPr>
            <w:tcW w:w="3118" w:type="dxa"/>
          </w:tcPr>
          <w:p w14:paraId="1C06CE7A">
            <w:pPr>
              <w:widowControl w:val="0"/>
              <w:jc w:val="both"/>
            </w:pPr>
            <w:r>
              <w:rPr>
                <w:rFonts w:ascii="Times New Roman" w:hAnsi="Times New Roman"/>
                <w:sz w:val="24"/>
              </w:rPr>
              <w:t>Гарантированно и независимо от результатов</w:t>
            </w:r>
          </w:p>
        </w:tc>
      </w:tr>
      <w:tr w14:paraId="1849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7F64E2A">
            <w:pPr>
              <w:widowControl w:val="0"/>
              <w:jc w:val="both"/>
            </w:pPr>
            <w:r>
              <w:rPr>
                <w:rFonts w:ascii="Times New Roman" w:hAnsi="Times New Roman"/>
                <w:sz w:val="24"/>
              </w:rPr>
              <w:t>Квартальная премия</w:t>
            </w:r>
          </w:p>
        </w:tc>
        <w:tc>
          <w:tcPr>
            <w:tcW w:w="3118" w:type="dxa"/>
          </w:tcPr>
          <w:p w14:paraId="11959D3F">
            <w:pPr>
              <w:widowControl w:val="0"/>
              <w:jc w:val="both"/>
            </w:pPr>
            <w:r>
              <w:rPr>
                <w:rFonts w:ascii="Times New Roman" w:hAnsi="Times New Roman"/>
                <w:sz w:val="24"/>
              </w:rPr>
              <w:t>До 30% от оклада (до 17 000 руб.)</w:t>
            </w:r>
          </w:p>
        </w:tc>
        <w:tc>
          <w:tcPr>
            <w:tcW w:w="3118" w:type="dxa"/>
          </w:tcPr>
          <w:p w14:paraId="6288267B">
            <w:pPr>
              <w:widowControl w:val="0"/>
              <w:jc w:val="both"/>
            </w:pPr>
            <w:r>
              <w:rPr>
                <w:rFonts w:ascii="Times New Roman" w:hAnsi="Times New Roman"/>
                <w:sz w:val="24"/>
              </w:rPr>
              <w:t>Зависит от выполнения KPI</w:t>
            </w:r>
          </w:p>
        </w:tc>
      </w:tr>
      <w:tr w14:paraId="1B74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7ABD6B8">
            <w:pPr>
              <w:widowControl w:val="0"/>
              <w:jc w:val="both"/>
            </w:pPr>
            <w:r>
              <w:rPr>
                <w:rFonts w:ascii="Times New Roman" w:hAnsi="Times New Roman"/>
                <w:sz w:val="24"/>
              </w:rPr>
              <w:t>Годовая премия</w:t>
            </w:r>
          </w:p>
        </w:tc>
        <w:tc>
          <w:tcPr>
            <w:tcW w:w="3118" w:type="dxa"/>
          </w:tcPr>
          <w:p w14:paraId="1DD9253F">
            <w:pPr>
              <w:widowControl w:val="0"/>
              <w:jc w:val="both"/>
            </w:pPr>
            <w:r>
              <w:rPr>
                <w:rFonts w:ascii="Times New Roman" w:hAnsi="Times New Roman"/>
                <w:sz w:val="24"/>
              </w:rPr>
              <w:t>Переменная (обычно 50% от оклада)</w:t>
            </w:r>
          </w:p>
        </w:tc>
        <w:tc>
          <w:tcPr>
            <w:tcW w:w="3118" w:type="dxa"/>
          </w:tcPr>
          <w:p w14:paraId="0BE70916">
            <w:pPr>
              <w:widowControl w:val="0"/>
              <w:jc w:val="both"/>
            </w:pPr>
            <w:r>
              <w:rPr>
                <w:rFonts w:ascii="Times New Roman" w:hAnsi="Times New Roman"/>
                <w:sz w:val="24"/>
              </w:rPr>
              <w:t>По итогам работы за год, решение генерального директора</w:t>
            </w:r>
          </w:p>
        </w:tc>
      </w:tr>
    </w:tbl>
    <w:p w14:paraId="68EA81E4">
      <w:pPr>
        <w:spacing w:after="120" w:line="360" w:lineRule="auto"/>
        <w:ind w:firstLine="700"/>
        <w:jc w:val="both"/>
      </w:pPr>
    </w:p>
    <w:p w14:paraId="39B3CD35">
      <w:pPr>
        <w:spacing w:after="120" w:line="360" w:lineRule="auto"/>
        <w:jc w:val="right"/>
      </w:pPr>
      <w:r>
        <w:rPr>
          <w:rFonts w:ascii="Times New Roman" w:hAnsi="Times New Roman"/>
          <w:b w:val="0"/>
          <w:sz w:val="24"/>
          <w:szCs w:val="24"/>
        </w:rPr>
        <w:t>Таблица 2.7. Инструменты нематериальной мотивации ООО «Лайф Медиа»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CE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D0079F">
            <w:pPr>
              <w:widowControl w:val="0"/>
              <w:jc w:val="center"/>
              <w:rPr>
                <w:b w:val="0"/>
                <w:bCs/>
              </w:rPr>
            </w:pPr>
            <w:r>
              <w:rPr>
                <w:rFonts w:ascii="Times New Roman" w:hAnsi="Times New Roman"/>
                <w:b w:val="0"/>
                <w:bCs/>
                <w:sz w:val="24"/>
              </w:rPr>
              <w:t>Инструмент</w:t>
            </w:r>
          </w:p>
        </w:tc>
        <w:tc>
          <w:tcPr>
            <w:tcW w:w="3118" w:type="dxa"/>
          </w:tcPr>
          <w:p w14:paraId="52F3C22F">
            <w:pPr>
              <w:widowControl w:val="0"/>
              <w:jc w:val="center"/>
              <w:rPr>
                <w:b w:val="0"/>
                <w:bCs/>
              </w:rPr>
            </w:pPr>
            <w:r>
              <w:rPr>
                <w:rFonts w:ascii="Times New Roman" w:hAnsi="Times New Roman"/>
                <w:b w:val="0"/>
                <w:bCs/>
                <w:sz w:val="24"/>
              </w:rPr>
              <w:t>Как работает</w:t>
            </w:r>
          </w:p>
        </w:tc>
        <w:tc>
          <w:tcPr>
            <w:tcW w:w="3118" w:type="dxa"/>
          </w:tcPr>
          <w:p w14:paraId="347627B0">
            <w:pPr>
              <w:widowControl w:val="0"/>
              <w:jc w:val="center"/>
              <w:rPr>
                <w:b w:val="0"/>
                <w:bCs/>
              </w:rPr>
            </w:pPr>
            <w:r>
              <w:rPr>
                <w:rFonts w:ascii="Times New Roman" w:hAnsi="Times New Roman"/>
                <w:b w:val="0"/>
                <w:bCs/>
                <w:sz w:val="24"/>
              </w:rPr>
              <w:t>Почему мотивирует</w:t>
            </w:r>
          </w:p>
        </w:tc>
      </w:tr>
      <w:tr w14:paraId="02D4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5EA0104">
            <w:pPr>
              <w:widowControl w:val="0"/>
              <w:jc w:val="both"/>
            </w:pPr>
            <w:r>
              <w:rPr>
                <w:rFonts w:ascii="Times New Roman" w:hAnsi="Times New Roman"/>
                <w:sz w:val="24"/>
              </w:rPr>
              <w:t>Полностью удаленный формат</w:t>
            </w:r>
          </w:p>
        </w:tc>
        <w:tc>
          <w:tcPr>
            <w:tcW w:w="3118" w:type="dxa"/>
          </w:tcPr>
          <w:p w14:paraId="5C4DDA16">
            <w:pPr>
              <w:widowControl w:val="0"/>
              <w:jc w:val="both"/>
            </w:pPr>
            <w:r>
              <w:rPr>
                <w:rFonts w:ascii="Times New Roman" w:hAnsi="Times New Roman"/>
                <w:sz w:val="24"/>
              </w:rPr>
              <w:t>Сотрудник может жить в любом городе и не тратить время и средства на дорогу</w:t>
            </w:r>
          </w:p>
        </w:tc>
        <w:tc>
          <w:tcPr>
            <w:tcW w:w="3118" w:type="dxa"/>
          </w:tcPr>
          <w:p w14:paraId="3FDAB2EA">
            <w:pPr>
              <w:widowControl w:val="0"/>
              <w:jc w:val="both"/>
            </w:pPr>
            <w:r>
              <w:rPr>
                <w:rFonts w:ascii="Times New Roman" w:hAnsi="Times New Roman"/>
                <w:sz w:val="24"/>
              </w:rPr>
              <w:t>Свобода и экономия ресурсов</w:t>
            </w:r>
          </w:p>
        </w:tc>
      </w:tr>
      <w:tr w14:paraId="1A4F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A3C1684">
            <w:pPr>
              <w:widowControl w:val="0"/>
              <w:jc w:val="both"/>
            </w:pPr>
            <w:r>
              <w:rPr>
                <w:rFonts w:ascii="Times New Roman" w:hAnsi="Times New Roman"/>
                <w:sz w:val="24"/>
              </w:rPr>
              <w:t>Гибкое начало рабочего дня</w:t>
            </w:r>
          </w:p>
        </w:tc>
        <w:tc>
          <w:tcPr>
            <w:tcW w:w="3118" w:type="dxa"/>
          </w:tcPr>
          <w:p w14:paraId="46BF678B">
            <w:pPr>
              <w:widowControl w:val="0"/>
              <w:jc w:val="both"/>
            </w:pPr>
            <w:r>
              <w:rPr>
                <w:rFonts w:ascii="Times New Roman" w:hAnsi="Times New Roman"/>
                <w:sz w:val="24"/>
              </w:rPr>
              <w:t>Можно начать рабочий день с 8:00 до 11:00 при условии выполнения нормы времени и участия в созвоне</w:t>
            </w:r>
          </w:p>
        </w:tc>
        <w:tc>
          <w:tcPr>
            <w:tcW w:w="3118" w:type="dxa"/>
          </w:tcPr>
          <w:p w14:paraId="2752534B">
            <w:pPr>
              <w:widowControl w:val="0"/>
              <w:jc w:val="both"/>
            </w:pPr>
            <w:r>
              <w:rPr>
                <w:rFonts w:ascii="Times New Roman" w:hAnsi="Times New Roman"/>
                <w:sz w:val="24"/>
              </w:rPr>
              <w:t>Возможность подстроить график под личные обстоятельства</w:t>
            </w:r>
          </w:p>
        </w:tc>
      </w:tr>
      <w:tr w14:paraId="3D41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664D8F8">
            <w:pPr>
              <w:widowControl w:val="0"/>
              <w:jc w:val="both"/>
            </w:pPr>
            <w:r>
              <w:rPr>
                <w:rFonts w:ascii="Times New Roman" w:hAnsi="Times New Roman"/>
                <w:sz w:val="24"/>
              </w:rPr>
              <w:t>Прозрачная система премирования</w:t>
            </w:r>
          </w:p>
        </w:tc>
        <w:tc>
          <w:tcPr>
            <w:tcW w:w="3118" w:type="dxa"/>
          </w:tcPr>
          <w:p w14:paraId="63254F53">
            <w:pPr>
              <w:widowControl w:val="0"/>
              <w:jc w:val="both"/>
            </w:pPr>
            <w:r>
              <w:rPr>
                <w:rFonts w:ascii="Times New Roman" w:hAnsi="Times New Roman"/>
                <w:sz w:val="24"/>
              </w:rPr>
              <w:t>В Битрикс24 отражаются KPI и текущий прогресс</w:t>
            </w:r>
          </w:p>
        </w:tc>
        <w:tc>
          <w:tcPr>
            <w:tcW w:w="3118" w:type="dxa"/>
          </w:tcPr>
          <w:p w14:paraId="37561B86">
            <w:pPr>
              <w:widowControl w:val="0"/>
              <w:jc w:val="both"/>
            </w:pPr>
            <w:r>
              <w:rPr>
                <w:rFonts w:ascii="Times New Roman" w:hAnsi="Times New Roman"/>
                <w:sz w:val="24"/>
              </w:rPr>
              <w:t>Понятность критериев оценки</w:t>
            </w:r>
          </w:p>
        </w:tc>
      </w:tr>
    </w:tbl>
    <w:p w14:paraId="3E986660">
      <w:pPr>
        <w:spacing w:after="120" w:line="360" w:lineRule="auto"/>
        <w:ind w:firstLine="700"/>
        <w:jc w:val="both"/>
      </w:pPr>
    </w:p>
    <w:p w14:paraId="294D7F7F">
      <w:pPr>
        <w:spacing w:after="120" w:line="360" w:lineRule="auto"/>
        <w:ind w:firstLine="700"/>
        <w:jc w:val="both"/>
      </w:pPr>
      <w:r>
        <w:rPr>
          <w:rFonts w:ascii="Times New Roman" w:hAnsi="Times New Roman"/>
          <w:b/>
          <w:sz w:val="28"/>
        </w:rPr>
        <w:t xml:space="preserve">(ДПК-6) </w:t>
      </w:r>
      <w:r>
        <w:rPr>
          <w:rFonts w:ascii="Times New Roman" w:hAnsi="Times New Roman"/>
          <w:sz w:val="28"/>
        </w:rPr>
        <w:t>Сильными сторонами мотивации являются прозрачность KPI, удалённый формат и гибкость рабочего графика. Однако действующая система почти не связана с профессиональным развитием. Премирование ориентировано на результат работы, но не выделяет обучение, наставничество или передачу опыта как самостоятельные ценности. В условиях высокой текучести это снижает заинтересованность опытных сотрудников в системной помощи новичкам и не создаёт устойчивого механизма накопления знаний внутри отдела [7].</w:t>
      </w:r>
    </w:p>
    <w:p w14:paraId="26222376">
      <w:pPr>
        <w:spacing w:after="120" w:line="360" w:lineRule="auto"/>
        <w:ind w:firstLine="700"/>
        <w:jc w:val="both"/>
      </w:pPr>
      <w:r>
        <w:rPr>
          <w:rFonts w:ascii="Times New Roman" w:hAnsi="Times New Roman"/>
          <w:b w:val="0"/>
          <w:sz w:val="28"/>
        </w:rPr>
        <w:t>Финансовые результаты предприятия напрямую зависят от эффективности использования персонала. Структура среднемесячных выплат представлена в таблице 2.8.</w:t>
      </w:r>
    </w:p>
    <w:p w14:paraId="10257DF1">
      <w:pPr>
        <w:spacing w:after="120" w:line="360" w:lineRule="auto"/>
        <w:jc w:val="both"/>
      </w:pPr>
      <w:r>
        <w:rPr>
          <w:rFonts w:ascii="Times New Roman" w:hAnsi="Times New Roman"/>
          <w:b w:val="0"/>
          <w:sz w:val="28"/>
        </w:rPr>
        <w:t>Таблица 2.8. Структура персонала и среднемесячные выплаты (2025 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667D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8831161">
            <w:pPr>
              <w:widowControl w:val="0"/>
              <w:jc w:val="center"/>
              <w:rPr>
                <w:b w:val="0"/>
                <w:bCs/>
              </w:rPr>
            </w:pPr>
            <w:r>
              <w:rPr>
                <w:rFonts w:ascii="Times New Roman" w:hAnsi="Times New Roman"/>
                <w:b w:val="0"/>
                <w:bCs/>
                <w:sz w:val="24"/>
              </w:rPr>
              <w:t>Категория</w:t>
            </w:r>
          </w:p>
        </w:tc>
        <w:tc>
          <w:tcPr>
            <w:tcW w:w="2339" w:type="dxa"/>
          </w:tcPr>
          <w:p w14:paraId="2B3B9210">
            <w:pPr>
              <w:widowControl w:val="0"/>
              <w:jc w:val="center"/>
              <w:rPr>
                <w:b w:val="0"/>
                <w:bCs/>
              </w:rPr>
            </w:pPr>
            <w:r>
              <w:rPr>
                <w:rFonts w:ascii="Times New Roman" w:hAnsi="Times New Roman"/>
                <w:b w:val="0"/>
                <w:bCs/>
                <w:sz w:val="24"/>
              </w:rPr>
              <w:t>Кол-во</w:t>
            </w:r>
          </w:p>
        </w:tc>
        <w:tc>
          <w:tcPr>
            <w:tcW w:w="2339" w:type="dxa"/>
          </w:tcPr>
          <w:p w14:paraId="54E75134">
            <w:pPr>
              <w:widowControl w:val="0"/>
              <w:jc w:val="center"/>
              <w:rPr>
                <w:b w:val="0"/>
                <w:bCs/>
              </w:rPr>
            </w:pPr>
            <w:r>
              <w:rPr>
                <w:rFonts w:ascii="Times New Roman" w:hAnsi="Times New Roman"/>
                <w:b w:val="0"/>
                <w:bCs/>
                <w:sz w:val="24"/>
              </w:rPr>
              <w:t>Среднемесячная выплата, руб.</w:t>
            </w:r>
          </w:p>
        </w:tc>
        <w:tc>
          <w:tcPr>
            <w:tcW w:w="2339" w:type="dxa"/>
          </w:tcPr>
          <w:p w14:paraId="4FDFE93B">
            <w:pPr>
              <w:widowControl w:val="0"/>
              <w:jc w:val="center"/>
              <w:rPr>
                <w:b w:val="0"/>
                <w:bCs/>
              </w:rPr>
            </w:pPr>
            <w:r>
              <w:rPr>
                <w:rFonts w:ascii="Times New Roman" w:hAnsi="Times New Roman"/>
                <w:b w:val="0"/>
                <w:bCs/>
                <w:sz w:val="24"/>
              </w:rPr>
              <w:t>Всего в месяц на категорию, руб.</w:t>
            </w:r>
          </w:p>
        </w:tc>
      </w:tr>
      <w:tr w14:paraId="49D7E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35F8194">
            <w:pPr>
              <w:widowControl w:val="0"/>
              <w:jc w:val="both"/>
            </w:pPr>
            <w:r>
              <w:rPr>
                <w:rFonts w:ascii="Times New Roman" w:hAnsi="Times New Roman"/>
                <w:sz w:val="24"/>
              </w:rPr>
              <w:t>Тендерные специалисты</w:t>
            </w:r>
          </w:p>
        </w:tc>
        <w:tc>
          <w:tcPr>
            <w:tcW w:w="2339" w:type="dxa"/>
            <w:vAlign w:val="center"/>
          </w:tcPr>
          <w:p w14:paraId="67D102AC">
            <w:pPr>
              <w:widowControl w:val="0"/>
              <w:jc w:val="center"/>
            </w:pPr>
            <w:r>
              <w:rPr>
                <w:rFonts w:ascii="Times New Roman" w:hAnsi="Times New Roman"/>
                <w:sz w:val="24"/>
              </w:rPr>
              <w:t>8</w:t>
            </w:r>
          </w:p>
        </w:tc>
        <w:tc>
          <w:tcPr>
            <w:tcW w:w="2339" w:type="dxa"/>
            <w:vAlign w:val="center"/>
          </w:tcPr>
          <w:p w14:paraId="31C69C79">
            <w:pPr>
              <w:widowControl w:val="0"/>
              <w:jc w:val="center"/>
            </w:pPr>
            <w:r>
              <w:rPr>
                <w:rFonts w:ascii="Times New Roman" w:hAnsi="Times New Roman"/>
                <w:sz w:val="24"/>
              </w:rPr>
              <w:t>63 175</w:t>
            </w:r>
          </w:p>
        </w:tc>
        <w:tc>
          <w:tcPr>
            <w:tcW w:w="2339" w:type="dxa"/>
            <w:vAlign w:val="center"/>
          </w:tcPr>
          <w:p w14:paraId="44A2F499">
            <w:pPr>
              <w:widowControl w:val="0"/>
              <w:jc w:val="center"/>
            </w:pPr>
            <w:r>
              <w:rPr>
                <w:rFonts w:ascii="Times New Roman" w:hAnsi="Times New Roman"/>
                <w:sz w:val="24"/>
              </w:rPr>
              <w:t>505 400</w:t>
            </w:r>
          </w:p>
        </w:tc>
      </w:tr>
      <w:tr w14:paraId="60E5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BC5F66D">
            <w:pPr>
              <w:widowControl w:val="0"/>
              <w:jc w:val="both"/>
            </w:pPr>
            <w:r>
              <w:rPr>
                <w:rFonts w:ascii="Times New Roman" w:hAnsi="Times New Roman"/>
                <w:sz w:val="24"/>
              </w:rPr>
              <w:t>Отдел продаж</w:t>
            </w:r>
          </w:p>
        </w:tc>
        <w:tc>
          <w:tcPr>
            <w:tcW w:w="2339" w:type="dxa"/>
            <w:vAlign w:val="center"/>
          </w:tcPr>
          <w:p w14:paraId="60588DD2">
            <w:pPr>
              <w:widowControl w:val="0"/>
              <w:jc w:val="center"/>
            </w:pPr>
            <w:r>
              <w:rPr>
                <w:rFonts w:ascii="Times New Roman" w:hAnsi="Times New Roman"/>
                <w:sz w:val="24"/>
              </w:rPr>
              <w:t>4</w:t>
            </w:r>
          </w:p>
        </w:tc>
        <w:tc>
          <w:tcPr>
            <w:tcW w:w="2339" w:type="dxa"/>
            <w:vAlign w:val="center"/>
          </w:tcPr>
          <w:p w14:paraId="5EEA2851">
            <w:pPr>
              <w:widowControl w:val="0"/>
              <w:jc w:val="center"/>
            </w:pPr>
            <w:r>
              <w:rPr>
                <w:rFonts w:ascii="Times New Roman" w:hAnsi="Times New Roman"/>
                <w:sz w:val="24"/>
              </w:rPr>
              <w:t>48 000</w:t>
            </w:r>
          </w:p>
        </w:tc>
        <w:tc>
          <w:tcPr>
            <w:tcW w:w="2339" w:type="dxa"/>
            <w:vAlign w:val="center"/>
          </w:tcPr>
          <w:p w14:paraId="226C7ADA">
            <w:pPr>
              <w:widowControl w:val="0"/>
              <w:jc w:val="center"/>
            </w:pPr>
            <w:r>
              <w:rPr>
                <w:rFonts w:ascii="Times New Roman" w:hAnsi="Times New Roman"/>
                <w:sz w:val="24"/>
              </w:rPr>
              <w:t>192 000</w:t>
            </w:r>
          </w:p>
        </w:tc>
      </w:tr>
      <w:tr w14:paraId="0366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14DB289">
            <w:pPr>
              <w:widowControl w:val="0"/>
              <w:jc w:val="both"/>
            </w:pPr>
            <w:r>
              <w:rPr>
                <w:rFonts w:ascii="Times New Roman" w:hAnsi="Times New Roman"/>
                <w:sz w:val="24"/>
              </w:rPr>
              <w:t>Отдел логистики</w:t>
            </w:r>
          </w:p>
        </w:tc>
        <w:tc>
          <w:tcPr>
            <w:tcW w:w="2339" w:type="dxa"/>
            <w:vAlign w:val="center"/>
          </w:tcPr>
          <w:p w14:paraId="6B809240">
            <w:pPr>
              <w:widowControl w:val="0"/>
              <w:jc w:val="center"/>
            </w:pPr>
            <w:r>
              <w:rPr>
                <w:rFonts w:ascii="Times New Roman" w:hAnsi="Times New Roman"/>
                <w:sz w:val="24"/>
              </w:rPr>
              <w:t>3</w:t>
            </w:r>
          </w:p>
        </w:tc>
        <w:tc>
          <w:tcPr>
            <w:tcW w:w="2339" w:type="dxa"/>
            <w:vAlign w:val="center"/>
          </w:tcPr>
          <w:p w14:paraId="356D5ACA">
            <w:pPr>
              <w:widowControl w:val="0"/>
              <w:jc w:val="center"/>
            </w:pPr>
            <w:r>
              <w:rPr>
                <w:rFonts w:ascii="Times New Roman" w:hAnsi="Times New Roman"/>
                <w:sz w:val="24"/>
              </w:rPr>
              <w:t>45 000</w:t>
            </w:r>
          </w:p>
        </w:tc>
        <w:tc>
          <w:tcPr>
            <w:tcW w:w="2339" w:type="dxa"/>
            <w:vAlign w:val="center"/>
          </w:tcPr>
          <w:p w14:paraId="3DB7FFB3">
            <w:pPr>
              <w:widowControl w:val="0"/>
              <w:jc w:val="center"/>
            </w:pPr>
            <w:r>
              <w:rPr>
                <w:rFonts w:ascii="Times New Roman" w:hAnsi="Times New Roman"/>
                <w:sz w:val="24"/>
              </w:rPr>
              <w:t>135 000</w:t>
            </w:r>
          </w:p>
        </w:tc>
      </w:tr>
      <w:tr w14:paraId="7BAE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0CB819">
            <w:pPr>
              <w:widowControl w:val="0"/>
              <w:jc w:val="both"/>
            </w:pPr>
            <w:r>
              <w:rPr>
                <w:rFonts w:ascii="Times New Roman" w:hAnsi="Times New Roman"/>
                <w:sz w:val="24"/>
              </w:rPr>
              <w:t>Генеральный директор</w:t>
            </w:r>
          </w:p>
        </w:tc>
        <w:tc>
          <w:tcPr>
            <w:tcW w:w="2339" w:type="dxa"/>
            <w:vAlign w:val="center"/>
          </w:tcPr>
          <w:p w14:paraId="2DDB6C16">
            <w:pPr>
              <w:widowControl w:val="0"/>
              <w:jc w:val="center"/>
            </w:pPr>
            <w:r>
              <w:rPr>
                <w:rFonts w:ascii="Times New Roman" w:hAnsi="Times New Roman"/>
                <w:sz w:val="24"/>
              </w:rPr>
              <w:t>1</w:t>
            </w:r>
          </w:p>
        </w:tc>
        <w:tc>
          <w:tcPr>
            <w:tcW w:w="2339" w:type="dxa"/>
            <w:vAlign w:val="center"/>
          </w:tcPr>
          <w:p w14:paraId="66C3F969">
            <w:pPr>
              <w:widowControl w:val="0"/>
              <w:jc w:val="center"/>
            </w:pPr>
            <w:r>
              <w:rPr>
                <w:rFonts w:ascii="Times New Roman" w:hAnsi="Times New Roman"/>
                <w:sz w:val="24"/>
              </w:rPr>
              <w:t>60 000</w:t>
            </w:r>
          </w:p>
        </w:tc>
        <w:tc>
          <w:tcPr>
            <w:tcW w:w="2339" w:type="dxa"/>
            <w:vAlign w:val="center"/>
          </w:tcPr>
          <w:p w14:paraId="414B5514">
            <w:pPr>
              <w:widowControl w:val="0"/>
              <w:jc w:val="center"/>
            </w:pPr>
            <w:r>
              <w:rPr>
                <w:rFonts w:ascii="Times New Roman" w:hAnsi="Times New Roman"/>
                <w:sz w:val="24"/>
              </w:rPr>
              <w:t>60 000</w:t>
            </w:r>
          </w:p>
        </w:tc>
      </w:tr>
      <w:tr w14:paraId="0AE8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6478607">
            <w:pPr>
              <w:widowControl w:val="0"/>
              <w:jc w:val="both"/>
            </w:pPr>
            <w:r>
              <w:rPr>
                <w:rFonts w:ascii="Times New Roman" w:hAnsi="Times New Roman"/>
                <w:sz w:val="24"/>
              </w:rPr>
              <w:t>Бухгалтер</w:t>
            </w:r>
          </w:p>
        </w:tc>
        <w:tc>
          <w:tcPr>
            <w:tcW w:w="2339" w:type="dxa"/>
            <w:vAlign w:val="center"/>
          </w:tcPr>
          <w:p w14:paraId="5F56ED29">
            <w:pPr>
              <w:widowControl w:val="0"/>
              <w:jc w:val="center"/>
            </w:pPr>
            <w:r>
              <w:rPr>
                <w:rFonts w:ascii="Times New Roman" w:hAnsi="Times New Roman"/>
                <w:sz w:val="24"/>
              </w:rPr>
              <w:t>1</w:t>
            </w:r>
          </w:p>
        </w:tc>
        <w:tc>
          <w:tcPr>
            <w:tcW w:w="2339" w:type="dxa"/>
            <w:vAlign w:val="center"/>
          </w:tcPr>
          <w:p w14:paraId="5183B69F">
            <w:pPr>
              <w:widowControl w:val="0"/>
              <w:jc w:val="center"/>
            </w:pPr>
            <w:r>
              <w:rPr>
                <w:rFonts w:ascii="Times New Roman" w:hAnsi="Times New Roman"/>
                <w:sz w:val="24"/>
              </w:rPr>
              <w:t>57 292</w:t>
            </w:r>
          </w:p>
        </w:tc>
        <w:tc>
          <w:tcPr>
            <w:tcW w:w="2339" w:type="dxa"/>
            <w:vAlign w:val="center"/>
          </w:tcPr>
          <w:p w14:paraId="41E2161A">
            <w:pPr>
              <w:widowControl w:val="0"/>
              <w:jc w:val="center"/>
            </w:pPr>
            <w:r>
              <w:rPr>
                <w:rFonts w:ascii="Times New Roman" w:hAnsi="Times New Roman"/>
                <w:sz w:val="24"/>
              </w:rPr>
              <w:t>57 292</w:t>
            </w:r>
          </w:p>
        </w:tc>
      </w:tr>
      <w:tr w14:paraId="3559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079E675">
            <w:pPr>
              <w:widowControl w:val="0"/>
              <w:jc w:val="both"/>
            </w:pPr>
            <w:r>
              <w:rPr>
                <w:rFonts w:ascii="Times New Roman" w:hAnsi="Times New Roman"/>
                <w:sz w:val="24"/>
              </w:rPr>
              <w:t>Системный администратор</w:t>
            </w:r>
          </w:p>
        </w:tc>
        <w:tc>
          <w:tcPr>
            <w:tcW w:w="2339" w:type="dxa"/>
            <w:vAlign w:val="center"/>
          </w:tcPr>
          <w:p w14:paraId="479F09BC">
            <w:pPr>
              <w:widowControl w:val="0"/>
              <w:jc w:val="center"/>
            </w:pPr>
            <w:r>
              <w:rPr>
                <w:rFonts w:ascii="Times New Roman" w:hAnsi="Times New Roman"/>
                <w:sz w:val="24"/>
              </w:rPr>
              <w:t>0,5</w:t>
            </w:r>
          </w:p>
        </w:tc>
        <w:tc>
          <w:tcPr>
            <w:tcW w:w="2339" w:type="dxa"/>
            <w:vAlign w:val="center"/>
          </w:tcPr>
          <w:p w14:paraId="6D63671B">
            <w:pPr>
              <w:widowControl w:val="0"/>
              <w:jc w:val="center"/>
            </w:pPr>
            <w:r>
              <w:rPr>
                <w:rFonts w:ascii="Times New Roman" w:hAnsi="Times New Roman"/>
                <w:sz w:val="24"/>
              </w:rPr>
              <w:t>60 000</w:t>
            </w:r>
          </w:p>
        </w:tc>
        <w:tc>
          <w:tcPr>
            <w:tcW w:w="2339" w:type="dxa"/>
            <w:vAlign w:val="center"/>
          </w:tcPr>
          <w:p w14:paraId="375B3328">
            <w:pPr>
              <w:widowControl w:val="0"/>
              <w:jc w:val="center"/>
            </w:pPr>
            <w:r>
              <w:rPr>
                <w:rFonts w:ascii="Times New Roman" w:hAnsi="Times New Roman"/>
                <w:sz w:val="24"/>
              </w:rPr>
              <w:t>30 000</w:t>
            </w:r>
          </w:p>
        </w:tc>
      </w:tr>
      <w:tr w14:paraId="746D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FA8F0B5">
            <w:pPr>
              <w:widowControl w:val="0"/>
              <w:jc w:val="both"/>
            </w:pPr>
            <w:r>
              <w:rPr>
                <w:rFonts w:ascii="Times New Roman" w:hAnsi="Times New Roman"/>
                <w:sz w:val="24"/>
              </w:rPr>
              <w:t>Юрист (аутсорсинг)</w:t>
            </w:r>
          </w:p>
        </w:tc>
        <w:tc>
          <w:tcPr>
            <w:tcW w:w="2339" w:type="dxa"/>
            <w:vAlign w:val="center"/>
          </w:tcPr>
          <w:p w14:paraId="416038C0">
            <w:pPr>
              <w:widowControl w:val="0"/>
              <w:jc w:val="center"/>
            </w:pPr>
            <w:r>
              <w:rPr>
                <w:rFonts w:ascii="Times New Roman" w:hAnsi="Times New Roman"/>
                <w:sz w:val="24"/>
              </w:rPr>
              <w:t>-</w:t>
            </w:r>
          </w:p>
        </w:tc>
        <w:tc>
          <w:tcPr>
            <w:tcW w:w="2339" w:type="dxa"/>
            <w:vAlign w:val="center"/>
          </w:tcPr>
          <w:p w14:paraId="5DCF617A">
            <w:pPr>
              <w:widowControl w:val="0"/>
              <w:jc w:val="center"/>
            </w:pPr>
            <w:r>
              <w:rPr>
                <w:rFonts w:ascii="Times New Roman" w:hAnsi="Times New Roman"/>
                <w:sz w:val="24"/>
              </w:rPr>
              <w:t>12 500</w:t>
            </w:r>
          </w:p>
        </w:tc>
        <w:tc>
          <w:tcPr>
            <w:tcW w:w="2339" w:type="dxa"/>
            <w:vAlign w:val="center"/>
          </w:tcPr>
          <w:p w14:paraId="04BA7BD8">
            <w:pPr>
              <w:widowControl w:val="0"/>
              <w:jc w:val="center"/>
            </w:pPr>
            <w:r>
              <w:rPr>
                <w:rFonts w:ascii="Times New Roman" w:hAnsi="Times New Roman"/>
                <w:sz w:val="24"/>
              </w:rPr>
              <w:t>12 500</w:t>
            </w:r>
          </w:p>
        </w:tc>
      </w:tr>
      <w:tr w14:paraId="3CB7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96B7828">
            <w:pPr>
              <w:widowControl w:val="0"/>
              <w:jc w:val="both"/>
            </w:pPr>
            <w:r>
              <w:rPr>
                <w:rFonts w:ascii="Times New Roman" w:hAnsi="Times New Roman"/>
                <w:sz w:val="24"/>
              </w:rPr>
              <w:t>Итого</w:t>
            </w:r>
          </w:p>
        </w:tc>
        <w:tc>
          <w:tcPr>
            <w:tcW w:w="2339" w:type="dxa"/>
            <w:vAlign w:val="center"/>
          </w:tcPr>
          <w:p w14:paraId="4047E21E">
            <w:pPr>
              <w:widowControl w:val="0"/>
              <w:jc w:val="center"/>
            </w:pPr>
            <w:r>
              <w:rPr>
                <w:rFonts w:ascii="Times New Roman" w:hAnsi="Times New Roman"/>
                <w:sz w:val="24"/>
              </w:rPr>
              <w:t>-</w:t>
            </w:r>
          </w:p>
        </w:tc>
        <w:tc>
          <w:tcPr>
            <w:tcW w:w="2339" w:type="dxa"/>
            <w:vAlign w:val="center"/>
          </w:tcPr>
          <w:p w14:paraId="44626848">
            <w:pPr>
              <w:widowControl w:val="0"/>
              <w:jc w:val="center"/>
            </w:pPr>
            <w:r>
              <w:rPr>
                <w:rFonts w:ascii="Times New Roman" w:hAnsi="Times New Roman"/>
                <w:sz w:val="24"/>
              </w:rPr>
              <w:t>-</w:t>
            </w:r>
          </w:p>
        </w:tc>
        <w:tc>
          <w:tcPr>
            <w:tcW w:w="2339" w:type="dxa"/>
            <w:vAlign w:val="center"/>
          </w:tcPr>
          <w:p w14:paraId="3D0E97B3">
            <w:pPr>
              <w:widowControl w:val="0"/>
              <w:jc w:val="center"/>
            </w:pPr>
            <w:r>
              <w:rPr>
                <w:rFonts w:ascii="Times New Roman" w:hAnsi="Times New Roman"/>
                <w:sz w:val="24"/>
              </w:rPr>
              <w:t>979 692</w:t>
            </w:r>
          </w:p>
        </w:tc>
      </w:tr>
    </w:tbl>
    <w:p w14:paraId="7B5DCDD0">
      <w:pPr>
        <w:spacing w:after="120" w:line="360" w:lineRule="auto"/>
        <w:ind w:firstLine="700"/>
        <w:jc w:val="both"/>
      </w:pPr>
    </w:p>
    <w:p w14:paraId="39DAD71D">
      <w:pPr>
        <w:spacing w:after="120" w:line="360" w:lineRule="auto"/>
        <w:ind w:firstLine="700"/>
        <w:jc w:val="both"/>
      </w:pPr>
      <w:r>
        <w:rPr>
          <w:rFonts w:ascii="Times New Roman" w:hAnsi="Times New Roman"/>
          <w:b w:val="0"/>
          <w:sz w:val="28"/>
        </w:rPr>
        <w:t>Тендерные специалисты имеют наиболее высокий совокупный фонд ежемесячных выплат среди подразделений. Это объясняется их вкладом в выручку компании и сложностью выполняемых функций. При этом высокая стоимость персонала требует сопоставления затрат с качеством работы и результативностью участия в тендерах.</w:t>
      </w:r>
    </w:p>
    <w:p w14:paraId="7D97751B">
      <w:pPr>
        <w:spacing w:after="120" w:line="360" w:lineRule="auto"/>
        <w:ind w:firstLine="700"/>
        <w:jc w:val="both"/>
        <w:rPr>
          <w:rFonts w:ascii="Times New Roman" w:hAnsi="Times New Roman"/>
          <w:b w:val="0"/>
          <w:sz w:val="28"/>
        </w:rPr>
      </w:pPr>
      <w:r>
        <w:rPr>
          <w:rFonts w:ascii="Times New Roman" w:hAnsi="Times New Roman"/>
          <w:b w:val="0"/>
          <w:sz w:val="28"/>
          <w:lang w:val="ru-RU"/>
        </w:rPr>
        <w:t>Из</w:t>
      </w:r>
      <w:r>
        <w:rPr>
          <w:rFonts w:hint="default" w:ascii="Times New Roman" w:hAnsi="Times New Roman"/>
          <w:b w:val="0"/>
          <w:sz w:val="28"/>
          <w:lang w:val="ru-RU"/>
        </w:rPr>
        <w:t xml:space="preserve"> таблицы 2.9. видно, что о</w:t>
      </w:r>
      <w:r>
        <w:rPr>
          <w:rFonts w:ascii="Times New Roman" w:hAnsi="Times New Roman"/>
          <w:b w:val="0"/>
          <w:sz w:val="28"/>
        </w:rPr>
        <w:t>бщие затраты на персонал в 2025 году составляют 15,445 млн руб., или около 37,3% от выручки. Для торговой компании такая доля является высокой по сравнению с ориентиром 20-30%. При этом расходы на обучение составляют всего 45 тыс. руб., то есть около 0,37% от ФОТ и 0,29% от общих затрат на персонал. Следовательно, основная часть кадровых расходов направлена на оплату труда и обязательные начисления, тогда как развитие компетенций финансируется минимально.</w:t>
      </w:r>
    </w:p>
    <w:p w14:paraId="0C4331B3">
      <w:pPr>
        <w:spacing w:after="120" w:line="360" w:lineRule="auto"/>
        <w:jc w:val="right"/>
        <w:rPr>
          <w:sz w:val="24"/>
          <w:szCs w:val="24"/>
        </w:rPr>
      </w:pPr>
      <w:r>
        <w:rPr>
          <w:rFonts w:ascii="Times New Roman" w:hAnsi="Times New Roman"/>
          <w:b w:val="0"/>
          <w:sz w:val="24"/>
          <w:szCs w:val="24"/>
        </w:rPr>
        <w:t>Таблица 2.9. Расходы на оплату труда и затраты на персонал ООО «Лайф Медиа» в 2025 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36CA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7" w:type="dxa"/>
            <w:vAlign w:val="center"/>
          </w:tcPr>
          <w:p w14:paraId="0FF7CA8A">
            <w:pPr>
              <w:widowControl w:val="0"/>
              <w:jc w:val="center"/>
              <w:rPr>
                <w:b w:val="0"/>
                <w:bCs/>
              </w:rPr>
            </w:pPr>
            <w:r>
              <w:rPr>
                <w:rFonts w:ascii="Times New Roman" w:hAnsi="Times New Roman"/>
                <w:b w:val="0"/>
                <w:bCs/>
                <w:sz w:val="24"/>
              </w:rPr>
              <w:t>Показатель</w:t>
            </w:r>
          </w:p>
        </w:tc>
        <w:tc>
          <w:tcPr>
            <w:tcW w:w="4677" w:type="dxa"/>
            <w:vAlign w:val="center"/>
          </w:tcPr>
          <w:p w14:paraId="05986340">
            <w:pPr>
              <w:widowControl w:val="0"/>
              <w:jc w:val="center"/>
              <w:rPr>
                <w:b w:val="0"/>
                <w:bCs/>
              </w:rPr>
            </w:pPr>
            <w:r>
              <w:rPr>
                <w:rFonts w:ascii="Times New Roman" w:hAnsi="Times New Roman"/>
                <w:b w:val="0"/>
                <w:bCs/>
                <w:sz w:val="24"/>
              </w:rPr>
              <w:t>Сумма, тыс. руб.</w:t>
            </w:r>
          </w:p>
        </w:tc>
      </w:tr>
      <w:tr w14:paraId="4FA8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FB8D5F4">
            <w:pPr>
              <w:widowControl w:val="0"/>
              <w:jc w:val="both"/>
            </w:pPr>
            <w:r>
              <w:rPr>
                <w:rFonts w:ascii="Times New Roman" w:hAnsi="Times New Roman"/>
                <w:sz w:val="24"/>
              </w:rPr>
              <w:t>ФОТ тендерного отдела (8 чел.)</w:t>
            </w:r>
          </w:p>
        </w:tc>
        <w:tc>
          <w:tcPr>
            <w:tcW w:w="4677" w:type="dxa"/>
            <w:vAlign w:val="top"/>
          </w:tcPr>
          <w:p w14:paraId="0BEED842">
            <w:pPr>
              <w:widowControl w:val="0"/>
              <w:jc w:val="center"/>
            </w:pPr>
            <w:r>
              <w:rPr>
                <w:rFonts w:ascii="Times New Roman" w:hAnsi="Times New Roman"/>
                <w:sz w:val="24"/>
              </w:rPr>
              <w:t>6 100</w:t>
            </w:r>
          </w:p>
        </w:tc>
      </w:tr>
      <w:tr w14:paraId="356A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3CF6D12">
            <w:pPr>
              <w:widowControl w:val="0"/>
              <w:jc w:val="both"/>
            </w:pPr>
            <w:r>
              <w:rPr>
                <w:rFonts w:ascii="Times New Roman" w:hAnsi="Times New Roman"/>
                <w:sz w:val="24"/>
              </w:rPr>
              <w:t>ФОТ отдела продаж (4 чел.)</w:t>
            </w:r>
          </w:p>
        </w:tc>
        <w:tc>
          <w:tcPr>
            <w:tcW w:w="4677" w:type="dxa"/>
            <w:vAlign w:val="top"/>
          </w:tcPr>
          <w:p w14:paraId="0112CB19">
            <w:pPr>
              <w:widowControl w:val="0"/>
              <w:jc w:val="center"/>
            </w:pPr>
            <w:r>
              <w:rPr>
                <w:rFonts w:ascii="Times New Roman" w:hAnsi="Times New Roman"/>
                <w:sz w:val="24"/>
              </w:rPr>
              <w:t>2 400</w:t>
            </w:r>
          </w:p>
        </w:tc>
      </w:tr>
      <w:tr w14:paraId="660B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803EACA">
            <w:pPr>
              <w:widowControl w:val="0"/>
              <w:jc w:val="both"/>
            </w:pPr>
            <w:r>
              <w:rPr>
                <w:rFonts w:ascii="Times New Roman" w:hAnsi="Times New Roman"/>
                <w:sz w:val="24"/>
              </w:rPr>
              <w:t>ФОТ отдела логистики (3 чел.)</w:t>
            </w:r>
          </w:p>
        </w:tc>
        <w:tc>
          <w:tcPr>
            <w:tcW w:w="4677" w:type="dxa"/>
            <w:vAlign w:val="top"/>
          </w:tcPr>
          <w:p w14:paraId="36D7D4E9">
            <w:pPr>
              <w:widowControl w:val="0"/>
              <w:jc w:val="center"/>
            </w:pPr>
            <w:r>
              <w:rPr>
                <w:rFonts w:ascii="Times New Roman" w:hAnsi="Times New Roman"/>
                <w:sz w:val="24"/>
              </w:rPr>
              <w:t>1 600</w:t>
            </w:r>
          </w:p>
        </w:tc>
      </w:tr>
    </w:tbl>
    <w:p w14:paraId="7F0B1EF4">
      <w:pPr>
        <w:spacing w:after="120" w:line="360" w:lineRule="auto"/>
        <w:jc w:val="right"/>
        <w:rPr>
          <w:rFonts w:hint="default" w:ascii="Times New Roman" w:hAnsi="Times New Roman"/>
          <w:b w:val="0"/>
          <w:sz w:val="24"/>
          <w:szCs w:val="18"/>
          <w:lang w:val="ru-RU"/>
        </w:rPr>
      </w:pPr>
      <w:r>
        <w:rPr>
          <w:rFonts w:ascii="Times New Roman" w:hAnsi="Times New Roman"/>
          <w:b w:val="0"/>
          <w:sz w:val="24"/>
          <w:szCs w:val="18"/>
          <w:lang w:val="ru-RU"/>
        </w:rPr>
        <w:t>Продолжение</w:t>
      </w:r>
      <w:r>
        <w:rPr>
          <w:rFonts w:hint="default" w:ascii="Times New Roman" w:hAnsi="Times New Roman"/>
          <w:b w:val="0"/>
          <w:sz w:val="24"/>
          <w:szCs w:val="18"/>
          <w:lang w:val="ru-RU"/>
        </w:rPr>
        <w:t xml:space="preserve"> таблицы 2.9.</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7"/>
        <w:gridCol w:w="4677"/>
      </w:tblGrid>
      <w:tr w14:paraId="6AB3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4677" w:type="dxa"/>
          </w:tcPr>
          <w:p w14:paraId="3E484F33">
            <w:pPr>
              <w:widowControl w:val="0"/>
              <w:jc w:val="both"/>
            </w:pPr>
            <w:r>
              <w:rPr>
                <w:rFonts w:ascii="Times New Roman" w:hAnsi="Times New Roman"/>
                <w:sz w:val="24"/>
              </w:rPr>
              <w:t>ФОТ административно-управленческого блока (2,5 ставки)</w:t>
            </w:r>
          </w:p>
        </w:tc>
        <w:tc>
          <w:tcPr>
            <w:tcW w:w="4677" w:type="dxa"/>
            <w:vAlign w:val="top"/>
          </w:tcPr>
          <w:p w14:paraId="3A80E2C8">
            <w:pPr>
              <w:widowControl w:val="0"/>
              <w:jc w:val="center"/>
            </w:pPr>
            <w:r>
              <w:rPr>
                <w:rFonts w:ascii="Times New Roman" w:hAnsi="Times New Roman"/>
                <w:sz w:val="24"/>
              </w:rPr>
              <w:t>1 500</w:t>
            </w:r>
          </w:p>
        </w:tc>
      </w:tr>
      <w:tr w14:paraId="425E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A6933B0">
            <w:pPr>
              <w:widowControl w:val="0"/>
              <w:jc w:val="both"/>
            </w:pPr>
            <w:r>
              <w:rPr>
                <w:rFonts w:ascii="Times New Roman" w:hAnsi="Times New Roman"/>
                <w:sz w:val="24"/>
              </w:rPr>
              <w:t>Итого ФОТ</w:t>
            </w:r>
          </w:p>
        </w:tc>
        <w:tc>
          <w:tcPr>
            <w:tcW w:w="4677" w:type="dxa"/>
            <w:vAlign w:val="top"/>
          </w:tcPr>
          <w:p w14:paraId="7395689D">
            <w:pPr>
              <w:widowControl w:val="0"/>
              <w:jc w:val="center"/>
            </w:pPr>
            <w:r>
              <w:rPr>
                <w:rFonts w:ascii="Times New Roman" w:hAnsi="Times New Roman"/>
                <w:sz w:val="24"/>
              </w:rPr>
              <w:t>11 600</w:t>
            </w:r>
          </w:p>
        </w:tc>
      </w:tr>
      <w:tr w14:paraId="628A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765B56D">
            <w:pPr>
              <w:widowControl w:val="0"/>
              <w:jc w:val="both"/>
            </w:pPr>
            <w:r>
              <w:rPr>
                <w:rFonts w:ascii="Times New Roman" w:hAnsi="Times New Roman"/>
                <w:sz w:val="24"/>
              </w:rPr>
              <w:t>Страховые взносы (30%)</w:t>
            </w:r>
          </w:p>
        </w:tc>
        <w:tc>
          <w:tcPr>
            <w:tcW w:w="4677" w:type="dxa"/>
            <w:vAlign w:val="top"/>
          </w:tcPr>
          <w:p w14:paraId="41861602">
            <w:pPr>
              <w:widowControl w:val="0"/>
              <w:jc w:val="center"/>
            </w:pPr>
            <w:r>
              <w:rPr>
                <w:rFonts w:ascii="Times New Roman" w:hAnsi="Times New Roman"/>
                <w:sz w:val="24"/>
              </w:rPr>
              <w:t>3 480</w:t>
            </w:r>
          </w:p>
        </w:tc>
      </w:tr>
      <w:tr w14:paraId="484B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49876556">
            <w:pPr>
              <w:widowControl w:val="0"/>
              <w:jc w:val="both"/>
            </w:pPr>
            <w:r>
              <w:rPr>
                <w:rFonts w:ascii="Times New Roman" w:hAnsi="Times New Roman"/>
                <w:sz w:val="24"/>
              </w:rPr>
              <w:t>Подбор персонала</w:t>
            </w:r>
          </w:p>
        </w:tc>
        <w:tc>
          <w:tcPr>
            <w:tcW w:w="4677" w:type="dxa"/>
            <w:vAlign w:val="top"/>
          </w:tcPr>
          <w:p w14:paraId="5D110CBF">
            <w:pPr>
              <w:widowControl w:val="0"/>
              <w:jc w:val="center"/>
            </w:pPr>
            <w:r>
              <w:rPr>
                <w:rFonts w:ascii="Times New Roman" w:hAnsi="Times New Roman"/>
                <w:sz w:val="24"/>
              </w:rPr>
              <w:t>170</w:t>
            </w:r>
          </w:p>
        </w:tc>
      </w:tr>
      <w:tr w14:paraId="5862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74A0F40E">
            <w:pPr>
              <w:widowControl w:val="0"/>
              <w:jc w:val="both"/>
            </w:pPr>
            <w:r>
              <w:rPr>
                <w:rFonts w:ascii="Times New Roman" w:hAnsi="Times New Roman"/>
                <w:sz w:val="24"/>
              </w:rPr>
              <w:t>Обучение</w:t>
            </w:r>
          </w:p>
        </w:tc>
        <w:tc>
          <w:tcPr>
            <w:tcW w:w="4677" w:type="dxa"/>
            <w:vAlign w:val="top"/>
          </w:tcPr>
          <w:p w14:paraId="0C7C3BF2">
            <w:pPr>
              <w:widowControl w:val="0"/>
              <w:jc w:val="center"/>
            </w:pPr>
            <w:r>
              <w:rPr>
                <w:rFonts w:ascii="Times New Roman" w:hAnsi="Times New Roman"/>
                <w:sz w:val="24"/>
              </w:rPr>
              <w:t>45</w:t>
            </w:r>
          </w:p>
        </w:tc>
      </w:tr>
      <w:tr w14:paraId="4E58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1037E628">
            <w:pPr>
              <w:widowControl w:val="0"/>
              <w:jc w:val="both"/>
            </w:pPr>
            <w:r>
              <w:rPr>
                <w:rFonts w:ascii="Times New Roman" w:hAnsi="Times New Roman"/>
                <w:sz w:val="24"/>
              </w:rPr>
              <w:t>Юрист (аутсорсинг)</w:t>
            </w:r>
          </w:p>
        </w:tc>
        <w:tc>
          <w:tcPr>
            <w:tcW w:w="4677" w:type="dxa"/>
            <w:vAlign w:val="top"/>
          </w:tcPr>
          <w:p w14:paraId="192B4D6D">
            <w:pPr>
              <w:widowControl w:val="0"/>
              <w:jc w:val="center"/>
            </w:pPr>
            <w:r>
              <w:rPr>
                <w:rFonts w:ascii="Times New Roman" w:hAnsi="Times New Roman"/>
                <w:sz w:val="24"/>
              </w:rPr>
              <w:t>150</w:t>
            </w:r>
          </w:p>
        </w:tc>
      </w:tr>
      <w:tr w14:paraId="17D9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7" w:type="dxa"/>
          </w:tcPr>
          <w:p w14:paraId="052FD57E">
            <w:pPr>
              <w:widowControl w:val="0"/>
              <w:jc w:val="both"/>
            </w:pPr>
            <w:r>
              <w:rPr>
                <w:rFonts w:ascii="Times New Roman" w:hAnsi="Times New Roman"/>
                <w:sz w:val="24"/>
              </w:rPr>
              <w:t>Общие затраты на персонал</w:t>
            </w:r>
          </w:p>
        </w:tc>
        <w:tc>
          <w:tcPr>
            <w:tcW w:w="4677" w:type="dxa"/>
            <w:vAlign w:val="top"/>
          </w:tcPr>
          <w:p w14:paraId="3F75D601">
            <w:pPr>
              <w:widowControl w:val="0"/>
              <w:jc w:val="center"/>
            </w:pPr>
            <w:r>
              <w:rPr>
                <w:rFonts w:ascii="Times New Roman" w:hAnsi="Times New Roman"/>
                <w:sz w:val="24"/>
              </w:rPr>
              <w:t>15 445</w:t>
            </w:r>
          </w:p>
        </w:tc>
      </w:tr>
    </w:tbl>
    <w:p w14:paraId="7DD47675">
      <w:pPr>
        <w:spacing w:after="120" w:line="360" w:lineRule="auto"/>
        <w:jc w:val="both"/>
        <w:rPr>
          <w:rFonts w:hint="default" w:ascii="Times New Roman" w:hAnsi="Times New Roman"/>
          <w:b w:val="0"/>
          <w:sz w:val="28"/>
          <w:lang w:val="ru-RU"/>
        </w:rPr>
      </w:pPr>
    </w:p>
    <w:p w14:paraId="692A4A99">
      <w:pPr>
        <w:spacing w:after="120" w:line="360" w:lineRule="auto"/>
        <w:ind w:firstLine="700"/>
        <w:jc w:val="both"/>
      </w:pPr>
      <w:r>
        <w:rPr>
          <w:rFonts w:ascii="Times New Roman" w:hAnsi="Times New Roman"/>
          <w:b w:val="0"/>
          <w:sz w:val="28"/>
        </w:rPr>
        <w:t>Формальное наличие статьи «обучение» не означает существования полноценной системы развития. По имеющимся данным, средства используются эпизодически: чаще всего приобретаются доступы к записям вебинаров по изменениям 44-ФЗ и 223-ФЗ. При этом отсутствуют единая программа обучения, регулярное тестирование, внутренняя база знаний и оценка того, как обучение влияет на качество подготовки заявок.</w:t>
      </w:r>
    </w:p>
    <w:p w14:paraId="607FEF4B">
      <w:pPr>
        <w:jc w:val="both"/>
      </w:pPr>
      <w:r>
        <w:rPr>
          <w:rFonts w:hint="default" w:ascii="Times New Roman" w:hAnsi="Times New Roman"/>
          <w:sz w:val="28"/>
          <w:szCs w:val="28"/>
          <w:lang w:val="ru-RU"/>
        </w:rPr>
        <w:br w:type="page"/>
      </w:r>
    </w:p>
    <w:p w14:paraId="1A4F5A7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b w:val="0"/>
          <w:bCs w:val="0"/>
          <w:sz w:val="28"/>
          <w:szCs w:val="28"/>
          <w:lang w:val="ru-RU"/>
        </w:rPr>
      </w:pPr>
      <w:r>
        <w:rPr>
          <w:rFonts w:hint="default" w:ascii="Times New Roman" w:hAnsi="Times New Roman" w:cs="Times New Roman"/>
          <w:b/>
          <w:bCs/>
          <w:sz w:val="28"/>
          <w:szCs w:val="28"/>
          <w:lang w:val="ru-RU"/>
        </w:rPr>
        <w:t>Глава 3. Система обучения и развития тендерных специалистов ООО «Лайф Медиа»</w:t>
      </w:r>
    </w:p>
    <w:p w14:paraId="61DC43F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ascii="Times New Roman" w:hAnsi="Times New Roman"/>
          <w:b/>
          <w:sz w:val="28"/>
        </w:rPr>
        <w:t xml:space="preserve">(ПК-4) </w:t>
      </w:r>
      <w:r>
        <w:rPr>
          <w:rFonts w:ascii="Times New Roman" w:hAnsi="Times New Roman"/>
          <w:sz w:val="28"/>
        </w:rPr>
        <w:t>Тендерный отдел ООО «Лайф Медиа» является ключевым подразделением компании, так как именно через участие в государственных корпоративных закупках формируется основная часть выручки. Работа специалистов отдела связана с постоянным анализом документации заказчиков, отслеживанием изменений в законодательстве, расчётом ценовых предложений, подготовкой комплектов документов и технической</w:t>
        <w:tab/>
        <w:t xml:space="preserve"> подачей заявок на электронных торговых площадках (ЭТП). При таком характере деятельности квалификация сотрудников напрямую влияет не только на качество выполнения отдельных операций, но и на финансовый результат компании.</w:t>
      </w:r>
    </w:p>
    <w:p w14:paraId="75A9EB39">
      <w:pPr>
        <w:keepNext w:val="0"/>
        <w:keepLines w:val="0"/>
        <w:pageBreakBefore w:val="0"/>
        <w:widowControl/>
        <w:numPr>
          <w:ilvl w:val="0"/>
          <w:numId w:val="0"/>
        </w:numPr>
        <w:kinsoku/>
        <w:wordWrap/>
        <w:overflowPunct/>
        <w:topLinePunct w:val="0"/>
        <w:autoSpaceDE/>
        <w:autoSpaceDN/>
        <w:bidi w:val="0"/>
        <w:adjustRightInd/>
        <w:snapToGrid/>
        <w:spacing w:line="360" w:lineRule="auto" w:after="120"/>
        <w:ind w:firstLineChars="150" w:firstLine="700"/>
        <w:jc w:val="both"/>
        <w:textAlignment w:val="auto"/>
        <w:rPr>
          <w:rFonts w:hint="default" w:ascii="Times New Roman" w:hAnsi="Times New Roman"/>
          <w:b w:val="0"/>
          <w:bCs w:val="0"/>
          <w:color w:val="auto"/>
          <w:sz w:val="28"/>
          <w:szCs w:val="28"/>
          <w:lang w:val="ru-RU"/>
        </w:rPr>
      </w:pPr>
      <w:r>
        <w:rPr>
          <w:rFonts w:ascii="Times New Roman" w:hAnsi="Times New Roman"/>
          <w:b/>
          <w:sz w:val="28"/>
        </w:rPr>
        <w:t xml:space="preserve">(УК-6) </w:t>
      </w:r>
      <w:r>
        <w:rPr>
          <w:rFonts w:ascii="Times New Roman" w:hAnsi="Times New Roman"/>
          <w:sz w:val="28"/>
        </w:rPr>
        <w:t>Несмотря на высокую значимость тендерного отдела, в компании отсутствует целостная система обучения и развития персонала. Под системой обучения в данном случае понимается не разовое направление сотрудников на курс или самостоятельное изучение материалов, а совокупность взаимосвязанных элементов: вводная адаптация новых работников, регулярное обновление знаний, разбор ошибок, единая база знаний, наставничество и оценка влияния обучения на рабочие показатели. В ООО «Лайф Медиа» такие элементы либо полностью отсутствуют, либо существуют фрагментарно и не связаны между собой [4; 8].</w:t>
      </w:r>
    </w:p>
    <w:p w14:paraId="7CAABE3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ascii="Times New Roman" w:hAnsi="Times New Roman"/>
          <w:b w:val="0"/>
          <w:sz w:val="28"/>
        </w:rPr>
        <w:t>Фактически обучение тендерных специалистов строится преимущественно на самостоятельном поиске информации и передаче знаний от более опытных сотрудников в процессе работы. Такой формат нельзя считать устойчивой системой, поскольку он зависит от личной инициативы конкретных сотрудников, загруженности руководителя отдела и наличия свободного времени и желания коллег. Если новый специалист сталкивается с нестандартной закупкой, изменением формы документа или особенностями электронной торговой площадки (ЭТП), то чаще всего он получает информацию ситуативно, то есть через устное пояснение, поиск в открытых источниках или просмотр ранее поданных заявок.</w:t>
      </w:r>
    </w:p>
    <w:p w14:paraId="33FADAC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r>
        <w:rPr>
          <w:rFonts w:hint="default" w:ascii="Times New Roman" w:hAnsi="Times New Roman"/>
          <w:b w:val="0"/>
          <w:bCs w:val="0"/>
          <w:color w:val="auto"/>
          <w:sz w:val="28"/>
          <w:szCs w:val="28"/>
          <w:lang w:val="ru-RU"/>
        </w:rPr>
        <w:t>Отсутствие системности проявляется прежде всего в том, что в компании нет утверждённой программы адаптации тендерного специалиста. Новый сотрудник не проходит введение в должность через путь, где были бы закреплены темы, сроки освоения, ответственные лица. В результате скорость включения в работу зависит от первоначального уровня подготовки человека.</w:t>
      </w:r>
    </w:p>
    <w:p w14:paraId="11CA3F9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bCs w:val="0"/>
          <w:color w:val="auto"/>
          <w:sz w:val="28"/>
          <w:szCs w:val="28"/>
          <w:lang w:val="ru-RU"/>
        </w:rPr>
        <w:t xml:space="preserve">Второй важный признак отсутствия системы обучения связан с тем, что в компании нет единой базы актуальных учебных и рабочих материалов. Документы, шаблоны, образцы заполнения форм и инструкций хранятся разрозненно. Часть материалов находится в общих папках, часть </w:t>
      </w:r>
      <w:r>
        <w:rPr>
          <w:rFonts w:ascii="Times New Roman" w:hAnsi="Times New Roman"/>
          <w:b w:val="0"/>
          <w:i w:val="0"/>
          <w:sz w:val="28"/>
        </w:rPr>
        <w:t xml:space="preserve">— </w:t>
      </w:r>
      <w:r>
        <w:rPr>
          <w:rFonts w:ascii="Times New Roman" w:hAnsi="Times New Roman"/>
          <w:b w:val="0"/>
          <w:i w:val="0"/>
          <w:sz w:val="28"/>
          <w:lang w:val="ru-RU"/>
        </w:rPr>
        <w:t>у</w:t>
      </w:r>
      <w:r>
        <w:rPr>
          <w:rFonts w:hint="default" w:ascii="Times New Roman" w:hAnsi="Times New Roman"/>
          <w:b w:val="0"/>
          <w:i w:val="0"/>
          <w:sz w:val="28"/>
          <w:lang w:val="ru-RU"/>
        </w:rPr>
        <w:t xml:space="preserve"> отдельных сотрудников, часть </w:t>
      </w:r>
      <w:r>
        <w:rPr>
          <w:rFonts w:ascii="Times New Roman" w:hAnsi="Times New Roman"/>
          <w:b w:val="0"/>
          <w:i w:val="0"/>
          <w:sz w:val="28"/>
        </w:rPr>
        <w:t xml:space="preserve">— </w:t>
      </w:r>
      <w:r>
        <w:rPr>
          <w:rFonts w:hint="default" w:ascii="Times New Roman" w:hAnsi="Times New Roman"/>
          <w:b w:val="0"/>
          <w:i w:val="0"/>
          <w:sz w:val="28"/>
          <w:lang w:val="ru-RU"/>
        </w:rPr>
        <w:t xml:space="preserve"> в переписках или задачах Битрикс24. при этом не закреплён порядок регулярного обновления таких материалов после изменений в 44-ФЗ и 223-ФЗ, требованиях заказчиков или правилах электронных площадок. Это создаёт риск использования устаревших форм и неодинакового подхода к подготовке заявок.</w:t>
      </w:r>
    </w:p>
    <w:p w14:paraId="149C1A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Третья проблема заключается в отсутствии регулярной проверки знаний. В компании не проводится тестирование по изменениям законодательства, не фиксируются результаты изучения обучающих материалов, не оценивается готовность специалиста к самостоятельной работе с отдельными типами закупок. Поэтому руководитель не получает объективной информации о том, какие направления имеют проблемы.</w:t>
      </w:r>
    </w:p>
    <w:p w14:paraId="31E03C9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hint="default" w:ascii="Times New Roman" w:hAnsi="Times New Roman"/>
          <w:b w:val="0"/>
          <w:i w:val="0"/>
          <w:sz w:val="28"/>
          <w:lang w:val="ru-RU"/>
        </w:rPr>
        <w:t xml:space="preserve">Четвёртая проблема </w:t>
      </w:r>
      <w:r>
        <w:rPr>
          <w:rFonts w:ascii="Times New Roman" w:hAnsi="Times New Roman"/>
          <w:b w:val="0"/>
          <w:i w:val="0"/>
          <w:sz w:val="28"/>
        </w:rPr>
        <w:t xml:space="preserve">— </w:t>
      </w:r>
      <w:r>
        <w:rPr>
          <w:rFonts w:hint="default" w:ascii="Times New Roman" w:hAnsi="Times New Roman"/>
          <w:b w:val="0"/>
          <w:i w:val="0"/>
          <w:sz w:val="28"/>
          <w:lang w:val="ru-RU"/>
        </w:rPr>
        <w:t xml:space="preserve"> отсутствие системного разбора ошибок. Если заявка отклоняется, ошибка обсуждается устно и, как правило, в привязке к конкретному случаю. Такая информация не превращается в общую базу знаний отдела: не фиксируется причина отклонения, не формируется перечень типовых ошибок, не анализируется повторяемость нарушений по сотрудникам и по видам закупки. В результате один и тот же тип ошибки может повторяться у разных специалистов, потому что отдельный опыт не становится общим знанием подразделения.</w:t>
      </w:r>
    </w:p>
    <w:p w14:paraId="76FD2ED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i w:val="0"/>
          <w:sz w:val="28"/>
          <w:lang w:val="ru-RU"/>
        </w:rPr>
      </w:pPr>
      <w:r>
        <w:rPr>
          <w:rFonts w:ascii="Times New Roman" w:hAnsi="Times New Roman"/>
          <w:b w:val="0"/>
          <w:sz w:val="28"/>
        </w:rPr>
        <w:t>В таблице 3.1. отражено фактическое состояние системы обучения тендерных специалистов компании.</w:t>
      </w:r>
    </w:p>
    <w:p w14:paraId="563248EF">
      <w:pPr>
        <w:spacing w:after="120" w:line="360" w:lineRule="auto"/>
        <w:ind w:firstLine="700"/>
      </w:pPr>
    </w:p>
    <w:p w14:paraId="7D471671">
      <w:pPr>
        <w:spacing w:after="120" w:line="360" w:lineRule="auto"/>
        <w:ind w:firstLine="700"/>
        <w:jc w:val="right"/>
        <w:rPr>
          <w:sz w:val="24"/>
          <w:szCs w:val="24"/>
        </w:rPr>
      </w:pPr>
      <w:r>
        <w:rPr>
          <w:rFonts w:ascii="Times New Roman" w:hAnsi="Times New Roman"/>
          <w:b w:val="0"/>
          <w:i w:val="0"/>
          <w:sz w:val="24"/>
          <w:szCs w:val="24"/>
        </w:rPr>
        <w:t>Таблица 3.1. Характеристика фактического состояния обучения тендерных специалистов ООО «Лайф Медиа»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1EB3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BB9F1FC">
            <w:pPr>
              <w:widowControl w:val="0"/>
              <w:spacing w:line="240" w:lineRule="auto"/>
              <w:jc w:val="center"/>
              <w:rPr>
                <w:b w:val="0"/>
                <w:bCs/>
                <w:sz w:val="24"/>
                <w:szCs w:val="24"/>
              </w:rPr>
            </w:pPr>
            <w:r>
              <w:rPr>
                <w:rFonts w:ascii="Times New Roman" w:hAnsi="Times New Roman"/>
                <w:b w:val="0"/>
                <w:bCs/>
                <w:sz w:val="24"/>
                <w:szCs w:val="24"/>
              </w:rPr>
              <w:t>Элемент системы обучения</w:t>
            </w:r>
          </w:p>
        </w:tc>
        <w:tc>
          <w:tcPr>
            <w:tcW w:w="3118" w:type="dxa"/>
          </w:tcPr>
          <w:p w14:paraId="1A45EDE8">
            <w:pPr>
              <w:widowControl w:val="0"/>
              <w:spacing w:line="240" w:lineRule="auto"/>
              <w:jc w:val="center"/>
              <w:rPr>
                <w:b w:val="0"/>
                <w:bCs/>
                <w:sz w:val="24"/>
                <w:szCs w:val="24"/>
              </w:rPr>
            </w:pPr>
            <w:r>
              <w:rPr>
                <w:rFonts w:ascii="Times New Roman" w:hAnsi="Times New Roman"/>
                <w:b w:val="0"/>
                <w:bCs/>
                <w:sz w:val="24"/>
                <w:szCs w:val="24"/>
              </w:rPr>
              <w:t>Фактическое состояние в компании</w:t>
            </w:r>
          </w:p>
        </w:tc>
        <w:tc>
          <w:tcPr>
            <w:tcW w:w="3118" w:type="dxa"/>
          </w:tcPr>
          <w:p w14:paraId="503F45C3">
            <w:pPr>
              <w:widowControl w:val="0"/>
              <w:spacing w:line="240" w:lineRule="auto"/>
              <w:jc w:val="center"/>
              <w:rPr>
                <w:b w:val="0"/>
                <w:bCs/>
                <w:sz w:val="24"/>
                <w:szCs w:val="24"/>
              </w:rPr>
            </w:pPr>
            <w:r>
              <w:rPr>
                <w:rFonts w:ascii="Times New Roman" w:hAnsi="Times New Roman"/>
                <w:b w:val="0"/>
                <w:bCs/>
                <w:sz w:val="24"/>
                <w:szCs w:val="24"/>
              </w:rPr>
              <w:t>Проявление в работе отдела</w:t>
            </w:r>
          </w:p>
        </w:tc>
      </w:tr>
      <w:tr w14:paraId="4FAE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F8257A3">
            <w:pPr>
              <w:widowControl w:val="0"/>
              <w:spacing w:line="240" w:lineRule="auto"/>
              <w:jc w:val="both"/>
              <w:rPr>
                <w:sz w:val="24"/>
                <w:szCs w:val="24"/>
              </w:rPr>
            </w:pPr>
            <w:r>
              <w:rPr>
                <w:rFonts w:ascii="Times New Roman" w:hAnsi="Times New Roman"/>
                <w:sz w:val="24"/>
                <w:szCs w:val="24"/>
              </w:rPr>
              <w:t>Вводная адаптация</w:t>
            </w:r>
          </w:p>
        </w:tc>
        <w:tc>
          <w:tcPr>
            <w:tcW w:w="3118" w:type="dxa"/>
          </w:tcPr>
          <w:p w14:paraId="01E2C35F">
            <w:pPr>
              <w:widowControl w:val="0"/>
              <w:spacing w:line="240" w:lineRule="auto"/>
              <w:jc w:val="both"/>
              <w:rPr>
                <w:sz w:val="24"/>
                <w:szCs w:val="24"/>
              </w:rPr>
            </w:pPr>
            <w:r>
              <w:rPr>
                <w:rFonts w:ascii="Times New Roman" w:hAnsi="Times New Roman"/>
                <w:sz w:val="24"/>
                <w:szCs w:val="24"/>
              </w:rPr>
              <w:t>Единая программа адаптации отсутствует</w:t>
            </w:r>
          </w:p>
        </w:tc>
        <w:tc>
          <w:tcPr>
            <w:tcW w:w="3118" w:type="dxa"/>
          </w:tcPr>
          <w:p w14:paraId="3A2E20D6">
            <w:pPr>
              <w:widowControl w:val="0"/>
              <w:spacing w:line="240" w:lineRule="auto"/>
              <w:jc w:val="both"/>
              <w:rPr>
                <w:sz w:val="24"/>
                <w:szCs w:val="24"/>
              </w:rPr>
            </w:pPr>
            <w:r>
              <w:rPr>
                <w:rFonts w:ascii="Times New Roman" w:hAnsi="Times New Roman"/>
                <w:sz w:val="24"/>
                <w:szCs w:val="24"/>
              </w:rPr>
              <w:t>Новый сотрудник осваивает работу через устные пояснения и текущие задачи</w:t>
            </w:r>
          </w:p>
        </w:tc>
      </w:tr>
      <w:tr w14:paraId="195E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8BFC080">
            <w:pPr>
              <w:widowControl w:val="0"/>
              <w:spacing w:line="240" w:lineRule="auto"/>
              <w:jc w:val="both"/>
              <w:rPr>
                <w:sz w:val="24"/>
                <w:szCs w:val="24"/>
              </w:rPr>
            </w:pPr>
            <w:r>
              <w:rPr>
                <w:rFonts w:ascii="Times New Roman" w:hAnsi="Times New Roman"/>
                <w:sz w:val="24"/>
                <w:szCs w:val="24"/>
              </w:rPr>
              <w:t>Учебные материалы</w:t>
            </w:r>
          </w:p>
        </w:tc>
        <w:tc>
          <w:tcPr>
            <w:tcW w:w="3118" w:type="dxa"/>
          </w:tcPr>
          <w:p w14:paraId="1C8877F6">
            <w:pPr>
              <w:widowControl w:val="0"/>
              <w:spacing w:line="240" w:lineRule="auto"/>
              <w:jc w:val="both"/>
              <w:rPr>
                <w:sz w:val="24"/>
                <w:szCs w:val="24"/>
              </w:rPr>
            </w:pPr>
            <w:r>
              <w:rPr>
                <w:rFonts w:ascii="Times New Roman" w:hAnsi="Times New Roman"/>
                <w:sz w:val="24"/>
                <w:szCs w:val="24"/>
              </w:rPr>
              <w:t>Единая база актуальных материалов не сформирована</w:t>
            </w:r>
          </w:p>
        </w:tc>
        <w:tc>
          <w:tcPr>
            <w:tcW w:w="3118" w:type="dxa"/>
          </w:tcPr>
          <w:p w14:paraId="6D5BA582">
            <w:pPr>
              <w:widowControl w:val="0"/>
              <w:spacing w:line="240" w:lineRule="auto"/>
              <w:jc w:val="both"/>
              <w:rPr>
                <w:sz w:val="24"/>
                <w:szCs w:val="24"/>
              </w:rPr>
            </w:pPr>
            <w:r>
              <w:rPr>
                <w:rFonts w:ascii="Times New Roman" w:hAnsi="Times New Roman"/>
                <w:sz w:val="24"/>
                <w:szCs w:val="24"/>
              </w:rPr>
              <w:t>Сотрудники используют разные источники, часть шаблонов может устаревать</w:t>
            </w:r>
          </w:p>
        </w:tc>
      </w:tr>
      <w:tr w14:paraId="51E9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7DE8FAA">
            <w:pPr>
              <w:widowControl w:val="0"/>
              <w:spacing w:line="240" w:lineRule="auto"/>
              <w:jc w:val="both"/>
              <w:rPr>
                <w:sz w:val="24"/>
                <w:szCs w:val="24"/>
              </w:rPr>
            </w:pPr>
            <w:r>
              <w:rPr>
                <w:rFonts w:ascii="Times New Roman" w:hAnsi="Times New Roman"/>
                <w:sz w:val="24"/>
                <w:szCs w:val="24"/>
              </w:rPr>
              <w:t>Обновление знаний</w:t>
            </w:r>
          </w:p>
        </w:tc>
        <w:tc>
          <w:tcPr>
            <w:tcW w:w="3118" w:type="dxa"/>
          </w:tcPr>
          <w:p w14:paraId="4F19315E">
            <w:pPr>
              <w:widowControl w:val="0"/>
              <w:spacing w:line="240" w:lineRule="auto"/>
              <w:jc w:val="both"/>
              <w:rPr>
                <w:sz w:val="24"/>
                <w:szCs w:val="24"/>
              </w:rPr>
            </w:pPr>
            <w:r>
              <w:rPr>
                <w:rFonts w:ascii="Times New Roman" w:hAnsi="Times New Roman"/>
                <w:sz w:val="24"/>
                <w:szCs w:val="24"/>
              </w:rPr>
              <w:t>Происходит эпизодически через вебинары и самостоятельный поиск информации</w:t>
            </w:r>
          </w:p>
        </w:tc>
        <w:tc>
          <w:tcPr>
            <w:tcW w:w="3118" w:type="dxa"/>
          </w:tcPr>
          <w:p w14:paraId="5298CDDD">
            <w:pPr>
              <w:widowControl w:val="0"/>
              <w:spacing w:line="240" w:lineRule="auto"/>
              <w:jc w:val="both"/>
              <w:rPr>
                <w:sz w:val="24"/>
                <w:szCs w:val="24"/>
              </w:rPr>
            </w:pPr>
            <w:r>
              <w:rPr>
                <w:rFonts w:ascii="Times New Roman" w:hAnsi="Times New Roman"/>
                <w:sz w:val="24"/>
                <w:szCs w:val="24"/>
              </w:rPr>
              <w:t>Изменения законодательства не всегда одинаково быстро доходят до всех сотрудников</w:t>
            </w:r>
          </w:p>
        </w:tc>
      </w:tr>
      <w:tr w14:paraId="5705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3FE5A3B">
            <w:pPr>
              <w:widowControl w:val="0"/>
              <w:spacing w:line="240" w:lineRule="auto"/>
              <w:jc w:val="both"/>
              <w:rPr>
                <w:sz w:val="24"/>
                <w:szCs w:val="24"/>
              </w:rPr>
            </w:pPr>
            <w:r>
              <w:rPr>
                <w:rFonts w:ascii="Times New Roman" w:hAnsi="Times New Roman"/>
                <w:sz w:val="24"/>
                <w:szCs w:val="24"/>
              </w:rPr>
              <w:t>Проверка знаний</w:t>
            </w:r>
          </w:p>
        </w:tc>
        <w:tc>
          <w:tcPr>
            <w:tcW w:w="3118" w:type="dxa"/>
          </w:tcPr>
          <w:p w14:paraId="788095DF">
            <w:pPr>
              <w:widowControl w:val="0"/>
              <w:spacing w:line="240" w:lineRule="auto"/>
              <w:jc w:val="both"/>
              <w:rPr>
                <w:sz w:val="24"/>
                <w:szCs w:val="24"/>
              </w:rPr>
            </w:pPr>
            <w:r>
              <w:rPr>
                <w:rFonts w:ascii="Times New Roman" w:hAnsi="Times New Roman"/>
                <w:sz w:val="24"/>
                <w:szCs w:val="24"/>
              </w:rPr>
              <w:t>Регулярное тестирование не проводится</w:t>
            </w:r>
          </w:p>
        </w:tc>
        <w:tc>
          <w:tcPr>
            <w:tcW w:w="3118" w:type="dxa"/>
          </w:tcPr>
          <w:p w14:paraId="15DAA408">
            <w:pPr>
              <w:widowControl w:val="0"/>
              <w:spacing w:line="240" w:lineRule="auto"/>
              <w:jc w:val="both"/>
              <w:rPr>
                <w:sz w:val="24"/>
                <w:szCs w:val="24"/>
              </w:rPr>
            </w:pPr>
            <w:r>
              <w:rPr>
                <w:rFonts w:ascii="Times New Roman" w:hAnsi="Times New Roman"/>
                <w:sz w:val="24"/>
                <w:szCs w:val="24"/>
              </w:rPr>
              <w:t>Руководитель не имеет точной картины по пробелам в знаниях специалистов</w:t>
            </w:r>
          </w:p>
        </w:tc>
      </w:tr>
      <w:tr w14:paraId="6E4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1DCBF6">
            <w:pPr>
              <w:widowControl w:val="0"/>
              <w:spacing w:line="240" w:lineRule="auto"/>
              <w:jc w:val="both"/>
              <w:rPr>
                <w:sz w:val="24"/>
                <w:szCs w:val="24"/>
              </w:rPr>
            </w:pPr>
            <w:r>
              <w:rPr>
                <w:rFonts w:ascii="Times New Roman" w:hAnsi="Times New Roman"/>
                <w:sz w:val="24"/>
                <w:szCs w:val="24"/>
              </w:rPr>
              <w:t>Разбор ошибок</w:t>
            </w:r>
          </w:p>
        </w:tc>
        <w:tc>
          <w:tcPr>
            <w:tcW w:w="3118" w:type="dxa"/>
          </w:tcPr>
          <w:p w14:paraId="648ED9EF">
            <w:pPr>
              <w:widowControl w:val="0"/>
              <w:spacing w:line="240" w:lineRule="auto"/>
              <w:jc w:val="both"/>
              <w:rPr>
                <w:sz w:val="24"/>
                <w:szCs w:val="24"/>
              </w:rPr>
            </w:pPr>
            <w:r>
              <w:rPr>
                <w:rFonts w:ascii="Times New Roman" w:hAnsi="Times New Roman"/>
                <w:sz w:val="24"/>
                <w:szCs w:val="24"/>
              </w:rPr>
              <w:t>Ошибки обсуждаются устно и не фиксируются в единой базе</w:t>
            </w:r>
          </w:p>
        </w:tc>
        <w:tc>
          <w:tcPr>
            <w:tcW w:w="3118" w:type="dxa"/>
          </w:tcPr>
          <w:p w14:paraId="4FE97557">
            <w:pPr>
              <w:widowControl w:val="0"/>
              <w:spacing w:line="240" w:lineRule="auto"/>
              <w:jc w:val="both"/>
              <w:rPr>
                <w:sz w:val="24"/>
                <w:szCs w:val="24"/>
              </w:rPr>
            </w:pPr>
            <w:r>
              <w:rPr>
                <w:rFonts w:ascii="Times New Roman" w:hAnsi="Times New Roman"/>
                <w:sz w:val="24"/>
                <w:szCs w:val="24"/>
              </w:rPr>
              <w:t>Повторяющиеся ошибки не превращаются в общий опыт отдела</w:t>
            </w:r>
          </w:p>
        </w:tc>
      </w:tr>
      <w:tr w14:paraId="5F3F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041087B">
            <w:pPr>
              <w:widowControl w:val="0"/>
              <w:spacing w:line="240" w:lineRule="auto"/>
              <w:jc w:val="both"/>
              <w:rPr>
                <w:sz w:val="24"/>
                <w:szCs w:val="24"/>
              </w:rPr>
            </w:pPr>
            <w:r>
              <w:rPr>
                <w:rFonts w:ascii="Times New Roman" w:hAnsi="Times New Roman"/>
                <w:sz w:val="24"/>
                <w:szCs w:val="24"/>
              </w:rPr>
              <w:t>Наставничество</w:t>
            </w:r>
          </w:p>
        </w:tc>
        <w:tc>
          <w:tcPr>
            <w:tcW w:w="3118" w:type="dxa"/>
          </w:tcPr>
          <w:p w14:paraId="4A3EB0BC">
            <w:pPr>
              <w:widowControl w:val="0"/>
              <w:spacing w:line="240" w:lineRule="auto"/>
              <w:jc w:val="both"/>
              <w:rPr>
                <w:sz w:val="24"/>
                <w:szCs w:val="24"/>
              </w:rPr>
            </w:pPr>
            <w:r>
              <w:rPr>
                <w:rFonts w:ascii="Times New Roman" w:hAnsi="Times New Roman"/>
                <w:sz w:val="24"/>
                <w:szCs w:val="24"/>
              </w:rPr>
              <w:t>Формально не закреплено</w:t>
            </w:r>
          </w:p>
        </w:tc>
        <w:tc>
          <w:tcPr>
            <w:tcW w:w="3118" w:type="dxa"/>
          </w:tcPr>
          <w:p w14:paraId="175D22C0">
            <w:pPr>
              <w:widowControl w:val="0"/>
              <w:spacing w:line="240" w:lineRule="auto"/>
              <w:jc w:val="both"/>
              <w:rPr>
                <w:sz w:val="24"/>
                <w:szCs w:val="24"/>
              </w:rPr>
            </w:pPr>
            <w:r>
              <w:rPr>
                <w:rFonts w:ascii="Times New Roman" w:hAnsi="Times New Roman"/>
                <w:sz w:val="24"/>
                <w:szCs w:val="24"/>
              </w:rPr>
              <w:t>Передача опыта зависит от личной инициативы опытных сотрудников</w:t>
            </w:r>
          </w:p>
        </w:tc>
      </w:tr>
      <w:tr w14:paraId="568F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6FD078C">
            <w:pPr>
              <w:widowControl w:val="0"/>
              <w:spacing w:line="240" w:lineRule="auto"/>
              <w:jc w:val="both"/>
              <w:rPr>
                <w:sz w:val="24"/>
                <w:szCs w:val="24"/>
              </w:rPr>
            </w:pPr>
            <w:r>
              <w:rPr>
                <w:rFonts w:ascii="Times New Roman" w:hAnsi="Times New Roman"/>
                <w:sz w:val="24"/>
                <w:szCs w:val="24"/>
              </w:rPr>
              <w:t>Оценка эффективности обучения</w:t>
            </w:r>
          </w:p>
        </w:tc>
        <w:tc>
          <w:tcPr>
            <w:tcW w:w="3118" w:type="dxa"/>
          </w:tcPr>
          <w:p w14:paraId="038F0B21">
            <w:pPr>
              <w:widowControl w:val="0"/>
              <w:spacing w:line="240" w:lineRule="auto"/>
              <w:jc w:val="both"/>
              <w:rPr>
                <w:sz w:val="24"/>
                <w:szCs w:val="24"/>
              </w:rPr>
            </w:pPr>
            <w:r>
              <w:rPr>
                <w:rFonts w:ascii="Times New Roman" w:hAnsi="Times New Roman"/>
                <w:sz w:val="24"/>
                <w:szCs w:val="24"/>
              </w:rPr>
              <w:t>Не проводится</w:t>
            </w:r>
          </w:p>
        </w:tc>
        <w:tc>
          <w:tcPr>
            <w:tcW w:w="3118" w:type="dxa"/>
          </w:tcPr>
          <w:p w14:paraId="11B3787B">
            <w:pPr>
              <w:widowControl w:val="0"/>
              <w:spacing w:line="240" w:lineRule="auto"/>
              <w:jc w:val="both"/>
              <w:rPr>
                <w:sz w:val="24"/>
                <w:szCs w:val="24"/>
              </w:rPr>
            </w:pPr>
            <w:r>
              <w:rPr>
                <w:rFonts w:ascii="Times New Roman" w:hAnsi="Times New Roman"/>
                <w:sz w:val="24"/>
                <w:szCs w:val="24"/>
              </w:rPr>
              <w:t>Невозможно определить, влияет ли обучение на качество заявок и количество отклонений</w:t>
            </w:r>
          </w:p>
        </w:tc>
      </w:tr>
    </w:tbl>
    <w:p w14:paraId="231D5F22">
      <w:pPr>
        <w:spacing w:after="120" w:line="240" w:lineRule="auto"/>
        <w:ind w:firstLine="700"/>
        <w:rPr>
          <w:sz w:val="24"/>
          <w:szCs w:val="24"/>
        </w:rPr>
      </w:pPr>
    </w:p>
    <w:p w14:paraId="4AD3D4C4">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Таким</w:t>
      </w:r>
      <w:r>
        <w:rPr>
          <w:rFonts w:hint="default" w:ascii="Times New Roman" w:hAnsi="Times New Roman"/>
          <w:b w:val="0"/>
          <w:i w:val="0"/>
          <w:sz w:val="28"/>
          <w:lang w:val="ru-RU"/>
        </w:rPr>
        <w:t xml:space="preserve"> образом, в тендерном отделе ООО «Лайф Медиа» присутствуют отдельные обучающие действия, но они не образуют целостной системы. Компания несёт минимальные и формальные затраты, которые имеют эпизодический характер.</w:t>
      </w:r>
    </w:p>
    <w:p w14:paraId="7FF4D824">
      <w:pPr>
        <w:spacing w:after="120" w:line="360" w:lineRule="auto"/>
        <w:ind w:firstLine="700"/>
        <w:jc w:val="both"/>
        <w:rPr>
          <w:rFonts w:hint="default" w:ascii="Times New Roman" w:hAnsi="Times New Roman"/>
          <w:b w:val="0"/>
          <w:i w:val="0"/>
          <w:sz w:val="28"/>
          <w:lang w:val="ru-RU"/>
        </w:rPr>
      </w:pPr>
      <w:r>
        <w:rPr>
          <w:rFonts w:ascii="Times New Roman" w:hAnsi="Times New Roman"/>
          <w:b/>
          <w:sz w:val="28"/>
        </w:rPr>
        <w:t xml:space="preserve">(УК-1) </w:t>
      </w:r>
      <w:r>
        <w:rPr>
          <w:rFonts w:ascii="Times New Roman" w:hAnsi="Times New Roman"/>
          <w:sz w:val="28"/>
        </w:rPr>
        <w:t>Чтобы оценить насколько отсутствие системного обучения отражается на деятельности тендерного отдела, необходимо рассмотреть показатели участия компании в закупках (см.табл.3.2.). Для ООО «Лайф Медиа» важны не только количество поданных заявок и число выигранных контрактов, но и доля заявок, признанных соответствующими требованиям заказчика. Именно этот показатель отражает, насколько качественно сотрудники выполняют подготовительный этап работы: проверяют документацию, собирают обязательные формы, соблюдают требования к файлам, срокам и электронной подписи.</w:t>
      </w:r>
    </w:p>
    <w:p w14:paraId="7126ACB7">
      <w:pPr>
        <w:spacing w:after="120" w:line="360" w:lineRule="auto"/>
        <w:ind w:firstLine="700"/>
        <w:jc w:val="both"/>
        <w:rPr>
          <w:sz w:val="24"/>
          <w:szCs w:val="24"/>
        </w:rPr>
      </w:pPr>
      <w:r>
        <w:rPr>
          <w:rFonts w:ascii="Times New Roman" w:hAnsi="Times New Roman"/>
          <w:b w:val="0"/>
          <w:i w:val="0"/>
          <w:sz w:val="24"/>
          <w:szCs w:val="24"/>
        </w:rPr>
        <w:t>Таблица 3.2. Результаты участия ООО «Лайф Медиа» в тендерах за 2023-2025 гг.</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7"/>
        <w:gridCol w:w="1071"/>
        <w:gridCol w:w="2240"/>
        <w:gridCol w:w="1414"/>
        <w:gridCol w:w="1425"/>
        <w:gridCol w:w="1367"/>
        <w:gridCol w:w="1277"/>
      </w:tblGrid>
      <w:tr w14:paraId="777D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vAlign w:val="center"/>
          </w:tcPr>
          <w:p w14:paraId="16D06A5C">
            <w:pPr>
              <w:widowControl w:val="0"/>
              <w:jc w:val="both"/>
              <w:rPr>
                <w:b w:val="0"/>
                <w:bCs/>
              </w:rPr>
            </w:pPr>
            <w:r>
              <w:rPr>
                <w:rFonts w:ascii="Times New Roman" w:hAnsi="Times New Roman"/>
                <w:b w:val="0"/>
                <w:bCs/>
                <w:sz w:val="24"/>
              </w:rPr>
              <w:t>Год</w:t>
            </w:r>
          </w:p>
        </w:tc>
        <w:tc>
          <w:tcPr>
            <w:tcW w:w="1071" w:type="dxa"/>
            <w:vAlign w:val="center"/>
          </w:tcPr>
          <w:p w14:paraId="6FC70E4E">
            <w:pPr>
              <w:widowControl w:val="0"/>
              <w:jc w:val="both"/>
              <w:rPr>
                <w:b w:val="0"/>
                <w:bCs/>
              </w:rPr>
            </w:pPr>
            <w:r>
              <w:rPr>
                <w:rFonts w:ascii="Times New Roman" w:hAnsi="Times New Roman"/>
                <w:b w:val="0"/>
                <w:bCs/>
                <w:sz w:val="24"/>
              </w:rPr>
              <w:t>Подано заявок</w:t>
            </w:r>
          </w:p>
        </w:tc>
        <w:tc>
          <w:tcPr>
            <w:tcW w:w="2240" w:type="dxa"/>
            <w:vAlign w:val="center"/>
          </w:tcPr>
          <w:p w14:paraId="000F2935">
            <w:pPr>
              <w:widowControl w:val="0"/>
              <w:jc w:val="both"/>
              <w:rPr>
                <w:b w:val="0"/>
                <w:bCs/>
              </w:rPr>
            </w:pPr>
            <w:r>
              <w:rPr>
                <w:rFonts w:ascii="Times New Roman" w:hAnsi="Times New Roman"/>
                <w:b w:val="0"/>
                <w:bCs/>
                <w:sz w:val="24"/>
              </w:rPr>
              <w:t>Признано соответствующими</w:t>
            </w:r>
          </w:p>
        </w:tc>
        <w:tc>
          <w:tcPr>
            <w:tcW w:w="1414" w:type="dxa"/>
            <w:vAlign w:val="center"/>
          </w:tcPr>
          <w:p w14:paraId="55C2D6C9">
            <w:pPr>
              <w:widowControl w:val="0"/>
              <w:jc w:val="both"/>
              <w:rPr>
                <w:b w:val="0"/>
                <w:bCs/>
              </w:rPr>
            </w:pPr>
            <w:r>
              <w:rPr>
                <w:rFonts w:ascii="Times New Roman" w:hAnsi="Times New Roman"/>
                <w:b w:val="0"/>
                <w:bCs/>
                <w:sz w:val="24"/>
              </w:rPr>
              <w:t>Отклонено на этапе допуска</w:t>
            </w:r>
          </w:p>
        </w:tc>
        <w:tc>
          <w:tcPr>
            <w:tcW w:w="1425" w:type="dxa"/>
            <w:vAlign w:val="center"/>
          </w:tcPr>
          <w:p w14:paraId="465C3E86">
            <w:pPr>
              <w:widowControl w:val="0"/>
              <w:jc w:val="both"/>
              <w:rPr>
                <w:b w:val="0"/>
                <w:bCs/>
              </w:rPr>
            </w:pPr>
            <w:r>
              <w:rPr>
                <w:rFonts w:ascii="Times New Roman" w:hAnsi="Times New Roman"/>
                <w:b w:val="0"/>
                <w:bCs/>
                <w:sz w:val="24"/>
              </w:rPr>
              <w:t>Выиграно контрактов</w:t>
            </w:r>
          </w:p>
        </w:tc>
        <w:tc>
          <w:tcPr>
            <w:tcW w:w="1367" w:type="dxa"/>
            <w:vAlign w:val="center"/>
          </w:tcPr>
          <w:p w14:paraId="086B7A49">
            <w:pPr>
              <w:widowControl w:val="0"/>
              <w:jc w:val="both"/>
              <w:rPr>
                <w:b w:val="0"/>
                <w:bCs/>
              </w:rPr>
            </w:pPr>
            <w:r>
              <w:rPr>
                <w:rFonts w:ascii="Times New Roman" w:hAnsi="Times New Roman"/>
                <w:b w:val="0"/>
                <w:bCs/>
                <w:sz w:val="24"/>
              </w:rPr>
              <w:t>Конверсия из заявки в победу, %</w:t>
            </w:r>
          </w:p>
        </w:tc>
        <w:tc>
          <w:tcPr>
            <w:tcW w:w="1277" w:type="dxa"/>
            <w:vAlign w:val="center"/>
          </w:tcPr>
          <w:p w14:paraId="0E3245F2">
            <w:pPr>
              <w:widowControl w:val="0"/>
              <w:jc w:val="both"/>
              <w:rPr>
                <w:b w:val="0"/>
                <w:bCs/>
              </w:rPr>
            </w:pPr>
            <w:r>
              <w:rPr>
                <w:rFonts w:ascii="Times New Roman" w:hAnsi="Times New Roman"/>
                <w:b w:val="0"/>
                <w:bCs/>
                <w:sz w:val="24"/>
              </w:rPr>
              <w:t>Доля отклоненных заявок, %</w:t>
            </w:r>
          </w:p>
        </w:tc>
      </w:tr>
      <w:tr w14:paraId="7E7E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46701573">
            <w:pPr>
              <w:widowControl w:val="0"/>
              <w:jc w:val="both"/>
            </w:pPr>
            <w:r>
              <w:rPr>
                <w:rFonts w:ascii="Times New Roman" w:hAnsi="Times New Roman"/>
                <w:sz w:val="24"/>
              </w:rPr>
              <w:t>2023</w:t>
            </w:r>
          </w:p>
        </w:tc>
        <w:tc>
          <w:tcPr>
            <w:tcW w:w="1071" w:type="dxa"/>
          </w:tcPr>
          <w:p w14:paraId="1D9C41A2">
            <w:pPr>
              <w:widowControl w:val="0"/>
              <w:jc w:val="both"/>
            </w:pPr>
            <w:r>
              <w:rPr>
                <w:rFonts w:ascii="Times New Roman" w:hAnsi="Times New Roman"/>
                <w:sz w:val="24"/>
              </w:rPr>
              <w:t>168</w:t>
            </w:r>
          </w:p>
        </w:tc>
        <w:tc>
          <w:tcPr>
            <w:tcW w:w="2240" w:type="dxa"/>
          </w:tcPr>
          <w:p w14:paraId="00AECB0C">
            <w:pPr>
              <w:widowControl w:val="0"/>
              <w:jc w:val="both"/>
            </w:pPr>
            <w:r>
              <w:rPr>
                <w:rFonts w:ascii="Times New Roman" w:hAnsi="Times New Roman"/>
                <w:sz w:val="24"/>
              </w:rPr>
              <w:t>142</w:t>
            </w:r>
          </w:p>
        </w:tc>
        <w:tc>
          <w:tcPr>
            <w:tcW w:w="1414" w:type="dxa"/>
          </w:tcPr>
          <w:p w14:paraId="231D7E6B">
            <w:pPr>
              <w:widowControl w:val="0"/>
              <w:jc w:val="both"/>
            </w:pPr>
            <w:r>
              <w:rPr>
                <w:rFonts w:ascii="Times New Roman" w:hAnsi="Times New Roman"/>
                <w:sz w:val="24"/>
              </w:rPr>
              <w:t>26</w:t>
            </w:r>
          </w:p>
        </w:tc>
        <w:tc>
          <w:tcPr>
            <w:tcW w:w="1425" w:type="dxa"/>
          </w:tcPr>
          <w:p w14:paraId="532762C4">
            <w:pPr>
              <w:widowControl w:val="0"/>
              <w:jc w:val="both"/>
            </w:pPr>
            <w:r>
              <w:rPr>
                <w:rFonts w:ascii="Times New Roman" w:hAnsi="Times New Roman"/>
                <w:sz w:val="24"/>
              </w:rPr>
              <w:t>35</w:t>
            </w:r>
          </w:p>
        </w:tc>
        <w:tc>
          <w:tcPr>
            <w:tcW w:w="1367" w:type="dxa"/>
          </w:tcPr>
          <w:p w14:paraId="17D66410">
            <w:pPr>
              <w:widowControl w:val="0"/>
              <w:jc w:val="both"/>
            </w:pPr>
            <w:r>
              <w:rPr>
                <w:rFonts w:ascii="Times New Roman" w:hAnsi="Times New Roman"/>
                <w:sz w:val="24"/>
              </w:rPr>
              <w:t>20,8</w:t>
            </w:r>
          </w:p>
        </w:tc>
        <w:tc>
          <w:tcPr>
            <w:tcW w:w="1277" w:type="dxa"/>
          </w:tcPr>
          <w:p w14:paraId="63E49711">
            <w:pPr>
              <w:widowControl w:val="0"/>
              <w:jc w:val="both"/>
            </w:pPr>
            <w:r>
              <w:rPr>
                <w:rFonts w:ascii="Times New Roman" w:hAnsi="Times New Roman"/>
                <w:sz w:val="24"/>
              </w:rPr>
              <w:t>15,5</w:t>
            </w:r>
          </w:p>
        </w:tc>
      </w:tr>
      <w:tr w14:paraId="196A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520CBBE0">
            <w:pPr>
              <w:widowControl w:val="0"/>
              <w:jc w:val="both"/>
            </w:pPr>
            <w:r>
              <w:rPr>
                <w:rFonts w:ascii="Times New Roman" w:hAnsi="Times New Roman"/>
                <w:sz w:val="24"/>
              </w:rPr>
              <w:t>2024</w:t>
            </w:r>
          </w:p>
        </w:tc>
        <w:tc>
          <w:tcPr>
            <w:tcW w:w="1071" w:type="dxa"/>
          </w:tcPr>
          <w:p w14:paraId="28AC77C9">
            <w:pPr>
              <w:widowControl w:val="0"/>
              <w:jc w:val="both"/>
            </w:pPr>
            <w:r>
              <w:rPr>
                <w:rFonts w:ascii="Times New Roman" w:hAnsi="Times New Roman"/>
                <w:sz w:val="24"/>
              </w:rPr>
              <w:t>185</w:t>
            </w:r>
          </w:p>
        </w:tc>
        <w:tc>
          <w:tcPr>
            <w:tcW w:w="2240" w:type="dxa"/>
          </w:tcPr>
          <w:p w14:paraId="075B619C">
            <w:pPr>
              <w:widowControl w:val="0"/>
              <w:jc w:val="both"/>
            </w:pPr>
            <w:r>
              <w:rPr>
                <w:rFonts w:ascii="Times New Roman" w:hAnsi="Times New Roman"/>
                <w:sz w:val="24"/>
              </w:rPr>
              <w:t>158</w:t>
            </w:r>
          </w:p>
        </w:tc>
        <w:tc>
          <w:tcPr>
            <w:tcW w:w="1414" w:type="dxa"/>
          </w:tcPr>
          <w:p w14:paraId="7280F81F">
            <w:pPr>
              <w:widowControl w:val="0"/>
              <w:jc w:val="both"/>
            </w:pPr>
            <w:r>
              <w:rPr>
                <w:rFonts w:ascii="Times New Roman" w:hAnsi="Times New Roman"/>
                <w:sz w:val="24"/>
              </w:rPr>
              <w:t>27</w:t>
            </w:r>
          </w:p>
        </w:tc>
        <w:tc>
          <w:tcPr>
            <w:tcW w:w="1425" w:type="dxa"/>
          </w:tcPr>
          <w:p w14:paraId="728268C7">
            <w:pPr>
              <w:widowControl w:val="0"/>
              <w:jc w:val="both"/>
            </w:pPr>
            <w:r>
              <w:rPr>
                <w:rFonts w:ascii="Times New Roman" w:hAnsi="Times New Roman"/>
                <w:sz w:val="24"/>
              </w:rPr>
              <w:t>42</w:t>
            </w:r>
          </w:p>
        </w:tc>
        <w:tc>
          <w:tcPr>
            <w:tcW w:w="1367" w:type="dxa"/>
          </w:tcPr>
          <w:p w14:paraId="5C56E20F">
            <w:pPr>
              <w:widowControl w:val="0"/>
              <w:jc w:val="both"/>
            </w:pPr>
            <w:r>
              <w:rPr>
                <w:rFonts w:ascii="Times New Roman" w:hAnsi="Times New Roman"/>
                <w:sz w:val="24"/>
              </w:rPr>
              <w:t>22,7</w:t>
            </w:r>
          </w:p>
        </w:tc>
        <w:tc>
          <w:tcPr>
            <w:tcW w:w="1277" w:type="dxa"/>
          </w:tcPr>
          <w:p w14:paraId="170A83A1">
            <w:pPr>
              <w:widowControl w:val="0"/>
              <w:jc w:val="both"/>
            </w:pPr>
            <w:r>
              <w:rPr>
                <w:rFonts w:ascii="Times New Roman" w:hAnsi="Times New Roman"/>
                <w:sz w:val="24"/>
              </w:rPr>
              <w:t>14,6</w:t>
            </w:r>
          </w:p>
        </w:tc>
      </w:tr>
      <w:tr w14:paraId="02475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7" w:type="dxa"/>
          </w:tcPr>
          <w:p w14:paraId="5E2D62DF">
            <w:pPr>
              <w:widowControl w:val="0"/>
              <w:jc w:val="both"/>
            </w:pPr>
            <w:r>
              <w:rPr>
                <w:rFonts w:ascii="Times New Roman" w:hAnsi="Times New Roman"/>
                <w:sz w:val="24"/>
              </w:rPr>
              <w:t>2025</w:t>
            </w:r>
          </w:p>
        </w:tc>
        <w:tc>
          <w:tcPr>
            <w:tcW w:w="1071" w:type="dxa"/>
          </w:tcPr>
          <w:p w14:paraId="5432F0D6">
            <w:pPr>
              <w:widowControl w:val="0"/>
              <w:jc w:val="both"/>
            </w:pPr>
            <w:r>
              <w:rPr>
                <w:rFonts w:ascii="Times New Roman" w:hAnsi="Times New Roman"/>
                <w:sz w:val="24"/>
              </w:rPr>
              <w:t>152</w:t>
            </w:r>
          </w:p>
        </w:tc>
        <w:tc>
          <w:tcPr>
            <w:tcW w:w="2240" w:type="dxa"/>
          </w:tcPr>
          <w:p w14:paraId="41B57518">
            <w:pPr>
              <w:widowControl w:val="0"/>
              <w:jc w:val="both"/>
            </w:pPr>
            <w:r>
              <w:rPr>
                <w:rFonts w:ascii="Times New Roman" w:hAnsi="Times New Roman"/>
                <w:sz w:val="24"/>
              </w:rPr>
              <w:t>128</w:t>
            </w:r>
          </w:p>
        </w:tc>
        <w:tc>
          <w:tcPr>
            <w:tcW w:w="1414" w:type="dxa"/>
          </w:tcPr>
          <w:p w14:paraId="317BF322">
            <w:pPr>
              <w:widowControl w:val="0"/>
              <w:jc w:val="both"/>
            </w:pPr>
            <w:r>
              <w:rPr>
                <w:rFonts w:ascii="Times New Roman" w:hAnsi="Times New Roman"/>
                <w:sz w:val="24"/>
              </w:rPr>
              <w:t>24</w:t>
            </w:r>
          </w:p>
        </w:tc>
        <w:tc>
          <w:tcPr>
            <w:tcW w:w="1425" w:type="dxa"/>
          </w:tcPr>
          <w:p w14:paraId="197F0EA1">
            <w:pPr>
              <w:widowControl w:val="0"/>
              <w:jc w:val="both"/>
            </w:pPr>
            <w:r>
              <w:rPr>
                <w:rFonts w:ascii="Times New Roman" w:hAnsi="Times New Roman"/>
                <w:sz w:val="24"/>
              </w:rPr>
              <w:t>35</w:t>
            </w:r>
          </w:p>
        </w:tc>
        <w:tc>
          <w:tcPr>
            <w:tcW w:w="1367" w:type="dxa"/>
          </w:tcPr>
          <w:p w14:paraId="7C99D8C9">
            <w:pPr>
              <w:widowControl w:val="0"/>
              <w:jc w:val="both"/>
            </w:pPr>
            <w:r>
              <w:rPr>
                <w:rFonts w:ascii="Times New Roman" w:hAnsi="Times New Roman"/>
                <w:sz w:val="24"/>
              </w:rPr>
              <w:t>23,0</w:t>
            </w:r>
          </w:p>
        </w:tc>
        <w:tc>
          <w:tcPr>
            <w:tcW w:w="1277" w:type="dxa"/>
          </w:tcPr>
          <w:p w14:paraId="60EAF8B8">
            <w:pPr>
              <w:widowControl w:val="0"/>
              <w:jc w:val="both"/>
            </w:pPr>
            <w:r>
              <w:rPr>
                <w:rFonts w:ascii="Times New Roman" w:hAnsi="Times New Roman"/>
                <w:sz w:val="24"/>
              </w:rPr>
              <w:t>15,8</w:t>
            </w:r>
          </w:p>
        </w:tc>
      </w:tr>
    </w:tbl>
    <w:p w14:paraId="599B5FF3">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 xml:space="preserve"> </w:t>
      </w:r>
    </w:p>
    <w:p w14:paraId="5E124254">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Данные таблицы показывают, что доля выигранных тендеров за анализируемый период находится примерно на одном уровне. Небольшой рост конверсии сам по себе не свидетельствует о качественном развитии системы подготовки персонала, поскольку одновременно сохраняется высокая доля заявок, отклонённых ещё на стадии торгов. В относительном выражении показатель отклонений держится в диапазоне 14,6-15,8%.</w:t>
      </w:r>
    </w:p>
    <w:p w14:paraId="7099CDFF">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Для тендерной деятельности отклонение заявки на этапе допуска является особенно значимым показателем. Если компания проигрывает торги по цене или условиям исполнения, то это может быть связано с рыночной конкуренцией. Но если заявка не допускается до торгов, то причина чаще всего находится внутри процесса подготовки: неправильно выбранная форма документа, отсутствие обязательного файла, некорректная электронная подпись, арифметическая ошибка, неверное толкование требования заказчика. Такие ошибки относятся к управленческим, то есть их можно выявлять, учитывать и снижать за счёт стандартизации работы и накопления знаний внутри отдела.</w:t>
      </w:r>
    </w:p>
    <w:p w14:paraId="02097924">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Для более точного понимания характера проблем были обобщены причины отклонения заявок за 2023-2025 годы. Всего за три года было выявлено 77 случаев отклонения заявок на этапе допуска. Анализ причин показывает, что ошибки распределяются по нескольким группам (см.табл.3.3.).</w:t>
      </w:r>
    </w:p>
    <w:p w14:paraId="798012B3">
      <w:pPr>
        <w:spacing w:after="120" w:line="360" w:lineRule="auto"/>
        <w:ind w:firstLine="700"/>
        <w:jc w:val="both"/>
        <w:rPr>
          <w:rFonts w:hint="default" w:ascii="Times New Roman" w:hAnsi="Times New Roman"/>
          <w:b w:val="0"/>
          <w:i w:val="0"/>
          <w:sz w:val="28"/>
          <w:lang w:val="ru-RU"/>
        </w:rPr>
      </w:pPr>
    </w:p>
    <w:p w14:paraId="1664213F">
      <w:pPr>
        <w:spacing w:after="120" w:line="360" w:lineRule="auto"/>
        <w:ind w:firstLine="700"/>
        <w:jc w:val="center"/>
        <w:rPr>
          <w:rFonts w:hint="default" w:ascii="Times New Roman" w:hAnsi="Times New Roman" w:cs="Times New Roman"/>
          <w:sz w:val="24"/>
          <w:szCs w:val="24"/>
        </w:rPr>
      </w:pPr>
      <w:r>
        <w:rPr>
          <w:rFonts w:ascii="Times New Roman" w:hAnsi="Times New Roman"/>
          <w:b w:val="0"/>
          <w:i w:val="0"/>
          <w:sz w:val="24"/>
          <w:szCs w:val="18"/>
        </w:rPr>
        <w:t>Таблица 3.3. Структура причин отклонения заявок ООО «Лайф Медиа»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1995"/>
        <w:gridCol w:w="1930"/>
        <w:gridCol w:w="3092"/>
      </w:tblGrid>
      <w:tr w14:paraId="5DE3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vAlign w:val="center"/>
          </w:tcPr>
          <w:p w14:paraId="68EEF42A">
            <w:pPr>
              <w:widowControl w:val="0"/>
              <w:jc w:val="center"/>
              <w:rPr>
                <w:b w:val="0"/>
                <w:bCs/>
              </w:rPr>
            </w:pPr>
            <w:r>
              <w:rPr>
                <w:rFonts w:ascii="Times New Roman" w:hAnsi="Times New Roman"/>
                <w:b w:val="0"/>
                <w:bCs/>
                <w:sz w:val="24"/>
              </w:rPr>
              <w:t>Группа ошибок</w:t>
            </w:r>
          </w:p>
        </w:tc>
        <w:tc>
          <w:tcPr>
            <w:tcW w:w="1995" w:type="dxa"/>
            <w:vAlign w:val="center"/>
          </w:tcPr>
          <w:p w14:paraId="01B1C3FC">
            <w:pPr>
              <w:widowControl w:val="0"/>
              <w:jc w:val="center"/>
              <w:rPr>
                <w:b w:val="0"/>
                <w:bCs/>
              </w:rPr>
            </w:pPr>
            <w:r>
              <w:rPr>
                <w:rFonts w:ascii="Times New Roman" w:hAnsi="Times New Roman"/>
                <w:b w:val="0"/>
                <w:bCs/>
                <w:sz w:val="24"/>
              </w:rPr>
              <w:t>Количество случаев</w:t>
            </w:r>
          </w:p>
        </w:tc>
        <w:tc>
          <w:tcPr>
            <w:tcW w:w="1930" w:type="dxa"/>
            <w:vAlign w:val="center"/>
          </w:tcPr>
          <w:p w14:paraId="5CC32A61">
            <w:pPr>
              <w:widowControl w:val="0"/>
              <w:jc w:val="center"/>
              <w:rPr>
                <w:b w:val="0"/>
                <w:bCs/>
              </w:rPr>
            </w:pPr>
            <w:r>
              <w:rPr>
                <w:rFonts w:ascii="Times New Roman" w:hAnsi="Times New Roman"/>
                <w:b w:val="0"/>
                <w:bCs/>
                <w:sz w:val="24"/>
              </w:rPr>
              <w:t>Доля, %</w:t>
            </w:r>
          </w:p>
        </w:tc>
        <w:tc>
          <w:tcPr>
            <w:tcW w:w="3092" w:type="dxa"/>
            <w:vAlign w:val="center"/>
          </w:tcPr>
          <w:p w14:paraId="1F7AF956">
            <w:pPr>
              <w:widowControl w:val="0"/>
              <w:jc w:val="center"/>
              <w:rPr>
                <w:b w:val="0"/>
                <w:bCs/>
              </w:rPr>
            </w:pPr>
            <w:r>
              <w:rPr>
                <w:rFonts w:ascii="Times New Roman" w:hAnsi="Times New Roman"/>
                <w:b w:val="0"/>
                <w:bCs/>
                <w:sz w:val="24"/>
              </w:rPr>
              <w:t>Содержание ошибки</w:t>
            </w:r>
          </w:p>
        </w:tc>
      </w:tr>
      <w:tr w14:paraId="63DD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22A2289">
            <w:pPr>
              <w:widowControl w:val="0"/>
              <w:jc w:val="both"/>
            </w:pPr>
            <w:r>
              <w:rPr>
                <w:rFonts w:ascii="Times New Roman" w:hAnsi="Times New Roman"/>
                <w:sz w:val="24"/>
              </w:rPr>
              <w:t>Ошибки, связанные с требованиями законодательства и документации</w:t>
            </w:r>
          </w:p>
        </w:tc>
        <w:tc>
          <w:tcPr>
            <w:tcW w:w="1995" w:type="dxa"/>
            <w:vAlign w:val="center"/>
          </w:tcPr>
          <w:p w14:paraId="36BBEB59">
            <w:pPr>
              <w:widowControl w:val="0"/>
              <w:jc w:val="center"/>
            </w:pPr>
            <w:r>
              <w:rPr>
                <w:rFonts w:ascii="Times New Roman" w:hAnsi="Times New Roman"/>
                <w:sz w:val="24"/>
              </w:rPr>
              <w:t>25</w:t>
            </w:r>
          </w:p>
        </w:tc>
        <w:tc>
          <w:tcPr>
            <w:tcW w:w="1930" w:type="dxa"/>
            <w:vAlign w:val="center"/>
          </w:tcPr>
          <w:p w14:paraId="2EFDEDE3">
            <w:pPr>
              <w:widowControl w:val="0"/>
              <w:jc w:val="center"/>
            </w:pPr>
            <w:r>
              <w:rPr>
                <w:rFonts w:ascii="Times New Roman" w:hAnsi="Times New Roman"/>
                <w:sz w:val="24"/>
              </w:rPr>
              <w:t>32,5</w:t>
            </w:r>
          </w:p>
        </w:tc>
        <w:tc>
          <w:tcPr>
            <w:tcW w:w="3092" w:type="dxa"/>
          </w:tcPr>
          <w:p w14:paraId="4FA6DC42">
            <w:pPr>
              <w:widowControl w:val="0"/>
              <w:jc w:val="both"/>
            </w:pPr>
            <w:r>
              <w:rPr>
                <w:rFonts w:ascii="Times New Roman" w:hAnsi="Times New Roman"/>
                <w:sz w:val="24"/>
              </w:rPr>
              <w:t>Неверное применение требований 44-ФЗ/223-ФЗ, использование устаревших форм, неполное подтверждение опыта</w:t>
            </w:r>
          </w:p>
        </w:tc>
      </w:tr>
      <w:tr w14:paraId="5138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45781F1A">
            <w:pPr>
              <w:widowControl w:val="0"/>
              <w:jc w:val="both"/>
            </w:pPr>
            <w:r>
              <w:rPr>
                <w:rFonts w:ascii="Times New Roman" w:hAnsi="Times New Roman"/>
                <w:sz w:val="24"/>
              </w:rPr>
              <w:t>Технические ошибки при работе с ЭТП</w:t>
            </w:r>
          </w:p>
        </w:tc>
        <w:tc>
          <w:tcPr>
            <w:tcW w:w="1995" w:type="dxa"/>
            <w:vAlign w:val="center"/>
          </w:tcPr>
          <w:p w14:paraId="6EA08246">
            <w:pPr>
              <w:widowControl w:val="0"/>
              <w:jc w:val="center"/>
            </w:pPr>
            <w:r>
              <w:rPr>
                <w:rFonts w:ascii="Times New Roman" w:hAnsi="Times New Roman"/>
                <w:sz w:val="24"/>
              </w:rPr>
              <w:t>28</w:t>
            </w:r>
          </w:p>
        </w:tc>
        <w:tc>
          <w:tcPr>
            <w:tcW w:w="1930" w:type="dxa"/>
            <w:vAlign w:val="center"/>
          </w:tcPr>
          <w:p w14:paraId="5263BEFC">
            <w:pPr>
              <w:widowControl w:val="0"/>
              <w:jc w:val="center"/>
            </w:pPr>
            <w:r>
              <w:rPr>
                <w:rFonts w:ascii="Times New Roman" w:hAnsi="Times New Roman"/>
                <w:sz w:val="24"/>
              </w:rPr>
              <w:t>36,4</w:t>
            </w:r>
          </w:p>
        </w:tc>
        <w:tc>
          <w:tcPr>
            <w:tcW w:w="3092" w:type="dxa"/>
          </w:tcPr>
          <w:p w14:paraId="320777C9">
            <w:pPr>
              <w:widowControl w:val="0"/>
              <w:jc w:val="both"/>
            </w:pPr>
            <w:r>
              <w:rPr>
                <w:rFonts w:ascii="Times New Roman" w:hAnsi="Times New Roman"/>
                <w:sz w:val="24"/>
              </w:rPr>
              <w:t>Неполная загрузка документов, неверный формат файла, ошибки при подписании электронной подписью</w:t>
            </w:r>
          </w:p>
        </w:tc>
      </w:tr>
      <w:tr w14:paraId="003D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1B68C6B1">
            <w:pPr>
              <w:widowControl w:val="0"/>
              <w:jc w:val="both"/>
            </w:pPr>
            <w:r>
              <w:rPr>
                <w:rFonts w:ascii="Times New Roman" w:hAnsi="Times New Roman"/>
                <w:sz w:val="24"/>
              </w:rPr>
              <w:t>Ошибки в расчетах и ценовом предложении</w:t>
            </w:r>
          </w:p>
        </w:tc>
        <w:tc>
          <w:tcPr>
            <w:tcW w:w="1995" w:type="dxa"/>
            <w:vAlign w:val="center"/>
          </w:tcPr>
          <w:p w14:paraId="03DA81C6">
            <w:pPr>
              <w:widowControl w:val="0"/>
              <w:jc w:val="center"/>
            </w:pPr>
            <w:r>
              <w:rPr>
                <w:rFonts w:ascii="Times New Roman" w:hAnsi="Times New Roman"/>
                <w:sz w:val="24"/>
              </w:rPr>
              <w:t>14</w:t>
            </w:r>
          </w:p>
        </w:tc>
        <w:tc>
          <w:tcPr>
            <w:tcW w:w="1930" w:type="dxa"/>
            <w:vAlign w:val="center"/>
          </w:tcPr>
          <w:p w14:paraId="098F612C">
            <w:pPr>
              <w:widowControl w:val="0"/>
              <w:jc w:val="center"/>
            </w:pPr>
            <w:r>
              <w:rPr>
                <w:rFonts w:ascii="Times New Roman" w:hAnsi="Times New Roman"/>
                <w:sz w:val="24"/>
              </w:rPr>
              <w:t>18,2</w:t>
            </w:r>
          </w:p>
        </w:tc>
        <w:tc>
          <w:tcPr>
            <w:tcW w:w="3092" w:type="dxa"/>
          </w:tcPr>
          <w:p w14:paraId="361C0E4D">
            <w:pPr>
              <w:widowControl w:val="0"/>
              <w:jc w:val="both"/>
            </w:pPr>
            <w:r>
              <w:rPr>
                <w:rFonts w:ascii="Times New Roman" w:hAnsi="Times New Roman"/>
                <w:sz w:val="24"/>
              </w:rPr>
              <w:t>Несоответствие итоговой суммы, арифметические расхождения, некорректное отражение НДС</w:t>
            </w:r>
          </w:p>
        </w:tc>
      </w:tr>
      <w:tr w14:paraId="2BB1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F2CA0CB">
            <w:pPr>
              <w:widowControl w:val="0"/>
              <w:jc w:val="both"/>
            </w:pPr>
            <w:r>
              <w:rPr>
                <w:rFonts w:ascii="Times New Roman" w:hAnsi="Times New Roman"/>
                <w:sz w:val="24"/>
              </w:rPr>
              <w:t>Организационные ошибки подготовки заявки</w:t>
            </w:r>
          </w:p>
        </w:tc>
        <w:tc>
          <w:tcPr>
            <w:tcW w:w="1995" w:type="dxa"/>
            <w:vAlign w:val="center"/>
          </w:tcPr>
          <w:p w14:paraId="0FF454D7">
            <w:pPr>
              <w:widowControl w:val="0"/>
              <w:jc w:val="center"/>
            </w:pPr>
            <w:r>
              <w:rPr>
                <w:rFonts w:ascii="Times New Roman" w:hAnsi="Times New Roman"/>
                <w:sz w:val="24"/>
              </w:rPr>
              <w:t>10</w:t>
            </w:r>
          </w:p>
        </w:tc>
        <w:tc>
          <w:tcPr>
            <w:tcW w:w="1930" w:type="dxa"/>
            <w:vAlign w:val="center"/>
          </w:tcPr>
          <w:p w14:paraId="6A50DCFC">
            <w:pPr>
              <w:widowControl w:val="0"/>
              <w:jc w:val="center"/>
            </w:pPr>
            <w:r>
              <w:rPr>
                <w:rFonts w:ascii="Times New Roman" w:hAnsi="Times New Roman"/>
                <w:sz w:val="24"/>
              </w:rPr>
              <w:t>12,9</w:t>
            </w:r>
          </w:p>
        </w:tc>
        <w:tc>
          <w:tcPr>
            <w:tcW w:w="3092" w:type="dxa"/>
          </w:tcPr>
          <w:p w14:paraId="594B5375">
            <w:pPr>
              <w:widowControl w:val="0"/>
              <w:jc w:val="both"/>
            </w:pPr>
            <w:r>
              <w:rPr>
                <w:rFonts w:ascii="Times New Roman" w:hAnsi="Times New Roman"/>
                <w:sz w:val="24"/>
              </w:rPr>
              <w:t>Нарушение внутренней последовательности проверки, отсутствие финального контроля перед отправкой</w:t>
            </w:r>
          </w:p>
        </w:tc>
      </w:tr>
      <w:tr w14:paraId="4984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79DFEBCA">
            <w:pPr>
              <w:widowControl w:val="0"/>
              <w:jc w:val="both"/>
            </w:pPr>
            <w:r>
              <w:rPr>
                <w:rFonts w:ascii="Times New Roman" w:hAnsi="Times New Roman"/>
                <w:sz w:val="24"/>
              </w:rPr>
              <w:t>Итого</w:t>
            </w:r>
          </w:p>
        </w:tc>
        <w:tc>
          <w:tcPr>
            <w:tcW w:w="1995" w:type="dxa"/>
            <w:vAlign w:val="center"/>
          </w:tcPr>
          <w:p w14:paraId="5019359C">
            <w:pPr>
              <w:widowControl w:val="0"/>
              <w:jc w:val="center"/>
            </w:pPr>
            <w:r>
              <w:rPr>
                <w:rFonts w:ascii="Times New Roman" w:hAnsi="Times New Roman"/>
                <w:sz w:val="24"/>
              </w:rPr>
              <w:t>77</w:t>
            </w:r>
          </w:p>
        </w:tc>
        <w:tc>
          <w:tcPr>
            <w:tcW w:w="1930" w:type="dxa"/>
            <w:vAlign w:val="center"/>
          </w:tcPr>
          <w:p w14:paraId="1DFFBBFB">
            <w:pPr>
              <w:widowControl w:val="0"/>
              <w:jc w:val="center"/>
            </w:pPr>
            <w:r>
              <w:rPr>
                <w:rFonts w:ascii="Times New Roman" w:hAnsi="Times New Roman"/>
                <w:sz w:val="24"/>
              </w:rPr>
              <w:t>100,0</w:t>
            </w:r>
          </w:p>
        </w:tc>
        <w:tc>
          <w:tcPr>
            <w:tcW w:w="3092" w:type="dxa"/>
          </w:tcPr>
          <w:p w14:paraId="046D532C">
            <w:pPr>
              <w:widowControl w:val="0"/>
              <w:jc w:val="both"/>
            </w:pPr>
            <w:r>
              <w:rPr>
                <w:rFonts w:ascii="Times New Roman" w:hAnsi="Times New Roman"/>
                <w:sz w:val="24"/>
              </w:rPr>
              <w:t>-</w:t>
            </w:r>
          </w:p>
        </w:tc>
      </w:tr>
    </w:tbl>
    <w:p w14:paraId="7DEBC317">
      <w:pPr>
        <w:spacing w:after="120" w:line="360" w:lineRule="auto"/>
        <w:ind w:firstLine="700"/>
        <w:jc w:val="both"/>
        <w:rPr>
          <w:rFonts w:hint="default" w:ascii="Times New Roman" w:hAnsi="Times New Roman"/>
          <w:b w:val="0"/>
          <w:i w:val="0"/>
          <w:sz w:val="28"/>
          <w:lang w:val="ru-RU"/>
        </w:rPr>
      </w:pPr>
    </w:p>
    <w:p w14:paraId="3ACDD3DA">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Наибольшая доля приходится на технические ошибки при работе с электронными торговыми площадками (ЭТП) — 36,4%. Это значит, что значительная часть отклонений связана с процедурными нарушениями при подаче заявки. Второе место занимают ошибки, связанные с законодательством и требованиями документации — 32,5%. Такая структура показывает, что сотрудники сталкиваются с трудностями как в содержательной части подготовки заявки, так и в техническом оформлении документов.</w:t>
      </w:r>
    </w:p>
    <w:p w14:paraId="72156D5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Примером</w:t>
      </w:r>
      <w:r>
        <w:rPr>
          <w:rFonts w:hint="default" w:ascii="Times New Roman" w:hAnsi="Times New Roman"/>
          <w:b w:val="0"/>
          <w:i w:val="0"/>
          <w:sz w:val="28"/>
          <w:lang w:val="ru-RU"/>
        </w:rPr>
        <w:t xml:space="preserve"> ошибки первой группы является ситуация, когда в закупке требовалось подтвердить опыт исполнения контракта на определённую сумму, но специалист приложил договор без корректного учёта НДС. Сотрудник исходил из собственного понимания суммы, тогда как заказчик оценивал документ по фактически указанным условиям. В результате заявка не прошла допуск. Подобные случаи показывают, что проблема находится не только в невнимательности, но и в недостаточном понимании логики проверки документов заказчиком.</w:t>
      </w:r>
    </w:p>
    <w:p w14:paraId="2EEB43CE">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Другой</w:t>
      </w:r>
      <w:r>
        <w:rPr>
          <w:rFonts w:hint="default" w:ascii="Times New Roman" w:hAnsi="Times New Roman"/>
          <w:b w:val="0"/>
          <w:i w:val="0"/>
          <w:sz w:val="28"/>
          <w:lang w:val="ru-RU"/>
        </w:rPr>
        <w:t xml:space="preserve"> пример связан с использованием устаревшей формы декларации. В 2025 году часть заявок была отклонена из-за того, что сотрудник взял шаблон из общей папки, где находилась форма прошлого периода. Так как порядок обновления шаблонов не закреплён, сотрудник использовал доступный документ, но он уже не соответствовал актуальным требованиям. Такая ошибка демонстрирует связь между отсутствием единой базы актуальных материалов и качеством подготовки заявок.</w:t>
      </w:r>
    </w:p>
    <w:p w14:paraId="60A97D0D">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Технические</w:t>
      </w:r>
      <w:r>
        <w:rPr>
          <w:rFonts w:hint="default" w:ascii="Times New Roman" w:hAnsi="Times New Roman"/>
          <w:b w:val="0"/>
          <w:i w:val="0"/>
          <w:sz w:val="28"/>
          <w:lang w:val="ru-RU"/>
        </w:rPr>
        <w:t xml:space="preserve"> ошибки также имеют повторяющийся характер. В отдельных случаях сотрудники загружали не полный пакет документов, выбирали неверный формат файла и подписывали заявку до завершения загрузки всех приложений. Эти нарушения можно обнаружить при финальной проверке. Однако в компании отсутствует единый обязательный порядок проверки, поэтому качество заявки зависит от личной внимательности специалиста, а не от закреплённого алгоритма работы.</w:t>
      </w:r>
    </w:p>
    <w:p w14:paraId="38CCD937">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Ошибки в расчётах составляют меньшую долю, но имеют существенное значение, так как связаны с финальной частью заявки. Арифметические расхождения между суммой позиции и итоговой ценой создают риск признания информации недостоверной. Для компании, которая работает с тендерами и рассчитывает маржу по каждому лоту, такие ошибки затрагивают не только допуск к торгам, но и общую надёжность экономического анализа закупки.</w:t>
      </w:r>
    </w:p>
    <w:p w14:paraId="300BE535">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Следовательно</w:t>
      </w:r>
      <w:r>
        <w:rPr>
          <w:rFonts w:hint="default" w:ascii="Times New Roman" w:hAnsi="Times New Roman"/>
          <w:b w:val="0"/>
          <w:i w:val="0"/>
          <w:sz w:val="28"/>
          <w:lang w:val="ru-RU"/>
        </w:rPr>
        <w:t>, результаты тендерной деятельности подтверждают, что отсутствие системы обучения проявляется не абстрактно, а через конкретные рабочие последствия: повторяемость однотипных ошибок, сохранение доли отклонённых заявок на уровне около 15%, зависимость качества подготовки от индивидуального опыта и отсутствие накопления общего знания внутри отдела. При этом сам факт повторения ошибок в течение трёх лет показывает, что устные объяснения и разовые вебинары не обеспечивают устойчивого изменения рабочих практик.</w:t>
      </w:r>
    </w:p>
    <w:p w14:paraId="65A9A4F8">
      <w:pPr>
        <w:spacing w:after="120" w:line="360" w:lineRule="auto"/>
        <w:ind w:firstLine="700"/>
        <w:jc w:val="both"/>
        <w:rPr>
          <w:rFonts w:hint="default" w:ascii="Times New Roman" w:hAnsi="Times New Roman"/>
          <w:b w:val="0"/>
          <w:i w:val="0"/>
          <w:sz w:val="28"/>
          <w:lang w:val="ru-RU"/>
        </w:rPr>
      </w:pPr>
      <w:r>
        <w:rPr>
          <w:rFonts w:ascii="Times New Roman" w:hAnsi="Times New Roman"/>
          <w:b/>
          <w:sz w:val="28"/>
        </w:rPr>
        <w:t xml:space="preserve">(УК-3) </w:t>
      </w:r>
      <w:r>
        <w:rPr>
          <w:rFonts w:ascii="Times New Roman" w:hAnsi="Times New Roman"/>
          <w:sz w:val="28"/>
        </w:rPr>
        <w:t>Для уточнения внутренней оценки ситуации 14 апреля 2026 года был проведён опрос в google-форме сотрудников тендерного отдела ООО «Лайф Медиа». в опросе участвовали все 8 специалистов. Цель была в том, чтобы определить как сами сотрудники оценивают действующий порядок обучения, какие источники знаний используют в работе, с какими трудностями сталкиваются и какие профессиональные темы считают наиболее значимыми для дальнейшего освоения. Опрос носит диагностический характер и служит базой для разработки рекомендаций.</w:t>
      </w:r>
    </w:p>
    <w:p w14:paraId="7114F2FE">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Анкета</w:t>
      </w:r>
      <w:r>
        <w:rPr>
          <w:rFonts w:hint="default" w:ascii="Times New Roman" w:hAnsi="Times New Roman"/>
          <w:b w:val="0"/>
          <w:i w:val="0"/>
          <w:sz w:val="28"/>
          <w:lang w:val="ru-RU"/>
        </w:rPr>
        <w:t xml:space="preserve"> включала вопросы закрытого и полузакрытого типа. Сотрудники отвечали на вопросы анонимно, чтобы снизить влияние должностной зависимости и получить более точные ответы. Вопросы были сгруппированы по четырём блокам: наличие системы обучения, источники получения знаний, трудности в работе и профессиональные потребности сотрудников (см.табл.3.4.).</w:t>
      </w:r>
    </w:p>
    <w:p w14:paraId="265C5F8D">
      <w:pPr>
        <w:spacing w:after="120" w:line="360" w:lineRule="auto"/>
        <w:ind w:firstLine="700"/>
        <w:jc w:val="right"/>
        <w:rPr>
          <w:sz w:val="24"/>
          <w:szCs w:val="24"/>
        </w:rPr>
      </w:pPr>
      <w:r>
        <w:rPr>
          <w:rFonts w:ascii="Times New Roman" w:hAnsi="Times New Roman"/>
          <w:b w:val="0"/>
          <w:i w:val="0"/>
          <w:sz w:val="24"/>
          <w:szCs w:val="24"/>
        </w:rPr>
        <w:t>Таблица 3.4. Общая оценка сотрудниками состояния обучения в тендерном отделе</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2250"/>
        <w:gridCol w:w="1868"/>
        <w:gridCol w:w="1839"/>
      </w:tblGrid>
      <w:tr w14:paraId="3EDA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vAlign w:val="center"/>
          </w:tcPr>
          <w:p w14:paraId="5B786698">
            <w:pPr>
              <w:widowControl w:val="0"/>
              <w:jc w:val="center"/>
              <w:rPr>
                <w:b w:val="0"/>
                <w:bCs/>
              </w:rPr>
            </w:pPr>
            <w:r>
              <w:rPr>
                <w:rFonts w:ascii="Times New Roman" w:hAnsi="Times New Roman"/>
                <w:b w:val="0"/>
                <w:bCs/>
                <w:sz w:val="24"/>
              </w:rPr>
              <w:t>Вопрос анкеты</w:t>
            </w:r>
          </w:p>
        </w:tc>
        <w:tc>
          <w:tcPr>
            <w:tcW w:w="2250" w:type="dxa"/>
            <w:vAlign w:val="center"/>
          </w:tcPr>
          <w:p w14:paraId="0A1F2ED8">
            <w:pPr>
              <w:widowControl w:val="0"/>
              <w:jc w:val="center"/>
              <w:rPr>
                <w:b w:val="0"/>
                <w:bCs/>
              </w:rPr>
            </w:pPr>
            <w:r>
              <w:rPr>
                <w:rFonts w:ascii="Times New Roman" w:hAnsi="Times New Roman"/>
                <w:b w:val="0"/>
                <w:bCs/>
                <w:sz w:val="24"/>
              </w:rPr>
              <w:t>Вариант ответа</w:t>
            </w:r>
          </w:p>
        </w:tc>
        <w:tc>
          <w:tcPr>
            <w:tcW w:w="1868" w:type="dxa"/>
            <w:vAlign w:val="center"/>
          </w:tcPr>
          <w:p w14:paraId="0E21191D">
            <w:pPr>
              <w:widowControl w:val="0"/>
              <w:jc w:val="center"/>
              <w:rPr>
                <w:b w:val="0"/>
                <w:bCs/>
              </w:rPr>
            </w:pPr>
            <w:r>
              <w:rPr>
                <w:rFonts w:ascii="Times New Roman" w:hAnsi="Times New Roman"/>
                <w:b w:val="0"/>
                <w:bCs/>
                <w:sz w:val="24"/>
              </w:rPr>
              <w:t>Количество ответов</w:t>
            </w:r>
          </w:p>
        </w:tc>
        <w:tc>
          <w:tcPr>
            <w:tcW w:w="1839" w:type="dxa"/>
            <w:vAlign w:val="center"/>
          </w:tcPr>
          <w:p w14:paraId="5B9601AF">
            <w:pPr>
              <w:widowControl w:val="0"/>
              <w:jc w:val="center"/>
              <w:rPr>
                <w:b w:val="0"/>
                <w:bCs/>
              </w:rPr>
            </w:pPr>
            <w:r>
              <w:rPr>
                <w:rFonts w:ascii="Times New Roman" w:hAnsi="Times New Roman"/>
                <w:b w:val="0"/>
                <w:bCs/>
                <w:sz w:val="24"/>
              </w:rPr>
              <w:t>Доля, %</w:t>
            </w:r>
          </w:p>
        </w:tc>
      </w:tr>
      <w:tr w14:paraId="56AB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22640FB">
            <w:pPr>
              <w:widowControl w:val="0"/>
              <w:jc w:val="both"/>
            </w:pPr>
            <w:r>
              <w:rPr>
                <w:rFonts w:ascii="Times New Roman" w:hAnsi="Times New Roman"/>
                <w:sz w:val="24"/>
              </w:rPr>
              <w:t>Есть ли в компании утвержденная программа обучения тендерных специалистов?</w:t>
            </w:r>
          </w:p>
        </w:tc>
        <w:tc>
          <w:tcPr>
            <w:tcW w:w="2250" w:type="dxa"/>
            <w:vAlign w:val="center"/>
          </w:tcPr>
          <w:p w14:paraId="6F0830B6">
            <w:pPr>
              <w:widowControl w:val="0"/>
              <w:jc w:val="center"/>
            </w:pPr>
            <w:r>
              <w:rPr>
                <w:rFonts w:ascii="Times New Roman" w:hAnsi="Times New Roman"/>
                <w:sz w:val="24"/>
              </w:rPr>
              <w:t>Да</w:t>
            </w:r>
          </w:p>
        </w:tc>
        <w:tc>
          <w:tcPr>
            <w:tcW w:w="1868" w:type="dxa"/>
            <w:vAlign w:val="center"/>
          </w:tcPr>
          <w:p w14:paraId="359A23D4">
            <w:pPr>
              <w:widowControl w:val="0"/>
              <w:jc w:val="center"/>
            </w:pPr>
            <w:r>
              <w:rPr>
                <w:rFonts w:ascii="Times New Roman" w:hAnsi="Times New Roman"/>
                <w:sz w:val="24"/>
              </w:rPr>
              <w:t>0</w:t>
            </w:r>
          </w:p>
        </w:tc>
        <w:tc>
          <w:tcPr>
            <w:tcW w:w="1839" w:type="dxa"/>
            <w:vAlign w:val="center"/>
          </w:tcPr>
          <w:p w14:paraId="6924CB38">
            <w:pPr>
              <w:widowControl w:val="0"/>
              <w:jc w:val="center"/>
            </w:pPr>
            <w:r>
              <w:rPr>
                <w:rFonts w:ascii="Times New Roman" w:hAnsi="Times New Roman"/>
                <w:sz w:val="24"/>
              </w:rPr>
              <w:t>0,0</w:t>
            </w:r>
          </w:p>
        </w:tc>
      </w:tr>
      <w:tr w14:paraId="4559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2B2A484A">
            <w:pPr>
              <w:widowControl w:val="0"/>
              <w:jc w:val="both"/>
            </w:pPr>
            <w:r>
              <w:rPr>
                <w:rFonts w:ascii="Times New Roman" w:hAnsi="Times New Roman"/>
                <w:sz w:val="24"/>
              </w:rPr>
              <w:t>Есть ли в компании утвержденная программа обучения тендерных специалистов?</w:t>
            </w:r>
          </w:p>
        </w:tc>
        <w:tc>
          <w:tcPr>
            <w:tcW w:w="2250" w:type="dxa"/>
            <w:vAlign w:val="center"/>
          </w:tcPr>
          <w:p w14:paraId="38509CA0">
            <w:pPr>
              <w:widowControl w:val="0"/>
              <w:jc w:val="center"/>
            </w:pPr>
            <w:r>
              <w:rPr>
                <w:rFonts w:ascii="Times New Roman" w:hAnsi="Times New Roman"/>
                <w:sz w:val="24"/>
              </w:rPr>
              <w:t>Нет</w:t>
            </w:r>
          </w:p>
        </w:tc>
        <w:tc>
          <w:tcPr>
            <w:tcW w:w="1868" w:type="dxa"/>
            <w:vAlign w:val="center"/>
          </w:tcPr>
          <w:p w14:paraId="47211DA0">
            <w:pPr>
              <w:widowControl w:val="0"/>
              <w:jc w:val="center"/>
            </w:pPr>
            <w:r>
              <w:rPr>
                <w:rFonts w:ascii="Times New Roman" w:hAnsi="Times New Roman"/>
                <w:sz w:val="24"/>
              </w:rPr>
              <w:t>8</w:t>
            </w:r>
          </w:p>
        </w:tc>
        <w:tc>
          <w:tcPr>
            <w:tcW w:w="1839" w:type="dxa"/>
            <w:vAlign w:val="center"/>
          </w:tcPr>
          <w:p w14:paraId="6CBFB5EF">
            <w:pPr>
              <w:widowControl w:val="0"/>
              <w:jc w:val="center"/>
            </w:pPr>
            <w:r>
              <w:rPr>
                <w:rFonts w:ascii="Times New Roman" w:hAnsi="Times New Roman"/>
                <w:sz w:val="24"/>
              </w:rPr>
              <w:t>100,0</w:t>
            </w:r>
          </w:p>
        </w:tc>
      </w:tr>
    </w:tbl>
    <w:p w14:paraId="1AF1289D">
      <w:pPr>
        <w:spacing w:after="120" w:line="360" w:lineRule="auto"/>
        <w:jc w:val="both"/>
      </w:pPr>
    </w:p>
    <w:p w14:paraId="4CE9D6DC">
      <w:pPr>
        <w:spacing w:after="120" w:line="360" w:lineRule="auto"/>
        <w:jc w:val="right"/>
        <w:rPr>
          <w:rFonts w:hint="default" w:ascii="Times New Roman" w:hAnsi="Times New Roman" w:cs="Times New Roman"/>
          <w:sz w:val="24"/>
          <w:szCs w:val="24"/>
          <w:lang w:val="ru-RU"/>
        </w:rPr>
      </w:pPr>
      <w:r>
        <w:rPr>
          <w:rFonts w:hint="default" w:ascii="Times New Roman" w:hAnsi="Times New Roman" w:cs="Times New Roman"/>
          <w:sz w:val="24"/>
          <w:szCs w:val="24"/>
          <w:lang w:val="ru-RU"/>
        </w:rPr>
        <w:t>Продолжение таблицы 3.4.</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2250"/>
        <w:gridCol w:w="1868"/>
        <w:gridCol w:w="1839"/>
      </w:tblGrid>
      <w:tr w14:paraId="0C43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205B3369">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3634AC45">
            <w:pPr>
              <w:widowControl w:val="0"/>
              <w:jc w:val="center"/>
            </w:pPr>
            <w:r>
              <w:rPr>
                <w:rFonts w:ascii="Times New Roman" w:hAnsi="Times New Roman"/>
                <w:sz w:val="24"/>
              </w:rPr>
              <w:t>Да, полностью</w:t>
            </w:r>
          </w:p>
        </w:tc>
        <w:tc>
          <w:tcPr>
            <w:tcW w:w="1868" w:type="dxa"/>
            <w:vAlign w:val="center"/>
          </w:tcPr>
          <w:p w14:paraId="47C40D36">
            <w:pPr>
              <w:widowControl w:val="0"/>
              <w:jc w:val="center"/>
            </w:pPr>
            <w:r>
              <w:rPr>
                <w:rFonts w:ascii="Times New Roman" w:hAnsi="Times New Roman"/>
                <w:sz w:val="24"/>
              </w:rPr>
              <w:t>0</w:t>
            </w:r>
          </w:p>
        </w:tc>
        <w:tc>
          <w:tcPr>
            <w:tcW w:w="1839" w:type="dxa"/>
            <w:vAlign w:val="center"/>
          </w:tcPr>
          <w:p w14:paraId="33FD3682">
            <w:pPr>
              <w:widowControl w:val="0"/>
              <w:jc w:val="center"/>
            </w:pPr>
            <w:r>
              <w:rPr>
                <w:rFonts w:ascii="Times New Roman" w:hAnsi="Times New Roman"/>
                <w:sz w:val="24"/>
              </w:rPr>
              <w:t>0,0</w:t>
            </w:r>
          </w:p>
        </w:tc>
      </w:tr>
      <w:tr w14:paraId="657A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9379350">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5EB2F2B9">
            <w:pPr>
              <w:widowControl w:val="0"/>
              <w:jc w:val="center"/>
            </w:pPr>
            <w:r>
              <w:rPr>
                <w:rFonts w:ascii="Times New Roman" w:hAnsi="Times New Roman"/>
                <w:sz w:val="24"/>
              </w:rPr>
              <w:t>Частично</w:t>
            </w:r>
          </w:p>
        </w:tc>
        <w:tc>
          <w:tcPr>
            <w:tcW w:w="1868" w:type="dxa"/>
            <w:vAlign w:val="center"/>
          </w:tcPr>
          <w:p w14:paraId="2D48A761">
            <w:pPr>
              <w:widowControl w:val="0"/>
              <w:jc w:val="center"/>
            </w:pPr>
            <w:r>
              <w:rPr>
                <w:rFonts w:ascii="Times New Roman" w:hAnsi="Times New Roman"/>
                <w:sz w:val="24"/>
              </w:rPr>
              <w:t>2</w:t>
            </w:r>
          </w:p>
        </w:tc>
        <w:tc>
          <w:tcPr>
            <w:tcW w:w="1839" w:type="dxa"/>
            <w:vAlign w:val="center"/>
          </w:tcPr>
          <w:p w14:paraId="439D0546">
            <w:pPr>
              <w:widowControl w:val="0"/>
              <w:jc w:val="center"/>
            </w:pPr>
            <w:r>
              <w:rPr>
                <w:rFonts w:ascii="Times New Roman" w:hAnsi="Times New Roman"/>
                <w:sz w:val="24"/>
              </w:rPr>
              <w:t>25,0</w:t>
            </w:r>
          </w:p>
        </w:tc>
      </w:tr>
      <w:tr w14:paraId="4FF4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04E2A845">
            <w:pPr>
              <w:widowControl w:val="0"/>
              <w:jc w:val="both"/>
            </w:pPr>
            <w:r>
              <w:rPr>
                <w:rFonts w:ascii="Times New Roman" w:hAnsi="Times New Roman"/>
                <w:sz w:val="24"/>
              </w:rPr>
              <w:t>Проходили ли вы вводное обучение по единому плану при приеме на работу?</w:t>
            </w:r>
          </w:p>
        </w:tc>
        <w:tc>
          <w:tcPr>
            <w:tcW w:w="2250" w:type="dxa"/>
            <w:vAlign w:val="center"/>
          </w:tcPr>
          <w:p w14:paraId="508F6EC1">
            <w:pPr>
              <w:widowControl w:val="0"/>
              <w:jc w:val="center"/>
            </w:pPr>
            <w:r>
              <w:rPr>
                <w:rFonts w:ascii="Times New Roman" w:hAnsi="Times New Roman"/>
                <w:sz w:val="24"/>
              </w:rPr>
              <w:t>Нет</w:t>
            </w:r>
          </w:p>
        </w:tc>
        <w:tc>
          <w:tcPr>
            <w:tcW w:w="1868" w:type="dxa"/>
            <w:vAlign w:val="center"/>
          </w:tcPr>
          <w:p w14:paraId="207F1191">
            <w:pPr>
              <w:widowControl w:val="0"/>
              <w:jc w:val="center"/>
            </w:pPr>
            <w:r>
              <w:rPr>
                <w:rFonts w:ascii="Times New Roman" w:hAnsi="Times New Roman"/>
                <w:sz w:val="24"/>
              </w:rPr>
              <w:t>6</w:t>
            </w:r>
          </w:p>
        </w:tc>
        <w:tc>
          <w:tcPr>
            <w:tcW w:w="1839" w:type="dxa"/>
            <w:vAlign w:val="center"/>
          </w:tcPr>
          <w:p w14:paraId="35E785F9">
            <w:pPr>
              <w:widowControl w:val="0"/>
              <w:jc w:val="center"/>
            </w:pPr>
            <w:r>
              <w:rPr>
                <w:rFonts w:ascii="Times New Roman" w:hAnsi="Times New Roman"/>
                <w:sz w:val="24"/>
              </w:rPr>
              <w:t>75,0</w:t>
            </w:r>
          </w:p>
        </w:tc>
      </w:tr>
      <w:tr w14:paraId="0E4A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1B4FAF49">
            <w:pPr>
              <w:widowControl w:val="0"/>
              <w:jc w:val="both"/>
            </w:pPr>
            <w:r>
              <w:rPr>
                <w:rFonts w:ascii="Times New Roman" w:hAnsi="Times New Roman"/>
                <w:sz w:val="24"/>
              </w:rPr>
              <w:t>Проводится ли регулярная проверка знаний по 44-ФЗ/223-ФЗ и ЭТП?</w:t>
            </w:r>
          </w:p>
        </w:tc>
        <w:tc>
          <w:tcPr>
            <w:tcW w:w="2250" w:type="dxa"/>
            <w:vAlign w:val="center"/>
          </w:tcPr>
          <w:p w14:paraId="27AD96CD">
            <w:pPr>
              <w:widowControl w:val="0"/>
              <w:jc w:val="center"/>
            </w:pPr>
            <w:r>
              <w:rPr>
                <w:rFonts w:ascii="Times New Roman" w:hAnsi="Times New Roman"/>
                <w:sz w:val="24"/>
              </w:rPr>
              <w:t>Да</w:t>
            </w:r>
          </w:p>
        </w:tc>
        <w:tc>
          <w:tcPr>
            <w:tcW w:w="1868" w:type="dxa"/>
            <w:vAlign w:val="center"/>
          </w:tcPr>
          <w:p w14:paraId="4F4AA7A2">
            <w:pPr>
              <w:widowControl w:val="0"/>
              <w:jc w:val="center"/>
            </w:pPr>
            <w:r>
              <w:rPr>
                <w:rFonts w:ascii="Times New Roman" w:hAnsi="Times New Roman"/>
                <w:sz w:val="24"/>
              </w:rPr>
              <w:t>0</w:t>
            </w:r>
          </w:p>
        </w:tc>
        <w:tc>
          <w:tcPr>
            <w:tcW w:w="1839" w:type="dxa"/>
            <w:vAlign w:val="center"/>
          </w:tcPr>
          <w:p w14:paraId="3673F7CE">
            <w:pPr>
              <w:widowControl w:val="0"/>
              <w:jc w:val="center"/>
            </w:pPr>
            <w:r>
              <w:rPr>
                <w:rFonts w:ascii="Times New Roman" w:hAnsi="Times New Roman"/>
                <w:sz w:val="24"/>
              </w:rPr>
              <w:t>0,0</w:t>
            </w:r>
          </w:p>
        </w:tc>
      </w:tr>
      <w:tr w14:paraId="2D43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5E65411">
            <w:pPr>
              <w:widowControl w:val="0"/>
              <w:jc w:val="both"/>
            </w:pPr>
            <w:r>
              <w:rPr>
                <w:rFonts w:ascii="Times New Roman" w:hAnsi="Times New Roman"/>
                <w:sz w:val="24"/>
              </w:rPr>
              <w:t>Проводится ли регулярная проверка знаний по 44-ФЗ/223-ФЗ и ЭТП?</w:t>
            </w:r>
          </w:p>
        </w:tc>
        <w:tc>
          <w:tcPr>
            <w:tcW w:w="2250" w:type="dxa"/>
            <w:vAlign w:val="center"/>
          </w:tcPr>
          <w:p w14:paraId="0CD31B59">
            <w:pPr>
              <w:widowControl w:val="0"/>
              <w:jc w:val="center"/>
            </w:pPr>
            <w:r>
              <w:rPr>
                <w:rFonts w:ascii="Times New Roman" w:hAnsi="Times New Roman"/>
                <w:sz w:val="24"/>
              </w:rPr>
              <w:t>Нет</w:t>
            </w:r>
          </w:p>
        </w:tc>
        <w:tc>
          <w:tcPr>
            <w:tcW w:w="1868" w:type="dxa"/>
            <w:vAlign w:val="center"/>
          </w:tcPr>
          <w:p w14:paraId="2C04BA2F">
            <w:pPr>
              <w:widowControl w:val="0"/>
              <w:jc w:val="center"/>
            </w:pPr>
            <w:r>
              <w:rPr>
                <w:rFonts w:ascii="Times New Roman" w:hAnsi="Times New Roman"/>
                <w:sz w:val="24"/>
              </w:rPr>
              <w:t>8</w:t>
            </w:r>
          </w:p>
        </w:tc>
        <w:tc>
          <w:tcPr>
            <w:tcW w:w="1839" w:type="dxa"/>
            <w:vAlign w:val="center"/>
          </w:tcPr>
          <w:p w14:paraId="0F02E646">
            <w:pPr>
              <w:widowControl w:val="0"/>
              <w:jc w:val="center"/>
            </w:pPr>
            <w:r>
              <w:rPr>
                <w:rFonts w:ascii="Times New Roman" w:hAnsi="Times New Roman"/>
                <w:sz w:val="24"/>
              </w:rPr>
              <w:t>100,0</w:t>
            </w:r>
          </w:p>
        </w:tc>
      </w:tr>
      <w:tr w14:paraId="45CF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B98276C">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72ABEE5C">
            <w:pPr>
              <w:widowControl w:val="0"/>
              <w:jc w:val="center"/>
            </w:pPr>
            <w:r>
              <w:rPr>
                <w:rFonts w:ascii="Times New Roman" w:hAnsi="Times New Roman"/>
                <w:sz w:val="24"/>
              </w:rPr>
              <w:t>Да, удобная и актуальная</w:t>
            </w:r>
          </w:p>
        </w:tc>
        <w:tc>
          <w:tcPr>
            <w:tcW w:w="1868" w:type="dxa"/>
            <w:vAlign w:val="center"/>
          </w:tcPr>
          <w:p w14:paraId="7E030DF5">
            <w:pPr>
              <w:widowControl w:val="0"/>
              <w:jc w:val="center"/>
            </w:pPr>
            <w:r>
              <w:rPr>
                <w:rFonts w:ascii="Times New Roman" w:hAnsi="Times New Roman"/>
                <w:sz w:val="24"/>
              </w:rPr>
              <w:t>0</w:t>
            </w:r>
          </w:p>
        </w:tc>
        <w:tc>
          <w:tcPr>
            <w:tcW w:w="1839" w:type="dxa"/>
            <w:vAlign w:val="center"/>
          </w:tcPr>
          <w:p w14:paraId="117E6730">
            <w:pPr>
              <w:widowControl w:val="0"/>
              <w:jc w:val="center"/>
            </w:pPr>
            <w:r>
              <w:rPr>
                <w:rFonts w:ascii="Times New Roman" w:hAnsi="Times New Roman"/>
                <w:sz w:val="24"/>
              </w:rPr>
              <w:t>0,0</w:t>
            </w:r>
          </w:p>
        </w:tc>
      </w:tr>
      <w:tr w14:paraId="3E1F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0F2B3ACF">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49E8BC37">
            <w:pPr>
              <w:widowControl w:val="0"/>
              <w:jc w:val="center"/>
            </w:pPr>
            <w:r>
              <w:rPr>
                <w:rFonts w:ascii="Times New Roman" w:hAnsi="Times New Roman"/>
                <w:sz w:val="24"/>
              </w:rPr>
              <w:t>Есть отдельные материалы, но они разрознены</w:t>
            </w:r>
          </w:p>
        </w:tc>
        <w:tc>
          <w:tcPr>
            <w:tcW w:w="1868" w:type="dxa"/>
            <w:vAlign w:val="center"/>
          </w:tcPr>
          <w:p w14:paraId="6252F159">
            <w:pPr>
              <w:widowControl w:val="0"/>
              <w:jc w:val="center"/>
            </w:pPr>
            <w:r>
              <w:rPr>
                <w:rFonts w:ascii="Times New Roman" w:hAnsi="Times New Roman"/>
                <w:sz w:val="24"/>
              </w:rPr>
              <w:t>6</w:t>
            </w:r>
          </w:p>
        </w:tc>
        <w:tc>
          <w:tcPr>
            <w:tcW w:w="1839" w:type="dxa"/>
            <w:vAlign w:val="center"/>
          </w:tcPr>
          <w:p w14:paraId="6FFBBA3D">
            <w:pPr>
              <w:widowControl w:val="0"/>
              <w:jc w:val="center"/>
            </w:pPr>
            <w:r>
              <w:rPr>
                <w:rFonts w:ascii="Times New Roman" w:hAnsi="Times New Roman"/>
                <w:sz w:val="24"/>
              </w:rPr>
              <w:t>75,0</w:t>
            </w:r>
          </w:p>
        </w:tc>
      </w:tr>
      <w:tr w14:paraId="5FAB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9" w:type="dxa"/>
          </w:tcPr>
          <w:p w14:paraId="390AB36F">
            <w:pPr>
              <w:widowControl w:val="0"/>
              <w:jc w:val="both"/>
            </w:pPr>
            <w:r>
              <w:rPr>
                <w:rFonts w:ascii="Times New Roman" w:hAnsi="Times New Roman"/>
                <w:sz w:val="24"/>
              </w:rPr>
              <w:t>Есть ли единая база актуальных шаблонов и инструкций?</w:t>
            </w:r>
          </w:p>
        </w:tc>
        <w:tc>
          <w:tcPr>
            <w:tcW w:w="2250" w:type="dxa"/>
            <w:vAlign w:val="center"/>
          </w:tcPr>
          <w:p w14:paraId="63823F0F">
            <w:pPr>
              <w:widowControl w:val="0"/>
              <w:jc w:val="center"/>
            </w:pPr>
            <w:r>
              <w:rPr>
                <w:rFonts w:ascii="Times New Roman" w:hAnsi="Times New Roman"/>
                <w:sz w:val="24"/>
              </w:rPr>
              <w:t>Нет</w:t>
            </w:r>
          </w:p>
        </w:tc>
        <w:tc>
          <w:tcPr>
            <w:tcW w:w="1868" w:type="dxa"/>
            <w:vAlign w:val="center"/>
          </w:tcPr>
          <w:p w14:paraId="4F9D39ED">
            <w:pPr>
              <w:widowControl w:val="0"/>
              <w:jc w:val="center"/>
            </w:pPr>
            <w:r>
              <w:rPr>
                <w:rFonts w:ascii="Times New Roman" w:hAnsi="Times New Roman"/>
                <w:sz w:val="24"/>
              </w:rPr>
              <w:t>2</w:t>
            </w:r>
          </w:p>
        </w:tc>
        <w:tc>
          <w:tcPr>
            <w:tcW w:w="1839" w:type="dxa"/>
            <w:vAlign w:val="center"/>
          </w:tcPr>
          <w:p w14:paraId="74A53E8F">
            <w:pPr>
              <w:widowControl w:val="0"/>
              <w:jc w:val="center"/>
            </w:pPr>
            <w:r>
              <w:rPr>
                <w:rFonts w:ascii="Times New Roman" w:hAnsi="Times New Roman"/>
                <w:sz w:val="24"/>
              </w:rPr>
              <w:t>25,0</w:t>
            </w:r>
          </w:p>
        </w:tc>
      </w:tr>
    </w:tbl>
    <w:p w14:paraId="420ACCC2">
      <w:pPr>
        <w:spacing w:after="120" w:line="360" w:lineRule="auto"/>
        <w:jc w:val="both"/>
        <w:rPr>
          <w:rFonts w:hint="default"/>
          <w:lang w:val="ru-RU"/>
        </w:rPr>
      </w:pPr>
    </w:p>
    <w:p w14:paraId="4ABC9D0B">
      <w:pPr>
        <w:spacing w:after="120" w:line="360" w:lineRule="auto"/>
        <w:ind w:firstLine="700"/>
        <w:jc w:val="both"/>
      </w:pPr>
      <w:r>
        <w:rPr>
          <w:rFonts w:ascii="Times New Roman" w:hAnsi="Times New Roman"/>
          <w:b w:val="0"/>
          <w:sz w:val="28"/>
        </w:rPr>
        <w:t>Ответы сотрудников подтверждают вывод о том, что обучение в отделе не оформлено как система. Все 8 опрошенных указали, что утверждённой программы обучения нет. При этом 6 сотрудников из 8 сообщили, что не проходили вводное обучение при приёме на работу. Ещё 2 сотрудника отметили, что обучение было частичным и выражалось в объяснении отдельных задач, а не в последовательном освоении должности. Также все респонденты указали, что регулярная проверка знаний по законодательству и работе с электронными площадками не проводится.</w:t>
      </w:r>
    </w:p>
    <w:p w14:paraId="46471012">
      <w:pPr>
        <w:spacing w:after="120" w:line="360" w:lineRule="auto"/>
        <w:ind w:firstLine="700"/>
        <w:jc w:val="both"/>
        <w:rPr>
          <w:rFonts w:hint="default" w:ascii="Times New Roman" w:hAnsi="Times New Roman"/>
          <w:b w:val="0"/>
          <w:i w:val="0"/>
          <w:sz w:val="28"/>
          <w:lang w:val="ru-RU"/>
        </w:rPr>
      </w:pPr>
      <w:r>
        <w:rPr>
          <w:rFonts w:hint="default" w:ascii="Times New Roman" w:hAnsi="Times New Roman"/>
          <w:b w:val="0"/>
          <w:i w:val="0"/>
          <w:sz w:val="28"/>
          <w:lang w:val="ru-RU"/>
        </w:rPr>
        <w:t>Особое значение имеет оценка базы материалов. Ни один сотрудник не выбрал вариант, что в компании существует удобная и актуальная база шаблонов и инструкций. Большинство отметили наличие отдельных материалов, но подчеркнули их разрозненность. Это соответствует ранее выявленной проблеме: информация в отделе существует, но она не структурирована и не воспринимается работниками как надёжный инструмент.</w:t>
      </w:r>
    </w:p>
    <w:p w14:paraId="363D82DE">
      <w:pPr>
        <w:spacing w:after="120" w:line="360" w:lineRule="auto"/>
        <w:ind w:firstLine="700"/>
        <w:jc w:val="right"/>
        <w:rPr>
          <w:sz w:val="24"/>
          <w:szCs w:val="24"/>
        </w:rPr>
      </w:pPr>
      <w:r>
        <w:rPr>
          <w:rFonts w:ascii="Times New Roman" w:hAnsi="Times New Roman"/>
          <w:b w:val="0"/>
          <w:i w:val="0"/>
          <w:sz w:val="24"/>
          <w:szCs w:val="24"/>
        </w:rPr>
        <w:t>Таблица 3.5. Источники получения профессиональных знаний сотрудниками тендерного отдела</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0533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19619C8">
            <w:pPr>
              <w:widowControl w:val="0"/>
              <w:jc w:val="both"/>
              <w:rPr>
                <w:b w:val="0"/>
                <w:bCs/>
              </w:rPr>
            </w:pPr>
            <w:r>
              <w:rPr>
                <w:rFonts w:ascii="Times New Roman" w:hAnsi="Times New Roman"/>
                <w:b w:val="0"/>
                <w:bCs/>
                <w:sz w:val="24"/>
              </w:rPr>
              <w:t>Источник информации</w:t>
            </w:r>
          </w:p>
        </w:tc>
        <w:tc>
          <w:tcPr>
            <w:tcW w:w="3118" w:type="dxa"/>
          </w:tcPr>
          <w:p w14:paraId="653761BA">
            <w:pPr>
              <w:widowControl w:val="0"/>
              <w:jc w:val="both"/>
              <w:rPr>
                <w:b w:val="0"/>
                <w:bCs/>
              </w:rPr>
            </w:pPr>
            <w:r>
              <w:rPr>
                <w:rFonts w:ascii="Times New Roman" w:hAnsi="Times New Roman"/>
                <w:b w:val="0"/>
                <w:bCs/>
                <w:sz w:val="24"/>
              </w:rPr>
              <w:t>Количество сотрудников, отметивших источник</w:t>
            </w:r>
          </w:p>
        </w:tc>
        <w:tc>
          <w:tcPr>
            <w:tcW w:w="3118" w:type="dxa"/>
          </w:tcPr>
          <w:p w14:paraId="24B56EE5">
            <w:pPr>
              <w:widowControl w:val="0"/>
              <w:jc w:val="both"/>
              <w:rPr>
                <w:b w:val="0"/>
                <w:bCs/>
              </w:rPr>
            </w:pPr>
            <w:r>
              <w:rPr>
                <w:rFonts w:ascii="Times New Roman" w:hAnsi="Times New Roman"/>
                <w:b w:val="0"/>
                <w:bCs/>
                <w:sz w:val="24"/>
              </w:rPr>
              <w:t>Доля от численности отдела, %</w:t>
            </w:r>
          </w:p>
        </w:tc>
      </w:tr>
      <w:tr w14:paraId="10C0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FE109EB">
            <w:pPr>
              <w:widowControl w:val="0"/>
              <w:jc w:val="both"/>
            </w:pPr>
            <w:r>
              <w:rPr>
                <w:rFonts w:ascii="Times New Roman" w:hAnsi="Times New Roman"/>
                <w:sz w:val="24"/>
              </w:rPr>
              <w:t>Самостоятельный поиск информации в интернете и справочных системах</w:t>
            </w:r>
          </w:p>
        </w:tc>
        <w:tc>
          <w:tcPr>
            <w:tcW w:w="3118" w:type="dxa"/>
          </w:tcPr>
          <w:p w14:paraId="09798C97">
            <w:pPr>
              <w:widowControl w:val="0"/>
              <w:jc w:val="center"/>
            </w:pPr>
            <w:r>
              <w:rPr>
                <w:rFonts w:ascii="Times New Roman" w:hAnsi="Times New Roman"/>
                <w:sz w:val="24"/>
              </w:rPr>
              <w:t>7</w:t>
            </w:r>
          </w:p>
        </w:tc>
        <w:tc>
          <w:tcPr>
            <w:tcW w:w="3118" w:type="dxa"/>
          </w:tcPr>
          <w:p w14:paraId="08F87C31">
            <w:pPr>
              <w:widowControl w:val="0"/>
              <w:jc w:val="center"/>
            </w:pPr>
            <w:r>
              <w:rPr>
                <w:rFonts w:ascii="Times New Roman" w:hAnsi="Times New Roman"/>
                <w:sz w:val="24"/>
              </w:rPr>
              <w:t>87,5</w:t>
            </w:r>
          </w:p>
        </w:tc>
      </w:tr>
      <w:tr w14:paraId="6CA2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D63E522">
            <w:pPr>
              <w:widowControl w:val="0"/>
              <w:jc w:val="both"/>
            </w:pPr>
            <w:r>
              <w:rPr>
                <w:rFonts w:ascii="Times New Roman" w:hAnsi="Times New Roman"/>
                <w:sz w:val="24"/>
              </w:rPr>
              <w:t>Обращение к более опытным коллегам</w:t>
            </w:r>
          </w:p>
        </w:tc>
        <w:tc>
          <w:tcPr>
            <w:tcW w:w="3118" w:type="dxa"/>
          </w:tcPr>
          <w:p w14:paraId="0E2B0DB3">
            <w:pPr>
              <w:widowControl w:val="0"/>
              <w:jc w:val="center"/>
            </w:pPr>
            <w:r>
              <w:rPr>
                <w:rFonts w:ascii="Times New Roman" w:hAnsi="Times New Roman"/>
                <w:sz w:val="24"/>
              </w:rPr>
              <w:t>7</w:t>
            </w:r>
          </w:p>
        </w:tc>
        <w:tc>
          <w:tcPr>
            <w:tcW w:w="3118" w:type="dxa"/>
          </w:tcPr>
          <w:p w14:paraId="035D3F64">
            <w:pPr>
              <w:widowControl w:val="0"/>
              <w:jc w:val="center"/>
            </w:pPr>
            <w:r>
              <w:rPr>
                <w:rFonts w:ascii="Times New Roman" w:hAnsi="Times New Roman"/>
                <w:sz w:val="24"/>
              </w:rPr>
              <w:t>87,5</w:t>
            </w:r>
          </w:p>
        </w:tc>
      </w:tr>
      <w:tr w14:paraId="4D3F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8D9DC3F">
            <w:pPr>
              <w:widowControl w:val="0"/>
              <w:jc w:val="both"/>
            </w:pPr>
            <w:r>
              <w:rPr>
                <w:rFonts w:ascii="Times New Roman" w:hAnsi="Times New Roman"/>
                <w:sz w:val="24"/>
              </w:rPr>
              <w:t>Устные пояснения руководителя отдела</w:t>
            </w:r>
          </w:p>
        </w:tc>
        <w:tc>
          <w:tcPr>
            <w:tcW w:w="3118" w:type="dxa"/>
          </w:tcPr>
          <w:p w14:paraId="399C283D">
            <w:pPr>
              <w:widowControl w:val="0"/>
              <w:jc w:val="center"/>
            </w:pPr>
            <w:r>
              <w:rPr>
                <w:rFonts w:ascii="Times New Roman" w:hAnsi="Times New Roman"/>
                <w:sz w:val="24"/>
              </w:rPr>
              <w:t>5</w:t>
            </w:r>
          </w:p>
        </w:tc>
        <w:tc>
          <w:tcPr>
            <w:tcW w:w="3118" w:type="dxa"/>
          </w:tcPr>
          <w:p w14:paraId="51017E04">
            <w:pPr>
              <w:widowControl w:val="0"/>
              <w:jc w:val="center"/>
            </w:pPr>
            <w:r>
              <w:rPr>
                <w:rFonts w:ascii="Times New Roman" w:hAnsi="Times New Roman"/>
                <w:sz w:val="24"/>
              </w:rPr>
              <w:t>62,5</w:t>
            </w:r>
          </w:p>
        </w:tc>
      </w:tr>
      <w:tr w14:paraId="79B2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8777E5C">
            <w:pPr>
              <w:widowControl w:val="0"/>
              <w:jc w:val="both"/>
            </w:pPr>
            <w:r>
              <w:rPr>
                <w:rFonts w:ascii="Times New Roman" w:hAnsi="Times New Roman"/>
                <w:sz w:val="24"/>
              </w:rPr>
              <w:t>Просмотр ранее поданных заявок</w:t>
            </w:r>
          </w:p>
        </w:tc>
        <w:tc>
          <w:tcPr>
            <w:tcW w:w="3118" w:type="dxa"/>
          </w:tcPr>
          <w:p w14:paraId="5E274DBB">
            <w:pPr>
              <w:widowControl w:val="0"/>
              <w:jc w:val="center"/>
            </w:pPr>
            <w:r>
              <w:rPr>
                <w:rFonts w:ascii="Times New Roman" w:hAnsi="Times New Roman"/>
                <w:sz w:val="24"/>
              </w:rPr>
              <w:t>6</w:t>
            </w:r>
          </w:p>
        </w:tc>
        <w:tc>
          <w:tcPr>
            <w:tcW w:w="3118" w:type="dxa"/>
          </w:tcPr>
          <w:p w14:paraId="5394AEFF">
            <w:pPr>
              <w:widowControl w:val="0"/>
              <w:jc w:val="center"/>
            </w:pPr>
            <w:r>
              <w:rPr>
                <w:rFonts w:ascii="Times New Roman" w:hAnsi="Times New Roman"/>
                <w:sz w:val="24"/>
              </w:rPr>
              <w:t>75,0</w:t>
            </w:r>
          </w:p>
        </w:tc>
      </w:tr>
      <w:tr w14:paraId="6004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651AC6A9">
            <w:pPr>
              <w:widowControl w:val="0"/>
              <w:jc w:val="both"/>
            </w:pPr>
            <w:r>
              <w:rPr>
                <w:rFonts w:ascii="Times New Roman" w:hAnsi="Times New Roman"/>
                <w:sz w:val="24"/>
              </w:rPr>
              <w:t>Записи вебинаров по 44-ФЗ/223-ФЗ</w:t>
            </w:r>
          </w:p>
        </w:tc>
        <w:tc>
          <w:tcPr>
            <w:tcW w:w="3118" w:type="dxa"/>
          </w:tcPr>
          <w:p w14:paraId="2F83FD26">
            <w:pPr>
              <w:widowControl w:val="0"/>
              <w:jc w:val="center"/>
            </w:pPr>
            <w:r>
              <w:rPr>
                <w:rFonts w:ascii="Times New Roman" w:hAnsi="Times New Roman"/>
                <w:sz w:val="24"/>
              </w:rPr>
              <w:t>4</w:t>
            </w:r>
          </w:p>
        </w:tc>
        <w:tc>
          <w:tcPr>
            <w:tcW w:w="3118" w:type="dxa"/>
          </w:tcPr>
          <w:p w14:paraId="51E600D5">
            <w:pPr>
              <w:widowControl w:val="0"/>
              <w:jc w:val="center"/>
            </w:pPr>
            <w:r>
              <w:rPr>
                <w:rFonts w:ascii="Times New Roman" w:hAnsi="Times New Roman"/>
                <w:sz w:val="24"/>
              </w:rPr>
              <w:t>50,0</w:t>
            </w:r>
          </w:p>
        </w:tc>
      </w:tr>
      <w:tr w14:paraId="1294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327DD2B">
            <w:pPr>
              <w:widowControl w:val="0"/>
              <w:jc w:val="both"/>
            </w:pPr>
            <w:r>
              <w:rPr>
                <w:rFonts w:ascii="Times New Roman" w:hAnsi="Times New Roman"/>
                <w:sz w:val="24"/>
              </w:rPr>
              <w:t>Внутренние инструкции компании</w:t>
            </w:r>
          </w:p>
        </w:tc>
        <w:tc>
          <w:tcPr>
            <w:tcW w:w="3118" w:type="dxa"/>
          </w:tcPr>
          <w:p w14:paraId="2D58E7E8">
            <w:pPr>
              <w:widowControl w:val="0"/>
              <w:jc w:val="center"/>
            </w:pPr>
            <w:r>
              <w:rPr>
                <w:rFonts w:ascii="Times New Roman" w:hAnsi="Times New Roman"/>
                <w:sz w:val="24"/>
              </w:rPr>
              <w:t>1</w:t>
            </w:r>
          </w:p>
        </w:tc>
        <w:tc>
          <w:tcPr>
            <w:tcW w:w="3118" w:type="dxa"/>
          </w:tcPr>
          <w:p w14:paraId="291F8464">
            <w:pPr>
              <w:widowControl w:val="0"/>
              <w:jc w:val="center"/>
            </w:pPr>
            <w:r>
              <w:rPr>
                <w:rFonts w:ascii="Times New Roman" w:hAnsi="Times New Roman"/>
                <w:sz w:val="24"/>
              </w:rPr>
              <w:t>12,5</w:t>
            </w:r>
          </w:p>
        </w:tc>
      </w:tr>
      <w:tr w14:paraId="71EB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7AD0D6B">
            <w:pPr>
              <w:widowControl w:val="0"/>
              <w:jc w:val="both"/>
            </w:pPr>
            <w:r>
              <w:rPr>
                <w:rFonts w:ascii="Times New Roman" w:hAnsi="Times New Roman"/>
                <w:sz w:val="24"/>
              </w:rPr>
              <w:t>Единый обучающий курс компании</w:t>
            </w:r>
          </w:p>
        </w:tc>
        <w:tc>
          <w:tcPr>
            <w:tcW w:w="3118" w:type="dxa"/>
          </w:tcPr>
          <w:p w14:paraId="4F07DD65">
            <w:pPr>
              <w:widowControl w:val="0"/>
              <w:jc w:val="center"/>
            </w:pPr>
            <w:r>
              <w:rPr>
                <w:rFonts w:ascii="Times New Roman" w:hAnsi="Times New Roman"/>
                <w:sz w:val="24"/>
              </w:rPr>
              <w:t>0</w:t>
            </w:r>
          </w:p>
        </w:tc>
        <w:tc>
          <w:tcPr>
            <w:tcW w:w="3118" w:type="dxa"/>
          </w:tcPr>
          <w:p w14:paraId="52693347">
            <w:pPr>
              <w:widowControl w:val="0"/>
              <w:jc w:val="center"/>
            </w:pPr>
            <w:r>
              <w:rPr>
                <w:rFonts w:ascii="Times New Roman" w:hAnsi="Times New Roman"/>
                <w:sz w:val="24"/>
              </w:rPr>
              <w:t>0,0</w:t>
            </w:r>
          </w:p>
        </w:tc>
      </w:tr>
    </w:tbl>
    <w:p w14:paraId="459C0E44">
      <w:pPr>
        <w:spacing w:after="120" w:line="360" w:lineRule="auto"/>
        <w:jc w:val="both"/>
      </w:pPr>
    </w:p>
    <w:p w14:paraId="6902B2A1">
      <w:pPr>
        <w:spacing w:after="120" w:line="360" w:lineRule="auto"/>
        <w:ind w:firstLine="700"/>
        <w:jc w:val="both"/>
        <w:rPr>
          <w:rFonts w:ascii="Times New Roman" w:hAnsi="Times New Roman"/>
          <w:b w:val="0"/>
          <w:i w:val="0"/>
          <w:sz w:val="28"/>
        </w:rPr>
      </w:pPr>
      <w:r>
        <w:rPr>
          <w:rFonts w:ascii="Times New Roman" w:hAnsi="Times New Roman"/>
          <w:b w:val="0"/>
          <w:i w:val="0"/>
          <w:sz w:val="28"/>
          <w:lang w:val="ru-RU"/>
        </w:rPr>
        <w:t>Результаты</w:t>
      </w:r>
      <w:r>
        <w:rPr>
          <w:rFonts w:hint="default" w:ascii="Times New Roman" w:hAnsi="Times New Roman"/>
          <w:b w:val="0"/>
          <w:i w:val="0"/>
          <w:sz w:val="28"/>
          <w:lang w:val="ru-RU"/>
        </w:rPr>
        <w:t xml:space="preserve"> таблицы 3.5 показывают, что основными источниками знаний являются самостоятельный поиск информации и обращение к коллегам. Это означает, что обучение в отделе фактически встроено в текущую работу. </w:t>
      </w:r>
      <w:r>
        <w:rPr>
          <w:rFonts w:ascii="Times New Roman" w:hAnsi="Times New Roman"/>
          <w:b w:val="0"/>
          <w:i w:val="0"/>
          <w:sz w:val="28"/>
        </w:rPr>
        <w:t xml:space="preserve"> С одной стороны, сотрудники проявляют самостоятельность и используют профессиональные контакты внутри отдела. С другой стороны, такой способ получения знаний не гарантирует единообразия: разные специалисты могут получать разные ответы, использовать разные источники и по-разному трактовать требования закупочной документации. Отсутствие единого обучающего курса отметили все участники опроса.</w:t>
      </w:r>
    </w:p>
    <w:p w14:paraId="19108AFC">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Трудности, которые возникают  при подготовке заявок отражены в таблице 3.6.</w:t>
      </w:r>
    </w:p>
    <w:p w14:paraId="54ED461A">
      <w:pPr>
        <w:spacing w:after="120" w:line="360" w:lineRule="auto"/>
        <w:ind w:firstLine="700"/>
        <w:jc w:val="both"/>
        <w:rPr>
          <w:rFonts w:hint="default" w:ascii="Times New Roman" w:hAnsi="Times New Roman"/>
          <w:b w:val="0"/>
          <w:i w:val="0"/>
          <w:sz w:val="28"/>
          <w:lang w:val="ru-RU"/>
        </w:rPr>
      </w:pPr>
    </w:p>
    <w:p w14:paraId="054D67CE">
      <w:pPr>
        <w:spacing w:after="120" w:line="360" w:lineRule="auto"/>
        <w:ind w:firstLine="700"/>
        <w:jc w:val="right"/>
        <w:rPr>
          <w:sz w:val="24"/>
          <w:szCs w:val="24"/>
        </w:rPr>
      </w:pPr>
      <w:r>
        <w:rPr>
          <w:rFonts w:ascii="Times New Roman" w:hAnsi="Times New Roman"/>
          <w:b w:val="0"/>
          <w:i w:val="0"/>
          <w:sz w:val="24"/>
          <w:szCs w:val="24"/>
        </w:rPr>
        <w:t>Таблица 3.6. Трудности, с которыми сотрудники сталкиваются при подготовке заявок</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9"/>
        <w:gridCol w:w="2257"/>
        <w:gridCol w:w="2388"/>
      </w:tblGrid>
      <w:tr w14:paraId="1A59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F01A0B4">
            <w:pPr>
              <w:widowControl w:val="0"/>
              <w:jc w:val="center"/>
              <w:rPr>
                <w:b w:val="0"/>
                <w:bCs/>
              </w:rPr>
            </w:pPr>
            <w:r>
              <w:rPr>
                <w:rFonts w:ascii="Times New Roman" w:hAnsi="Times New Roman"/>
                <w:b w:val="0"/>
                <w:bCs/>
                <w:sz w:val="24"/>
              </w:rPr>
              <w:t>Трудность</w:t>
            </w:r>
          </w:p>
        </w:tc>
        <w:tc>
          <w:tcPr>
            <w:tcW w:w="2257" w:type="dxa"/>
          </w:tcPr>
          <w:p w14:paraId="6385A8FB">
            <w:pPr>
              <w:widowControl w:val="0"/>
              <w:jc w:val="center"/>
              <w:rPr>
                <w:b w:val="0"/>
                <w:bCs/>
              </w:rPr>
            </w:pPr>
            <w:r>
              <w:rPr>
                <w:rFonts w:ascii="Times New Roman" w:hAnsi="Times New Roman"/>
                <w:b w:val="0"/>
                <w:bCs/>
                <w:sz w:val="24"/>
              </w:rPr>
              <w:t>Количество ответов</w:t>
            </w:r>
          </w:p>
        </w:tc>
        <w:tc>
          <w:tcPr>
            <w:tcW w:w="2388" w:type="dxa"/>
          </w:tcPr>
          <w:p w14:paraId="5D5F7948">
            <w:pPr>
              <w:widowControl w:val="0"/>
              <w:jc w:val="center"/>
              <w:rPr>
                <w:b w:val="0"/>
                <w:bCs/>
              </w:rPr>
            </w:pPr>
            <w:r>
              <w:rPr>
                <w:rFonts w:ascii="Times New Roman" w:hAnsi="Times New Roman"/>
                <w:b w:val="0"/>
                <w:bCs/>
                <w:sz w:val="24"/>
              </w:rPr>
              <w:t>Доля, %</w:t>
            </w:r>
          </w:p>
        </w:tc>
      </w:tr>
      <w:tr w14:paraId="6381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6D03CEF6">
            <w:pPr>
              <w:widowControl w:val="0"/>
              <w:jc w:val="both"/>
              <w:rPr>
                <w:b w:val="0"/>
                <w:bCs/>
              </w:rPr>
            </w:pPr>
            <w:r>
              <w:rPr>
                <w:rFonts w:ascii="Times New Roman" w:hAnsi="Times New Roman"/>
                <w:b w:val="0"/>
                <w:bCs/>
                <w:sz w:val="24"/>
              </w:rPr>
              <w:t>Сложность отслеживания изменений в 44-ФЗ/223-ФЗ</w:t>
            </w:r>
          </w:p>
        </w:tc>
        <w:tc>
          <w:tcPr>
            <w:tcW w:w="2257" w:type="dxa"/>
          </w:tcPr>
          <w:p w14:paraId="3C9DB36B">
            <w:pPr>
              <w:widowControl w:val="0"/>
              <w:jc w:val="center"/>
              <w:rPr>
                <w:b w:val="0"/>
                <w:bCs/>
              </w:rPr>
            </w:pPr>
            <w:r>
              <w:rPr>
                <w:rFonts w:ascii="Times New Roman" w:hAnsi="Times New Roman"/>
                <w:b w:val="0"/>
                <w:bCs/>
                <w:sz w:val="24"/>
              </w:rPr>
              <w:t>6</w:t>
            </w:r>
          </w:p>
        </w:tc>
        <w:tc>
          <w:tcPr>
            <w:tcW w:w="2388" w:type="dxa"/>
          </w:tcPr>
          <w:p w14:paraId="43FFBF36">
            <w:pPr>
              <w:widowControl w:val="0"/>
              <w:jc w:val="center"/>
              <w:rPr>
                <w:b w:val="0"/>
                <w:bCs/>
              </w:rPr>
            </w:pPr>
            <w:r>
              <w:rPr>
                <w:rFonts w:ascii="Times New Roman" w:hAnsi="Times New Roman"/>
                <w:b w:val="0"/>
                <w:bCs/>
                <w:sz w:val="24"/>
              </w:rPr>
              <w:t>75,0</w:t>
            </w:r>
          </w:p>
        </w:tc>
      </w:tr>
      <w:tr w14:paraId="2DDA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1248C999">
            <w:pPr>
              <w:widowControl w:val="0"/>
              <w:jc w:val="both"/>
              <w:rPr>
                <w:b w:val="0"/>
                <w:bCs/>
              </w:rPr>
            </w:pPr>
            <w:r>
              <w:rPr>
                <w:rFonts w:ascii="Times New Roman" w:hAnsi="Times New Roman"/>
                <w:b w:val="0"/>
                <w:bCs/>
                <w:sz w:val="24"/>
              </w:rPr>
              <w:t>Неуверенность в актуальности используемых шаблонов</w:t>
            </w:r>
          </w:p>
        </w:tc>
        <w:tc>
          <w:tcPr>
            <w:tcW w:w="2257" w:type="dxa"/>
          </w:tcPr>
          <w:p w14:paraId="4C8F0D8C">
            <w:pPr>
              <w:widowControl w:val="0"/>
              <w:jc w:val="center"/>
              <w:rPr>
                <w:b w:val="0"/>
                <w:bCs/>
              </w:rPr>
            </w:pPr>
            <w:r>
              <w:rPr>
                <w:rFonts w:ascii="Times New Roman" w:hAnsi="Times New Roman"/>
                <w:b w:val="0"/>
                <w:bCs/>
                <w:sz w:val="24"/>
              </w:rPr>
              <w:t>7</w:t>
            </w:r>
          </w:p>
        </w:tc>
        <w:tc>
          <w:tcPr>
            <w:tcW w:w="2388" w:type="dxa"/>
          </w:tcPr>
          <w:p w14:paraId="47B52BB1">
            <w:pPr>
              <w:widowControl w:val="0"/>
              <w:jc w:val="center"/>
              <w:rPr>
                <w:b w:val="0"/>
                <w:bCs/>
              </w:rPr>
            </w:pPr>
            <w:r>
              <w:rPr>
                <w:rFonts w:ascii="Times New Roman" w:hAnsi="Times New Roman"/>
                <w:b w:val="0"/>
                <w:bCs/>
                <w:sz w:val="24"/>
              </w:rPr>
              <w:t>87,5</w:t>
            </w:r>
          </w:p>
        </w:tc>
      </w:tr>
      <w:tr w14:paraId="7F0C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78507ED8">
            <w:pPr>
              <w:widowControl w:val="0"/>
              <w:jc w:val="both"/>
              <w:rPr>
                <w:b w:val="0"/>
                <w:bCs/>
              </w:rPr>
            </w:pPr>
            <w:r>
              <w:rPr>
                <w:rFonts w:ascii="Times New Roman" w:hAnsi="Times New Roman"/>
                <w:b w:val="0"/>
                <w:bCs/>
                <w:sz w:val="24"/>
              </w:rPr>
              <w:t>Отсутствие единого чек-листа перед отправкой заявки</w:t>
            </w:r>
          </w:p>
        </w:tc>
        <w:tc>
          <w:tcPr>
            <w:tcW w:w="2257" w:type="dxa"/>
          </w:tcPr>
          <w:p w14:paraId="624CF970">
            <w:pPr>
              <w:widowControl w:val="0"/>
              <w:jc w:val="center"/>
              <w:rPr>
                <w:b w:val="0"/>
                <w:bCs/>
              </w:rPr>
            </w:pPr>
            <w:r>
              <w:rPr>
                <w:rFonts w:ascii="Times New Roman" w:hAnsi="Times New Roman"/>
                <w:b w:val="0"/>
                <w:bCs/>
                <w:sz w:val="24"/>
              </w:rPr>
              <w:t>7</w:t>
            </w:r>
          </w:p>
        </w:tc>
        <w:tc>
          <w:tcPr>
            <w:tcW w:w="2388" w:type="dxa"/>
          </w:tcPr>
          <w:p w14:paraId="1A5412D2">
            <w:pPr>
              <w:widowControl w:val="0"/>
              <w:jc w:val="center"/>
              <w:rPr>
                <w:b w:val="0"/>
                <w:bCs/>
              </w:rPr>
            </w:pPr>
            <w:r>
              <w:rPr>
                <w:rFonts w:ascii="Times New Roman" w:hAnsi="Times New Roman"/>
                <w:b w:val="0"/>
                <w:bCs/>
                <w:sz w:val="24"/>
              </w:rPr>
              <w:t>87,5</w:t>
            </w:r>
          </w:p>
        </w:tc>
      </w:tr>
      <w:tr w14:paraId="55B3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3CD1D7A3">
            <w:pPr>
              <w:widowControl w:val="0"/>
              <w:jc w:val="both"/>
              <w:rPr>
                <w:b w:val="0"/>
                <w:bCs/>
              </w:rPr>
            </w:pPr>
            <w:r>
              <w:rPr>
                <w:rFonts w:ascii="Times New Roman" w:hAnsi="Times New Roman"/>
                <w:b w:val="0"/>
                <w:bCs/>
                <w:sz w:val="24"/>
              </w:rPr>
              <w:t>Разные требования электронных торговых площадок</w:t>
            </w:r>
          </w:p>
        </w:tc>
        <w:tc>
          <w:tcPr>
            <w:tcW w:w="2257" w:type="dxa"/>
          </w:tcPr>
          <w:p w14:paraId="4DB90DBF">
            <w:pPr>
              <w:widowControl w:val="0"/>
              <w:jc w:val="center"/>
              <w:rPr>
                <w:b w:val="0"/>
                <w:bCs/>
              </w:rPr>
            </w:pPr>
            <w:r>
              <w:rPr>
                <w:rFonts w:ascii="Times New Roman" w:hAnsi="Times New Roman"/>
                <w:b w:val="0"/>
                <w:bCs/>
                <w:sz w:val="24"/>
              </w:rPr>
              <w:t>5</w:t>
            </w:r>
          </w:p>
        </w:tc>
        <w:tc>
          <w:tcPr>
            <w:tcW w:w="2388" w:type="dxa"/>
          </w:tcPr>
          <w:p w14:paraId="1E3D440B">
            <w:pPr>
              <w:widowControl w:val="0"/>
              <w:jc w:val="center"/>
              <w:rPr>
                <w:b w:val="0"/>
                <w:bCs/>
              </w:rPr>
            </w:pPr>
            <w:r>
              <w:rPr>
                <w:rFonts w:ascii="Times New Roman" w:hAnsi="Times New Roman"/>
                <w:b w:val="0"/>
                <w:bCs/>
                <w:sz w:val="24"/>
              </w:rPr>
              <w:t>62,5</w:t>
            </w:r>
          </w:p>
        </w:tc>
      </w:tr>
      <w:tr w14:paraId="1523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206A065D">
            <w:pPr>
              <w:widowControl w:val="0"/>
              <w:jc w:val="both"/>
              <w:rPr>
                <w:b w:val="0"/>
                <w:bCs/>
              </w:rPr>
            </w:pPr>
            <w:r>
              <w:rPr>
                <w:rFonts w:ascii="Times New Roman" w:hAnsi="Times New Roman"/>
                <w:b w:val="0"/>
                <w:bCs/>
                <w:sz w:val="24"/>
              </w:rPr>
              <w:t>Недостаток разбора реальных ошибок отдела</w:t>
            </w:r>
          </w:p>
        </w:tc>
        <w:tc>
          <w:tcPr>
            <w:tcW w:w="2257" w:type="dxa"/>
          </w:tcPr>
          <w:p w14:paraId="67F45973">
            <w:pPr>
              <w:widowControl w:val="0"/>
              <w:jc w:val="center"/>
              <w:rPr>
                <w:b w:val="0"/>
                <w:bCs/>
              </w:rPr>
            </w:pPr>
            <w:r>
              <w:rPr>
                <w:rFonts w:ascii="Times New Roman" w:hAnsi="Times New Roman"/>
                <w:b w:val="0"/>
                <w:bCs/>
                <w:sz w:val="24"/>
              </w:rPr>
              <w:t>6</w:t>
            </w:r>
          </w:p>
        </w:tc>
        <w:tc>
          <w:tcPr>
            <w:tcW w:w="2388" w:type="dxa"/>
          </w:tcPr>
          <w:p w14:paraId="1C9C8A71">
            <w:pPr>
              <w:widowControl w:val="0"/>
              <w:jc w:val="center"/>
              <w:rPr>
                <w:b w:val="0"/>
                <w:bCs/>
              </w:rPr>
            </w:pPr>
            <w:r>
              <w:rPr>
                <w:rFonts w:ascii="Times New Roman" w:hAnsi="Times New Roman"/>
                <w:b w:val="0"/>
                <w:bCs/>
                <w:sz w:val="24"/>
              </w:rPr>
              <w:t>75,0</w:t>
            </w:r>
          </w:p>
        </w:tc>
      </w:tr>
      <w:tr w14:paraId="1533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53978A28">
            <w:pPr>
              <w:widowControl w:val="0"/>
              <w:jc w:val="both"/>
              <w:rPr>
                <w:b w:val="0"/>
                <w:bCs/>
              </w:rPr>
            </w:pPr>
            <w:r>
              <w:rPr>
                <w:rFonts w:ascii="Times New Roman" w:hAnsi="Times New Roman"/>
                <w:b w:val="0"/>
                <w:bCs/>
                <w:sz w:val="24"/>
              </w:rPr>
              <w:t>Нехватка времени на самостоятельное изучение изменений</w:t>
            </w:r>
          </w:p>
        </w:tc>
        <w:tc>
          <w:tcPr>
            <w:tcW w:w="2257" w:type="dxa"/>
          </w:tcPr>
          <w:p w14:paraId="203EA1A3">
            <w:pPr>
              <w:widowControl w:val="0"/>
              <w:jc w:val="center"/>
              <w:rPr>
                <w:b w:val="0"/>
                <w:bCs/>
              </w:rPr>
            </w:pPr>
            <w:r>
              <w:rPr>
                <w:rFonts w:ascii="Times New Roman" w:hAnsi="Times New Roman"/>
                <w:b w:val="0"/>
                <w:bCs/>
                <w:sz w:val="24"/>
              </w:rPr>
              <w:t>5</w:t>
            </w:r>
          </w:p>
        </w:tc>
        <w:tc>
          <w:tcPr>
            <w:tcW w:w="2388" w:type="dxa"/>
          </w:tcPr>
          <w:p w14:paraId="2A770CDA">
            <w:pPr>
              <w:widowControl w:val="0"/>
              <w:jc w:val="center"/>
              <w:rPr>
                <w:b w:val="0"/>
                <w:bCs/>
              </w:rPr>
            </w:pPr>
            <w:r>
              <w:rPr>
                <w:rFonts w:ascii="Times New Roman" w:hAnsi="Times New Roman"/>
                <w:b w:val="0"/>
                <w:bCs/>
                <w:sz w:val="24"/>
              </w:rPr>
              <w:t>62,5</w:t>
            </w:r>
          </w:p>
        </w:tc>
      </w:tr>
      <w:tr w14:paraId="4123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221DD96">
            <w:pPr>
              <w:widowControl w:val="0"/>
              <w:jc w:val="both"/>
              <w:rPr>
                <w:b w:val="0"/>
                <w:bCs/>
              </w:rPr>
            </w:pPr>
            <w:r>
              <w:rPr>
                <w:rFonts w:ascii="Times New Roman" w:hAnsi="Times New Roman"/>
                <w:b w:val="0"/>
                <w:bCs/>
                <w:sz w:val="24"/>
              </w:rPr>
              <w:t>Сложности в расчетах НМЦК и итоговой цены</w:t>
            </w:r>
          </w:p>
        </w:tc>
        <w:tc>
          <w:tcPr>
            <w:tcW w:w="2257" w:type="dxa"/>
          </w:tcPr>
          <w:p w14:paraId="280079AF">
            <w:pPr>
              <w:widowControl w:val="0"/>
              <w:jc w:val="center"/>
              <w:rPr>
                <w:b w:val="0"/>
                <w:bCs/>
              </w:rPr>
            </w:pPr>
            <w:r>
              <w:rPr>
                <w:rFonts w:ascii="Times New Roman" w:hAnsi="Times New Roman"/>
                <w:b w:val="0"/>
                <w:bCs/>
                <w:sz w:val="24"/>
              </w:rPr>
              <w:t>3</w:t>
            </w:r>
          </w:p>
        </w:tc>
        <w:tc>
          <w:tcPr>
            <w:tcW w:w="2388" w:type="dxa"/>
          </w:tcPr>
          <w:p w14:paraId="4425FDEB">
            <w:pPr>
              <w:widowControl w:val="0"/>
              <w:jc w:val="center"/>
              <w:rPr>
                <w:b w:val="0"/>
                <w:bCs/>
              </w:rPr>
            </w:pPr>
            <w:r>
              <w:rPr>
                <w:rFonts w:ascii="Times New Roman" w:hAnsi="Times New Roman"/>
                <w:b w:val="0"/>
                <w:bCs/>
                <w:sz w:val="24"/>
              </w:rPr>
              <w:t>37,5</w:t>
            </w:r>
          </w:p>
        </w:tc>
      </w:tr>
    </w:tbl>
    <w:p w14:paraId="1DC26EB6">
      <w:pPr>
        <w:spacing w:after="120" w:line="360" w:lineRule="auto"/>
        <w:jc w:val="both"/>
      </w:pPr>
    </w:p>
    <w:p w14:paraId="1C900075">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Наиболее часто сотрудники отмечают неуверенность в актуальности шаблонов и отсутствие единого чек-листа перед отправкой (7 ответов из 8). Эти результаты напрямую связаны с выявленными причинами отклонения заявок. Если сотрудник не уверен, что форма документа является актуальной, то риск использования устаревшего шаблона возрастает. Если перед отправкой нет единой контрольной процедуры, увеличивается вероятность пропуска обязательного файла, неверного формата или технической ошибки на ЭТП.</w:t>
      </w:r>
    </w:p>
    <w:p w14:paraId="5CD95512">
      <w:pPr>
        <w:spacing w:after="120" w:line="360" w:lineRule="auto"/>
        <w:ind w:firstLine="700"/>
        <w:jc w:val="both"/>
      </w:pPr>
      <w:r>
        <w:rPr>
          <w:rFonts w:ascii="Times New Roman" w:hAnsi="Times New Roman"/>
          <w:b w:val="0"/>
          <w:sz w:val="28"/>
        </w:rPr>
        <w:t>Шесть сотрудников указали на сложность отслеживания изменений в 44-ФЗ/223-ФЗ и недостаток разбора реальных ошибок отдела. Это показывает, что проблема обучения воспринимается работниками как нехватка регулярной профессиональной обратной связи. Сотрудникам важно понимать, какие ошибки уже возникали в отделе, почему они произошли и как они связаны с требованиями заказчиков.</w:t>
      </w:r>
    </w:p>
    <w:p w14:paraId="744A11E1">
      <w:pPr>
        <w:spacing w:after="120" w:line="360" w:lineRule="auto"/>
        <w:ind w:firstLine="700"/>
        <w:jc w:val="both"/>
        <w:rPr>
          <w:rFonts w:hint="default" w:ascii="Times New Roman" w:hAnsi="Times New Roman"/>
          <w:b w:val="0"/>
          <w:i w:val="0"/>
          <w:sz w:val="28"/>
          <w:lang w:val="ru-RU"/>
        </w:rPr>
      </w:pPr>
      <w:r>
        <w:rPr>
          <w:rFonts w:ascii="Times New Roman" w:hAnsi="Times New Roman"/>
          <w:b w:val="0"/>
          <w:i w:val="0"/>
          <w:sz w:val="28"/>
          <w:lang w:val="ru-RU"/>
        </w:rPr>
        <w:t>Из</w:t>
      </w:r>
      <w:r>
        <w:rPr>
          <w:rFonts w:hint="default" w:ascii="Times New Roman" w:hAnsi="Times New Roman"/>
          <w:b w:val="0"/>
          <w:i w:val="0"/>
          <w:sz w:val="28"/>
          <w:lang w:val="ru-RU"/>
        </w:rPr>
        <w:t xml:space="preserve"> таблицы 3.7 видно, что сотрудники осознают связь между обучением и качеством подготовки заявок. Все 8 человек отметили актуальные изменения законодательства и типовые ошибки при подготовке заявок. Семь сотрудников выделили подготовку комплекта документов и внутренние стандарты оформления. Это означает, что потребность работников сосредоточена не в общем повышении квалификации, а в конкретных рабочих знаниях, которые ежедневно используются при анализе закупки и подаче заявки.</w:t>
      </w:r>
    </w:p>
    <w:p w14:paraId="4B30A6C1">
      <w:pPr>
        <w:spacing w:after="120" w:line="360" w:lineRule="auto"/>
        <w:ind w:firstLine="700"/>
        <w:jc w:val="both"/>
        <w:rPr>
          <w:rFonts w:hint="default" w:ascii="Times New Roman" w:hAnsi="Times New Roman"/>
          <w:b w:val="0"/>
          <w:i w:val="0"/>
          <w:sz w:val="28"/>
          <w:lang w:val="ru-RU"/>
        </w:rPr>
      </w:pPr>
    </w:p>
    <w:p w14:paraId="409E26B0">
      <w:pPr>
        <w:spacing w:after="120" w:line="360" w:lineRule="auto"/>
        <w:ind w:firstLine="700"/>
        <w:jc w:val="right"/>
        <w:rPr>
          <w:sz w:val="18"/>
          <w:szCs w:val="18"/>
        </w:rPr>
      </w:pPr>
      <w:r>
        <w:rPr>
          <w:rFonts w:ascii="Times New Roman" w:hAnsi="Times New Roman"/>
          <w:b w:val="0"/>
          <w:i w:val="0"/>
          <w:sz w:val="24"/>
          <w:szCs w:val="18"/>
        </w:rPr>
        <w:t>Таблица 3.7. Профессиональные темы, которые сотрудники считают наиболее значимыми для освоения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7"/>
        <w:gridCol w:w="2496"/>
        <w:gridCol w:w="2741"/>
      </w:tblGrid>
      <w:tr w14:paraId="7BEE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17" w:type="dxa"/>
          </w:tcPr>
          <w:p w14:paraId="00FA166C">
            <w:pPr>
              <w:widowControl w:val="0"/>
              <w:jc w:val="center"/>
              <w:rPr>
                <w:b w:val="0"/>
                <w:bCs/>
              </w:rPr>
            </w:pPr>
            <w:r>
              <w:rPr>
                <w:rFonts w:ascii="Times New Roman" w:hAnsi="Times New Roman"/>
                <w:b w:val="0"/>
                <w:bCs/>
                <w:sz w:val="24"/>
              </w:rPr>
              <w:t>Тема</w:t>
            </w:r>
          </w:p>
        </w:tc>
        <w:tc>
          <w:tcPr>
            <w:tcW w:w="2496" w:type="dxa"/>
          </w:tcPr>
          <w:p w14:paraId="28CFD599">
            <w:pPr>
              <w:widowControl w:val="0"/>
              <w:jc w:val="center"/>
              <w:rPr>
                <w:b w:val="0"/>
                <w:bCs/>
              </w:rPr>
            </w:pPr>
            <w:r>
              <w:rPr>
                <w:rFonts w:ascii="Times New Roman" w:hAnsi="Times New Roman"/>
                <w:b w:val="0"/>
                <w:bCs/>
                <w:sz w:val="24"/>
              </w:rPr>
              <w:t>Количество ответов</w:t>
            </w:r>
          </w:p>
        </w:tc>
        <w:tc>
          <w:tcPr>
            <w:tcW w:w="2741" w:type="dxa"/>
          </w:tcPr>
          <w:p w14:paraId="532C3F9A">
            <w:pPr>
              <w:widowControl w:val="0"/>
              <w:jc w:val="center"/>
              <w:rPr>
                <w:b w:val="0"/>
                <w:bCs/>
              </w:rPr>
            </w:pPr>
            <w:r>
              <w:rPr>
                <w:rFonts w:ascii="Times New Roman" w:hAnsi="Times New Roman"/>
                <w:b w:val="0"/>
                <w:bCs/>
                <w:sz w:val="24"/>
              </w:rPr>
              <w:t>Доля, %</w:t>
            </w:r>
          </w:p>
        </w:tc>
      </w:tr>
      <w:tr w14:paraId="2C96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69840CEF">
            <w:pPr>
              <w:widowControl w:val="0"/>
              <w:jc w:val="both"/>
            </w:pPr>
            <w:r>
              <w:rPr>
                <w:rFonts w:ascii="Times New Roman" w:hAnsi="Times New Roman"/>
                <w:sz w:val="24"/>
              </w:rPr>
              <w:t>Актуальные изменения 44-ФЗ и 223-ФЗ</w:t>
            </w:r>
          </w:p>
        </w:tc>
        <w:tc>
          <w:tcPr>
            <w:tcW w:w="2496" w:type="dxa"/>
          </w:tcPr>
          <w:p w14:paraId="68AF3ADB">
            <w:pPr>
              <w:widowControl w:val="0"/>
              <w:jc w:val="center"/>
            </w:pPr>
            <w:r>
              <w:rPr>
                <w:rFonts w:ascii="Times New Roman" w:hAnsi="Times New Roman"/>
                <w:sz w:val="24"/>
              </w:rPr>
              <w:t>8</w:t>
            </w:r>
          </w:p>
        </w:tc>
        <w:tc>
          <w:tcPr>
            <w:tcW w:w="2741" w:type="dxa"/>
          </w:tcPr>
          <w:p w14:paraId="34455DFC">
            <w:pPr>
              <w:widowControl w:val="0"/>
              <w:jc w:val="center"/>
            </w:pPr>
            <w:r>
              <w:rPr>
                <w:rFonts w:ascii="Times New Roman" w:hAnsi="Times New Roman"/>
                <w:sz w:val="24"/>
              </w:rPr>
              <w:t>100,0</w:t>
            </w:r>
          </w:p>
        </w:tc>
      </w:tr>
      <w:tr w14:paraId="079F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3C59C411">
            <w:pPr>
              <w:widowControl w:val="0"/>
              <w:jc w:val="both"/>
            </w:pPr>
            <w:r>
              <w:rPr>
                <w:rFonts w:ascii="Times New Roman" w:hAnsi="Times New Roman"/>
                <w:sz w:val="24"/>
              </w:rPr>
              <w:t>Типовые ошибки при подготовке заявок и причины отклонений</w:t>
            </w:r>
          </w:p>
        </w:tc>
        <w:tc>
          <w:tcPr>
            <w:tcW w:w="2496" w:type="dxa"/>
          </w:tcPr>
          <w:p w14:paraId="132BC371">
            <w:pPr>
              <w:widowControl w:val="0"/>
              <w:jc w:val="center"/>
            </w:pPr>
            <w:r>
              <w:rPr>
                <w:rFonts w:ascii="Times New Roman" w:hAnsi="Times New Roman"/>
                <w:sz w:val="24"/>
              </w:rPr>
              <w:t>8</w:t>
            </w:r>
          </w:p>
        </w:tc>
        <w:tc>
          <w:tcPr>
            <w:tcW w:w="2741" w:type="dxa"/>
          </w:tcPr>
          <w:p w14:paraId="558146AD">
            <w:pPr>
              <w:widowControl w:val="0"/>
              <w:jc w:val="center"/>
            </w:pPr>
            <w:r>
              <w:rPr>
                <w:rFonts w:ascii="Times New Roman" w:hAnsi="Times New Roman"/>
                <w:sz w:val="24"/>
              </w:rPr>
              <w:t>100,0</w:t>
            </w:r>
          </w:p>
        </w:tc>
      </w:tr>
      <w:tr w14:paraId="4991E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47F8FB5A">
            <w:pPr>
              <w:widowControl w:val="0"/>
              <w:jc w:val="both"/>
            </w:pPr>
            <w:r>
              <w:rPr>
                <w:rFonts w:ascii="Times New Roman" w:hAnsi="Times New Roman"/>
                <w:sz w:val="24"/>
              </w:rPr>
              <w:t>Работа с разными электронными торговыми площадками</w:t>
            </w:r>
          </w:p>
        </w:tc>
        <w:tc>
          <w:tcPr>
            <w:tcW w:w="2496" w:type="dxa"/>
          </w:tcPr>
          <w:p w14:paraId="2D3EB2FD">
            <w:pPr>
              <w:widowControl w:val="0"/>
              <w:jc w:val="center"/>
            </w:pPr>
            <w:r>
              <w:rPr>
                <w:rFonts w:ascii="Times New Roman" w:hAnsi="Times New Roman"/>
                <w:sz w:val="24"/>
              </w:rPr>
              <w:t>6</w:t>
            </w:r>
          </w:p>
        </w:tc>
        <w:tc>
          <w:tcPr>
            <w:tcW w:w="2741" w:type="dxa"/>
          </w:tcPr>
          <w:p w14:paraId="01EAC874">
            <w:pPr>
              <w:widowControl w:val="0"/>
              <w:jc w:val="center"/>
            </w:pPr>
            <w:r>
              <w:rPr>
                <w:rFonts w:ascii="Times New Roman" w:hAnsi="Times New Roman"/>
                <w:sz w:val="24"/>
              </w:rPr>
              <w:t>75,0</w:t>
            </w:r>
          </w:p>
        </w:tc>
      </w:tr>
      <w:tr w14:paraId="2391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33C5AFE8">
            <w:pPr>
              <w:widowControl w:val="0"/>
              <w:jc w:val="both"/>
            </w:pPr>
            <w:r>
              <w:rPr>
                <w:rFonts w:ascii="Times New Roman" w:hAnsi="Times New Roman"/>
                <w:sz w:val="24"/>
              </w:rPr>
              <w:t>Подготовка и проверка комплекта документов</w:t>
            </w:r>
          </w:p>
        </w:tc>
        <w:tc>
          <w:tcPr>
            <w:tcW w:w="2496" w:type="dxa"/>
          </w:tcPr>
          <w:p w14:paraId="1D0BB797">
            <w:pPr>
              <w:widowControl w:val="0"/>
              <w:jc w:val="center"/>
            </w:pPr>
            <w:r>
              <w:rPr>
                <w:rFonts w:ascii="Times New Roman" w:hAnsi="Times New Roman"/>
                <w:sz w:val="24"/>
              </w:rPr>
              <w:t>7</w:t>
            </w:r>
          </w:p>
        </w:tc>
        <w:tc>
          <w:tcPr>
            <w:tcW w:w="2741" w:type="dxa"/>
          </w:tcPr>
          <w:p w14:paraId="77CA2645">
            <w:pPr>
              <w:widowControl w:val="0"/>
              <w:jc w:val="center"/>
            </w:pPr>
            <w:r>
              <w:rPr>
                <w:rFonts w:ascii="Times New Roman" w:hAnsi="Times New Roman"/>
                <w:sz w:val="24"/>
              </w:rPr>
              <w:t>87,5</w:t>
            </w:r>
          </w:p>
        </w:tc>
      </w:tr>
      <w:tr w14:paraId="482C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2FC9318A">
            <w:pPr>
              <w:widowControl w:val="0"/>
              <w:jc w:val="both"/>
            </w:pPr>
            <w:r>
              <w:rPr>
                <w:rFonts w:ascii="Times New Roman" w:hAnsi="Times New Roman"/>
                <w:sz w:val="24"/>
              </w:rPr>
              <w:t>Расчет НМЦК, цены контракта и учет НДС</w:t>
            </w:r>
          </w:p>
        </w:tc>
        <w:tc>
          <w:tcPr>
            <w:tcW w:w="2496" w:type="dxa"/>
          </w:tcPr>
          <w:p w14:paraId="4F8B11F3">
            <w:pPr>
              <w:widowControl w:val="0"/>
              <w:jc w:val="center"/>
            </w:pPr>
            <w:r>
              <w:rPr>
                <w:rFonts w:ascii="Times New Roman" w:hAnsi="Times New Roman"/>
                <w:sz w:val="24"/>
              </w:rPr>
              <w:t>5</w:t>
            </w:r>
          </w:p>
        </w:tc>
        <w:tc>
          <w:tcPr>
            <w:tcW w:w="2741" w:type="dxa"/>
          </w:tcPr>
          <w:p w14:paraId="38341A96">
            <w:pPr>
              <w:widowControl w:val="0"/>
              <w:jc w:val="center"/>
            </w:pPr>
            <w:r>
              <w:rPr>
                <w:rFonts w:ascii="Times New Roman" w:hAnsi="Times New Roman"/>
                <w:sz w:val="24"/>
              </w:rPr>
              <w:t>62,5</w:t>
            </w:r>
          </w:p>
        </w:tc>
      </w:tr>
      <w:tr w14:paraId="1B5F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7154BD8D">
            <w:pPr>
              <w:widowControl w:val="0"/>
              <w:jc w:val="both"/>
            </w:pPr>
            <w:r>
              <w:rPr>
                <w:rFonts w:ascii="Times New Roman" w:hAnsi="Times New Roman"/>
                <w:sz w:val="24"/>
              </w:rPr>
              <w:t>Подтверждение опыта и квалификационных требований</w:t>
            </w:r>
          </w:p>
        </w:tc>
        <w:tc>
          <w:tcPr>
            <w:tcW w:w="2496" w:type="dxa"/>
          </w:tcPr>
          <w:p w14:paraId="14E73046">
            <w:pPr>
              <w:widowControl w:val="0"/>
              <w:jc w:val="center"/>
            </w:pPr>
            <w:r>
              <w:rPr>
                <w:rFonts w:ascii="Times New Roman" w:hAnsi="Times New Roman"/>
                <w:sz w:val="24"/>
              </w:rPr>
              <w:t>6</w:t>
            </w:r>
          </w:p>
        </w:tc>
        <w:tc>
          <w:tcPr>
            <w:tcW w:w="2741" w:type="dxa"/>
          </w:tcPr>
          <w:p w14:paraId="46F8DDBB">
            <w:pPr>
              <w:widowControl w:val="0"/>
              <w:jc w:val="center"/>
            </w:pPr>
            <w:r>
              <w:rPr>
                <w:rFonts w:ascii="Times New Roman" w:hAnsi="Times New Roman"/>
                <w:sz w:val="24"/>
              </w:rPr>
              <w:t>75,0</w:t>
            </w:r>
          </w:p>
        </w:tc>
      </w:tr>
      <w:tr w14:paraId="7B8E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7" w:type="dxa"/>
          </w:tcPr>
          <w:p w14:paraId="69DD7FBE">
            <w:pPr>
              <w:widowControl w:val="0"/>
              <w:jc w:val="both"/>
            </w:pPr>
            <w:r>
              <w:rPr>
                <w:rFonts w:ascii="Times New Roman" w:hAnsi="Times New Roman"/>
                <w:sz w:val="24"/>
              </w:rPr>
              <w:t>Внутренние стандарты оформления и хранения документов</w:t>
            </w:r>
          </w:p>
        </w:tc>
        <w:tc>
          <w:tcPr>
            <w:tcW w:w="2496" w:type="dxa"/>
          </w:tcPr>
          <w:p w14:paraId="0335FD8A">
            <w:pPr>
              <w:widowControl w:val="0"/>
              <w:jc w:val="center"/>
            </w:pPr>
            <w:r>
              <w:rPr>
                <w:rFonts w:ascii="Times New Roman" w:hAnsi="Times New Roman"/>
                <w:sz w:val="24"/>
              </w:rPr>
              <w:t>7</w:t>
            </w:r>
          </w:p>
        </w:tc>
        <w:tc>
          <w:tcPr>
            <w:tcW w:w="2741" w:type="dxa"/>
          </w:tcPr>
          <w:p w14:paraId="2146C40A">
            <w:pPr>
              <w:widowControl w:val="0"/>
              <w:jc w:val="center"/>
            </w:pPr>
            <w:r>
              <w:rPr>
                <w:rFonts w:ascii="Times New Roman" w:hAnsi="Times New Roman"/>
                <w:sz w:val="24"/>
              </w:rPr>
              <w:t>87,5</w:t>
            </w:r>
          </w:p>
        </w:tc>
      </w:tr>
    </w:tbl>
    <w:p w14:paraId="3680505C">
      <w:pPr>
        <w:spacing w:after="120" w:line="360" w:lineRule="auto"/>
        <w:ind w:firstLine="700"/>
        <w:jc w:val="both"/>
        <w:rPr>
          <w:rFonts w:hint="default" w:ascii="Times New Roman" w:hAnsi="Times New Roman"/>
          <w:b w:val="0"/>
          <w:i w:val="0"/>
          <w:sz w:val="28"/>
          <w:lang w:val="ru-RU"/>
        </w:rPr>
      </w:pPr>
    </w:p>
    <w:p w14:paraId="53B5E201">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Дополнительно сотрудникам было предложено оценить удовлетворённость существующим уровнем обучения по пятибалльной шкале, где 1 означает полную неудовлетворённость, а 5 — полную удовлетворённость (см.табл.3.8.). Средняя оценка составила 2,1 балла. Ни один сотрудник не поставил оценку 5, только один сотрудник поставил оценку 4, три сотрудника выбрали оценку 2 и два сотрудника — оценку 1. Такой результат отражает низкую субъективную удовлетворённость действующей системой подготовки и развития.</w:t>
      </w:r>
    </w:p>
    <w:p w14:paraId="0BB333EB">
      <w:pPr>
        <w:spacing w:after="120" w:line="360" w:lineRule="auto"/>
        <w:ind w:firstLine="700"/>
        <w:jc w:val="both"/>
        <w:rPr>
          <w:rFonts w:hint="default" w:ascii="Times New Roman" w:hAnsi="Times New Roman"/>
          <w:b w:val="0"/>
          <w:i w:val="0"/>
          <w:sz w:val="28"/>
          <w:lang w:val="ru-RU"/>
        </w:rPr>
      </w:pPr>
    </w:p>
    <w:p w14:paraId="7EAB294F">
      <w:pPr>
        <w:spacing w:after="120" w:line="360" w:lineRule="auto"/>
        <w:ind w:firstLine="700"/>
        <w:jc w:val="both"/>
        <w:rPr>
          <w:rFonts w:hint="default" w:ascii="Times New Roman" w:hAnsi="Times New Roman"/>
          <w:b w:val="0"/>
          <w:i w:val="0"/>
          <w:sz w:val="28"/>
          <w:lang w:val="ru-RU"/>
        </w:rPr>
      </w:pPr>
    </w:p>
    <w:p w14:paraId="0D6A92B2">
      <w:pPr>
        <w:spacing w:after="120" w:line="360" w:lineRule="auto"/>
        <w:ind w:firstLine="700"/>
        <w:jc w:val="right"/>
        <w:rPr>
          <w:sz w:val="18"/>
          <w:szCs w:val="18"/>
        </w:rPr>
      </w:pPr>
      <w:r>
        <w:rPr>
          <w:rFonts w:ascii="Times New Roman" w:hAnsi="Times New Roman"/>
          <w:b w:val="0"/>
          <w:i w:val="0"/>
          <w:sz w:val="24"/>
          <w:szCs w:val="18"/>
        </w:rPr>
        <w:t>Таблица 3.8. Оценка удовлетвор</w:t>
      </w:r>
      <w:r>
        <w:rPr>
          <w:rFonts w:ascii="Times New Roman" w:hAnsi="Times New Roman"/>
          <w:b w:val="0"/>
          <w:i w:val="0"/>
          <w:sz w:val="24"/>
          <w:szCs w:val="18"/>
          <w:lang w:val="ru-RU"/>
        </w:rPr>
        <w:t>ё</w:t>
      </w:r>
      <w:r>
        <w:rPr>
          <w:rFonts w:ascii="Times New Roman" w:hAnsi="Times New Roman"/>
          <w:b w:val="0"/>
          <w:i w:val="0"/>
          <w:sz w:val="24"/>
          <w:szCs w:val="18"/>
        </w:rPr>
        <w:t>нности сотрудников действующим порядком обучения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3118"/>
        <w:gridCol w:w="3118"/>
      </w:tblGrid>
      <w:tr w14:paraId="2D5E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D7ADA23">
            <w:pPr>
              <w:widowControl w:val="0"/>
              <w:jc w:val="both"/>
              <w:rPr>
                <w:b w:val="0"/>
                <w:bCs/>
              </w:rPr>
            </w:pPr>
            <w:r>
              <w:rPr>
                <w:rFonts w:ascii="Times New Roman" w:hAnsi="Times New Roman"/>
                <w:b w:val="0"/>
                <w:bCs/>
                <w:sz w:val="24"/>
              </w:rPr>
              <w:t>Оценка по пятибалльной шкале</w:t>
            </w:r>
          </w:p>
        </w:tc>
        <w:tc>
          <w:tcPr>
            <w:tcW w:w="3118" w:type="dxa"/>
          </w:tcPr>
          <w:p w14:paraId="38AA71DA">
            <w:pPr>
              <w:widowControl w:val="0"/>
              <w:jc w:val="both"/>
              <w:rPr>
                <w:b w:val="0"/>
                <w:bCs/>
              </w:rPr>
            </w:pPr>
            <w:r>
              <w:rPr>
                <w:rFonts w:ascii="Times New Roman" w:hAnsi="Times New Roman"/>
                <w:b w:val="0"/>
                <w:bCs/>
                <w:sz w:val="24"/>
              </w:rPr>
              <w:t>Количество сотрудников</w:t>
            </w:r>
          </w:p>
        </w:tc>
        <w:tc>
          <w:tcPr>
            <w:tcW w:w="3118" w:type="dxa"/>
          </w:tcPr>
          <w:p w14:paraId="23D3B43B">
            <w:pPr>
              <w:widowControl w:val="0"/>
              <w:jc w:val="both"/>
              <w:rPr>
                <w:b w:val="0"/>
                <w:bCs/>
              </w:rPr>
            </w:pPr>
            <w:r>
              <w:rPr>
                <w:rFonts w:ascii="Times New Roman" w:hAnsi="Times New Roman"/>
                <w:b w:val="0"/>
                <w:bCs/>
                <w:sz w:val="24"/>
              </w:rPr>
              <w:t>Доля, %</w:t>
            </w:r>
          </w:p>
        </w:tc>
      </w:tr>
      <w:tr w14:paraId="5A8B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7EB599C">
            <w:pPr>
              <w:widowControl w:val="0"/>
              <w:jc w:val="both"/>
            </w:pPr>
            <w:r>
              <w:rPr>
                <w:rFonts w:ascii="Times New Roman" w:hAnsi="Times New Roman"/>
                <w:sz w:val="24"/>
              </w:rPr>
              <w:t>1</w:t>
            </w:r>
          </w:p>
        </w:tc>
        <w:tc>
          <w:tcPr>
            <w:tcW w:w="3118" w:type="dxa"/>
          </w:tcPr>
          <w:p w14:paraId="08E55DE2">
            <w:pPr>
              <w:widowControl w:val="0"/>
              <w:jc w:val="both"/>
            </w:pPr>
            <w:r>
              <w:rPr>
                <w:rFonts w:ascii="Times New Roman" w:hAnsi="Times New Roman"/>
                <w:sz w:val="24"/>
              </w:rPr>
              <w:t>2</w:t>
            </w:r>
          </w:p>
        </w:tc>
        <w:tc>
          <w:tcPr>
            <w:tcW w:w="3118" w:type="dxa"/>
          </w:tcPr>
          <w:p w14:paraId="661A71A4">
            <w:pPr>
              <w:widowControl w:val="0"/>
              <w:jc w:val="both"/>
            </w:pPr>
            <w:r>
              <w:rPr>
                <w:rFonts w:ascii="Times New Roman" w:hAnsi="Times New Roman"/>
                <w:sz w:val="24"/>
              </w:rPr>
              <w:t>25,0</w:t>
            </w:r>
          </w:p>
        </w:tc>
      </w:tr>
      <w:tr w14:paraId="17FA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B1067B5">
            <w:pPr>
              <w:widowControl w:val="0"/>
              <w:jc w:val="both"/>
            </w:pPr>
            <w:r>
              <w:rPr>
                <w:rFonts w:ascii="Times New Roman" w:hAnsi="Times New Roman"/>
                <w:sz w:val="24"/>
              </w:rPr>
              <w:t>2</w:t>
            </w:r>
          </w:p>
        </w:tc>
        <w:tc>
          <w:tcPr>
            <w:tcW w:w="3118" w:type="dxa"/>
          </w:tcPr>
          <w:p w14:paraId="391E6417">
            <w:pPr>
              <w:widowControl w:val="0"/>
              <w:jc w:val="both"/>
            </w:pPr>
            <w:r>
              <w:rPr>
                <w:rFonts w:ascii="Times New Roman" w:hAnsi="Times New Roman"/>
                <w:sz w:val="24"/>
              </w:rPr>
              <w:t>3</w:t>
            </w:r>
          </w:p>
        </w:tc>
        <w:tc>
          <w:tcPr>
            <w:tcW w:w="3118" w:type="dxa"/>
          </w:tcPr>
          <w:p w14:paraId="036F554C">
            <w:pPr>
              <w:widowControl w:val="0"/>
              <w:jc w:val="both"/>
            </w:pPr>
            <w:r>
              <w:rPr>
                <w:rFonts w:ascii="Times New Roman" w:hAnsi="Times New Roman"/>
                <w:sz w:val="24"/>
              </w:rPr>
              <w:t>37,5</w:t>
            </w:r>
          </w:p>
        </w:tc>
      </w:tr>
      <w:tr w14:paraId="35ED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E4936EE">
            <w:pPr>
              <w:widowControl w:val="0"/>
              <w:jc w:val="both"/>
            </w:pPr>
            <w:r>
              <w:rPr>
                <w:rFonts w:ascii="Times New Roman" w:hAnsi="Times New Roman"/>
                <w:sz w:val="24"/>
              </w:rPr>
              <w:t>3</w:t>
            </w:r>
          </w:p>
        </w:tc>
        <w:tc>
          <w:tcPr>
            <w:tcW w:w="3118" w:type="dxa"/>
          </w:tcPr>
          <w:p w14:paraId="29D6C9D8">
            <w:pPr>
              <w:widowControl w:val="0"/>
              <w:jc w:val="both"/>
            </w:pPr>
            <w:r>
              <w:rPr>
                <w:rFonts w:ascii="Times New Roman" w:hAnsi="Times New Roman"/>
                <w:sz w:val="24"/>
              </w:rPr>
              <w:t>2</w:t>
            </w:r>
          </w:p>
        </w:tc>
        <w:tc>
          <w:tcPr>
            <w:tcW w:w="3118" w:type="dxa"/>
          </w:tcPr>
          <w:p w14:paraId="2DE5A7E9">
            <w:pPr>
              <w:widowControl w:val="0"/>
              <w:jc w:val="both"/>
            </w:pPr>
            <w:r>
              <w:rPr>
                <w:rFonts w:ascii="Times New Roman" w:hAnsi="Times New Roman"/>
                <w:sz w:val="24"/>
              </w:rPr>
              <w:t>25,0</w:t>
            </w:r>
          </w:p>
        </w:tc>
      </w:tr>
      <w:tr w14:paraId="153F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18F19B6">
            <w:pPr>
              <w:widowControl w:val="0"/>
              <w:jc w:val="both"/>
            </w:pPr>
            <w:r>
              <w:rPr>
                <w:rFonts w:ascii="Times New Roman" w:hAnsi="Times New Roman"/>
                <w:sz w:val="24"/>
              </w:rPr>
              <w:t>4</w:t>
            </w:r>
          </w:p>
        </w:tc>
        <w:tc>
          <w:tcPr>
            <w:tcW w:w="3118" w:type="dxa"/>
          </w:tcPr>
          <w:p w14:paraId="14486703">
            <w:pPr>
              <w:widowControl w:val="0"/>
              <w:jc w:val="both"/>
            </w:pPr>
            <w:r>
              <w:rPr>
                <w:rFonts w:ascii="Times New Roman" w:hAnsi="Times New Roman"/>
                <w:sz w:val="24"/>
              </w:rPr>
              <w:t>1</w:t>
            </w:r>
          </w:p>
        </w:tc>
        <w:tc>
          <w:tcPr>
            <w:tcW w:w="3118" w:type="dxa"/>
          </w:tcPr>
          <w:p w14:paraId="393D4A7D">
            <w:pPr>
              <w:widowControl w:val="0"/>
              <w:jc w:val="both"/>
            </w:pPr>
            <w:r>
              <w:rPr>
                <w:rFonts w:ascii="Times New Roman" w:hAnsi="Times New Roman"/>
                <w:sz w:val="24"/>
              </w:rPr>
              <w:t>12,5</w:t>
            </w:r>
          </w:p>
        </w:tc>
      </w:tr>
      <w:tr w14:paraId="139C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776C16C">
            <w:pPr>
              <w:widowControl w:val="0"/>
              <w:jc w:val="both"/>
            </w:pPr>
            <w:r>
              <w:rPr>
                <w:rFonts w:ascii="Times New Roman" w:hAnsi="Times New Roman"/>
                <w:sz w:val="24"/>
              </w:rPr>
              <w:t>5</w:t>
            </w:r>
          </w:p>
        </w:tc>
        <w:tc>
          <w:tcPr>
            <w:tcW w:w="3118" w:type="dxa"/>
          </w:tcPr>
          <w:p w14:paraId="77FE4655">
            <w:pPr>
              <w:widowControl w:val="0"/>
              <w:jc w:val="both"/>
            </w:pPr>
            <w:r>
              <w:rPr>
                <w:rFonts w:ascii="Times New Roman" w:hAnsi="Times New Roman"/>
                <w:sz w:val="24"/>
              </w:rPr>
              <w:t>0</w:t>
            </w:r>
          </w:p>
        </w:tc>
        <w:tc>
          <w:tcPr>
            <w:tcW w:w="3118" w:type="dxa"/>
          </w:tcPr>
          <w:p w14:paraId="2FD584DE">
            <w:pPr>
              <w:widowControl w:val="0"/>
              <w:jc w:val="both"/>
            </w:pPr>
            <w:r>
              <w:rPr>
                <w:rFonts w:ascii="Times New Roman" w:hAnsi="Times New Roman"/>
                <w:sz w:val="24"/>
              </w:rPr>
              <w:t>0,0</w:t>
            </w:r>
          </w:p>
        </w:tc>
      </w:tr>
      <w:tr w14:paraId="1B2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C58CA3C">
            <w:pPr>
              <w:widowControl w:val="0"/>
              <w:jc w:val="both"/>
            </w:pPr>
            <w:r>
              <w:rPr>
                <w:rFonts w:ascii="Times New Roman" w:hAnsi="Times New Roman"/>
                <w:sz w:val="24"/>
              </w:rPr>
              <w:t>Средняя оценка</w:t>
            </w:r>
          </w:p>
        </w:tc>
        <w:tc>
          <w:tcPr>
            <w:tcW w:w="3118" w:type="dxa"/>
          </w:tcPr>
          <w:p w14:paraId="4EB6C9DB">
            <w:pPr>
              <w:widowControl w:val="0"/>
              <w:jc w:val="both"/>
            </w:pPr>
            <w:r>
              <w:rPr>
                <w:rFonts w:ascii="Times New Roman" w:hAnsi="Times New Roman"/>
                <w:sz w:val="24"/>
              </w:rPr>
              <w:t>2,1</w:t>
            </w:r>
          </w:p>
        </w:tc>
        <w:tc>
          <w:tcPr>
            <w:tcW w:w="3118" w:type="dxa"/>
          </w:tcPr>
          <w:p w14:paraId="2E4CBDC4">
            <w:pPr>
              <w:widowControl w:val="0"/>
              <w:jc w:val="both"/>
            </w:pPr>
            <w:r>
              <w:rPr>
                <w:rFonts w:ascii="Times New Roman" w:hAnsi="Times New Roman"/>
                <w:sz w:val="24"/>
              </w:rPr>
              <w:t>-</w:t>
            </w:r>
          </w:p>
        </w:tc>
      </w:tr>
    </w:tbl>
    <w:p w14:paraId="1DD28AE1">
      <w:pPr>
        <w:spacing w:after="120" w:line="360" w:lineRule="auto"/>
        <w:jc w:val="both"/>
      </w:pPr>
    </w:p>
    <w:p w14:paraId="3F4D62F4">
      <w:pPr>
        <w:spacing w:after="120" w:line="360" w:lineRule="auto"/>
        <w:ind w:firstLine="700"/>
        <w:jc w:val="both"/>
        <w:rPr>
          <w:rFonts w:hint="default" w:ascii="Times New Roman" w:hAnsi="Times New Roman"/>
          <w:b w:val="0"/>
          <w:i w:val="0"/>
          <w:sz w:val="28"/>
          <w:lang w:val="ru-RU"/>
        </w:rPr>
      </w:pPr>
      <w:r>
        <w:rPr>
          <w:rFonts w:ascii="Times New Roman" w:hAnsi="Times New Roman"/>
          <w:b w:val="0"/>
          <w:sz w:val="28"/>
        </w:rPr>
        <w:t>Итоги опроса показывают, что сотрудники тендерного отдела не воспринимают действующий порядок как нормальный и достаточный. Важно, что эти оценки совпадают с объективными показателями деятельности отдела: доля отклонённых заявок остаётся устойчивой, а причины отклонений связаны с теми же зонами, которые сотрудники отмечают проблемными.</w:t>
      </w:r>
    </w:p>
    <w:p w14:paraId="0C5F1FE7">
      <w:pPr>
        <w:spacing w:after="120" w:line="360" w:lineRule="auto"/>
        <w:ind w:firstLine="700"/>
        <w:jc w:val="both"/>
      </w:pPr>
      <w:r>
        <w:rPr>
          <w:rFonts w:hint="default" w:ascii="Times New Roman" w:hAnsi="Times New Roman"/>
          <w:b w:val="0"/>
          <w:i w:val="0"/>
          <w:sz w:val="28"/>
          <w:lang w:val="ru-RU"/>
        </w:rPr>
        <w:t xml:space="preserve">Итак, опрос сотрудников подтвердил отсутствие целостной системы обучения и развития в ООО «Лайф Медиа». </w:t>
      </w:r>
      <w:r>
        <w:rPr>
          <w:rFonts w:ascii="Times New Roman" w:hAnsi="Times New Roman"/>
          <w:b w:val="0"/>
          <w:i w:val="0"/>
          <w:sz w:val="28"/>
        </w:rPr>
        <w:t xml:space="preserve"> Работники получают знания преимущественно самостоятельно или через коллег, не проходят единый адаптационный маршрут, не имеют устойчивого доступа к актуальной базе материалов и не участвуют в регулярной проверке знаний. Наиболее выраженные потребности сотрудников связаны с изменениями законодательства, типовыми ошибками, актуальными шаблонами, проверкой комплекта документов и особенностями электронных площадок. Следовательно, внутренняя оценка сотрудников совпадает с результатами анализа тендерных показателей и указывает на системный характер проблемы.</w:t>
      </w:r>
    </w:p>
    <w:p w14:paraId="2AC569CE">
      <w:pPr>
        <w:spacing w:after="120" w:line="360" w:lineRule="auto"/>
        <w:ind w:firstLine="700"/>
        <w:jc w:val="both"/>
        <w:rPr>
          <w:rFonts w:hint="default" w:ascii="Times New Roman" w:hAnsi="Times New Roman"/>
          <w:b w:val="0"/>
          <w:i w:val="0"/>
          <w:sz w:val="28"/>
          <w:lang w:val="ru-RU"/>
        </w:rPr>
      </w:pPr>
    </w:p>
    <w:p w14:paraId="58003C0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00CACD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537E054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36510CE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04495C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4BEF86D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5FCBDD2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749D99B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094A6A4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3EC0924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419A95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4B0BC9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70A6B84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054C4C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14:paraId="56F042D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20" w:firstLineChars="150"/>
        <w:jc w:val="both"/>
        <w:textAlignment w:val="auto"/>
        <w:rPr>
          <w:rFonts w:hint="default" w:ascii="Times New Roman" w:hAnsi="Times New Roman"/>
          <w:b w:val="0"/>
          <w:bCs w:val="0"/>
          <w:color w:val="auto"/>
          <w:sz w:val="28"/>
          <w:szCs w:val="28"/>
          <w:lang w:val="ru-RU"/>
        </w:rPr>
      </w:pPr>
    </w:p>
    <w:p>
      <w:pPr>
        <w:spacing w:line="360" w:lineRule="auto" w:after="120"/>
        <w:jc w:val="center"/>
      </w:pPr>
      <w:r>
        <w:rPr>
          <w:rFonts w:ascii="Times New Roman" w:hAnsi="Times New Roman"/>
          <w:b/>
          <w:sz w:val="28"/>
        </w:rPr>
        <w:t>Глоссарий</w:t>
      </w:r>
    </w:p>
    <w:p>
      <w:pPr>
        <w:spacing w:line="360" w:lineRule="auto" w:after="120"/>
        <w:ind w:firstLine="700"/>
      </w:pPr>
      <w:r>
        <w:rPr>
          <w:rFonts w:ascii="Times New Roman" w:hAnsi="Times New Roman"/>
          <w:b/>
          <w:sz w:val="28"/>
        </w:rPr>
        <w:t>ПК-5</w:t>
      </w:r>
      <w:r>
        <w:rPr>
          <w:rFonts w:ascii="Times New Roman" w:hAnsi="Times New Roman"/>
          <w:sz w:val="28"/>
        </w:rPr>
        <w:t xml:space="preserve"> — компетенция, связанная с разработкой проектов социального партнерства при решении задач управления персоналом и оценкой их социально-экономической эффективности. В рамках данного отчета отдельный проект социального партнерства не разрабатывался, поэтому компетенция вынесена в глоссарий.</w:t>
      </w:r>
    </w:p>
    <w:p>
      <w:pPr>
        <w:spacing w:line="360" w:lineRule="auto" w:after="120"/>
        <w:ind w:firstLine="700"/>
      </w:pPr>
      <w:r>
        <w:rPr>
          <w:rFonts w:ascii="Times New Roman" w:hAnsi="Times New Roman"/>
          <w:b/>
          <w:sz w:val="28"/>
        </w:rPr>
        <w:t>ПК-6</w:t>
      </w:r>
      <w:r>
        <w:rPr>
          <w:rFonts w:ascii="Times New Roman" w:hAnsi="Times New Roman"/>
          <w:sz w:val="28"/>
        </w:rPr>
        <w:t xml:space="preserve"> — компетенция, связанная с реализацией программ организационных изменений в сфере управления персоналом, в том числе в кризисных ситуациях. В отчете рассматривается диагностика текущего состояния управления персоналом и обучения, но программа организационных изменений не является предметом разделов, поэтому компетенция вынесена в глоссарий.</w:t>
      </w:r>
    </w:p>
    <w:p>
      <w:pPr>
        <w:spacing w:line="360" w:lineRule="auto" w:after="120"/>
        <w:jc w:val="center"/>
      </w:pPr>
      <w:r>
        <w:rPr>
          <w:rFonts w:ascii="Times New Roman" w:hAnsi="Times New Roman"/>
          <w:b/>
          <w:sz w:val="28"/>
        </w:rPr>
        <w:t>Список использованных источников</w:t>
      </w:r>
    </w:p>
    <w:p>
      <w:pPr>
        <w:spacing w:line="360" w:lineRule="auto" w:after="120"/>
        <w:ind/>
      </w:pPr>
      <w:r>
        <w:rPr>
          <w:rFonts w:ascii="Times New Roman" w:hAnsi="Times New Roman"/>
          <w:b w:val="0"/>
          <w:sz w:val="28"/>
        </w:rPr>
        <w:t>1. Трудовой кодекс Российской Федерации : Федеральный закон от 30.12.2001 № 197-ФЗ : ред. от 14.02.2024 // Собрание законодательства Российской Федерации. — 2002. — № 1, ч. 1. — Ст. 3.</w:t>
      </w:r>
    </w:p>
    <w:p>
      <w:pPr>
        <w:spacing w:line="360" w:lineRule="auto" w:after="120"/>
        <w:ind/>
      </w:pPr>
      <w:r>
        <w:rPr>
          <w:rFonts w:ascii="Times New Roman" w:hAnsi="Times New Roman"/>
          <w:b w:val="0"/>
          <w:sz w:val="28"/>
        </w:rPr>
        <w:t>2. О контрактной системе в сфере закупок товаров, работ, услуг для обеспечения государственных и муниципальных нужд : Федеральный закон от 05.04.2013 № 44-ФЗ : ред. от 26.12.2024 // Собрание законодательства Российской Федерации. — 2013. — № 14. — Ст. 1652.</w:t>
      </w:r>
    </w:p>
    <w:p>
      <w:pPr>
        <w:spacing w:line="360" w:lineRule="auto" w:after="120"/>
        <w:ind/>
      </w:pPr>
      <w:r>
        <w:rPr>
          <w:rFonts w:ascii="Times New Roman" w:hAnsi="Times New Roman"/>
          <w:b w:val="0"/>
          <w:sz w:val="28"/>
        </w:rPr>
        <w:t>3. О закупках товаров, работ, услуг отдельными видами юридических лиц : Федеральный закон от 18.07.2011 № 223-ФЗ : ред. от 26.12.2024 // Собрание законодательства Российской Федерации. — 2011. — № 30, ч. 1. — Ст. 4571.</w:t>
      </w:r>
    </w:p>
    <w:p>
      <w:pPr>
        <w:spacing w:line="360" w:lineRule="auto" w:after="120"/>
        <w:ind/>
      </w:pPr>
      <w:r>
        <w:rPr>
          <w:rFonts w:ascii="Times New Roman" w:hAnsi="Times New Roman"/>
          <w:b w:val="0"/>
          <w:sz w:val="28"/>
        </w:rPr>
        <w:t>4. Кибанов, А. Я. Основы управления персоналом : учебник / А. Я. Кибанов. — 3-е изд., перераб. и доп. — Москва : ИНФРА-М, 2021. — 440 с. — ISBN 978-5-16-009561-5.</w:t>
      </w:r>
    </w:p>
    <w:p>
      <w:pPr>
        <w:spacing w:line="360" w:lineRule="auto" w:after="120"/>
        <w:ind/>
      </w:pPr>
      <w:r>
        <w:rPr>
          <w:rFonts w:ascii="Times New Roman" w:hAnsi="Times New Roman"/>
          <w:b w:val="0"/>
          <w:sz w:val="28"/>
        </w:rPr>
        <w:t>5. Егоршин, А. П. Основы управления персоналом : учебное пособие / А. П. Егоршин. — 2-е изд., доп. и перераб. — Нижний Новгород : НИЭМ, 2018. — 296 с. — ISBN 5-901335-13-9.</w:t>
      </w:r>
    </w:p>
    <w:p>
      <w:pPr>
        <w:spacing w:line="360" w:lineRule="auto" w:after="120"/>
        <w:ind/>
      </w:pPr>
      <w:r>
        <w:rPr>
          <w:rFonts w:ascii="Times New Roman" w:hAnsi="Times New Roman"/>
          <w:b w:val="0"/>
          <w:sz w:val="28"/>
        </w:rPr>
        <w:t>6. Управление персоналом : учебник / под ред. Т. Ю. Базарова, Б. Л. Еремина. — 2-е изд., перераб. и доп. — Москва : ЮНИТИ-ДАНА, 2017. — 560 с. — ISBN 978-5-238-00290-4.</w:t>
      </w:r>
    </w:p>
    <w:p>
      <w:pPr>
        <w:spacing w:line="360" w:lineRule="auto" w:after="120"/>
        <w:ind/>
      </w:pPr>
      <w:r>
        <w:rPr>
          <w:rFonts w:ascii="Times New Roman" w:hAnsi="Times New Roman"/>
          <w:b w:val="0"/>
          <w:sz w:val="28"/>
        </w:rPr>
        <w:t>7. Десслер, Г. Управление персоналом / Г. Десслер ; пер. с англ. — 4-е изд. — Москва : Лаборатория знаний, 2020. — 802 с. — ISBN 978-5-00101-819-3.</w:t>
      </w:r>
    </w:p>
    <w:p>
      <w:pPr>
        <w:spacing w:line="360" w:lineRule="auto" w:after="120"/>
        <w:ind/>
      </w:pPr>
      <w:r>
        <w:rPr>
          <w:rFonts w:ascii="Times New Roman" w:hAnsi="Times New Roman"/>
          <w:b w:val="0"/>
          <w:sz w:val="28"/>
        </w:rPr>
        <w:t>8. Управление персоналом : учебник / И. Б. Дуракова, Л. П. Волкова, Е. Н. Кобцева ; под ред. И. Б. Дураковой. — Москва : ИНФРА-М, 2019. — 570 с. — ISBN 978-5-16-003563-5.</w:t>
      </w:r>
    </w:p>
    <w:sectPr>
      <w:footerReference r:id="rId3" w:type="default"/>
      <w:pgSz w:w="11906" w:h="16838"/>
      <w:pgMar w:top="1134" w:right="850" w:bottom="1134"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B4FCD">
    <w:pPr>
      <w:pStyle w:val="8"/>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14DEA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7814DEA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3567C3"/>
    <w:multiLevelType w:val="singleLevel"/>
    <w:tmpl w:val="C93567C3"/>
    <w:lvl w:ilvl="0" w:tentative="0">
      <w:start w:val="1"/>
      <w:numFmt w:val="decimal"/>
      <w:suff w:val="space"/>
      <w:lvlText w:val="%1."/>
      <w:lvlJc w:val="left"/>
    </w:lvl>
  </w:abstractNum>
  <w:abstractNum w:abstractNumId="1">
    <w:nsid w:val="1673658E"/>
    <w:multiLevelType w:val="multilevel"/>
    <w:tmpl w:val="1673658E"/>
    <w:lvl w:ilvl="0" w:tentative="0">
      <w:start w:val="7"/>
      <w:numFmt w:val="decimal"/>
      <w:lvlText w:val="%1"/>
      <w:lvlJc w:val="left"/>
      <w:pPr>
        <w:ind w:left="1428" w:hanging="365"/>
      </w:pPr>
      <w:rPr>
        <w:rFonts w:hint="default" w:cs="Times New Roman"/>
      </w:rPr>
    </w:lvl>
    <w:lvl w:ilvl="1" w:tentative="0">
      <w:start w:val="1"/>
      <w:numFmt w:val="decimal"/>
      <w:lvlText w:val="%1.%2"/>
      <w:lvlJc w:val="left"/>
      <w:pPr>
        <w:ind w:left="1428" w:hanging="365"/>
      </w:pPr>
      <w:rPr>
        <w:rFonts w:hint="default" w:ascii="Times New Roman" w:hAnsi="Times New Roman" w:eastAsia="Times New Roman" w:cs="Times New Roman"/>
        <w:b/>
        <w:bCs/>
        <w:i w:val="0"/>
        <w:iCs w:val="0"/>
        <w:w w:val="100"/>
        <w:sz w:val="24"/>
        <w:szCs w:val="24"/>
      </w:rPr>
    </w:lvl>
    <w:lvl w:ilvl="2" w:tentative="0">
      <w:start w:val="0"/>
      <w:numFmt w:val="bullet"/>
      <w:lvlText w:val="•"/>
      <w:lvlJc w:val="left"/>
      <w:pPr>
        <w:ind w:left="3236" w:hanging="365"/>
      </w:pPr>
      <w:rPr>
        <w:rFonts w:hint="default"/>
      </w:rPr>
    </w:lvl>
    <w:lvl w:ilvl="3" w:tentative="0">
      <w:start w:val="0"/>
      <w:numFmt w:val="bullet"/>
      <w:lvlText w:val="•"/>
      <w:lvlJc w:val="left"/>
      <w:pPr>
        <w:ind w:left="4145" w:hanging="365"/>
      </w:pPr>
      <w:rPr>
        <w:rFonts w:hint="default"/>
      </w:rPr>
    </w:lvl>
    <w:lvl w:ilvl="4" w:tentative="0">
      <w:start w:val="0"/>
      <w:numFmt w:val="bullet"/>
      <w:lvlText w:val="•"/>
      <w:lvlJc w:val="left"/>
      <w:pPr>
        <w:ind w:left="5053" w:hanging="365"/>
      </w:pPr>
      <w:rPr>
        <w:rFonts w:hint="default"/>
      </w:rPr>
    </w:lvl>
    <w:lvl w:ilvl="5" w:tentative="0">
      <w:start w:val="0"/>
      <w:numFmt w:val="bullet"/>
      <w:lvlText w:val="•"/>
      <w:lvlJc w:val="left"/>
      <w:pPr>
        <w:ind w:left="5962" w:hanging="365"/>
      </w:pPr>
      <w:rPr>
        <w:rFonts w:hint="default"/>
      </w:rPr>
    </w:lvl>
    <w:lvl w:ilvl="6" w:tentative="0">
      <w:start w:val="0"/>
      <w:numFmt w:val="bullet"/>
      <w:lvlText w:val="•"/>
      <w:lvlJc w:val="left"/>
      <w:pPr>
        <w:ind w:left="6870" w:hanging="365"/>
      </w:pPr>
      <w:rPr>
        <w:rFonts w:hint="default"/>
      </w:rPr>
    </w:lvl>
    <w:lvl w:ilvl="7" w:tentative="0">
      <w:start w:val="0"/>
      <w:numFmt w:val="bullet"/>
      <w:lvlText w:val="•"/>
      <w:lvlJc w:val="left"/>
      <w:pPr>
        <w:ind w:left="7778" w:hanging="365"/>
      </w:pPr>
      <w:rPr>
        <w:rFonts w:hint="default"/>
      </w:rPr>
    </w:lvl>
    <w:lvl w:ilvl="8" w:tentative="0">
      <w:start w:val="0"/>
      <w:numFmt w:val="bullet"/>
      <w:lvlText w:val="•"/>
      <w:lvlJc w:val="left"/>
      <w:pPr>
        <w:ind w:left="8687" w:hanging="365"/>
      </w:pPr>
      <w:rPr>
        <w:rFonts w:hint="default"/>
      </w:rPr>
    </w:lvl>
  </w:abstractNum>
  <w:abstractNum w:abstractNumId="2">
    <w:nsid w:val="1AD50859"/>
    <w:multiLevelType w:val="multilevel"/>
    <w:tmpl w:val="1AD50859"/>
    <w:lvl w:ilvl="0" w:tentative="0">
      <w:start w:val="10"/>
      <w:numFmt w:val="decimal"/>
      <w:lvlText w:val="%1"/>
      <w:lvlJc w:val="left"/>
      <w:pPr>
        <w:ind w:left="1995" w:hanging="548"/>
      </w:pPr>
      <w:rPr>
        <w:rFonts w:hint="default" w:cs="Times New Roman"/>
      </w:rPr>
    </w:lvl>
    <w:lvl w:ilvl="1" w:tentative="0">
      <w:start w:val="1"/>
      <w:numFmt w:val="decimal"/>
      <w:lvlText w:val="%1.%2"/>
      <w:lvlJc w:val="left"/>
      <w:pPr>
        <w:ind w:left="1995" w:hanging="548"/>
      </w:pPr>
      <w:rPr>
        <w:rFonts w:hint="default" w:cs="Times New Roman"/>
        <w:w w:val="100"/>
      </w:rPr>
    </w:lvl>
    <w:lvl w:ilvl="2" w:tentative="0">
      <w:start w:val="1"/>
      <w:numFmt w:val="decimal"/>
      <w:lvlText w:val="%1.%2.%3."/>
      <w:lvlJc w:val="left"/>
      <w:pPr>
        <w:ind w:left="2811" w:hanging="725"/>
      </w:pPr>
      <w:rPr>
        <w:rFonts w:hint="default" w:ascii="Times New Roman" w:hAnsi="Times New Roman" w:eastAsia="Times New Roman" w:cs="Times New Roman"/>
        <w:b/>
        <w:bCs/>
        <w:i w:val="0"/>
        <w:iCs w:val="0"/>
        <w:spacing w:val="-5"/>
        <w:w w:val="100"/>
        <w:sz w:val="24"/>
        <w:szCs w:val="24"/>
      </w:rPr>
    </w:lvl>
    <w:lvl w:ilvl="3" w:tentative="0">
      <w:start w:val="0"/>
      <w:numFmt w:val="bullet"/>
      <w:lvlText w:val="•"/>
      <w:lvlJc w:val="left"/>
      <w:pPr>
        <w:ind w:left="4527" w:hanging="725"/>
      </w:pPr>
      <w:rPr>
        <w:rFonts w:hint="default"/>
      </w:rPr>
    </w:lvl>
    <w:lvl w:ilvl="4" w:tentative="0">
      <w:start w:val="0"/>
      <w:numFmt w:val="bullet"/>
      <w:lvlText w:val="•"/>
      <w:lvlJc w:val="left"/>
      <w:pPr>
        <w:ind w:left="5381" w:hanging="725"/>
      </w:pPr>
      <w:rPr>
        <w:rFonts w:hint="default"/>
      </w:rPr>
    </w:lvl>
    <w:lvl w:ilvl="5" w:tentative="0">
      <w:start w:val="0"/>
      <w:numFmt w:val="bullet"/>
      <w:lvlText w:val="•"/>
      <w:lvlJc w:val="left"/>
      <w:pPr>
        <w:ind w:left="6235" w:hanging="725"/>
      </w:pPr>
      <w:rPr>
        <w:rFonts w:hint="default"/>
      </w:rPr>
    </w:lvl>
    <w:lvl w:ilvl="6" w:tentative="0">
      <w:start w:val="0"/>
      <w:numFmt w:val="bullet"/>
      <w:lvlText w:val="•"/>
      <w:lvlJc w:val="left"/>
      <w:pPr>
        <w:ind w:left="7088" w:hanging="725"/>
      </w:pPr>
      <w:rPr>
        <w:rFonts w:hint="default"/>
      </w:rPr>
    </w:lvl>
    <w:lvl w:ilvl="7" w:tentative="0">
      <w:start w:val="0"/>
      <w:numFmt w:val="bullet"/>
      <w:lvlText w:val="•"/>
      <w:lvlJc w:val="left"/>
      <w:pPr>
        <w:ind w:left="7942" w:hanging="725"/>
      </w:pPr>
      <w:rPr>
        <w:rFonts w:hint="default"/>
      </w:rPr>
    </w:lvl>
    <w:lvl w:ilvl="8" w:tentative="0">
      <w:start w:val="0"/>
      <w:numFmt w:val="bullet"/>
      <w:lvlText w:val="•"/>
      <w:lvlJc w:val="left"/>
      <w:pPr>
        <w:ind w:left="8796" w:hanging="725"/>
      </w:pPr>
      <w:rPr>
        <w:rFonts w:hint="default"/>
      </w:rPr>
    </w:lvl>
  </w:abstractNum>
  <w:abstractNum w:abstractNumId="3">
    <w:nsid w:val="1B00C6AF"/>
    <w:multiLevelType w:val="singleLevel"/>
    <w:tmpl w:val="1B00C6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17D559B"/>
    <w:multiLevelType w:val="multilevel"/>
    <w:tmpl w:val="317D559B"/>
    <w:lvl w:ilvl="0" w:tentative="0">
      <w:start w:val="1"/>
      <w:numFmt w:val="decimal"/>
      <w:lvlText w:val="%1)"/>
      <w:lvlJc w:val="left"/>
      <w:pPr>
        <w:ind w:left="761" w:hanging="336"/>
      </w:pPr>
      <w:rPr>
        <w:rFonts w:hint="default" w:ascii="Times New Roman" w:hAnsi="Times New Roman" w:eastAsia="Times New Roman" w:cs="Times New Roman"/>
        <w:b w:val="0"/>
        <w:bCs w:val="0"/>
        <w:i w:val="0"/>
        <w:iCs w:val="0"/>
        <w:w w:val="100"/>
        <w:sz w:val="24"/>
        <w:szCs w:val="24"/>
      </w:rPr>
    </w:lvl>
    <w:lvl w:ilvl="1" w:tentative="0">
      <w:start w:val="0"/>
      <w:numFmt w:val="bullet"/>
      <w:lvlText w:val="•"/>
      <w:lvlJc w:val="left"/>
      <w:pPr>
        <w:ind w:left="2346" w:hanging="336"/>
      </w:pPr>
      <w:rPr>
        <w:rFonts w:hint="default"/>
      </w:rPr>
    </w:lvl>
    <w:lvl w:ilvl="2" w:tentative="0">
      <w:start w:val="0"/>
      <w:numFmt w:val="bullet"/>
      <w:lvlText w:val="•"/>
      <w:lvlJc w:val="left"/>
      <w:pPr>
        <w:ind w:left="3252" w:hanging="336"/>
      </w:pPr>
      <w:rPr>
        <w:rFonts w:hint="default"/>
      </w:rPr>
    </w:lvl>
    <w:lvl w:ilvl="3" w:tentative="0">
      <w:start w:val="0"/>
      <w:numFmt w:val="bullet"/>
      <w:lvlText w:val="•"/>
      <w:lvlJc w:val="left"/>
      <w:pPr>
        <w:ind w:left="4159" w:hanging="336"/>
      </w:pPr>
      <w:rPr>
        <w:rFonts w:hint="default"/>
      </w:rPr>
    </w:lvl>
    <w:lvl w:ilvl="4" w:tentative="0">
      <w:start w:val="0"/>
      <w:numFmt w:val="bullet"/>
      <w:lvlText w:val="•"/>
      <w:lvlJc w:val="left"/>
      <w:pPr>
        <w:ind w:left="5065" w:hanging="336"/>
      </w:pPr>
      <w:rPr>
        <w:rFonts w:hint="default"/>
      </w:rPr>
    </w:lvl>
    <w:lvl w:ilvl="5" w:tentative="0">
      <w:start w:val="0"/>
      <w:numFmt w:val="bullet"/>
      <w:lvlText w:val="•"/>
      <w:lvlJc w:val="left"/>
      <w:pPr>
        <w:ind w:left="5972" w:hanging="336"/>
      </w:pPr>
      <w:rPr>
        <w:rFonts w:hint="default"/>
      </w:rPr>
    </w:lvl>
    <w:lvl w:ilvl="6" w:tentative="0">
      <w:start w:val="0"/>
      <w:numFmt w:val="bullet"/>
      <w:lvlText w:val="•"/>
      <w:lvlJc w:val="left"/>
      <w:pPr>
        <w:ind w:left="6878" w:hanging="336"/>
      </w:pPr>
      <w:rPr>
        <w:rFonts w:hint="default"/>
      </w:rPr>
    </w:lvl>
    <w:lvl w:ilvl="7" w:tentative="0">
      <w:start w:val="0"/>
      <w:numFmt w:val="bullet"/>
      <w:lvlText w:val="•"/>
      <w:lvlJc w:val="left"/>
      <w:pPr>
        <w:ind w:left="7784" w:hanging="336"/>
      </w:pPr>
      <w:rPr>
        <w:rFonts w:hint="default"/>
      </w:rPr>
    </w:lvl>
    <w:lvl w:ilvl="8" w:tentative="0">
      <w:start w:val="0"/>
      <w:numFmt w:val="bullet"/>
      <w:lvlText w:val="•"/>
      <w:lvlJc w:val="left"/>
      <w:pPr>
        <w:ind w:left="8691" w:hanging="336"/>
      </w:pPr>
      <w:rPr>
        <w:rFonts w:hint="default"/>
      </w:rPr>
    </w:lvl>
  </w:abstractNum>
  <w:abstractNum w:abstractNumId="5">
    <w:nsid w:val="33767EF4"/>
    <w:multiLevelType w:val="multilevel"/>
    <w:tmpl w:val="33767EF4"/>
    <w:lvl w:ilvl="0" w:tentative="0">
      <w:start w:val="1"/>
      <w:numFmt w:val="decimal"/>
      <w:lvlText w:val="%1)"/>
      <w:lvlJc w:val="left"/>
      <w:pPr>
        <w:ind w:left="1433" w:hanging="361"/>
      </w:pPr>
      <w:rPr>
        <w:rFonts w:hint="default" w:ascii="Times New Roman" w:hAnsi="Times New Roman" w:eastAsia="Times New Roman" w:cs="Times New Roman"/>
        <w:b w:val="0"/>
        <w:bCs w:val="0"/>
        <w:i w:val="0"/>
        <w:iCs w:val="0"/>
        <w:w w:val="99"/>
        <w:sz w:val="24"/>
        <w:szCs w:val="24"/>
      </w:rPr>
    </w:lvl>
    <w:lvl w:ilvl="1" w:tentative="0">
      <w:start w:val="0"/>
      <w:numFmt w:val="bullet"/>
      <w:lvlText w:val="•"/>
      <w:lvlJc w:val="left"/>
      <w:pPr>
        <w:ind w:left="2346" w:hanging="361"/>
      </w:pPr>
      <w:rPr>
        <w:rFonts w:hint="default"/>
      </w:rPr>
    </w:lvl>
    <w:lvl w:ilvl="2" w:tentative="0">
      <w:start w:val="0"/>
      <w:numFmt w:val="bullet"/>
      <w:lvlText w:val="•"/>
      <w:lvlJc w:val="left"/>
      <w:pPr>
        <w:ind w:left="3252" w:hanging="361"/>
      </w:pPr>
      <w:rPr>
        <w:rFonts w:hint="default"/>
      </w:rPr>
    </w:lvl>
    <w:lvl w:ilvl="3" w:tentative="0">
      <w:start w:val="0"/>
      <w:numFmt w:val="bullet"/>
      <w:lvlText w:val="•"/>
      <w:lvlJc w:val="left"/>
      <w:pPr>
        <w:ind w:left="4159" w:hanging="361"/>
      </w:pPr>
      <w:rPr>
        <w:rFonts w:hint="default"/>
      </w:rPr>
    </w:lvl>
    <w:lvl w:ilvl="4" w:tentative="0">
      <w:start w:val="0"/>
      <w:numFmt w:val="bullet"/>
      <w:lvlText w:val="•"/>
      <w:lvlJc w:val="left"/>
      <w:pPr>
        <w:ind w:left="5065" w:hanging="361"/>
      </w:pPr>
      <w:rPr>
        <w:rFonts w:hint="default"/>
      </w:rPr>
    </w:lvl>
    <w:lvl w:ilvl="5" w:tentative="0">
      <w:start w:val="0"/>
      <w:numFmt w:val="bullet"/>
      <w:lvlText w:val="•"/>
      <w:lvlJc w:val="left"/>
      <w:pPr>
        <w:ind w:left="5972" w:hanging="361"/>
      </w:pPr>
      <w:rPr>
        <w:rFonts w:hint="default"/>
      </w:rPr>
    </w:lvl>
    <w:lvl w:ilvl="6" w:tentative="0">
      <w:start w:val="0"/>
      <w:numFmt w:val="bullet"/>
      <w:lvlText w:val="•"/>
      <w:lvlJc w:val="left"/>
      <w:pPr>
        <w:ind w:left="6878" w:hanging="361"/>
      </w:pPr>
      <w:rPr>
        <w:rFonts w:hint="default"/>
      </w:rPr>
    </w:lvl>
    <w:lvl w:ilvl="7" w:tentative="0">
      <w:start w:val="0"/>
      <w:numFmt w:val="bullet"/>
      <w:lvlText w:val="•"/>
      <w:lvlJc w:val="left"/>
      <w:pPr>
        <w:ind w:left="7784" w:hanging="361"/>
      </w:pPr>
      <w:rPr>
        <w:rFonts w:hint="default"/>
      </w:rPr>
    </w:lvl>
    <w:lvl w:ilvl="8" w:tentative="0">
      <w:start w:val="0"/>
      <w:numFmt w:val="bullet"/>
      <w:lvlText w:val="•"/>
      <w:lvlJc w:val="left"/>
      <w:pPr>
        <w:ind w:left="8691" w:hanging="361"/>
      </w:pPr>
      <w:rPr>
        <w:rFonts w:hint="default"/>
      </w:rPr>
    </w:lvl>
  </w:abstractNum>
  <w:abstractNum w:abstractNumId="6">
    <w:nsid w:val="3D2C029D"/>
    <w:multiLevelType w:val="multilevel"/>
    <w:tmpl w:val="3D2C029D"/>
    <w:lvl w:ilvl="0" w:tentative="0">
      <w:start w:val="1"/>
      <w:numFmt w:val="decimal"/>
      <w:lvlText w:val="%1."/>
      <w:lvlJc w:val="left"/>
      <w:pPr>
        <w:ind w:left="1433" w:hanging="361"/>
      </w:pPr>
      <w:rPr>
        <w:rFonts w:hint="default" w:cs="Times New Roman"/>
        <w:w w:val="100"/>
      </w:rPr>
    </w:lvl>
    <w:lvl w:ilvl="1" w:tentative="0">
      <w:start w:val="0"/>
      <w:numFmt w:val="bullet"/>
      <w:lvlText w:val="•"/>
      <w:lvlJc w:val="left"/>
      <w:pPr>
        <w:ind w:left="2346" w:hanging="361"/>
      </w:pPr>
      <w:rPr>
        <w:rFonts w:hint="default"/>
      </w:rPr>
    </w:lvl>
    <w:lvl w:ilvl="2" w:tentative="0">
      <w:start w:val="0"/>
      <w:numFmt w:val="bullet"/>
      <w:lvlText w:val="•"/>
      <w:lvlJc w:val="left"/>
      <w:pPr>
        <w:ind w:left="3252" w:hanging="361"/>
      </w:pPr>
      <w:rPr>
        <w:rFonts w:hint="default"/>
      </w:rPr>
    </w:lvl>
    <w:lvl w:ilvl="3" w:tentative="0">
      <w:start w:val="0"/>
      <w:numFmt w:val="bullet"/>
      <w:lvlText w:val="•"/>
      <w:lvlJc w:val="left"/>
      <w:pPr>
        <w:ind w:left="4159" w:hanging="361"/>
      </w:pPr>
      <w:rPr>
        <w:rFonts w:hint="default"/>
      </w:rPr>
    </w:lvl>
    <w:lvl w:ilvl="4" w:tentative="0">
      <w:start w:val="0"/>
      <w:numFmt w:val="bullet"/>
      <w:lvlText w:val="•"/>
      <w:lvlJc w:val="left"/>
      <w:pPr>
        <w:ind w:left="5065" w:hanging="361"/>
      </w:pPr>
      <w:rPr>
        <w:rFonts w:hint="default"/>
      </w:rPr>
    </w:lvl>
    <w:lvl w:ilvl="5" w:tentative="0">
      <w:start w:val="0"/>
      <w:numFmt w:val="bullet"/>
      <w:lvlText w:val="•"/>
      <w:lvlJc w:val="left"/>
      <w:pPr>
        <w:ind w:left="5972" w:hanging="361"/>
      </w:pPr>
      <w:rPr>
        <w:rFonts w:hint="default"/>
      </w:rPr>
    </w:lvl>
    <w:lvl w:ilvl="6" w:tentative="0">
      <w:start w:val="0"/>
      <w:numFmt w:val="bullet"/>
      <w:lvlText w:val="•"/>
      <w:lvlJc w:val="left"/>
      <w:pPr>
        <w:ind w:left="6878" w:hanging="361"/>
      </w:pPr>
      <w:rPr>
        <w:rFonts w:hint="default"/>
      </w:rPr>
    </w:lvl>
    <w:lvl w:ilvl="7" w:tentative="0">
      <w:start w:val="0"/>
      <w:numFmt w:val="bullet"/>
      <w:lvlText w:val="•"/>
      <w:lvlJc w:val="left"/>
      <w:pPr>
        <w:ind w:left="7784" w:hanging="361"/>
      </w:pPr>
      <w:rPr>
        <w:rFonts w:hint="default"/>
      </w:rPr>
    </w:lvl>
    <w:lvl w:ilvl="8" w:tentative="0">
      <w:start w:val="0"/>
      <w:numFmt w:val="bullet"/>
      <w:lvlText w:val="•"/>
      <w:lvlJc w:val="left"/>
      <w:pPr>
        <w:ind w:left="8691" w:hanging="361"/>
      </w:pPr>
      <w:rPr>
        <w:rFonts w:hint="default"/>
      </w:rPr>
    </w:lvl>
  </w:abstractNum>
  <w:abstractNum w:abstractNumId="7">
    <w:nsid w:val="54CFDDBC"/>
    <w:multiLevelType w:val="singleLevel"/>
    <w:tmpl w:val="54CFDDBC"/>
    <w:lvl w:ilvl="0" w:tentative="0">
      <w:start w:val="1"/>
      <w:numFmt w:val="decimal"/>
      <w:lvlText w:val="%1."/>
      <w:lvlJc w:val="left"/>
      <w:pPr>
        <w:tabs>
          <w:tab w:val="left" w:pos="425"/>
        </w:tabs>
        <w:ind w:left="425" w:leftChars="0" w:hanging="425" w:firstLineChars="0"/>
      </w:pPr>
      <w:rPr>
        <w:rFonts w:hint="default"/>
      </w:rPr>
    </w:lvl>
  </w:abstractNum>
  <w:abstractNum w:abstractNumId="8">
    <w:nsid w:val="58BD00FD"/>
    <w:multiLevelType w:val="multilevel"/>
    <w:tmpl w:val="58BD00FD"/>
    <w:lvl w:ilvl="0" w:tentative="0">
      <w:start w:val="6"/>
      <w:numFmt w:val="decimal"/>
      <w:lvlText w:val="%1."/>
      <w:lvlJc w:val="left"/>
      <w:pPr>
        <w:ind w:left="4492" w:hanging="231"/>
      </w:pPr>
      <w:rPr>
        <w:rFonts w:hint="default" w:ascii="Times New Roman" w:hAnsi="Times New Roman" w:eastAsia="Times New Roman" w:cs="Times New Roman"/>
        <w:b/>
        <w:bCs/>
        <w:i w:val="0"/>
        <w:iCs w:val="0"/>
        <w:spacing w:val="-5"/>
        <w:w w:val="100"/>
        <w:sz w:val="24"/>
        <w:szCs w:val="24"/>
      </w:rPr>
    </w:lvl>
    <w:lvl w:ilvl="1" w:tentative="0">
      <w:start w:val="0"/>
      <w:numFmt w:val="bullet"/>
      <w:lvlText w:val="•"/>
      <w:lvlJc w:val="left"/>
      <w:pPr>
        <w:ind w:left="5100" w:hanging="231"/>
      </w:pPr>
      <w:rPr>
        <w:rFonts w:hint="default"/>
      </w:rPr>
    </w:lvl>
    <w:lvl w:ilvl="2" w:tentative="0">
      <w:start w:val="0"/>
      <w:numFmt w:val="bullet"/>
      <w:lvlText w:val="•"/>
      <w:lvlJc w:val="left"/>
      <w:pPr>
        <w:ind w:left="5700" w:hanging="231"/>
      </w:pPr>
      <w:rPr>
        <w:rFonts w:hint="default"/>
      </w:rPr>
    </w:lvl>
    <w:lvl w:ilvl="3" w:tentative="0">
      <w:start w:val="0"/>
      <w:numFmt w:val="bullet"/>
      <w:lvlText w:val="•"/>
      <w:lvlJc w:val="left"/>
      <w:pPr>
        <w:ind w:left="6301" w:hanging="231"/>
      </w:pPr>
      <w:rPr>
        <w:rFonts w:hint="default"/>
      </w:rPr>
    </w:lvl>
    <w:lvl w:ilvl="4" w:tentative="0">
      <w:start w:val="0"/>
      <w:numFmt w:val="bullet"/>
      <w:lvlText w:val="•"/>
      <w:lvlJc w:val="left"/>
      <w:pPr>
        <w:ind w:left="6901" w:hanging="231"/>
      </w:pPr>
      <w:rPr>
        <w:rFonts w:hint="default"/>
      </w:rPr>
    </w:lvl>
    <w:lvl w:ilvl="5" w:tentative="0">
      <w:start w:val="0"/>
      <w:numFmt w:val="bullet"/>
      <w:lvlText w:val="•"/>
      <w:lvlJc w:val="left"/>
      <w:pPr>
        <w:ind w:left="7502" w:hanging="231"/>
      </w:pPr>
      <w:rPr>
        <w:rFonts w:hint="default"/>
      </w:rPr>
    </w:lvl>
    <w:lvl w:ilvl="6" w:tentative="0">
      <w:start w:val="0"/>
      <w:numFmt w:val="bullet"/>
      <w:lvlText w:val="•"/>
      <w:lvlJc w:val="left"/>
      <w:pPr>
        <w:ind w:left="8102" w:hanging="231"/>
      </w:pPr>
      <w:rPr>
        <w:rFonts w:hint="default"/>
      </w:rPr>
    </w:lvl>
    <w:lvl w:ilvl="7" w:tentative="0">
      <w:start w:val="0"/>
      <w:numFmt w:val="bullet"/>
      <w:lvlText w:val="•"/>
      <w:lvlJc w:val="left"/>
      <w:pPr>
        <w:ind w:left="8702" w:hanging="231"/>
      </w:pPr>
      <w:rPr>
        <w:rFonts w:hint="default"/>
      </w:rPr>
    </w:lvl>
    <w:lvl w:ilvl="8" w:tentative="0">
      <w:start w:val="0"/>
      <w:numFmt w:val="bullet"/>
      <w:lvlText w:val="•"/>
      <w:lvlJc w:val="left"/>
      <w:pPr>
        <w:ind w:left="9303" w:hanging="231"/>
      </w:pPr>
      <w:rPr>
        <w:rFonts w:hint="default"/>
      </w:rPr>
    </w:lvl>
  </w:abstractNum>
  <w:abstractNum w:abstractNumId="9">
    <w:nsid w:val="6B2F37CF"/>
    <w:multiLevelType w:val="multilevel"/>
    <w:tmpl w:val="6B2F37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7"/>
  </w:num>
  <w:num w:numId="3">
    <w:abstractNumId w:val="0"/>
  </w:num>
  <w:num w:numId="4">
    <w:abstractNumId w:val="8"/>
  </w:num>
  <w:num w:numId="5">
    <w:abstractNumId w:val="1"/>
  </w:num>
  <w:num w:numId="6">
    <w:abstractNumId w:val="5"/>
  </w:num>
  <w:num w:numId="7">
    <w:abstractNumId w:val="4"/>
  </w:num>
  <w:num w:numId="8">
    <w:abstractNumId w:val="6"/>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865DD"/>
    <w:rsid w:val="29754184"/>
    <w:rsid w:val="315E72FB"/>
    <w:rsid w:val="513F49C5"/>
    <w:rsid w:val="7F176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List Paragraph"/>
  </w:latentStyles>
  <w:style w:type="paragraph" w:default="1" w:styleId="1">
    <w:name w:val="Normal"/>
    <w:qFormat/>
    <w:uiPriority w:val="0"/>
    <w:rPr>
      <w:rFonts w:asciiTheme="minorHAnsi" w:hAnsiTheme="minorHAnsi" w:eastAsiaTheme="minorEastAsia" w:cstheme="minorBidi" w:ascii="Times New Roman" w:hAnsi="Times New Roman"/>
      <w:sz w:val="28"/>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character" w:styleId="5">
    <w:name w:val="Strong"/>
    <w:basedOn w:val="2"/>
    <w:qFormat/>
    <w:uiPriority w:val="0"/>
    <w:rPr>
      <w:b/>
      <w:bCs/>
    </w:rPr>
  </w:style>
  <w:style w:type="paragraph" w:styleId="6">
    <w:name w:val="header"/>
    <w:basedOn w:val="1"/>
    <w:uiPriority w:val="0"/>
    <w:pPr>
      <w:tabs>
        <w:tab w:val="center" w:pos="4153"/>
        <w:tab w:val="right" w:pos="8306"/>
      </w:tabs>
    </w:pPr>
  </w:style>
  <w:style w:type="paragraph" w:styleId="7">
    <w:name w:val="Body Text"/>
    <w:basedOn w:val="1"/>
    <w:qFormat/>
    <w:uiPriority w:val="99"/>
    <w:rPr>
      <w:sz w:val="24"/>
      <w:szCs w:val="24"/>
    </w:rPr>
  </w:style>
  <w:style w:type="paragraph" w:styleId="8">
    <w:name w:val="footer"/>
    <w:basedOn w:val="1"/>
    <w:uiPriority w:val="0"/>
    <w:pPr>
      <w:tabs>
        <w:tab w:val="center" w:pos="4153"/>
        <w:tab w:val="right" w:pos="8306"/>
      </w:tabs>
    </w:pPr>
  </w:style>
  <w:style w:type="paragraph" w:styleId="9">
    <w:name w:val="Normal (Web)"/>
    <w:basedOn w:val="1"/>
    <w:qFormat/>
    <w:uiPriority w:val="0"/>
    <w:rPr>
      <w:sz w:val="24"/>
      <w:szCs w:val="24"/>
    </w:rPr>
  </w:style>
  <w:style w:type="table" w:styleId="10">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99"/>
    <w:pPr>
      <w:ind w:left="353" w:firstLine="710"/>
      <w:jc w:val="both"/>
    </w:pPr>
  </w:style>
  <w:style w:type="paragraph" w:customStyle="1" w:styleId="12">
    <w:name w:val="Table Paragraph"/>
    <w:basedOn w:val="1"/>
    <w:qFormat/>
    <w:uiPriority w:val="99"/>
    <w:pPr>
      <w:ind w:left="11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2026-04-23T10:41:00Z</dcterms:created>
  <dc:creator>honor</dc:creator>
  <cp:lastModifiedBy>honor</cp:lastModifiedBy>
  <dcterms:modified xsi:type="dcterms:W3CDTF">2026-04-28T06:57:59Z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630994AC965044E5ADF991B95249FAED_12</vt:lpwstr>
  </property>
</Properties>
</file>