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51C9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p w14:paraId="70CC9B9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Глава 1. Организационно-управленческая (экономическая) деятельность ООО «Лайф Медиа».................................................................................................</w:t>
      </w:r>
    </w:p>
    <w:p w14:paraId="51A80BA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Глава 2. Анализ системы управления персоналом предприятия ООО «Лайф Медиа»......................................................................................................................</w:t>
      </w:r>
    </w:p>
    <w:p w14:paraId="3D931EB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Глава 3. Система обучения и развития персонала ООО «Лайф Медиа»...........</w:t>
      </w:r>
    </w:p>
    <w:p w14:paraId="19EAFF1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Глоссарий.................................................................................................................</w:t>
      </w:r>
    </w:p>
    <w:p w14:paraId="175A24A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использованных источников....................................................................</w:t>
      </w:r>
    </w:p>
    <w:p w14:paraId="0DAEC2B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Приложения.............................................................................................................</w:t>
      </w:r>
    </w:p>
    <w:p w14:paraId="0901228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597FA13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Глава 1. Организационно-управленческая (экономическая) деятельность ООО «Лайф Медиа»</w:t>
      </w:r>
    </w:p>
    <w:p w14:paraId="67B88D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Общество с ограниченной ответственностью «Лайф Медиа» является активно развивающимся предприятием, специализирующимся на оптовых поставках техники и оборудования. Его успех и динамичное развитие обусловлены активным участием в государственных и корпоративных закупках. Компания была зарегистрирована 16 февраля 2016 года в г.Нижнем Новгороде, и с тех пор успешно работает на рынках B2B и B2G.</w:t>
      </w:r>
    </w:p>
    <w:p w14:paraId="0EB8CD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Основная миссия ООО «Лайф Медиа» заключается в предоставлении коммерческим и государственным организациям надёжной техники и оборудования по оптимальным ценам посредством проведения честных конкурентных закупок.   Стратегическая цель компании на среднесрочную перспективу — увеличение доли выигранных тендеров до 25% от общего числа поданных заявок и расширение географии поставок за пределы Приволжского федерального округа.</w:t>
      </w:r>
    </w:p>
    <w:p w14:paraId="6B690F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Основные реквизиты и структура управления:</w:t>
      </w:r>
    </w:p>
    <w:p w14:paraId="1696EC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Юридический адрес: 603122, Нижегородская область, г. о. город Нижний Новгород, г. Нижний Новгород, ул. Богородского, д. 7, к. 1, кв. 81.</w:t>
      </w:r>
    </w:p>
    <w:p w14:paraId="44C2BC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ОГРН: 1165261050790</w:t>
      </w:r>
    </w:p>
    <w:p w14:paraId="735CBA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ИНН: 5261103730</w:t>
      </w:r>
    </w:p>
    <w:p w14:paraId="29FC70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Организационно-правовая форма: общество с ограниченной ответственностью</w:t>
      </w:r>
    </w:p>
    <w:p w14:paraId="24269A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Руководитель и учредитель: генеральный директор — Бакаев Кирилл Владимирович</w:t>
      </w:r>
    </w:p>
    <w:p w14:paraId="1D10F1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Основным видом деятельности в соответствии с Общероссийским классификатором видов экономической деятельности (ОКВЭД) является 46.14.1 — деятельность агентов по оптовой торговле компьютерной техникой, телекоммуникационным оборудованием и прочим офисным оборудованием. Компания также имеет более 37 дополнительных направлений деятельности, включая онлайн–торговлю офисной мебелью, медицинским оборудованием и автозапчастями, что позволяет ей участвовать в самых разнообразных тендерных процедурах —  от поставок офисного оборудования в школы до оснащения медицинских учреждений.</w:t>
      </w:r>
    </w:p>
    <w:p w14:paraId="73599E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Организационная структура компании является линейно-функциональной, типичной для контрактов малого бизнеса и обеспечивающей высокую эффективность принятия решений. Организацию возглавляет генеральный директор, который обеспечивает общее стратегическое управление и контроль за финансовыми результатами. Следующие ключевые подразделения подчиняются непосредственно генеральному директору:</w:t>
      </w:r>
    </w:p>
    <w:p w14:paraId="4E829AF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Тендерный отдел ( 8 специалистов)</w:t>
      </w:r>
    </w:p>
    <w:p w14:paraId="056AD2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Сотрудники отдела занимаются мониторингом электронных торговых площадок (ЭТП) и единой информационной системы (ЕИС) в поисказ подходящего тендера, анализом конкурсной документации, подготовкой пакета документов для участия в торгах, расчётом начальной минимальной цены контракта (НМЦК), подачей заявок, участие в аукционах, сопровождением заключения контрактов по выигранным торгам.</w:t>
      </w:r>
    </w:p>
    <w:p w14:paraId="40DDAF3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Отдел логистики и снабжения (3 специалиста)</w:t>
      </w:r>
    </w:p>
    <w:p w14:paraId="4F19101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задачи отдела входит доставка товаров клиентам, поиск оптимальных логистических решений, контроль сроков поставки, взаимодействие с транспортными компаниями.</w:t>
      </w:r>
    </w:p>
    <w:p w14:paraId="5F82C53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Бухгалтерия (1 специалист);</w:t>
      </w:r>
    </w:p>
    <w:p w14:paraId="26434F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Занимается ведением налогового и бухгалтерского учёта, расчётом заработной платы и страховых взносов, оформлением кадровых документов, сдачей отчётов в контролирующие органы (ФНС, СФР).</w:t>
      </w:r>
    </w:p>
    <w:p w14:paraId="26E9A12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Отдел продаж и взаимодействия с клиентами (4 сотрудника)</w:t>
      </w:r>
    </w:p>
    <w:p w14:paraId="35B55F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Отдел занимается частными (нетендерными) заказами, консультирует клиентов по ассортименту и условиям поставки, обрабатывает входящие заявки, сопровождает сделки от выставления счёта до отгрузки товара</w:t>
      </w:r>
    </w:p>
    <w:p w14:paraId="649C9D6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Юрисконсульт (специалист по аутсорсингу на контрактной основе);</w:t>
      </w:r>
    </w:p>
    <w:p w14:paraId="23E58F00">
      <w:pPr>
        <w:keepNext w:val="0"/>
        <w:keepLines w:val="0"/>
        <w:pageBreakBefore w:val="0"/>
        <w:widowControl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Консультирует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по вопросам заключения контрактов, проверяет договорную документацию, участвует в разрешении спорных ситуаций с заказчиками</w:t>
      </w:r>
    </w:p>
    <w:p w14:paraId="7F6A2FA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Системный администратор (1 сотрудник, обеспечивающий работу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IT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-инфраструктуры).</w:t>
      </w:r>
    </w:p>
    <w:p w14:paraId="04E312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каждом из перечисленных отделов сотрудники подписывают должностную инструкцию, регламентирующую их права, обязанности и ответственность (Приложение 1). Тендерный отдел, являясь центральным подразделением, имеет неформальную внутреннюю специализацию: одни специалисты специализируются на поиске закупок по 44-ФЗ (государственные нужды), другие — по 223-ФЗ (закупки государственных корпораций и естественных монополий), а также есть сотрудники, ответственные за подготовку ценовых предложений и рецензирование контрактов.</w:t>
      </w:r>
    </w:p>
    <w:p w14:paraId="1A384C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Закупочная деятельность ООО «Лайф Медиа» основана на постоянном мониторинге электронных торговых площадок (ЕТП), таких как СберАСТ, РТС-Тендер, ЭТП ГПБ, и Единой информационной системы в сфере закупок (ЕИС). Бизнес-модель компании предполагает поиск лотов, начальная максимальная цена контракта (НМЦК) которых позволяет приобрести оборудование у производителя или дистрибьютора со скидкой, обеспечивающей маржу не менее 10-15%. Процесс участия в тендере включает следующие этапы:</w:t>
      </w:r>
    </w:p>
    <w:p w14:paraId="319B52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Поиск и анализ закупки (проверка требований заказчика, изучение технического задания);</w:t>
      </w:r>
    </w:p>
    <w:p w14:paraId="31230C4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Подготовка тендерного предложения (сбор коммерческих предложений от поставщиков, расчёт стоимости, формирование ценового предложения);</w:t>
      </w:r>
    </w:p>
    <w:p w14:paraId="2409561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Подача и обеспечение тендерного предложения (при необходимости —  внесение обеспечения тендерного предложения);</w:t>
      </w:r>
    </w:p>
    <w:p w14:paraId="0F24133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Отслеживание результатов тендера и защита интересов компании в случае их обжалования (с привлечением юристконсульта);</w:t>
      </w:r>
    </w:p>
    <w:p w14:paraId="0B4AD2E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Сопровождение контракта в случае победы (взаимодействие с отделом логистики при отгрузке товара).</w:t>
      </w:r>
    </w:p>
    <w:p w14:paraId="3C301C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Фундаментальной особенностью деятельности ООО «Лайф Медиа» является полностью удалённый формат работы для большинства сотрудников, и в первую очередь для ключевого тендерного отдела. Такой подход сложился исторически и обусловлен несколькими факторами:</w:t>
      </w:r>
    </w:p>
    <w:p w14:paraId="47EA64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  Характер деятельности: работа на электронных торговых площадках  и в ЕИС не требует физического присутствия в офисе и может осуществляться из любой точки мира при стабильном подключении к Интернету.</w:t>
      </w:r>
    </w:p>
    <w:p w14:paraId="5BA181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  Экономическая эффективность: отсутствие затрат на аренду большого офиса и организацию рабочих мест позволяет компании направлять ресурсы на развитие и мотивацию сотрудников.</w:t>
      </w:r>
    </w:p>
    <w:p w14:paraId="62FD73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—  Расширение географии поиска персонала: возможность нанимать лучших специалистов из любого региона, а не только из Нижнего Новгорода.</w:t>
      </w:r>
    </w:p>
    <w:p w14:paraId="4D4043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Цифровая инфраструктура компании включает в себя следующие элементы:</w:t>
      </w:r>
    </w:p>
    <w:p w14:paraId="5275464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Корпоративный портал и система управления задачами: Битрикс24 используется для координации работы, где распределяются задачи, отслеживаются сроки выполнения,  документооборот;</w:t>
      </w:r>
    </w:p>
    <w:p w14:paraId="28A07FB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Средства коммуникации: основным каналом оперативной коммуникации является корпоративный мессенджер Битрикс24 со структурированными чатами, Zoom используется для официальных видеоконференций, совещаний по планированию и собеседований.</w:t>
      </w:r>
    </w:p>
    <w:p w14:paraId="23AF274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Облачное хранилище: все рабочие документы, шаблоны приложений, регламенты и отчеты хранятся в облаке (Google Workspace/Яндекс.Диск), обеспечивая круглосуточный доступ к актуальной информации для всех сотрудников.</w:t>
      </w:r>
    </w:p>
    <w:p w14:paraId="160BCA4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Электронный документооборот (ЭДО): кадровые документы и контракты с контрагентами подписываются с использованием электронной подписи, что полностью исключает необходимость личного присутствия.</w:t>
      </w:r>
    </w:p>
    <w:p w14:paraId="70BCF4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Проведём анализ основных финансово-экономических показателей за последние 3 года (2022-2025 гг.), чтобы выявить основные тенденции развития компании и функционирование тендерного отдела (см.табл.1.1.)</w:t>
      </w:r>
    </w:p>
    <w:p w14:paraId="7A965C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F9C09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1.1. Основные финансовые показатели ООО «Лайф Медиа» за 2022-2025 гг.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1517"/>
        <w:gridCol w:w="1121"/>
        <w:gridCol w:w="1192"/>
        <w:gridCol w:w="1552"/>
        <w:gridCol w:w="1570"/>
      </w:tblGrid>
      <w:tr w14:paraId="4A3A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4A0AD29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Показатель</w:t>
            </w:r>
          </w:p>
        </w:tc>
        <w:tc>
          <w:tcPr>
            <w:tcW w:w="1517" w:type="dxa"/>
            <w:vAlign w:val="center"/>
          </w:tcPr>
          <w:p w14:paraId="0858C37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2023</w:t>
            </w:r>
          </w:p>
        </w:tc>
        <w:tc>
          <w:tcPr>
            <w:tcW w:w="1121" w:type="dxa"/>
            <w:vAlign w:val="center"/>
          </w:tcPr>
          <w:p w14:paraId="6F83072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2024</w:t>
            </w:r>
          </w:p>
        </w:tc>
        <w:tc>
          <w:tcPr>
            <w:tcW w:w="1192" w:type="dxa"/>
            <w:vAlign w:val="center"/>
          </w:tcPr>
          <w:p w14:paraId="5E9B630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2025</w:t>
            </w:r>
          </w:p>
        </w:tc>
        <w:tc>
          <w:tcPr>
            <w:tcW w:w="1552" w:type="dxa"/>
            <w:vAlign w:val="center"/>
          </w:tcPr>
          <w:p w14:paraId="33411C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Абсолютное отклонение (2025 к 2024)</w:t>
            </w:r>
          </w:p>
        </w:tc>
        <w:tc>
          <w:tcPr>
            <w:tcW w:w="1570" w:type="dxa"/>
            <w:vAlign w:val="center"/>
          </w:tcPr>
          <w:p w14:paraId="47455D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Темп роста 2025/2024, %</w:t>
            </w:r>
          </w:p>
        </w:tc>
      </w:tr>
      <w:tr w14:paraId="2636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011DE2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Общая выручка, тыс.руб.</w:t>
            </w:r>
          </w:p>
        </w:tc>
        <w:tc>
          <w:tcPr>
            <w:tcW w:w="1517" w:type="dxa"/>
            <w:vAlign w:val="center"/>
          </w:tcPr>
          <w:p w14:paraId="40A039F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42 680</w:t>
            </w:r>
          </w:p>
        </w:tc>
        <w:tc>
          <w:tcPr>
            <w:tcW w:w="1121" w:type="dxa"/>
            <w:vAlign w:val="center"/>
          </w:tcPr>
          <w:p w14:paraId="7DEFC6C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44 520</w:t>
            </w:r>
          </w:p>
        </w:tc>
        <w:tc>
          <w:tcPr>
            <w:tcW w:w="1192" w:type="dxa"/>
            <w:vAlign w:val="center"/>
          </w:tcPr>
          <w:p w14:paraId="2E6525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41 350</w:t>
            </w:r>
          </w:p>
        </w:tc>
        <w:tc>
          <w:tcPr>
            <w:tcW w:w="1552" w:type="dxa"/>
            <w:vAlign w:val="center"/>
          </w:tcPr>
          <w:p w14:paraId="0CA0E9D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- 3 170</w:t>
            </w:r>
          </w:p>
        </w:tc>
        <w:tc>
          <w:tcPr>
            <w:tcW w:w="1570" w:type="dxa"/>
            <w:vAlign w:val="center"/>
          </w:tcPr>
          <w:p w14:paraId="394797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92,9</w:t>
            </w:r>
          </w:p>
        </w:tc>
      </w:tr>
      <w:tr w14:paraId="6BD4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646EDD1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Выручка от тендерной деятельности, тыс.руб.</w:t>
            </w:r>
          </w:p>
        </w:tc>
        <w:tc>
          <w:tcPr>
            <w:tcW w:w="1517" w:type="dxa"/>
            <w:vAlign w:val="center"/>
          </w:tcPr>
          <w:p w14:paraId="6F01C2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34 120</w:t>
            </w:r>
          </w:p>
        </w:tc>
        <w:tc>
          <w:tcPr>
            <w:tcW w:w="1121" w:type="dxa"/>
            <w:vAlign w:val="center"/>
          </w:tcPr>
          <w:p w14:paraId="1C69CA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35 860</w:t>
            </w:r>
          </w:p>
        </w:tc>
        <w:tc>
          <w:tcPr>
            <w:tcW w:w="1192" w:type="dxa"/>
            <w:vAlign w:val="center"/>
          </w:tcPr>
          <w:p w14:paraId="0F904A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30 840</w:t>
            </w:r>
          </w:p>
        </w:tc>
        <w:tc>
          <w:tcPr>
            <w:tcW w:w="1552" w:type="dxa"/>
            <w:vAlign w:val="center"/>
          </w:tcPr>
          <w:p w14:paraId="08A9864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- 5 020</w:t>
            </w:r>
          </w:p>
        </w:tc>
        <w:tc>
          <w:tcPr>
            <w:tcW w:w="1570" w:type="dxa"/>
            <w:vAlign w:val="center"/>
          </w:tcPr>
          <w:p w14:paraId="4359E66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86,0</w:t>
            </w:r>
          </w:p>
        </w:tc>
      </w:tr>
      <w:tr w14:paraId="0904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7898079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Доля тендерной выручки в общей, %</w:t>
            </w:r>
          </w:p>
        </w:tc>
        <w:tc>
          <w:tcPr>
            <w:tcW w:w="1517" w:type="dxa"/>
            <w:vAlign w:val="center"/>
          </w:tcPr>
          <w:p w14:paraId="669608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79,9</w:t>
            </w:r>
          </w:p>
        </w:tc>
        <w:tc>
          <w:tcPr>
            <w:tcW w:w="1121" w:type="dxa"/>
            <w:vAlign w:val="center"/>
          </w:tcPr>
          <w:p w14:paraId="4DB24FB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80,5</w:t>
            </w:r>
          </w:p>
        </w:tc>
        <w:tc>
          <w:tcPr>
            <w:tcW w:w="1192" w:type="dxa"/>
            <w:vAlign w:val="center"/>
          </w:tcPr>
          <w:p w14:paraId="15A236A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74,6</w:t>
            </w:r>
          </w:p>
        </w:tc>
        <w:tc>
          <w:tcPr>
            <w:tcW w:w="1552" w:type="dxa"/>
            <w:vAlign w:val="center"/>
          </w:tcPr>
          <w:p w14:paraId="4AC73B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- 5,9 п.п.</w:t>
            </w:r>
          </w:p>
        </w:tc>
        <w:tc>
          <w:tcPr>
            <w:tcW w:w="1570" w:type="dxa"/>
            <w:vAlign w:val="center"/>
          </w:tcPr>
          <w:p w14:paraId="1EADE6B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</w:t>
            </w:r>
          </w:p>
        </w:tc>
      </w:tr>
      <w:tr w14:paraId="70F7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117517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Себестоимость продаж, тыс.руб.</w:t>
            </w:r>
          </w:p>
        </w:tc>
        <w:tc>
          <w:tcPr>
            <w:tcW w:w="1517" w:type="dxa"/>
            <w:vAlign w:val="center"/>
          </w:tcPr>
          <w:p w14:paraId="0798241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31 450</w:t>
            </w:r>
          </w:p>
        </w:tc>
        <w:tc>
          <w:tcPr>
            <w:tcW w:w="1121" w:type="dxa"/>
            <w:vAlign w:val="center"/>
          </w:tcPr>
          <w:p w14:paraId="7F98015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33 620</w:t>
            </w:r>
          </w:p>
        </w:tc>
        <w:tc>
          <w:tcPr>
            <w:tcW w:w="1192" w:type="dxa"/>
            <w:vAlign w:val="center"/>
          </w:tcPr>
          <w:p w14:paraId="68FC3D7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32 180</w:t>
            </w:r>
          </w:p>
        </w:tc>
        <w:tc>
          <w:tcPr>
            <w:tcW w:w="1552" w:type="dxa"/>
            <w:vAlign w:val="center"/>
          </w:tcPr>
          <w:p w14:paraId="78EC1CF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- 1 440</w:t>
            </w:r>
          </w:p>
        </w:tc>
        <w:tc>
          <w:tcPr>
            <w:tcW w:w="1570" w:type="dxa"/>
            <w:vAlign w:val="center"/>
          </w:tcPr>
          <w:p w14:paraId="056B5B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95,7</w:t>
            </w:r>
          </w:p>
        </w:tc>
      </w:tr>
      <w:tr w14:paraId="3668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5806BAA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Валовая прибыль, тыс.руб.</w:t>
            </w:r>
          </w:p>
        </w:tc>
        <w:tc>
          <w:tcPr>
            <w:tcW w:w="1517" w:type="dxa"/>
            <w:vAlign w:val="center"/>
          </w:tcPr>
          <w:p w14:paraId="1E8099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11 230</w:t>
            </w:r>
          </w:p>
        </w:tc>
        <w:tc>
          <w:tcPr>
            <w:tcW w:w="1121" w:type="dxa"/>
            <w:vAlign w:val="center"/>
          </w:tcPr>
          <w:p w14:paraId="2617C6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10 900</w:t>
            </w:r>
          </w:p>
        </w:tc>
        <w:tc>
          <w:tcPr>
            <w:tcW w:w="1192" w:type="dxa"/>
            <w:vAlign w:val="center"/>
          </w:tcPr>
          <w:p w14:paraId="71E29F3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9 170</w:t>
            </w:r>
          </w:p>
        </w:tc>
        <w:tc>
          <w:tcPr>
            <w:tcW w:w="1552" w:type="dxa"/>
            <w:vAlign w:val="center"/>
          </w:tcPr>
          <w:p w14:paraId="4E2B974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- 1 730</w:t>
            </w:r>
          </w:p>
        </w:tc>
        <w:tc>
          <w:tcPr>
            <w:tcW w:w="1570" w:type="dxa"/>
            <w:vAlign w:val="center"/>
          </w:tcPr>
          <w:p w14:paraId="314AC88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84.1</w:t>
            </w:r>
          </w:p>
        </w:tc>
      </w:tr>
      <w:tr w14:paraId="1A4A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75B18C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Коммерческие расходы, тыс.руб.</w:t>
            </w:r>
          </w:p>
        </w:tc>
        <w:tc>
          <w:tcPr>
            <w:tcW w:w="1517" w:type="dxa"/>
            <w:vAlign w:val="center"/>
          </w:tcPr>
          <w:p w14:paraId="7F0A6C3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60" w:firstLineChars="15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 3 080</w:t>
            </w:r>
          </w:p>
        </w:tc>
        <w:tc>
          <w:tcPr>
            <w:tcW w:w="1121" w:type="dxa"/>
            <w:vAlign w:val="center"/>
          </w:tcPr>
          <w:p w14:paraId="5B29A7F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3 260</w:t>
            </w:r>
          </w:p>
        </w:tc>
        <w:tc>
          <w:tcPr>
            <w:tcW w:w="1192" w:type="dxa"/>
            <w:vAlign w:val="center"/>
          </w:tcPr>
          <w:p w14:paraId="59BC0CF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3 190</w:t>
            </w:r>
          </w:p>
        </w:tc>
        <w:tc>
          <w:tcPr>
            <w:tcW w:w="1552" w:type="dxa"/>
            <w:vAlign w:val="center"/>
          </w:tcPr>
          <w:p w14:paraId="11ECAC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- 70</w:t>
            </w:r>
          </w:p>
        </w:tc>
        <w:tc>
          <w:tcPr>
            <w:tcW w:w="1570" w:type="dxa"/>
            <w:vAlign w:val="center"/>
          </w:tcPr>
          <w:p w14:paraId="456C46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97,9</w:t>
            </w:r>
          </w:p>
        </w:tc>
      </w:tr>
      <w:tr w14:paraId="17B5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4E37D8A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Управленские расходы, тыс.руб.</w:t>
            </w:r>
          </w:p>
        </w:tc>
        <w:tc>
          <w:tcPr>
            <w:tcW w:w="1517" w:type="dxa"/>
            <w:vAlign w:val="center"/>
          </w:tcPr>
          <w:p w14:paraId="0A0C1B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3 150</w:t>
            </w:r>
          </w:p>
        </w:tc>
        <w:tc>
          <w:tcPr>
            <w:tcW w:w="1121" w:type="dxa"/>
            <w:vAlign w:val="center"/>
          </w:tcPr>
          <w:p w14:paraId="24E851A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3 240</w:t>
            </w:r>
          </w:p>
        </w:tc>
        <w:tc>
          <w:tcPr>
            <w:tcW w:w="1192" w:type="dxa"/>
            <w:vAlign w:val="center"/>
          </w:tcPr>
          <w:p w14:paraId="11A75F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3 210</w:t>
            </w:r>
          </w:p>
        </w:tc>
        <w:tc>
          <w:tcPr>
            <w:tcW w:w="1552" w:type="dxa"/>
            <w:vAlign w:val="center"/>
          </w:tcPr>
          <w:p w14:paraId="2B9738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- 30</w:t>
            </w:r>
          </w:p>
        </w:tc>
        <w:tc>
          <w:tcPr>
            <w:tcW w:w="1570" w:type="dxa"/>
            <w:vAlign w:val="center"/>
          </w:tcPr>
          <w:p w14:paraId="642DA7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99,1</w:t>
            </w:r>
          </w:p>
        </w:tc>
      </w:tr>
      <w:tr w14:paraId="5A24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6A98C1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Прибыль от продаж, тыс.руб.</w:t>
            </w:r>
          </w:p>
        </w:tc>
        <w:tc>
          <w:tcPr>
            <w:tcW w:w="1517" w:type="dxa"/>
            <w:vAlign w:val="center"/>
          </w:tcPr>
          <w:p w14:paraId="34164DF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5 000</w:t>
            </w:r>
          </w:p>
        </w:tc>
        <w:tc>
          <w:tcPr>
            <w:tcW w:w="1121" w:type="dxa"/>
            <w:vAlign w:val="center"/>
          </w:tcPr>
          <w:p w14:paraId="5333155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4 400</w:t>
            </w:r>
          </w:p>
        </w:tc>
        <w:tc>
          <w:tcPr>
            <w:tcW w:w="1192" w:type="dxa"/>
            <w:vAlign w:val="center"/>
          </w:tcPr>
          <w:p w14:paraId="1CAE9E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2 770</w:t>
            </w:r>
          </w:p>
        </w:tc>
        <w:tc>
          <w:tcPr>
            <w:tcW w:w="1552" w:type="dxa"/>
            <w:vAlign w:val="center"/>
          </w:tcPr>
          <w:p w14:paraId="0562407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- 1 630</w:t>
            </w:r>
          </w:p>
        </w:tc>
        <w:tc>
          <w:tcPr>
            <w:tcW w:w="1570" w:type="dxa"/>
            <w:vAlign w:val="center"/>
          </w:tcPr>
          <w:p w14:paraId="43530A7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63,0</w:t>
            </w:r>
          </w:p>
        </w:tc>
      </w:tr>
      <w:tr w14:paraId="5C6B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4" w:type="dxa"/>
            <w:vAlign w:val="center"/>
          </w:tcPr>
          <w:p w14:paraId="62B850D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Чистая прибыль, тыс.руб.</w:t>
            </w:r>
          </w:p>
        </w:tc>
        <w:tc>
          <w:tcPr>
            <w:tcW w:w="1517" w:type="dxa"/>
            <w:vAlign w:val="center"/>
          </w:tcPr>
          <w:p w14:paraId="5261B9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4 000</w:t>
            </w:r>
          </w:p>
        </w:tc>
        <w:tc>
          <w:tcPr>
            <w:tcW w:w="1121" w:type="dxa"/>
            <w:vAlign w:val="center"/>
          </w:tcPr>
          <w:p w14:paraId="5C6428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3 520</w:t>
            </w:r>
          </w:p>
        </w:tc>
        <w:tc>
          <w:tcPr>
            <w:tcW w:w="1192" w:type="dxa"/>
            <w:vAlign w:val="center"/>
          </w:tcPr>
          <w:p w14:paraId="71D2B3A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2 216</w:t>
            </w:r>
          </w:p>
        </w:tc>
        <w:tc>
          <w:tcPr>
            <w:tcW w:w="1552" w:type="dxa"/>
            <w:vAlign w:val="center"/>
          </w:tcPr>
          <w:p w14:paraId="2F35F2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- 1 304</w:t>
            </w:r>
          </w:p>
        </w:tc>
        <w:tc>
          <w:tcPr>
            <w:tcW w:w="1570" w:type="dxa"/>
            <w:vAlign w:val="center"/>
          </w:tcPr>
          <w:p w14:paraId="595B58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63,0</w:t>
            </w:r>
          </w:p>
        </w:tc>
      </w:tr>
    </w:tbl>
    <w:p w14:paraId="033081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0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2C71D4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Из таблицы 1.1. видно, что за анализируемый период общая выручка ООО «Лайф Медиа» сократилась на 7,9% и составила в 2025 году 41,3 млн.руб. При этом выручка от тендерной деятельности снизилась ощутимее —  на 14% и составила 30,8 млн.руб. Валовая прибыль снизилась на 15,9% и составила 9,1 млн.руб. Управленческие и коммерческие расходы практически не изменились и остались на том же уровне, не сокращаясь вслед за падением доходов. В итоге прибыль от продаж и чистая прибыль упали на 37%, составив 2,7 млн.руб. и 2,2 млн.руб. соответственно. Компания сохраняет положительную прибыль, однако ухудшение показателей требует анализа эффективности работы ключевого подразделения — тендерного отдела.</w:t>
      </w:r>
    </w:p>
    <w:p w14:paraId="19CA86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Глава 2. Анализ системы управления персоналом предприятия ООО «Лайф Медиа»</w:t>
      </w:r>
    </w:p>
    <w:p w14:paraId="4268F8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Ключевая особенность ООО «Лайф Медиа» —  полностью удалённый формат работы. Это накладывает особые требования к самоорганизации и цифровой дисциплине. В компании отсутствует выделенная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HR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-служба: функции управления персоналом распределены между генеральным директором (стратегические решения), руководителем тендерного отдела (отбор, оценка) и бухгалтерией (кадровое делопроизводство, расчёт заработной платы).</w:t>
      </w:r>
    </w:p>
    <w:p w14:paraId="380C9B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Поиск персонала носит проектный характер, то есть запускается под конкретную вакансию (чаще всего это тендерный отдел). Основными каналами привлечения персонала выступают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Job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-сервисы по типу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hh.ru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, Авито, Работа.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ru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. Главное преимущество для соискателей — полностью удалённый, что позволяет компании конкурировать.</w:t>
      </w:r>
    </w:p>
    <w:p w14:paraId="4965D8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Процедура отбора представляет собой классическую воронку (см.рис.2.1). Поэтапно:</w:t>
      </w:r>
    </w:p>
    <w:p w14:paraId="459873AE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Скрининг резюме (обязательный опыт работы с 44-ФЗ/223-ФЗ не менее 1 года, умение работать с электронными торговыми площадками (РТС-тендер, Сбербанк-АСТ);</w:t>
      </w:r>
    </w:p>
    <w:p w14:paraId="4EA60398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Телефонное интервью с руководителем отдела;</w:t>
      </w:r>
    </w:p>
    <w:p w14:paraId="699EBDB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Тестовое задание (ключевой этап на реальных кейсах компании: анализ документации, расчёт НМЦК, выявление ошибок);</w:t>
      </w:r>
    </w:p>
    <w:p w14:paraId="6A793C5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Финальное видео-интервью с генеральным директором;</w:t>
      </w:r>
    </w:p>
    <w:p w14:paraId="28D3B86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Получение оффера и оформление (полностью удалённо через ЭДО с подписанием трудового договора УКЭП/сканами).</w:t>
      </w:r>
    </w:p>
    <w:p w14:paraId="0F44E70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    Оформление приёма включает в себя: получение электронных копий документов, подготовку трудового договора, приказ о приёме (форма Т-4), ознакомление с должностной инструкцией через Битрикс24, внесение сведений в электронную трудовую книжку.  Всё регламентировано ТК РФ (ст.68-70).</w:t>
      </w:r>
    </w:p>
    <w:p w14:paraId="512837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3EB1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center"/>
        <w:textAlignment w:val="auto"/>
        <w:rPr>
          <w:rFonts w:ascii="Times New Roman" w:hAnsi="Times New Roman" w:cs="Times New Roman"/>
          <w:sz w:val="24"/>
          <w:szCs w:val="1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2.1.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4"/>
          <w:szCs w:val="18"/>
        </w:rPr>
        <w:t>Процедура отбора и процедура найма, применяемые в ООО «Л</w:t>
      </w:r>
      <w:r>
        <w:rPr>
          <w:rFonts w:ascii="Times New Roman" w:hAnsi="Times New Roman" w:cs="Times New Roman"/>
          <w:sz w:val="24"/>
          <w:szCs w:val="18"/>
          <w:lang w:val="ru-RU"/>
        </w:rPr>
        <w:t>айф</w:t>
      </w:r>
      <w:r>
        <w:rPr>
          <w:rFonts w:hint="default" w:ascii="Times New Roman" w:hAnsi="Times New Roman" w:cs="Times New Roman"/>
          <w:sz w:val="24"/>
          <w:szCs w:val="18"/>
          <w:lang w:val="ru-RU"/>
        </w:rPr>
        <w:t xml:space="preserve"> Медиа</w:t>
      </w:r>
      <w:r>
        <w:rPr>
          <w:rFonts w:ascii="Times New Roman" w:hAnsi="Times New Roman" w:cs="Times New Roman"/>
          <w:sz w:val="24"/>
          <w:szCs w:val="18"/>
        </w:rPr>
        <w:t xml:space="preserve">» </w:t>
      </w:r>
    </w:p>
    <w:p w14:paraId="1F3BBA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300" w:firstLineChars="125"/>
        <w:jc w:val="center"/>
        <w:textAlignment w:val="auto"/>
        <w:rPr>
          <w:rFonts w:ascii="Times New Roman" w:hAnsi="Times New Roman" w:cs="Times New Roman"/>
          <w:sz w:val="24"/>
          <w:szCs w:val="18"/>
        </w:rPr>
      </w:pPr>
    </w:p>
    <w:p w14:paraId="102D65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</w:pPr>
      <w:r>
        <w:drawing>
          <wp:inline distT="0" distB="0" distL="114300" distR="114300">
            <wp:extent cx="4477385" cy="3460115"/>
            <wp:effectExtent l="0" t="0" r="3175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99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7E99C8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Исходя из того, что около 80% выручки приносит тендерный отдел, можно сказать, что кадровый потенциал ООО «Лайф Медиа» является ключевым ресурсом, обеспечивающим участие компании в закупках. </w:t>
      </w:r>
    </w:p>
    <w:p w14:paraId="07ED9B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Среднесписочная численность на конец 2025 года составила 17 человек. В таблице 2.1 представлена структура персонала по категориям.</w:t>
      </w:r>
    </w:p>
    <w:p w14:paraId="6F56B7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354C9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2.1. Структура персонала ООО «Лайф Медиа»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3139"/>
        <w:gridCol w:w="3139"/>
      </w:tblGrid>
      <w:tr w14:paraId="7358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F9FBC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Категория персонала</w:t>
            </w:r>
          </w:p>
        </w:tc>
        <w:tc>
          <w:tcPr>
            <w:tcW w:w="3139" w:type="dxa"/>
            <w:vAlign w:val="center"/>
          </w:tcPr>
          <w:p w14:paraId="316F45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Подразделение</w:t>
            </w:r>
          </w:p>
        </w:tc>
        <w:tc>
          <w:tcPr>
            <w:tcW w:w="3139" w:type="dxa"/>
            <w:vAlign w:val="center"/>
          </w:tcPr>
          <w:p w14:paraId="3A394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Количество, чел.</w:t>
            </w:r>
          </w:p>
        </w:tc>
      </w:tr>
      <w:tr w14:paraId="45B88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8A278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Основной персонал</w:t>
            </w:r>
          </w:p>
        </w:tc>
        <w:tc>
          <w:tcPr>
            <w:tcW w:w="3139" w:type="dxa"/>
            <w:vAlign w:val="center"/>
          </w:tcPr>
          <w:p w14:paraId="588B7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Тендерный отдел</w:t>
            </w:r>
          </w:p>
        </w:tc>
        <w:tc>
          <w:tcPr>
            <w:tcW w:w="3139" w:type="dxa"/>
            <w:vAlign w:val="center"/>
          </w:tcPr>
          <w:p w14:paraId="5DCC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</w:t>
            </w:r>
          </w:p>
        </w:tc>
      </w:tr>
      <w:tr w14:paraId="5FAE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5E8E1C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Вспомогательный персонал</w:t>
            </w:r>
          </w:p>
        </w:tc>
        <w:tc>
          <w:tcPr>
            <w:tcW w:w="3139" w:type="dxa"/>
            <w:vAlign w:val="center"/>
          </w:tcPr>
          <w:p w14:paraId="0C808D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Отдел логистики и поставок</w:t>
            </w:r>
          </w:p>
        </w:tc>
        <w:tc>
          <w:tcPr>
            <w:tcW w:w="3139" w:type="dxa"/>
            <w:vAlign w:val="center"/>
          </w:tcPr>
          <w:p w14:paraId="7F8CA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</w:t>
            </w:r>
          </w:p>
        </w:tc>
      </w:tr>
      <w:tr w14:paraId="617DD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695058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Коммерческий персонал</w:t>
            </w:r>
          </w:p>
        </w:tc>
        <w:tc>
          <w:tcPr>
            <w:tcW w:w="3139" w:type="dxa"/>
            <w:vAlign w:val="center"/>
          </w:tcPr>
          <w:p w14:paraId="15D689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Отдел продаж</w:t>
            </w:r>
          </w:p>
        </w:tc>
        <w:tc>
          <w:tcPr>
            <w:tcW w:w="3139" w:type="dxa"/>
            <w:vAlign w:val="center"/>
          </w:tcPr>
          <w:p w14:paraId="3F9B9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</w:t>
            </w:r>
          </w:p>
        </w:tc>
      </w:tr>
      <w:tr w14:paraId="47FB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A14A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Административно-управленческий персонал</w:t>
            </w:r>
          </w:p>
        </w:tc>
        <w:tc>
          <w:tcPr>
            <w:tcW w:w="3139" w:type="dxa"/>
            <w:vAlign w:val="center"/>
          </w:tcPr>
          <w:p w14:paraId="361D5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Бухгалтерия, системный администратор</w:t>
            </w:r>
          </w:p>
        </w:tc>
        <w:tc>
          <w:tcPr>
            <w:tcW w:w="3139" w:type="dxa"/>
            <w:vAlign w:val="center"/>
          </w:tcPr>
          <w:p w14:paraId="48A5CD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</w:t>
            </w:r>
          </w:p>
        </w:tc>
      </w:tr>
      <w:tr w14:paraId="0FE9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7" w:type="dxa"/>
            <w:gridSpan w:val="2"/>
            <w:vAlign w:val="center"/>
          </w:tcPr>
          <w:p w14:paraId="6B7435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Итого</w:t>
            </w:r>
          </w:p>
        </w:tc>
        <w:tc>
          <w:tcPr>
            <w:tcW w:w="3139" w:type="dxa"/>
            <w:vAlign w:val="center"/>
          </w:tcPr>
          <w:p w14:paraId="02969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17</w:t>
            </w:r>
          </w:p>
        </w:tc>
      </w:tr>
    </w:tbl>
    <w:p w14:paraId="5B7463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88ABE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Из таблицы видно, что основную долю персонала составляют тендерные специалисты, что говорит о приоритетности этого отдела. Вспомогательный персонал занимается исполнением контрактов и работой с частными заказами. Административно-управленческий персонал состоит из минимального необходимого количества сотрудников, что характерно для малого бизнеса.</w:t>
      </w:r>
    </w:p>
    <w:p w14:paraId="0C202F9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Также была проведена оценка возрастного состава, анализ персонала согласно продолжительности работы и уровень образования специалистов тендерного отдела (см.табл.2.2., табл.2.3, табл.2.4).</w:t>
      </w:r>
    </w:p>
    <w:p w14:paraId="1231E4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D7A4B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2.2. Возрастная структура тендерных специалистов ООО «Лайф Медиа» (2025 г.)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3139"/>
        <w:gridCol w:w="3139"/>
      </w:tblGrid>
      <w:tr w14:paraId="5EBF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7257A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Возрастная группа</w:t>
            </w:r>
          </w:p>
        </w:tc>
        <w:tc>
          <w:tcPr>
            <w:tcW w:w="3139" w:type="dxa"/>
          </w:tcPr>
          <w:p w14:paraId="0465E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Количество, чел.</w:t>
            </w:r>
          </w:p>
        </w:tc>
        <w:tc>
          <w:tcPr>
            <w:tcW w:w="3139" w:type="dxa"/>
          </w:tcPr>
          <w:p w14:paraId="6937AA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Доля , %</w:t>
            </w:r>
          </w:p>
        </w:tc>
      </w:tr>
      <w:tr w14:paraId="5106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4E31C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 25 лет</w:t>
            </w:r>
          </w:p>
        </w:tc>
        <w:tc>
          <w:tcPr>
            <w:tcW w:w="3139" w:type="dxa"/>
          </w:tcPr>
          <w:p w14:paraId="707AA4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3139" w:type="dxa"/>
          </w:tcPr>
          <w:p w14:paraId="69D414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25,0</w:t>
            </w:r>
          </w:p>
        </w:tc>
      </w:tr>
      <w:tr w14:paraId="5C9A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7A57C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25-35 лет</w:t>
            </w:r>
          </w:p>
        </w:tc>
        <w:tc>
          <w:tcPr>
            <w:tcW w:w="3139" w:type="dxa"/>
          </w:tcPr>
          <w:p w14:paraId="4BBC25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</w:t>
            </w:r>
          </w:p>
        </w:tc>
        <w:tc>
          <w:tcPr>
            <w:tcW w:w="3139" w:type="dxa"/>
          </w:tcPr>
          <w:p w14:paraId="07CBEB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62,5</w:t>
            </w:r>
          </w:p>
        </w:tc>
      </w:tr>
      <w:tr w14:paraId="32FA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71D8A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36 - 45 лет</w:t>
            </w:r>
          </w:p>
        </w:tc>
        <w:tc>
          <w:tcPr>
            <w:tcW w:w="3139" w:type="dxa"/>
          </w:tcPr>
          <w:p w14:paraId="455336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3139" w:type="dxa"/>
          </w:tcPr>
          <w:p w14:paraId="4DD129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12,5</w:t>
            </w:r>
          </w:p>
        </w:tc>
      </w:tr>
      <w:tr w14:paraId="2CC5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56019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Старше 45 лет</w:t>
            </w:r>
          </w:p>
        </w:tc>
        <w:tc>
          <w:tcPr>
            <w:tcW w:w="3139" w:type="dxa"/>
          </w:tcPr>
          <w:p w14:paraId="4EC9CA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0</w:t>
            </w:r>
          </w:p>
        </w:tc>
        <w:tc>
          <w:tcPr>
            <w:tcW w:w="3139" w:type="dxa"/>
          </w:tcPr>
          <w:p w14:paraId="6467F9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0</w:t>
            </w:r>
          </w:p>
        </w:tc>
      </w:tr>
    </w:tbl>
    <w:p w14:paraId="00EAC6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EA00CF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2.3. Структура тендерных специалистов по продолжительности работы в ООО «Лайф Медиа» (2025 г.)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3139"/>
        <w:gridCol w:w="3139"/>
      </w:tblGrid>
      <w:tr w14:paraId="3FA95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0F1AA1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Стаж в компании</w:t>
            </w:r>
          </w:p>
        </w:tc>
        <w:tc>
          <w:tcPr>
            <w:tcW w:w="3139" w:type="dxa"/>
          </w:tcPr>
          <w:p w14:paraId="75421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Количество, чел.</w:t>
            </w:r>
          </w:p>
        </w:tc>
        <w:tc>
          <w:tcPr>
            <w:tcW w:w="3139" w:type="dxa"/>
          </w:tcPr>
          <w:p w14:paraId="5C519E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Доля,%</w:t>
            </w:r>
          </w:p>
        </w:tc>
      </w:tr>
      <w:tr w14:paraId="499E9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574DD9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Менее 3 месяцев</w:t>
            </w:r>
          </w:p>
        </w:tc>
        <w:tc>
          <w:tcPr>
            <w:tcW w:w="3139" w:type="dxa"/>
          </w:tcPr>
          <w:p w14:paraId="3C2B1C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3139" w:type="dxa"/>
          </w:tcPr>
          <w:p w14:paraId="0354ED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25,0</w:t>
            </w:r>
          </w:p>
        </w:tc>
      </w:tr>
      <w:tr w14:paraId="6C41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2073CC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 3 до 6 месяцев</w:t>
            </w:r>
          </w:p>
        </w:tc>
        <w:tc>
          <w:tcPr>
            <w:tcW w:w="3139" w:type="dxa"/>
          </w:tcPr>
          <w:p w14:paraId="689833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3139" w:type="dxa"/>
          </w:tcPr>
          <w:p w14:paraId="4241E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12,5</w:t>
            </w:r>
          </w:p>
        </w:tc>
      </w:tr>
      <w:tr w14:paraId="4ABD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7CACF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 6 до 12 месяцев</w:t>
            </w:r>
          </w:p>
        </w:tc>
        <w:tc>
          <w:tcPr>
            <w:tcW w:w="3139" w:type="dxa"/>
          </w:tcPr>
          <w:p w14:paraId="0B435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3139" w:type="dxa"/>
          </w:tcPr>
          <w:p w14:paraId="702C8A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25,0</w:t>
            </w:r>
          </w:p>
        </w:tc>
      </w:tr>
      <w:tr w14:paraId="4F6AD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73124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 1 до 2 лет</w:t>
            </w:r>
          </w:p>
        </w:tc>
        <w:tc>
          <w:tcPr>
            <w:tcW w:w="3139" w:type="dxa"/>
          </w:tcPr>
          <w:p w14:paraId="6EEBB2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3139" w:type="dxa"/>
          </w:tcPr>
          <w:p w14:paraId="498A6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12,5</w:t>
            </w:r>
          </w:p>
        </w:tc>
      </w:tr>
      <w:tr w14:paraId="59794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2555B7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Более 2 лет</w:t>
            </w:r>
          </w:p>
        </w:tc>
        <w:tc>
          <w:tcPr>
            <w:tcW w:w="3139" w:type="dxa"/>
          </w:tcPr>
          <w:p w14:paraId="4BB2BB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3139" w:type="dxa"/>
          </w:tcPr>
          <w:p w14:paraId="26D00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25,0</w:t>
            </w:r>
          </w:p>
        </w:tc>
      </w:tr>
    </w:tbl>
    <w:p w14:paraId="42D34A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1E0706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2.4. Уровень образования специалистов тендерного отдела ООО «Лайф Медиа» (2025 г.)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3139"/>
        <w:gridCol w:w="3139"/>
      </w:tblGrid>
      <w:tr w14:paraId="5ACE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231399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Уровень образования </w:t>
            </w:r>
          </w:p>
        </w:tc>
        <w:tc>
          <w:tcPr>
            <w:tcW w:w="3139" w:type="dxa"/>
          </w:tcPr>
          <w:p w14:paraId="6DB06A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Количество, чел.</w:t>
            </w:r>
          </w:p>
        </w:tc>
        <w:tc>
          <w:tcPr>
            <w:tcW w:w="3139" w:type="dxa"/>
          </w:tcPr>
          <w:p w14:paraId="78860F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Доля,%</w:t>
            </w:r>
          </w:p>
        </w:tc>
      </w:tr>
      <w:tr w14:paraId="26F9F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5ADF84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Высшее профильное (экономика/менеджмент)</w:t>
            </w:r>
          </w:p>
        </w:tc>
        <w:tc>
          <w:tcPr>
            <w:tcW w:w="3139" w:type="dxa"/>
            <w:vAlign w:val="center"/>
          </w:tcPr>
          <w:p w14:paraId="70386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3139" w:type="dxa"/>
            <w:vAlign w:val="center"/>
          </w:tcPr>
          <w:p w14:paraId="5978F3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37,5</w:t>
            </w:r>
          </w:p>
        </w:tc>
      </w:tr>
      <w:tr w14:paraId="2FF8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2F5B95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Высшее непрофильное </w:t>
            </w:r>
          </w:p>
        </w:tc>
        <w:tc>
          <w:tcPr>
            <w:tcW w:w="3139" w:type="dxa"/>
            <w:vAlign w:val="center"/>
          </w:tcPr>
          <w:p w14:paraId="6CA357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3139" w:type="dxa"/>
            <w:vAlign w:val="center"/>
          </w:tcPr>
          <w:p w14:paraId="6FA758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50</w:t>
            </w:r>
          </w:p>
        </w:tc>
      </w:tr>
      <w:tr w14:paraId="5AE5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</w:tcPr>
          <w:p w14:paraId="3B546C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Среднее профессиональное</w:t>
            </w:r>
          </w:p>
        </w:tc>
        <w:tc>
          <w:tcPr>
            <w:tcW w:w="3139" w:type="dxa"/>
            <w:vAlign w:val="center"/>
          </w:tcPr>
          <w:p w14:paraId="72F09F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3139" w:type="dxa"/>
            <w:vAlign w:val="center"/>
          </w:tcPr>
          <w:p w14:paraId="0D48FB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12,5</w:t>
            </w:r>
          </w:p>
        </w:tc>
      </w:tr>
    </w:tbl>
    <w:p w14:paraId="7116CB9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4005854C">
      <w:pPr>
        <w:keepNext w:val="0"/>
        <w:keepLines w:val="0"/>
        <w:pageBreakBefore w:val="0"/>
        <w:numPr>
          <w:ilvl w:val="0"/>
          <w:numId w:val="0"/>
        </w:numPr>
        <w:tabs>
          <w:tab w:val="left" w:pos="1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C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Из данных выше можно сделать вывод, что кадровый состав тендерного отдела компании характеризуется проблемными факторами: во-первых, лишь 25% сотрудников работают в ООО «Лайф Медиа» более двух лет, что создаёт дефицит экспертов в отедле; во-вторых, половину сотрудников работает в компании меньше года, что требулет интенсивной адаптации и обучения; в-третьих, треть специалистов не имеют профильного образования и их компетенции сформированы только практическим путём. При этом основную долю отдела составляют сотрудники в возрасте до 35 лет, а это поколение, которое имеет потенциал к постоянному развитию, цифровой трансформации и быстрой адаптации к изменениям. </w:t>
      </w:r>
      <w:r>
        <w:rPr>
          <w:rFonts w:hint="default" w:ascii="Times New Roman" w:hAnsi="Times New Roman"/>
          <w:b w:val="0"/>
          <w:bCs w:val="0"/>
          <w:color w:val="C00000"/>
          <w:sz w:val="28"/>
          <w:szCs w:val="28"/>
          <w:highlight w:val="none"/>
          <w:lang w:val="ru-RU"/>
        </w:rPr>
        <w:t>Следовательно, системное обучение и наставничество являются не просто желательным, а критически необходимым элементом управления тендерным отделом для повышения качества заявок и процента выигранных тендеров.</w:t>
      </w:r>
    </w:p>
    <w:p w14:paraId="5F5AAA2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Для оценки стабильности кадрового состава ключевого подразделения проведён анализ движения персонала тендерного отдела за 2024-2025 гг. (см.табл.2.5.).</w:t>
      </w:r>
    </w:p>
    <w:p w14:paraId="461C17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36C0C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2.5. Анализ движения персонала тендерного отдела ООО «Лайф Медиа» за 2024-2025 гг.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4"/>
        <w:gridCol w:w="2378"/>
        <w:gridCol w:w="2424"/>
      </w:tblGrid>
      <w:tr w14:paraId="611C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4F687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Показатель</w:t>
            </w:r>
          </w:p>
        </w:tc>
        <w:tc>
          <w:tcPr>
            <w:tcW w:w="2378" w:type="dxa"/>
          </w:tcPr>
          <w:p w14:paraId="5D3BEC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2024</w:t>
            </w:r>
          </w:p>
        </w:tc>
        <w:tc>
          <w:tcPr>
            <w:tcW w:w="2424" w:type="dxa"/>
          </w:tcPr>
          <w:p w14:paraId="0EB7B5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2025</w:t>
            </w:r>
          </w:p>
        </w:tc>
      </w:tr>
      <w:tr w14:paraId="70D5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4B9FB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Численность на начало года, чел.</w:t>
            </w:r>
          </w:p>
        </w:tc>
        <w:tc>
          <w:tcPr>
            <w:tcW w:w="2378" w:type="dxa"/>
            <w:vAlign w:val="center"/>
          </w:tcPr>
          <w:p w14:paraId="7A242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7</w:t>
            </w:r>
          </w:p>
        </w:tc>
        <w:tc>
          <w:tcPr>
            <w:tcW w:w="2424" w:type="dxa"/>
            <w:vAlign w:val="center"/>
          </w:tcPr>
          <w:p w14:paraId="4E245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</w:t>
            </w:r>
          </w:p>
        </w:tc>
      </w:tr>
      <w:tr w14:paraId="0B94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  <w:shd w:val="clear" w:color="auto" w:fill="auto"/>
            <w:vAlign w:val="top"/>
          </w:tcPr>
          <w:p w14:paraId="7AAC9B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Принято, чел.</w:t>
            </w:r>
          </w:p>
        </w:tc>
        <w:tc>
          <w:tcPr>
            <w:tcW w:w="2378" w:type="dxa"/>
            <w:vAlign w:val="center"/>
          </w:tcPr>
          <w:p w14:paraId="02D375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2424" w:type="dxa"/>
            <w:vAlign w:val="center"/>
          </w:tcPr>
          <w:p w14:paraId="5E9674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</w:t>
            </w:r>
          </w:p>
        </w:tc>
      </w:tr>
      <w:tr w14:paraId="638F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06DD5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Уволено, чел.</w:t>
            </w:r>
          </w:p>
        </w:tc>
        <w:tc>
          <w:tcPr>
            <w:tcW w:w="2378" w:type="dxa"/>
            <w:vAlign w:val="center"/>
          </w:tcPr>
          <w:p w14:paraId="5A3CC3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2424" w:type="dxa"/>
            <w:vAlign w:val="center"/>
          </w:tcPr>
          <w:p w14:paraId="2F83EA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</w:t>
            </w:r>
          </w:p>
        </w:tc>
      </w:tr>
      <w:tr w14:paraId="5F21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525A03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Численность на конец года, чел</w:t>
            </w:r>
          </w:p>
        </w:tc>
        <w:tc>
          <w:tcPr>
            <w:tcW w:w="2378" w:type="dxa"/>
            <w:vAlign w:val="center"/>
          </w:tcPr>
          <w:p w14:paraId="42B43D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</w:t>
            </w:r>
          </w:p>
        </w:tc>
        <w:tc>
          <w:tcPr>
            <w:tcW w:w="2424" w:type="dxa"/>
            <w:vAlign w:val="center"/>
          </w:tcPr>
          <w:p w14:paraId="77F98D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</w:t>
            </w:r>
          </w:p>
        </w:tc>
      </w:tr>
      <w:tr w14:paraId="5A3C1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6C176C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Коэф.оборота по приему, %</w:t>
            </w:r>
          </w:p>
        </w:tc>
        <w:tc>
          <w:tcPr>
            <w:tcW w:w="2378" w:type="dxa"/>
            <w:vAlign w:val="center"/>
          </w:tcPr>
          <w:p w14:paraId="77565C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55,3</w:t>
            </w:r>
          </w:p>
        </w:tc>
        <w:tc>
          <w:tcPr>
            <w:tcW w:w="2424" w:type="dxa"/>
            <w:vAlign w:val="center"/>
          </w:tcPr>
          <w:p w14:paraId="2FEF44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37,5</w:t>
            </w:r>
          </w:p>
        </w:tc>
      </w:tr>
      <w:tr w14:paraId="37DC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33E616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Коэф.оборота по выбытию, %</w:t>
            </w:r>
          </w:p>
        </w:tc>
        <w:tc>
          <w:tcPr>
            <w:tcW w:w="2378" w:type="dxa"/>
            <w:vAlign w:val="center"/>
          </w:tcPr>
          <w:p w14:paraId="3B48F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40,0</w:t>
            </w:r>
          </w:p>
        </w:tc>
        <w:tc>
          <w:tcPr>
            <w:tcW w:w="2424" w:type="dxa"/>
            <w:vAlign w:val="center"/>
          </w:tcPr>
          <w:p w14:paraId="4E747F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37,5</w:t>
            </w:r>
          </w:p>
        </w:tc>
      </w:tr>
      <w:tr w14:paraId="0A67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4" w:type="dxa"/>
          </w:tcPr>
          <w:p w14:paraId="35141C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Коэф.текучести кадров, %</w:t>
            </w:r>
          </w:p>
        </w:tc>
        <w:tc>
          <w:tcPr>
            <w:tcW w:w="2378" w:type="dxa"/>
            <w:vAlign w:val="center"/>
          </w:tcPr>
          <w:p w14:paraId="6845DB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37,5</w:t>
            </w:r>
          </w:p>
        </w:tc>
        <w:tc>
          <w:tcPr>
            <w:tcW w:w="2424" w:type="dxa"/>
            <w:vAlign w:val="center"/>
          </w:tcPr>
          <w:p w14:paraId="00608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37,5</w:t>
            </w:r>
          </w:p>
        </w:tc>
      </w:tr>
    </w:tbl>
    <w:p w14:paraId="29ACA2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52B879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Из таблицы 2.5 видно, что коэффициент текучести составляет 37,5-40%, что относится к высокому уровню. Ежегодно отдел теряет 3-4 специалиста, при этом оборот при приёму свидетельствует о постоянной замене выбывших сотрудников, выходит, что отдел постоянно обновляется. При такой динамике сформировать стабильную команду довольно трудно.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Это подтверждает, что система адаптации, мотивации и удержания персонала в ключевом подразделении работает недостаточно эффективно.</w:t>
      </w:r>
    </w:p>
    <w:p w14:paraId="6028370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Систем мотивации ООО «Лайф Медиа» строится на понятных и прагматичных инструментах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. Материальная мотивация закреплена в Положении об оплате труда и премировании. Структура дохода тендерного специалиста отражена в таблице 2.6.</w:t>
      </w:r>
    </w:p>
    <w:p w14:paraId="0B06814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2.6. Структура дохода тендерного специалиста ООО «Лайф Медиа»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2"/>
        <w:gridCol w:w="2442"/>
        <w:gridCol w:w="3412"/>
      </w:tblGrid>
      <w:tr w14:paraId="31F3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</w:tcPr>
          <w:p w14:paraId="37A1D3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Компонент</w:t>
            </w:r>
          </w:p>
        </w:tc>
        <w:tc>
          <w:tcPr>
            <w:tcW w:w="2442" w:type="dxa"/>
          </w:tcPr>
          <w:p w14:paraId="534DD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Размер</w:t>
            </w:r>
          </w:p>
        </w:tc>
        <w:tc>
          <w:tcPr>
            <w:tcW w:w="3412" w:type="dxa"/>
          </w:tcPr>
          <w:p w14:paraId="4C98B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Условия получения</w:t>
            </w:r>
          </w:p>
        </w:tc>
      </w:tr>
      <w:tr w14:paraId="163C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</w:tcPr>
          <w:p w14:paraId="260129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Должностной оклад</w:t>
            </w:r>
          </w:p>
        </w:tc>
        <w:tc>
          <w:tcPr>
            <w:tcW w:w="2442" w:type="dxa"/>
            <w:vAlign w:val="center"/>
          </w:tcPr>
          <w:p w14:paraId="0CDEEF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57 000 руб. в месяц</w:t>
            </w:r>
          </w:p>
        </w:tc>
        <w:tc>
          <w:tcPr>
            <w:tcW w:w="3412" w:type="dxa"/>
            <w:vAlign w:val="center"/>
          </w:tcPr>
          <w:p w14:paraId="6C150C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Гарантированно и независимо от результатов</w:t>
            </w:r>
          </w:p>
        </w:tc>
      </w:tr>
      <w:tr w14:paraId="6E950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  <w:shd w:val="clear" w:color="auto" w:fill="auto"/>
            <w:vAlign w:val="top"/>
          </w:tcPr>
          <w:p w14:paraId="665AD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both"/>
              <w:textAlignment w:val="auto"/>
              <w:rPr>
                <w:rFonts w:hint="default" w:ascii="Times New Roman" w:hAnsi="Times New Roman" w:eastAsiaTheme="minorEastAsia" w:cstheme="minorBidi"/>
                <w:b w:val="0"/>
                <w:bCs w:val="0"/>
                <w:sz w:val="24"/>
                <w:szCs w:val="24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Квартальная премия</w:t>
            </w:r>
          </w:p>
        </w:tc>
        <w:tc>
          <w:tcPr>
            <w:tcW w:w="2442" w:type="dxa"/>
            <w:vAlign w:val="center"/>
          </w:tcPr>
          <w:p w14:paraId="113A98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 30% от оклада (до 17 000 руб.)</w:t>
            </w:r>
          </w:p>
        </w:tc>
        <w:tc>
          <w:tcPr>
            <w:tcW w:w="3412" w:type="dxa"/>
            <w:vAlign w:val="center"/>
          </w:tcPr>
          <w:p w14:paraId="243C0B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Зависит от выполнения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KPI</w:t>
            </w:r>
          </w:p>
        </w:tc>
      </w:tr>
      <w:tr w14:paraId="1FB9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62" w:type="dxa"/>
          </w:tcPr>
          <w:p w14:paraId="54D058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Годовая премия </w:t>
            </w:r>
          </w:p>
        </w:tc>
        <w:tc>
          <w:tcPr>
            <w:tcW w:w="2442" w:type="dxa"/>
            <w:vAlign w:val="center"/>
          </w:tcPr>
          <w:p w14:paraId="18891B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Переменная (обычно 50% от оклада)</w:t>
            </w:r>
          </w:p>
        </w:tc>
        <w:tc>
          <w:tcPr>
            <w:tcW w:w="3412" w:type="dxa"/>
            <w:vAlign w:val="center"/>
          </w:tcPr>
          <w:p w14:paraId="4ACD4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 итогам работы за год, решение генерального директора</w:t>
            </w:r>
          </w:p>
        </w:tc>
      </w:tr>
    </w:tbl>
    <w:p w14:paraId="6029D16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110EFA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условиях полностью удалённого формата, когда все специалисты работают из разных точек, «тимбилдинги» и «корпоративный дух» —  нерабочие инструменты, поэтому нематериальная мотивация строится на действительно значимых вещах (см.табл.2.7.).</w:t>
      </w:r>
    </w:p>
    <w:p w14:paraId="5B0920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05CEC14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2.7. Инструменты нематериальной мотивации ООО «Лайф Медиа»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3190"/>
        <w:gridCol w:w="3190"/>
      </w:tblGrid>
      <w:tr w14:paraId="0616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386293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Инструмент</w:t>
            </w:r>
          </w:p>
        </w:tc>
        <w:tc>
          <w:tcPr>
            <w:tcW w:w="3190" w:type="dxa"/>
          </w:tcPr>
          <w:p w14:paraId="303C48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Как работает</w:t>
            </w:r>
          </w:p>
        </w:tc>
        <w:tc>
          <w:tcPr>
            <w:tcW w:w="3190" w:type="dxa"/>
          </w:tcPr>
          <w:p w14:paraId="064874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Почему мотивирует</w:t>
            </w:r>
          </w:p>
        </w:tc>
      </w:tr>
      <w:tr w14:paraId="12A1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08031B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Полностью удалённый формат </w:t>
            </w:r>
          </w:p>
        </w:tc>
        <w:tc>
          <w:tcPr>
            <w:tcW w:w="3190" w:type="dxa"/>
          </w:tcPr>
          <w:p w14:paraId="7EC415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Сотрудник может жить в любом городе и не тратить время и средства на дорогу </w:t>
            </w:r>
          </w:p>
        </w:tc>
        <w:tc>
          <w:tcPr>
            <w:tcW w:w="3190" w:type="dxa"/>
          </w:tcPr>
          <w:p w14:paraId="0E09C5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Свобода и экономия ресурсов</w:t>
            </w:r>
          </w:p>
        </w:tc>
      </w:tr>
      <w:tr w14:paraId="5AC4C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9" w:type="dxa"/>
          </w:tcPr>
          <w:p w14:paraId="3DD135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Гибкое начало рабочего дня</w:t>
            </w:r>
          </w:p>
        </w:tc>
        <w:tc>
          <w:tcPr>
            <w:tcW w:w="3190" w:type="dxa"/>
          </w:tcPr>
          <w:p w14:paraId="26EDE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Можно начать свой рабочий день в любое время с 8:00 до 11:00, главное - отработать 8 часов и быть на ежедневном созвоне</w:t>
            </w:r>
          </w:p>
        </w:tc>
        <w:tc>
          <w:tcPr>
            <w:tcW w:w="3190" w:type="dxa"/>
          </w:tcPr>
          <w:p w14:paraId="27A9C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Возможность подстроить график под свои личные дела</w:t>
            </w:r>
          </w:p>
        </w:tc>
      </w:tr>
      <w:tr w14:paraId="42A2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3" w:hRule="atLeast"/>
        </w:trPr>
        <w:tc>
          <w:tcPr>
            <w:tcW w:w="3189" w:type="dxa"/>
          </w:tcPr>
          <w:p w14:paraId="7D77DD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Прозрачная система премирования</w:t>
            </w:r>
          </w:p>
        </w:tc>
        <w:tc>
          <w:tcPr>
            <w:tcW w:w="3190" w:type="dxa"/>
          </w:tcPr>
          <w:p w14:paraId="4B1E72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В Битрикс24 загружена система 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KPI</w:t>
            </w: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, где каждый может увидеть свой прогресс</w:t>
            </w:r>
          </w:p>
        </w:tc>
        <w:tc>
          <w:tcPr>
            <w:tcW w:w="3190" w:type="dxa"/>
          </w:tcPr>
          <w:p w14:paraId="275D6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Честность и открытость</w:t>
            </w:r>
          </w:p>
        </w:tc>
      </w:tr>
    </w:tbl>
    <w:p w14:paraId="1518C0F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6EAEDBC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Исходя из полученной информации можно сделать вывод, что система мотивации ООО «Лайф Медиа» имеет сильные стороны: прозрачный KPI, гибкий график, дистанционный формат. Но есть один недостаток — отсутствие привязки обучения. Сотрудник не будет заинтересован при таком раскладе повышать свою квалификацию. Опытные сотрудники не мотивированы передавать свои знания. Это всё в условиях высокой текучести (37%%) и низкой доли опытных кадров ведёт к накоплению ошибок и падению процента выигранных тендеров. Следовательно, одним из направлений совершенствования должно стать включение образовательных активностей в мотивационную схему (например, премии за отсутствие ошибок в документации).</w:t>
      </w:r>
    </w:p>
    <w:p w14:paraId="3ED29C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Финансовые результаты деятельности компании напрямую зависят от эффективности управления персоналом. Структура персонала и среднемесячные выплаты сотрудникам с учётом премий представлены в таблице 2.8.</w:t>
      </w:r>
    </w:p>
    <w:p w14:paraId="5B06CC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2.8. Структура персонала и среднемесячные выплаты (2025 г.)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5"/>
        <w:gridCol w:w="1254"/>
        <w:gridCol w:w="2007"/>
        <w:gridCol w:w="2583"/>
      </w:tblGrid>
      <w:tr w14:paraId="62F9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  <w:vAlign w:val="center"/>
          </w:tcPr>
          <w:p w14:paraId="5D9BEC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Категория</w:t>
            </w:r>
          </w:p>
        </w:tc>
        <w:tc>
          <w:tcPr>
            <w:tcW w:w="1254" w:type="dxa"/>
            <w:vAlign w:val="center"/>
          </w:tcPr>
          <w:p w14:paraId="1D091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Кол-во</w:t>
            </w:r>
          </w:p>
        </w:tc>
        <w:tc>
          <w:tcPr>
            <w:tcW w:w="2007" w:type="dxa"/>
            <w:vAlign w:val="center"/>
          </w:tcPr>
          <w:p w14:paraId="25A737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Среднемесячная выплата, руб.</w:t>
            </w:r>
          </w:p>
        </w:tc>
        <w:tc>
          <w:tcPr>
            <w:tcW w:w="2583" w:type="dxa"/>
            <w:vAlign w:val="center"/>
          </w:tcPr>
          <w:p w14:paraId="128334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Всего в месяц на</w:t>
            </w:r>
          </w:p>
          <w:p w14:paraId="17307E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 категорию, руб.</w:t>
            </w:r>
          </w:p>
        </w:tc>
      </w:tr>
      <w:tr w14:paraId="07AD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61265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Тендерные специалисты</w:t>
            </w:r>
          </w:p>
        </w:tc>
        <w:tc>
          <w:tcPr>
            <w:tcW w:w="1254" w:type="dxa"/>
          </w:tcPr>
          <w:p w14:paraId="4B5FC5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</w:t>
            </w:r>
          </w:p>
        </w:tc>
        <w:tc>
          <w:tcPr>
            <w:tcW w:w="2007" w:type="dxa"/>
          </w:tcPr>
          <w:p w14:paraId="2A3FBC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63 175</w:t>
            </w:r>
          </w:p>
        </w:tc>
        <w:tc>
          <w:tcPr>
            <w:tcW w:w="2583" w:type="dxa"/>
          </w:tcPr>
          <w:p w14:paraId="69FF5F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505 400</w:t>
            </w:r>
          </w:p>
        </w:tc>
      </w:tr>
      <w:tr w14:paraId="23C9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32A576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Отдел продаж</w:t>
            </w:r>
          </w:p>
        </w:tc>
        <w:tc>
          <w:tcPr>
            <w:tcW w:w="1254" w:type="dxa"/>
          </w:tcPr>
          <w:p w14:paraId="4A339A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2007" w:type="dxa"/>
          </w:tcPr>
          <w:p w14:paraId="62CFE2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48 000</w:t>
            </w:r>
          </w:p>
        </w:tc>
        <w:tc>
          <w:tcPr>
            <w:tcW w:w="2583" w:type="dxa"/>
          </w:tcPr>
          <w:p w14:paraId="09B159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192 000</w:t>
            </w:r>
          </w:p>
        </w:tc>
      </w:tr>
      <w:tr w14:paraId="2736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651E5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Отдел логистики</w:t>
            </w:r>
          </w:p>
        </w:tc>
        <w:tc>
          <w:tcPr>
            <w:tcW w:w="1254" w:type="dxa"/>
          </w:tcPr>
          <w:p w14:paraId="4E1525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2007" w:type="dxa"/>
          </w:tcPr>
          <w:p w14:paraId="6BFCF5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45 000</w:t>
            </w:r>
          </w:p>
        </w:tc>
        <w:tc>
          <w:tcPr>
            <w:tcW w:w="2583" w:type="dxa"/>
          </w:tcPr>
          <w:p w14:paraId="2BB179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135 000</w:t>
            </w:r>
          </w:p>
        </w:tc>
      </w:tr>
      <w:tr w14:paraId="6C114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288CA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Генеральный директор</w:t>
            </w:r>
          </w:p>
        </w:tc>
        <w:tc>
          <w:tcPr>
            <w:tcW w:w="1254" w:type="dxa"/>
          </w:tcPr>
          <w:p w14:paraId="77CB25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2007" w:type="dxa"/>
          </w:tcPr>
          <w:p w14:paraId="06716F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60 000</w:t>
            </w:r>
          </w:p>
        </w:tc>
        <w:tc>
          <w:tcPr>
            <w:tcW w:w="2583" w:type="dxa"/>
          </w:tcPr>
          <w:p w14:paraId="6D159C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60 000</w:t>
            </w:r>
          </w:p>
        </w:tc>
      </w:tr>
      <w:tr w14:paraId="39F3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1C7644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бухгалтер</w:t>
            </w:r>
          </w:p>
        </w:tc>
        <w:tc>
          <w:tcPr>
            <w:tcW w:w="1254" w:type="dxa"/>
          </w:tcPr>
          <w:p w14:paraId="694DDD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2007" w:type="dxa"/>
          </w:tcPr>
          <w:p w14:paraId="3AF61D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57 292</w:t>
            </w:r>
          </w:p>
        </w:tc>
        <w:tc>
          <w:tcPr>
            <w:tcW w:w="2583" w:type="dxa"/>
          </w:tcPr>
          <w:p w14:paraId="0EF23B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57 292</w:t>
            </w:r>
          </w:p>
        </w:tc>
      </w:tr>
      <w:tr w14:paraId="0503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6E15A7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Системный администратор</w:t>
            </w:r>
          </w:p>
        </w:tc>
        <w:tc>
          <w:tcPr>
            <w:tcW w:w="1254" w:type="dxa"/>
          </w:tcPr>
          <w:p w14:paraId="3AC509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0,5</w:t>
            </w:r>
          </w:p>
        </w:tc>
        <w:tc>
          <w:tcPr>
            <w:tcW w:w="2007" w:type="dxa"/>
          </w:tcPr>
          <w:p w14:paraId="7D4FC4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60 000</w:t>
            </w:r>
          </w:p>
        </w:tc>
        <w:tc>
          <w:tcPr>
            <w:tcW w:w="2583" w:type="dxa"/>
          </w:tcPr>
          <w:p w14:paraId="4F6C7D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30 000</w:t>
            </w:r>
          </w:p>
        </w:tc>
      </w:tr>
      <w:tr w14:paraId="173E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379F9B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Юрист (аутсорсинг)</w:t>
            </w:r>
          </w:p>
        </w:tc>
        <w:tc>
          <w:tcPr>
            <w:tcW w:w="1254" w:type="dxa"/>
          </w:tcPr>
          <w:p w14:paraId="00E19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</w:t>
            </w:r>
          </w:p>
        </w:tc>
        <w:tc>
          <w:tcPr>
            <w:tcW w:w="2007" w:type="dxa"/>
          </w:tcPr>
          <w:p w14:paraId="754348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12 500</w:t>
            </w:r>
          </w:p>
        </w:tc>
        <w:tc>
          <w:tcPr>
            <w:tcW w:w="2583" w:type="dxa"/>
          </w:tcPr>
          <w:p w14:paraId="795E67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12 500</w:t>
            </w:r>
          </w:p>
        </w:tc>
      </w:tr>
      <w:tr w14:paraId="60B5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5" w:type="dxa"/>
          </w:tcPr>
          <w:p w14:paraId="69F07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ИТОГО</w:t>
            </w:r>
          </w:p>
        </w:tc>
        <w:tc>
          <w:tcPr>
            <w:tcW w:w="1254" w:type="dxa"/>
          </w:tcPr>
          <w:p w14:paraId="11B504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-</w:t>
            </w:r>
          </w:p>
        </w:tc>
        <w:tc>
          <w:tcPr>
            <w:tcW w:w="2007" w:type="dxa"/>
          </w:tcPr>
          <w:p w14:paraId="4D21C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- </w:t>
            </w:r>
          </w:p>
        </w:tc>
        <w:tc>
          <w:tcPr>
            <w:tcW w:w="2583" w:type="dxa"/>
          </w:tcPr>
          <w:p w14:paraId="49FF16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979 692</w:t>
            </w:r>
          </w:p>
        </w:tc>
      </w:tr>
    </w:tbl>
    <w:p w14:paraId="3BE10E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</w:p>
    <w:p w14:paraId="4B40083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Расчёт среднемесячной выплаты включает в себя оклады, квартальные и годовые премии. Как видно из таблицы, тендерные специалисты имеют наибольший уровень дохода и он выше среднерыночного показателя. Премия для тендерных специалистов составляет до 20% от оклада по итогам квартала (за выполннение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KPI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) и 50% от оклада по итогам года. У сотрудников отдела продаж только квартальная премия 20% от оклада, у  бухгалтера — годовая премия 50% от оклада. Остальные категории сотрудников премий не имеют.</w:t>
      </w:r>
    </w:p>
    <w:p w14:paraId="2747177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таблице 2.9. представлены расходы на оплату труда  и общие затраты на персонал за 2023–2025 гг.</w:t>
      </w:r>
    </w:p>
    <w:p w14:paraId="56C7DE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3DA264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ru-RU"/>
        </w:rPr>
        <w:t>Таблица 2.9. Расходы на оплату труда и затраты на персонал ООО «Лайф Медиа» 2025г.</w:t>
      </w:r>
    </w:p>
    <w:tbl>
      <w:tblPr>
        <w:tblStyle w:val="6"/>
        <w:tblW w:w="0" w:type="auto"/>
        <w:tblInd w:w="9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9"/>
        <w:gridCol w:w="3288"/>
      </w:tblGrid>
      <w:tr w14:paraId="36B4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4039" w:type="dxa"/>
          </w:tcPr>
          <w:p w14:paraId="48F56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Показатель</w:t>
            </w:r>
          </w:p>
        </w:tc>
        <w:tc>
          <w:tcPr>
            <w:tcW w:w="3288" w:type="dxa"/>
          </w:tcPr>
          <w:p w14:paraId="036B9A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Сумма, тыс.руб.</w:t>
            </w:r>
          </w:p>
        </w:tc>
      </w:tr>
      <w:tr w14:paraId="6FF3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7079BB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ФОТ тендерного отдела (8 чел.)</w:t>
            </w:r>
          </w:p>
        </w:tc>
        <w:tc>
          <w:tcPr>
            <w:tcW w:w="3288" w:type="dxa"/>
          </w:tcPr>
          <w:p w14:paraId="194E1C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6 100</w:t>
            </w:r>
          </w:p>
        </w:tc>
      </w:tr>
      <w:tr w14:paraId="6505E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5F39D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ФОТ отдела продаж (4 чел.)</w:t>
            </w:r>
          </w:p>
        </w:tc>
        <w:tc>
          <w:tcPr>
            <w:tcW w:w="3288" w:type="dxa"/>
          </w:tcPr>
          <w:p w14:paraId="3D5F3C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2 400</w:t>
            </w:r>
          </w:p>
        </w:tc>
      </w:tr>
      <w:tr w14:paraId="67D2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06EF8B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ФОТ (отдела логистики (3 чел.)</w:t>
            </w:r>
          </w:p>
        </w:tc>
        <w:tc>
          <w:tcPr>
            <w:tcW w:w="3288" w:type="dxa"/>
          </w:tcPr>
          <w:p w14:paraId="0BDB3F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1 600</w:t>
            </w:r>
          </w:p>
        </w:tc>
      </w:tr>
      <w:tr w14:paraId="2190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421918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ФОТ административно-управленческого отдела (2,5 чел.)</w:t>
            </w:r>
          </w:p>
        </w:tc>
        <w:tc>
          <w:tcPr>
            <w:tcW w:w="3288" w:type="dxa"/>
          </w:tcPr>
          <w:p w14:paraId="49B8CE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1 500</w:t>
            </w:r>
          </w:p>
        </w:tc>
      </w:tr>
      <w:tr w14:paraId="2F2A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3BEDCF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ИТОГО ФОТ</w:t>
            </w:r>
          </w:p>
        </w:tc>
        <w:tc>
          <w:tcPr>
            <w:tcW w:w="3288" w:type="dxa"/>
          </w:tcPr>
          <w:p w14:paraId="57B20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11 600</w:t>
            </w:r>
          </w:p>
        </w:tc>
      </w:tr>
      <w:tr w14:paraId="1FE9A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00946E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Страховые взносы (30%)</w:t>
            </w:r>
          </w:p>
        </w:tc>
        <w:tc>
          <w:tcPr>
            <w:tcW w:w="3288" w:type="dxa"/>
          </w:tcPr>
          <w:p w14:paraId="6EAB36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3 480</w:t>
            </w:r>
          </w:p>
        </w:tc>
      </w:tr>
      <w:tr w14:paraId="6FF0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5C96C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Подбор персонала</w:t>
            </w:r>
          </w:p>
        </w:tc>
        <w:tc>
          <w:tcPr>
            <w:tcW w:w="3288" w:type="dxa"/>
          </w:tcPr>
          <w:p w14:paraId="32A5F4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170</w:t>
            </w:r>
          </w:p>
        </w:tc>
      </w:tr>
      <w:tr w14:paraId="4069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41B35B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 xml:space="preserve">Обучение </w:t>
            </w:r>
          </w:p>
        </w:tc>
        <w:tc>
          <w:tcPr>
            <w:tcW w:w="3288" w:type="dxa"/>
          </w:tcPr>
          <w:p w14:paraId="72E0B3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45</w:t>
            </w:r>
          </w:p>
        </w:tc>
      </w:tr>
      <w:tr w14:paraId="36566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0578B1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Юрист (аутсорсинг)</w:t>
            </w:r>
          </w:p>
        </w:tc>
        <w:tc>
          <w:tcPr>
            <w:tcW w:w="3288" w:type="dxa"/>
          </w:tcPr>
          <w:p w14:paraId="34276E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150</w:t>
            </w:r>
          </w:p>
        </w:tc>
      </w:tr>
      <w:tr w14:paraId="3E71C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9" w:type="dxa"/>
          </w:tcPr>
          <w:p w14:paraId="2BC655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Общие затраты на персонал</w:t>
            </w:r>
          </w:p>
        </w:tc>
        <w:tc>
          <w:tcPr>
            <w:tcW w:w="3288" w:type="dxa"/>
          </w:tcPr>
          <w:p w14:paraId="702C3C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15 445</w:t>
            </w:r>
          </w:p>
        </w:tc>
      </w:tr>
    </w:tbl>
    <w:p w14:paraId="7B3A83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35E982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Таким образом, доля затрат на персонал в ООО «Лайф Медиа» (37,3%) превышает отраслевой норматив для торговых компаний (20–30%), при этом рост этих затрат сопровождается падением чистой прибыли, что свидетельствует о низкой эффективности управления персоналом.</w:t>
      </w:r>
    </w:p>
    <w:p w14:paraId="535FE0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Из таблицы 2.9 видно, что есть есть такая статья расходов, как обучение. Все средства, выделяемые на обучение в данной компании направляются  исключительно на тендерный отдел, поскольку именно от него зависит основной объем выручки компании. Однако данные затраты носят формальный характер и не образуют целостной системы обучения.</w:t>
      </w:r>
    </w:p>
    <w:p w14:paraId="20FD16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Выделяемые средства расходуются эпизодически. Так как законодательство в сфере закупок постоянно меняется, то приобретаются  доступы к записям вебинаров по изменению 44-ФЗ и 223-ФЗ. В компании отсутствует регулярное тестирование знаний, своя база информации, оценка эффективности и тд.</w:t>
      </w:r>
    </w:p>
    <w:p w14:paraId="20A583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 2025 году на обучение было направлено 45 тыс.руб., что составляет 0,37% от ФОТ (при рекомендуемых 3-5%). Доля затрат на обучение в общие затратах составляет всего лишь 0,29%. Формальное наличие бюджета не сопровождается изменениями и практически не влияет на качество подготовки тендерной документации.</w:t>
      </w:r>
    </w:p>
    <w:p w14:paraId="1FF29A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Проведённый анализ системы управления персоналом ООО «Лайф Медиа» позволяет сделать следующие обобщения. Компания представляет собой малое предприятие с численностью 17,5 штатных единиц, работающее в полностью удалённом формате. Ключевое подразделение — тендерный отдел (8 человек) — обеспечивает до 75% выручки. Структура персонала характеризуется молодым возрастом (62,5% — до 35 лет), но при этом высоким уровнем текучести (37,5–40% в тендерном отделе) и низкой долей опытных сотрудников (только 25% имеют стаж более 2 лет). Система мотивации включает прозрачные KPI и материальные стимулы, однако нематериальная составляющая не поддерживает профессиональное развитие. Затраты на персонал в 2025 году составили 15,4 млн руб. (37,3% от выручки), что превышает отраслевой норматив для торговых компаний (20–30%). При этом за три года чистая прибыль компании сократилась с 4,0 до 1,9 млн руб., выручка снизилась на 3,1%, а тендерная выручка — на 14%. Таким образом, при высоком уровне финансирования персонала и наличии формальных инструментов управления, ключевые показатели эффективности компании демонстрируют устойчивую негативную динамику, что указывает на наличие проблем.</w:t>
      </w:r>
    </w:p>
    <w:p w14:paraId="52B9D9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BA98C8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697A12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9B6F1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36B8CD0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02A17DE3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607FEF4B">
      <w:r>
        <w:rPr>
          <w:rFonts w:hint="default" w:ascii="Times New Roman" w:hAnsi="Times New Roman"/>
          <w:sz w:val="28"/>
          <w:szCs w:val="28"/>
          <w:lang w:val="ru-RU"/>
        </w:rPr>
        <w:br w:type="page"/>
      </w:r>
      <w:bookmarkStart w:id="0" w:name="_GoBack"/>
      <w:bookmarkEnd w:id="0"/>
    </w:p>
    <w:p w14:paraId="1A4F5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Глава 3. Система обучения и развития тендерных специалистов ООО «Лайф Медиа»</w:t>
      </w:r>
    </w:p>
    <w:p w14:paraId="0307C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Эффективность участия компании в тендерных процедурах напрямую зависит от квалификации специалистов, которые подают заявки. Ошибки в оформлении документов, неверная трактовка законодательств, отсутствие навыков работы с электронными торговыми площадками (ЭТП) приводят к отклонению заявок и потери времени. Поэтому анализ организации системы обучения и развития тендерных специалистов является необходимым этапом для выявления проблем.</w:t>
      </w:r>
    </w:p>
    <w:p w14:paraId="15463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Чтобы понять, насколько текущая система подготовки специалистов тендерного отдела отвечает требованиям рынка, нужно проанализировать динамику участия компании в тендерах.  В таблицах 3.1. и 3.2 отражены ключевые показатели за последние три года. </w:t>
      </w:r>
    </w:p>
    <w:p w14:paraId="6D84D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834B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Таблица 3.1. Результаты участия ООО «Лайф Медиа» в тендерах  (2023-2025гг.)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1232"/>
        <w:gridCol w:w="2815"/>
        <w:gridCol w:w="1983"/>
        <w:gridCol w:w="2450"/>
      </w:tblGrid>
      <w:tr w14:paraId="2CD2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vAlign w:val="center"/>
          </w:tcPr>
          <w:p w14:paraId="0FAB9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1232" w:type="dxa"/>
            <w:vAlign w:val="center"/>
          </w:tcPr>
          <w:p w14:paraId="5C845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Подано заявок</w:t>
            </w:r>
          </w:p>
        </w:tc>
        <w:tc>
          <w:tcPr>
            <w:tcW w:w="0" w:type="auto"/>
            <w:vAlign w:val="center"/>
          </w:tcPr>
          <w:p w14:paraId="22658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Признано соответствующими</w:t>
            </w:r>
          </w:p>
        </w:tc>
        <w:tc>
          <w:tcPr>
            <w:tcW w:w="0" w:type="auto"/>
            <w:vAlign w:val="center"/>
          </w:tcPr>
          <w:p w14:paraId="2D82B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Выиграно контрактов</w:t>
            </w:r>
          </w:p>
        </w:tc>
        <w:tc>
          <w:tcPr>
            <w:tcW w:w="0" w:type="auto"/>
            <w:vAlign w:val="center"/>
          </w:tcPr>
          <w:p w14:paraId="7ABD6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Доля выигранных тендеров, %</w:t>
            </w:r>
          </w:p>
        </w:tc>
      </w:tr>
      <w:tr w14:paraId="6E32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28D89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1232" w:type="dxa"/>
          </w:tcPr>
          <w:p w14:paraId="3CB12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168</w:t>
            </w:r>
          </w:p>
        </w:tc>
        <w:tc>
          <w:tcPr>
            <w:tcW w:w="0" w:type="auto"/>
          </w:tcPr>
          <w:p w14:paraId="01844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142</w:t>
            </w:r>
          </w:p>
        </w:tc>
        <w:tc>
          <w:tcPr>
            <w:tcW w:w="0" w:type="auto"/>
          </w:tcPr>
          <w:p w14:paraId="6B2EF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35</w:t>
            </w:r>
          </w:p>
        </w:tc>
        <w:tc>
          <w:tcPr>
            <w:tcW w:w="0" w:type="auto"/>
          </w:tcPr>
          <w:p w14:paraId="0B208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</w:tr>
      <w:tr w14:paraId="4D6C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45995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232" w:type="dxa"/>
          </w:tcPr>
          <w:p w14:paraId="652DE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185</w:t>
            </w:r>
          </w:p>
        </w:tc>
        <w:tc>
          <w:tcPr>
            <w:tcW w:w="0" w:type="auto"/>
          </w:tcPr>
          <w:p w14:paraId="010B8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158</w:t>
            </w:r>
          </w:p>
        </w:tc>
        <w:tc>
          <w:tcPr>
            <w:tcW w:w="0" w:type="auto"/>
          </w:tcPr>
          <w:p w14:paraId="230F5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42</w:t>
            </w:r>
          </w:p>
        </w:tc>
        <w:tc>
          <w:tcPr>
            <w:tcW w:w="0" w:type="auto"/>
          </w:tcPr>
          <w:p w14:paraId="5414D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22,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</w:tr>
      <w:tr w14:paraId="3453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</w:tcPr>
          <w:p w14:paraId="643D9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232" w:type="dxa"/>
          </w:tcPr>
          <w:p w14:paraId="57D6A4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152</w:t>
            </w:r>
          </w:p>
        </w:tc>
        <w:tc>
          <w:tcPr>
            <w:tcW w:w="0" w:type="auto"/>
          </w:tcPr>
          <w:p w14:paraId="28E02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128</w:t>
            </w:r>
          </w:p>
        </w:tc>
        <w:tc>
          <w:tcPr>
            <w:tcW w:w="0" w:type="auto"/>
          </w:tcPr>
          <w:p w14:paraId="7A7F8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35</w:t>
            </w:r>
          </w:p>
        </w:tc>
        <w:tc>
          <w:tcPr>
            <w:tcW w:w="0" w:type="auto"/>
          </w:tcPr>
          <w:p w14:paraId="747EE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300" w:firstLineChars="125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,0</w:t>
            </w:r>
          </w:p>
        </w:tc>
      </w:tr>
    </w:tbl>
    <w:p w14:paraId="056FC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9F63C7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Таблица 3.2. Ключевые соотношения показателей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3"/>
        <w:gridCol w:w="1468"/>
        <w:gridCol w:w="1325"/>
        <w:gridCol w:w="1404"/>
      </w:tblGrid>
      <w:tr w14:paraId="7A39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3" w:type="dxa"/>
          </w:tcPr>
          <w:p w14:paraId="5B80CE9B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Показатель</w:t>
            </w:r>
          </w:p>
        </w:tc>
        <w:tc>
          <w:tcPr>
            <w:tcW w:w="1468" w:type="dxa"/>
          </w:tcPr>
          <w:p w14:paraId="1D9E025C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2023</w:t>
            </w:r>
          </w:p>
        </w:tc>
        <w:tc>
          <w:tcPr>
            <w:tcW w:w="1325" w:type="dxa"/>
          </w:tcPr>
          <w:p w14:paraId="14E8A529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2024</w:t>
            </w:r>
          </w:p>
        </w:tc>
        <w:tc>
          <w:tcPr>
            <w:tcW w:w="1404" w:type="dxa"/>
          </w:tcPr>
          <w:p w14:paraId="5EEB15D3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2025</w:t>
            </w:r>
          </w:p>
        </w:tc>
      </w:tr>
      <w:tr w14:paraId="0FC6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3" w:type="dxa"/>
          </w:tcPr>
          <w:p w14:paraId="45E652D1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Средняя цена одного контракта, тыс. руб. (выручка/победы)</w:t>
            </w:r>
          </w:p>
        </w:tc>
        <w:tc>
          <w:tcPr>
            <w:tcW w:w="1468" w:type="dxa"/>
            <w:vAlign w:val="center"/>
          </w:tcPr>
          <w:p w14:paraId="040261C4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975</w:t>
            </w:r>
          </w:p>
        </w:tc>
        <w:tc>
          <w:tcPr>
            <w:tcW w:w="1325" w:type="dxa"/>
            <w:vAlign w:val="center"/>
          </w:tcPr>
          <w:p w14:paraId="74F8EDAC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854</w:t>
            </w:r>
          </w:p>
        </w:tc>
        <w:tc>
          <w:tcPr>
            <w:tcW w:w="1404" w:type="dxa"/>
            <w:vAlign w:val="center"/>
          </w:tcPr>
          <w:p w14:paraId="7F2FBB35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881</w:t>
            </w:r>
          </w:p>
        </w:tc>
      </w:tr>
      <w:tr w14:paraId="6D80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3" w:type="dxa"/>
          </w:tcPr>
          <w:p w14:paraId="2BBF251F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Конверсия из заявки в победу,%</w:t>
            </w:r>
          </w:p>
        </w:tc>
        <w:tc>
          <w:tcPr>
            <w:tcW w:w="1468" w:type="dxa"/>
            <w:vAlign w:val="center"/>
          </w:tcPr>
          <w:p w14:paraId="5C508EC7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20,8</w:t>
            </w:r>
          </w:p>
        </w:tc>
        <w:tc>
          <w:tcPr>
            <w:tcW w:w="1325" w:type="dxa"/>
            <w:vAlign w:val="center"/>
          </w:tcPr>
          <w:p w14:paraId="3495E197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22,7</w:t>
            </w:r>
          </w:p>
        </w:tc>
        <w:tc>
          <w:tcPr>
            <w:tcW w:w="1404" w:type="dxa"/>
            <w:vAlign w:val="center"/>
          </w:tcPr>
          <w:p w14:paraId="6CFE5470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23,0</w:t>
            </w:r>
          </w:p>
        </w:tc>
      </w:tr>
      <w:tr w14:paraId="5A9B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3" w:type="dxa"/>
          </w:tcPr>
          <w:p w14:paraId="7B5DC0C1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Доля отклонённых заявок (непрошедших допуск), %</w:t>
            </w:r>
          </w:p>
        </w:tc>
        <w:tc>
          <w:tcPr>
            <w:tcW w:w="1468" w:type="dxa"/>
            <w:vAlign w:val="center"/>
          </w:tcPr>
          <w:p w14:paraId="36B2B0C2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15,5</w:t>
            </w:r>
          </w:p>
        </w:tc>
        <w:tc>
          <w:tcPr>
            <w:tcW w:w="1325" w:type="dxa"/>
            <w:vAlign w:val="center"/>
          </w:tcPr>
          <w:p w14:paraId="66D2EFC9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14,6</w:t>
            </w:r>
          </w:p>
        </w:tc>
        <w:tc>
          <w:tcPr>
            <w:tcW w:w="1404" w:type="dxa"/>
            <w:vAlign w:val="center"/>
          </w:tcPr>
          <w:p w14:paraId="5C3FE788">
            <w:pPr>
              <w:keepNext w:val="0"/>
              <w:keepLines w:val="0"/>
              <w:pageBreakBefore w:val="0"/>
              <w:widowControl/>
              <w:tabs>
                <w:tab w:val="left" w:pos="40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15,8</w:t>
            </w:r>
          </w:p>
        </w:tc>
      </w:tr>
    </w:tbl>
    <w:p w14:paraId="6B85D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right"/>
        <w:textAlignment w:val="auto"/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ru-RU"/>
        </w:rPr>
      </w:pPr>
    </w:p>
    <w:p w14:paraId="5E2FC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Данные таблицы показывают, что доля выигранных тендеров практически не меняется. Колебания в пределах 2% можно объяснить разной сложностью тендеров, но главное – нет устойчивого роста. Если бы сотрудники становились квалифицированнее, то конверсия повысилась хотя бы до 25% за три года. </w:t>
      </w:r>
    </w:p>
    <w:p w14:paraId="10C196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Отдельное внимание занимает разрыв между поданными заявками и признанными соответствующими. В 2023 году 27 заявок (14,6%) были отклонены до стадии торгов, в 2024 году – 24 (15,8%), в 2025 – 26 (15,5%). Отклонение на этапе допуска практически всегда связано с наличием формальных ошибок: файл, форма, отсутствие справки и тд.</w:t>
      </w:r>
    </w:p>
    <w:p w14:paraId="1DC08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Для того, чтобы определить, в каких именно областях наблюдается дефицит знаний и навыков, был проведён анализ протоколов отклонения заявок ООО «Лайф Медиа» за последние три года. Всего выявлено 77 случаев отклонения, ошибки разделены на три группы:</w:t>
      </w:r>
    </w:p>
    <w:p w14:paraId="184DFD8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Ошибки, связанные с незнанием законодательства </w:t>
      </w:r>
    </w:p>
    <w:p w14:paraId="79364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 эту группу вошли ошибки, которые показывают, что сотрудники недостаточно хорошо знают требования 44-ФЗ и подзаконных актов (важно отметить, что правки вносятся постоянно и успевать следить за изменениями очень важно).</w:t>
      </w:r>
    </w:p>
    <w:p w14:paraId="40DAA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Частые ошибки с практики: </w:t>
      </w:r>
    </w:p>
    <w:p w14:paraId="13C5208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 некоторых закупках требовалось подтвердить наличие опыта исполнения контракта на определенную сумму, сотрудник приложил договор на сумму без НДС, решив, что с НДС получится нужная сумма, заказчик посчитал цену по договору и вышла другая сумма, следовательно, заявка не прошла допуск;</w:t>
      </w:r>
    </w:p>
    <w:p w14:paraId="3C1E9E3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 2025 году заявки были отклонены из-за того, что сотрудник использовал старую форму декларации, которая уже не действовала, шаблон лежал в общей папке с прошлого года и никто его не обновил.</w:t>
      </w:r>
    </w:p>
    <w:p w14:paraId="0BA144E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     Это всё говорить о том, что сотрудники не имеют системного понимания того, где какие документы нужны, как вовремя отслеживать изменения в формах и как проверять требования заказчика.</w:t>
      </w:r>
    </w:p>
    <w:p w14:paraId="764AF27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Технические ошибки при работе с электронными площадками (ЭТП)</w:t>
      </w:r>
    </w:p>
    <w:p w14:paraId="108112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Это одна из самых больших групп ошибок. Их объединяет то, что все они могут быть предотвращены про наличии чек-листа для заключительной проверки.</w:t>
      </w:r>
    </w:p>
    <w:p w14:paraId="1C43FB3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Примеры с практики:</w:t>
      </w:r>
    </w:p>
    <w:p w14:paraId="1B35B16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 извещении был перечень из восьми обязательных документов, сотрудник загрузил семь, заявка ушла, но потом была отклонена ;</w:t>
      </w:r>
    </w:p>
    <w:p w14:paraId="3BCA73C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Сотрудник загрузил файлы в формате JPG, хотя требовался PDF;</w:t>
      </w:r>
    </w:p>
    <w:p w14:paraId="04602F2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 двух случаях были проблемы с электронной подписью: сотрудник подписал заявку до того, как загрузил файлы или сертификат не подходил к организации.</w:t>
      </w:r>
    </w:p>
    <w:p w14:paraId="719E9D6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     Такие ошибки свидетельствуют об отсутствии формализованной процедуры проверки перед отправкой заявки.</w:t>
      </w:r>
    </w:p>
    <w:p w14:paraId="4422631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Ошибки с расчётах</w:t>
      </w:r>
    </w:p>
    <w:p w14:paraId="39D968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Здесь были выявлены случаи арифметических ошибок при расчёте итоговой суммы контракта. Сумма позиций не сходилась с итого площадка фиксировала информацию как недостоверную и заявка отклонялась.</w:t>
      </w:r>
    </w:p>
    <w:p w14:paraId="3F67EB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Все выявленные ошибки относятся к категории предотвратимых. Для их исключения достаточно иметь формализованную процедуру проверки и базу актуальных шаблонов. То, что ошибки повторяются из года в год говорит о том, что существующая система обучения не решает эту задачу.</w:t>
      </w:r>
    </w:p>
    <w:p w14:paraId="2EB0BBF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Далее был проведен анализ того, как в компании организован процесс подготовки и контроля заявок. Для этого была изучена внутренняя документация и проведены беседы с руководителем тендерного отдела.</w:t>
      </w:r>
    </w:p>
    <w:p w14:paraId="3A84A04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Анализ выявил следующее:</w:t>
      </w:r>
    </w:p>
    <w:p w14:paraId="79050F5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Во-первых, единых стандартов работы в компании нет и каждый специалист готовит заявку по своему усмотрению. Нет общей папки с актуальными формами документов, памяток и инструкций.</w:t>
      </w:r>
    </w:p>
    <w:p w14:paraId="7907DD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 xml:space="preserve">Во-вторых, руководитель отдела проверяет заявки выборочно. Нет обязательных контрольных точек и сотрудник сам отвечает за качество своей работы </w:t>
      </w:r>
    </w:p>
    <w:p w14:paraId="4712A40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В-третьих, разбор ошибок системный. Когда заявка отклоняется, руководитель «устно» указывает на ошибку. То есть этот случай не фиксируется, что приводит к тому, что одни и те же ошибки допускают разные сотрудники.</w:t>
      </w:r>
    </w:p>
    <w:p w14:paraId="2AA57C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  <w:t>Выходит, что процесс подготовки заявок в компании построен на личной ответственности каждого специалиста, но при этом у него нет необходимых инструментов и стандартов.</w:t>
      </w:r>
    </w:p>
    <w:p w14:paraId="61DC43F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/>
          <w:b w:val="0"/>
          <w:bCs w:val="0"/>
          <w:color w:val="auto"/>
          <w:sz w:val="28"/>
          <w:szCs w:val="28"/>
          <w:lang w:val="ru-RU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48BEE"/>
    <w:multiLevelType w:val="singleLevel"/>
    <w:tmpl w:val="9F448BEE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imSun" w:hAnsi="SimSun" w:eastAsia="SimSun" w:cs="SimSun"/>
      </w:rPr>
    </w:lvl>
  </w:abstractNum>
  <w:abstractNum w:abstractNumId="1">
    <w:nsid w:val="C7982FB3"/>
    <w:multiLevelType w:val="singleLevel"/>
    <w:tmpl w:val="C7982FB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93567C3"/>
    <w:multiLevelType w:val="singleLevel"/>
    <w:tmpl w:val="C93567C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19CFBED"/>
    <w:multiLevelType w:val="singleLevel"/>
    <w:tmpl w:val="019CFBED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imSun" w:hAnsi="SimSun" w:eastAsia="SimSun" w:cs="SimSun"/>
      </w:rPr>
    </w:lvl>
  </w:abstractNum>
  <w:abstractNum w:abstractNumId="4">
    <w:nsid w:val="1B00C6AF"/>
    <w:multiLevelType w:val="singleLevel"/>
    <w:tmpl w:val="1B00C6A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3CB3E9A"/>
    <w:multiLevelType w:val="singleLevel"/>
    <w:tmpl w:val="43CB3E9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54CFDDBC"/>
    <w:multiLevelType w:val="singleLevel"/>
    <w:tmpl w:val="54CFDDB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865DD"/>
    <w:rsid w:val="29754184"/>
    <w:rsid w:val="315E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2026-04-23T10:41:00Z</dcterms:created>
  <dc:creator>honor</dc:creator>
  <cp:lastModifiedBy>honor</cp:lastModifiedBy>
  <dcterms:modified xsi:type="dcterms:W3CDTF">2026-04-27T09:50:48Z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630994AC965044E5ADF991B95249FAED_12</vt:lpwstr>
  </property>
</Properties>
</file>