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Отчет по преддипломной практике</w:t>
      </w:r>
    </w:p>
    <w:p>
      <w:pPr>
        <w:spacing w:line="360" w:lineRule="auto"/>
        <w:ind w:firstLine="709"/>
        <w:jc w:val="both"/>
      </w:pPr>
      <w:r>
        <w:rPr>
          <w:rFonts w:ascii="Times New Roman" w:hAnsi="Times New Roman" w:eastAsia="Times New Roman"/>
          <w:sz w:val="28"/>
        </w:rPr>
        <w:t>Тема: анализ организационно-управленческой деятельности, системы управления персоналом и системы мотивации сотрудников ПАО «ТНС энерго Нижний Новгород»</w:t>
      </w:r>
    </w:p>
    <w:p>
      <w:pPr>
        <w:spacing w:line="360" w:lineRule="auto"/>
        <w:ind w:firstLine="709"/>
        <w:jc w:val="both"/>
      </w:pPr>
      <w:r>
        <w:rPr>
          <w:rFonts w:ascii="Times New Roman" w:hAnsi="Times New Roman" w:eastAsia="Times New Roman"/>
          <w:sz w:val="28"/>
        </w:rPr>
        <w:t>Объект практики: Публичное акционерное общество «ТНС энерго Нижний Новгород»</w:t>
      </w:r>
    </w:p>
    <w:p>
      <w:pPr>
        <w:spacing w:line="360" w:lineRule="auto"/>
        <w:ind w:firstLine="709"/>
        <w:jc w:val="both"/>
      </w:pPr>
      <w:r>
        <w:rPr>
          <w:rFonts w:ascii="Times New Roman" w:hAnsi="Times New Roman" w:eastAsia="Times New Roman"/>
          <w:sz w:val="28"/>
        </w:rPr>
        <w:t>Сокращенное наименование: ПАО «ТНС энерго НН»</w:t>
      </w:r>
    </w:p>
    <w:p>
      <w:pPr>
        <w:pStyle w:val="Heading2"/>
      </w:pPr>
      <w:r>
        <w:t>Содержание</w:t>
      </w:r>
    </w:p>
    <w:p>
      <w:pPr>
        <w:spacing w:line="360" w:lineRule="auto"/>
        <w:ind w:firstLine="709"/>
        <w:jc w:val="both"/>
      </w:pPr>
      <w:r>
        <w:rPr>
          <w:rFonts w:ascii="Times New Roman" w:hAnsi="Times New Roman" w:eastAsia="Times New Roman"/>
          <w:sz w:val="28"/>
        </w:rPr>
        <w:t>Введение</w:t>
      </w:r>
    </w:p>
    <w:p>
      <w:pPr>
        <w:spacing w:line="360" w:lineRule="auto"/>
        <w:ind w:firstLine="709"/>
        <w:jc w:val="both"/>
      </w:pPr>
      <w:r>
        <w:rPr>
          <w:rFonts w:ascii="Times New Roman" w:hAnsi="Times New Roman" w:eastAsia="Times New Roman"/>
          <w:sz w:val="28"/>
        </w:rPr>
        <w:t>Глава 1. Характеристика ПАО «ТНС энерго Нижний Новгород»</w:t>
      </w:r>
    </w:p>
    <w:p>
      <w:pPr>
        <w:spacing w:line="360" w:lineRule="auto"/>
        <w:ind w:firstLine="709"/>
        <w:jc w:val="both"/>
      </w:pPr>
      <w:r>
        <w:rPr>
          <w:rFonts w:ascii="Times New Roman" w:hAnsi="Times New Roman" w:eastAsia="Times New Roman"/>
          <w:sz w:val="28"/>
        </w:rPr>
        <w:t>1.1. Общая характеристика и положение предприятия на рынке</w:t>
      </w:r>
    </w:p>
    <w:p>
      <w:pPr>
        <w:spacing w:line="360" w:lineRule="auto"/>
        <w:ind w:firstLine="709"/>
        <w:jc w:val="both"/>
      </w:pPr>
      <w:r>
        <w:rPr>
          <w:rFonts w:ascii="Times New Roman" w:hAnsi="Times New Roman" w:eastAsia="Times New Roman"/>
          <w:sz w:val="28"/>
        </w:rPr>
        <w:t>1.2. Основные виды деятельности в соответствии с ОКВЭД</w:t>
      </w:r>
    </w:p>
    <w:p>
      <w:pPr>
        <w:spacing w:line="360" w:lineRule="auto"/>
        <w:ind w:firstLine="709"/>
        <w:jc w:val="both"/>
      </w:pPr>
      <w:r>
        <w:rPr>
          <w:rFonts w:ascii="Times New Roman" w:hAnsi="Times New Roman" w:eastAsia="Times New Roman"/>
          <w:sz w:val="28"/>
        </w:rPr>
        <w:t>1.3. Организационно-управленческая деятельность и организационная структура</w:t>
      </w:r>
    </w:p>
    <w:p>
      <w:pPr>
        <w:spacing w:line="360" w:lineRule="auto"/>
        <w:ind w:firstLine="709"/>
        <w:jc w:val="both"/>
      </w:pPr>
      <w:r>
        <w:rPr>
          <w:rFonts w:ascii="Times New Roman" w:hAnsi="Times New Roman" w:eastAsia="Times New Roman"/>
          <w:sz w:val="28"/>
        </w:rPr>
        <w:t>1.4. Основные финансовые показатели ПАО «ТНС энерго НН» за 2023-2025 годы</w:t>
      </w:r>
    </w:p>
    <w:p>
      <w:pPr>
        <w:spacing w:line="360" w:lineRule="auto"/>
        <w:ind w:firstLine="709"/>
        <w:jc w:val="both"/>
      </w:pPr>
      <w:r>
        <w:rPr>
          <w:rFonts w:ascii="Times New Roman" w:hAnsi="Times New Roman" w:eastAsia="Times New Roman"/>
          <w:sz w:val="28"/>
        </w:rPr>
        <w:t>Глава 2. Анализ системы управления персоналом предприятия ПАО «ТНС энерго Нижний Новгород»</w:t>
      </w:r>
    </w:p>
    <w:p>
      <w:pPr>
        <w:spacing w:line="360" w:lineRule="auto"/>
        <w:ind w:firstLine="709"/>
        <w:jc w:val="both"/>
      </w:pPr>
      <w:r>
        <w:rPr>
          <w:rFonts w:ascii="Times New Roman" w:hAnsi="Times New Roman" w:eastAsia="Times New Roman"/>
          <w:sz w:val="28"/>
        </w:rPr>
        <w:t>2.1. Формирование системы управления персоналом в организации</w:t>
      </w:r>
    </w:p>
    <w:p>
      <w:pPr>
        <w:spacing w:line="360" w:lineRule="auto"/>
        <w:ind w:firstLine="709"/>
        <w:jc w:val="both"/>
      </w:pPr>
      <w:r>
        <w:rPr>
          <w:rFonts w:ascii="Times New Roman" w:hAnsi="Times New Roman" w:eastAsia="Times New Roman"/>
          <w:sz w:val="28"/>
        </w:rPr>
        <w:t>2.2. Подбор, прием и движение персонала</w:t>
      </w:r>
    </w:p>
    <w:p>
      <w:pPr>
        <w:spacing w:line="360" w:lineRule="auto"/>
        <w:ind w:firstLine="709"/>
        <w:jc w:val="both"/>
      </w:pPr>
      <w:r>
        <w:rPr>
          <w:rFonts w:ascii="Times New Roman" w:hAnsi="Times New Roman" w:eastAsia="Times New Roman"/>
          <w:sz w:val="28"/>
        </w:rPr>
        <w:t>2.3. Адаптация и наставничество сотрудников</w:t>
      </w:r>
    </w:p>
    <w:p>
      <w:pPr>
        <w:spacing w:line="360" w:lineRule="auto"/>
        <w:ind w:firstLine="709"/>
        <w:jc w:val="both"/>
      </w:pPr>
      <w:r>
        <w:rPr>
          <w:rFonts w:ascii="Times New Roman" w:hAnsi="Times New Roman" w:eastAsia="Times New Roman"/>
          <w:sz w:val="28"/>
        </w:rPr>
        <w:t>2.4. Социально-трудовые гарантии и локальное регулирование персонала</w:t>
      </w:r>
    </w:p>
    <w:p>
      <w:pPr>
        <w:spacing w:line="360" w:lineRule="auto"/>
        <w:ind w:firstLine="709"/>
        <w:jc w:val="both"/>
      </w:pPr>
      <w:r>
        <w:rPr>
          <w:rFonts w:ascii="Times New Roman" w:hAnsi="Times New Roman" w:eastAsia="Times New Roman"/>
          <w:sz w:val="28"/>
        </w:rPr>
        <w:t>Глава 3. Система мотивации сотрудников ПАО «ТНС энерго Нижний Новгород»</w:t>
      </w:r>
    </w:p>
    <w:p>
      <w:pPr>
        <w:spacing w:line="360" w:lineRule="auto"/>
        <w:ind w:firstLine="709"/>
        <w:jc w:val="both"/>
      </w:pPr>
      <w:r>
        <w:rPr>
          <w:rFonts w:ascii="Times New Roman" w:hAnsi="Times New Roman" w:eastAsia="Times New Roman"/>
          <w:sz w:val="28"/>
        </w:rPr>
        <w:t>3.1. Общая характеристика мотивационной системы</w:t>
      </w:r>
    </w:p>
    <w:p>
      <w:pPr>
        <w:spacing w:line="360" w:lineRule="auto"/>
        <w:ind w:firstLine="709"/>
        <w:jc w:val="both"/>
      </w:pPr>
      <w:r>
        <w:rPr>
          <w:rFonts w:ascii="Times New Roman" w:hAnsi="Times New Roman" w:eastAsia="Times New Roman"/>
          <w:sz w:val="28"/>
        </w:rPr>
        <w:t>3.2. Материальная мотивация персонала</w:t>
      </w:r>
    </w:p>
    <w:p>
      <w:pPr>
        <w:spacing w:line="360" w:lineRule="auto"/>
        <w:ind w:firstLine="709"/>
        <w:jc w:val="both"/>
      </w:pPr>
      <w:r>
        <w:rPr>
          <w:rFonts w:ascii="Times New Roman" w:hAnsi="Times New Roman" w:eastAsia="Times New Roman"/>
          <w:sz w:val="28"/>
        </w:rPr>
        <w:t>3.3. Социальный пакет как элемент удержания сотрудников</w:t>
      </w:r>
    </w:p>
    <w:p>
      <w:pPr>
        <w:spacing w:line="360" w:lineRule="auto"/>
        <w:ind w:firstLine="709"/>
        <w:jc w:val="both"/>
      </w:pPr>
      <w:r>
        <w:rPr>
          <w:rFonts w:ascii="Times New Roman" w:hAnsi="Times New Roman" w:eastAsia="Times New Roman"/>
          <w:sz w:val="28"/>
        </w:rPr>
        <w:t>3.4. Нематериальная мотивация и корпоративная среда</w:t>
      </w:r>
    </w:p>
    <w:p>
      <w:pPr>
        <w:spacing w:line="360" w:lineRule="auto"/>
        <w:ind w:firstLine="709"/>
        <w:jc w:val="both"/>
      </w:pPr>
      <w:r>
        <w:rPr>
          <w:rFonts w:ascii="Times New Roman" w:hAnsi="Times New Roman" w:eastAsia="Times New Roman"/>
          <w:sz w:val="28"/>
        </w:rPr>
        <w:t>3.5. Мотивация через обучение, адаптацию и наставничество</w:t>
      </w:r>
    </w:p>
    <w:p>
      <w:pPr>
        <w:spacing w:line="360" w:lineRule="auto"/>
        <w:ind w:firstLine="709"/>
        <w:jc w:val="both"/>
      </w:pPr>
      <w:r>
        <w:rPr>
          <w:rFonts w:ascii="Times New Roman" w:hAnsi="Times New Roman" w:eastAsia="Times New Roman"/>
          <w:sz w:val="28"/>
        </w:rPr>
        <w:t>3.6. Оценка сильных сторон и проблем системы мотивации</w:t>
      </w:r>
    </w:p>
    <w:p>
      <w:pPr>
        <w:spacing w:line="360" w:lineRule="auto"/>
        <w:ind w:firstLine="709"/>
        <w:jc w:val="both"/>
      </w:pPr>
      <w:r>
        <w:rPr>
          <w:rFonts w:ascii="Times New Roman" w:hAnsi="Times New Roman" w:eastAsia="Times New Roman"/>
          <w:sz w:val="28"/>
        </w:rPr>
        <w:t>3.7. Ключевая проблема мотивационной системы, выявленная по результатам анализа</w:t>
      </w:r>
    </w:p>
    <w:p>
      <w:pPr>
        <w:spacing w:line="360" w:lineRule="auto"/>
        <w:ind w:firstLine="709"/>
        <w:jc w:val="both"/>
      </w:pPr>
      <w:r>
        <w:rPr>
          <w:rFonts w:ascii="Times New Roman" w:hAnsi="Times New Roman" w:eastAsia="Times New Roman"/>
          <w:sz w:val="28"/>
        </w:rPr>
        <w:t>Заключение</w:t>
      </w:r>
    </w:p>
    <w:p>
      <w:pPr>
        <w:spacing w:line="360" w:lineRule="auto"/>
        <w:ind w:firstLine="709"/>
        <w:jc w:val="both"/>
      </w:pPr>
      <w:r>
        <w:rPr>
          <w:rFonts w:ascii="Times New Roman" w:hAnsi="Times New Roman" w:eastAsia="Times New Roman"/>
          <w:sz w:val="28"/>
        </w:rPr>
        <w:t>Список использованных источников</w:t>
      </w:r>
    </w:p>
    <w:p>
      <w:pPr>
        <w:pStyle w:val="Heading2"/>
      </w:pPr>
      <w:r>
        <w:t>Введение</w:t>
      </w:r>
    </w:p>
    <w:p>
      <w:pPr>
        <w:spacing w:line="360" w:lineRule="auto"/>
        <w:ind w:firstLine="709"/>
        <w:jc w:val="both"/>
      </w:pPr>
      <w:r>
        <w:rPr>
          <w:rFonts w:ascii="Times New Roman" w:hAnsi="Times New Roman" w:eastAsia="Times New Roman"/>
          <w:sz w:val="28"/>
        </w:rPr>
        <w:t>Преддипломная практика является важным этапом подготовки специалиста, поскольку позволяет рассмотреть деятельность конкретной организации не только с позиции формальных показателей, но и с точки зрения управленческих процессов, кадровой политики, организации труда и мотивации персонала. В качестве базы анализа выбрано ПАО «ТНС энерго Нижний Новгород» - крупная энергосбытовая организация, осуществляющая деятельность на территории Нижегородской области и имеющая значимую социально-экономическую роль как поставщик электрической энергии для населения, бизнеса и организаций бюджетной сферы.</w:t>
      </w:r>
    </w:p>
    <w:p>
      <w:pPr>
        <w:spacing w:line="360" w:lineRule="auto"/>
        <w:ind w:firstLine="709"/>
        <w:jc w:val="both"/>
      </w:pPr>
      <w:r>
        <w:rPr>
          <w:rFonts w:ascii="Times New Roman" w:hAnsi="Times New Roman" w:eastAsia="Times New Roman"/>
          <w:sz w:val="28"/>
        </w:rPr>
        <w:t>Актуальность темы обусловлена тем, что предприятия энергетики работают в условиях высокой регуляторной нагрузки, технологической ответственности, территориальной распределенности и постоянного взаимодействия с большим количеством потребителей. Для таких организаций система управления персоналом имеет не вспомогательное, а стратегическое значение: от квалификации работников, качества подбора, адаптации, мотивации и удержания кадров зависят качество клиентского обслуживания, собираемость платежей, надежность бизнес-процессов, эффективность работы с задолженностью и репутация гарантирующего поставщика.</w:t>
      </w:r>
    </w:p>
    <w:p>
      <w:pPr>
        <w:spacing w:line="360" w:lineRule="auto"/>
        <w:ind w:firstLine="709"/>
        <w:jc w:val="both"/>
      </w:pPr>
      <w:r>
        <w:rPr>
          <w:rFonts w:ascii="Times New Roman" w:hAnsi="Times New Roman" w:eastAsia="Times New Roman"/>
          <w:sz w:val="28"/>
        </w:rPr>
        <w:t>Цель отчета - охарактеризовать ПАО «ТНС энерго НН», проанализировать систему управления персоналом предприятия и подробно рассмотреть действующую систему мотивации сотрудников, включая материальные и нематериальные методы, сильные стороны и проблемные зоны.</w:t>
      </w:r>
    </w:p>
    <w:p>
      <w:pPr>
        <w:spacing w:line="360" w:lineRule="auto"/>
        <w:ind w:firstLine="709"/>
        <w:jc w:val="both"/>
      </w:pPr>
      <w:r>
        <w:rPr>
          <w:rFonts w:ascii="Times New Roman" w:hAnsi="Times New Roman" w:eastAsia="Times New Roman"/>
          <w:sz w:val="28"/>
        </w:rPr>
        <w:t>Для достижения цели решаются следующие задачи:</w:t>
      </w:r>
    </w:p>
    <w:p>
      <w:pPr>
        <w:pStyle w:val="ListBullet"/>
        <w:spacing w:line="360" w:lineRule="auto"/>
      </w:pPr>
      <w:r>
        <w:t>описать организационно-управленческую деятельность предприятия;</w:t>
      </w:r>
    </w:p>
    <w:p>
      <w:pPr>
        <w:pStyle w:val="ListBullet"/>
        <w:spacing w:line="360" w:lineRule="auto"/>
      </w:pPr>
      <w:r>
        <w:t>определить основные виды деятельности организации в соответствии с ОКВЭД;</w:t>
      </w:r>
    </w:p>
    <w:p>
      <w:pPr>
        <w:pStyle w:val="ListBullet"/>
        <w:spacing w:line="360" w:lineRule="auto"/>
      </w:pPr>
      <w:r>
        <w:t>представить организационную структуру компании и ключевые подразделения;</w:t>
      </w:r>
    </w:p>
    <w:p>
      <w:pPr>
        <w:pStyle w:val="ListBullet"/>
        <w:spacing w:line="360" w:lineRule="auto"/>
      </w:pPr>
      <w:r>
        <w:t>проанализировать финансовые показатели за последние три отчетных года;</w:t>
      </w:r>
    </w:p>
    <w:p>
      <w:pPr>
        <w:pStyle w:val="ListBullet"/>
        <w:spacing w:line="360" w:lineRule="auto"/>
      </w:pPr>
      <w:r>
        <w:t>рассмотреть порядок формирования системы управления персоналом;</w:t>
      </w:r>
    </w:p>
    <w:p>
      <w:pPr>
        <w:pStyle w:val="ListBullet"/>
        <w:spacing w:line="360" w:lineRule="auto"/>
      </w:pPr>
      <w:r>
        <w:t>проанализировать движение персонала по данным на март 2026 года;</w:t>
      </w:r>
    </w:p>
    <w:p>
      <w:pPr>
        <w:pStyle w:val="ListBullet"/>
        <w:spacing w:line="360" w:lineRule="auto"/>
      </w:pPr>
      <w:r>
        <w:t>описать подбор персонала, адаптацию и наставничество;</w:t>
      </w:r>
    </w:p>
    <w:p>
      <w:pPr>
        <w:pStyle w:val="ListBullet"/>
        <w:spacing w:line="360" w:lineRule="auto"/>
      </w:pPr>
      <w:r>
        <w:t>изучить элементы материальной, социальной и нематериальной мотивации;</w:t>
      </w:r>
    </w:p>
    <w:p>
      <w:pPr>
        <w:pStyle w:val="ListBullet"/>
        <w:spacing w:line="360" w:lineRule="auto"/>
      </w:pPr>
      <w:r>
        <w:t>выявить проблему, которая может стать основой для дальнейшей разработки рекомендаций.</w:t>
      </w:r>
    </w:p>
    <w:p>
      <w:pPr>
        <w:spacing w:line="360" w:lineRule="auto"/>
        <w:ind w:firstLine="709"/>
        <w:jc w:val="both"/>
      </w:pPr>
      <w:r>
        <w:rPr>
          <w:rFonts w:ascii="Times New Roman" w:hAnsi="Times New Roman" w:eastAsia="Times New Roman"/>
          <w:sz w:val="28"/>
        </w:rPr>
        <w:t>Информационной базой отчета являются открытые источники о компании, данные бухгалтерской отчетности и биржевой карточки эмитента, а также материалы, размещенные в папке `src/diplom`: коллективный договор ПАО «ТНС энерго НН» на 2025-2027 годы, правила внутреннего трудового распорядка, регламент подбора персонала, положение об адаптации и наставничестве в ПАО ГК «ТНС энерго», обоснование расходов на информационное обеспечение подбора персонала и организационная структура предприятия.</w:t>
      </w:r>
    </w:p>
    <w:p>
      <w:pPr>
        <w:pStyle w:val="Heading1"/>
        <w:jc w:val="center"/>
      </w:pPr>
      <w:r>
        <w:t>Глава 1. Характеристика ПАО «ТНС энерго Нижний Новгород»</w:t>
      </w:r>
    </w:p>
    <w:p>
      <w:pPr>
        <w:pStyle w:val="Heading2"/>
      </w:pPr>
      <w:r>
        <w:t>1.1. Общая характеристика и положение предприятия на рынке</w:t>
      </w:r>
    </w:p>
    <w:p>
      <w:pPr>
        <w:spacing w:line="360" w:lineRule="auto"/>
        <w:ind w:firstLine="709"/>
        <w:jc w:val="both"/>
      </w:pPr>
      <w:r>
        <w:rPr>
          <w:rFonts w:ascii="Times New Roman" w:hAnsi="Times New Roman" w:eastAsia="Times New Roman"/>
          <w:sz w:val="28"/>
        </w:rPr>
        <w:t>Публичное акционерное общество «ТНС энерго Нижний Новгород» является энергосбытовой организацией, работающей на территории Нижегородской области. По сведениям открытых источников, компания зарегистрирована 1 апреля 2005 года, имеет ИНН 5260148520 и ОГРН 1055238038316. Юридический адрес организации: 603057, г. Нижний Новгород, ул. Бекетова, д. 3В. Уставный капитал составляет 59,19 млн руб. Основной код ОКВЭД - 35.14 «Торговля электроэнергией» [1].</w:t>
      </w:r>
    </w:p>
    <w:p>
      <w:pPr>
        <w:spacing w:line="360" w:lineRule="auto"/>
        <w:ind w:firstLine="709"/>
        <w:jc w:val="both"/>
      </w:pPr>
      <w:r>
        <w:rPr>
          <w:rFonts w:ascii="Times New Roman" w:hAnsi="Times New Roman" w:eastAsia="Times New Roman"/>
          <w:sz w:val="28"/>
        </w:rPr>
        <w:t>ПАО «ТНС энерго НН» входит в группу компаний «ТНС энерго», являющуюся одной из крупных независимых энергосбытовых групп в Российской Федерации. Акции общества обращаются на Московской бирже: обыкновенные акции эмитента включены в третий уровень листинга, ISIN RU000A0ET5A1, общее количество обыкновенных акций - 3 919 400 шт. [4]. Наличие публичного статуса усиливает требования к корпоративному управлению, финансовой прозрачности, раскрытию информации и соблюдению интересов акционеров.</w:t>
      </w:r>
    </w:p>
    <w:p>
      <w:pPr>
        <w:spacing w:line="360" w:lineRule="auto"/>
        <w:ind w:firstLine="709"/>
        <w:jc w:val="both"/>
      </w:pPr>
      <w:r>
        <w:rPr>
          <w:rFonts w:ascii="Times New Roman" w:hAnsi="Times New Roman" w:eastAsia="Times New Roman"/>
          <w:sz w:val="28"/>
        </w:rPr>
        <w:t>Основная роль предприятия состоит в продаже электрической энергии конечным потребителям. Как гарантирующий поставщик компания выполняет общественно значимую функцию: обеспечивает заключение договоров энергоснабжения с потребителями в зоне своей деятельности, организует начисления и расчеты, принимает показания приборов учета, ведет работу с дебиторской задолженностью, обеспечивает клиентское сопровождение и взаимодействует с сетевыми организациями. На официальном сайте компании представлены сервисы для передачи показаний, оплаты счетов, проверки задолженности, получения справок и заключения договоров [5].</w:t>
      </w:r>
    </w:p>
    <w:p>
      <w:pPr>
        <w:spacing w:line="360" w:lineRule="auto"/>
        <w:ind w:firstLine="709"/>
        <w:jc w:val="both"/>
      </w:pPr>
      <w:r>
        <w:rPr>
          <w:rFonts w:ascii="Times New Roman" w:hAnsi="Times New Roman" w:eastAsia="Times New Roman"/>
          <w:sz w:val="28"/>
        </w:rPr>
        <w:t>Специфика деятельности ПАО «ТНС энерго НН» заключается в сочетании коммерческих и социально значимых функций. С одной стороны, компания является хозяйствующим субъектом, заинтересованным в росте выручки, прибыли, платежной дисциплины и эффективности внутренних процессов. С другой стороны, она обслуживает население и организации, поэтому качество работы с потребителями напрямую влияет на социальную стабильность региона. Для такой организации критически важны:</w:t>
      </w:r>
    </w:p>
    <w:p>
      <w:pPr>
        <w:pStyle w:val="ListBullet"/>
        <w:spacing w:line="360" w:lineRule="auto"/>
      </w:pPr>
      <w:r>
        <w:t>бесперебойность клиентских процессов;</w:t>
      </w:r>
    </w:p>
    <w:p>
      <w:pPr>
        <w:pStyle w:val="ListBullet"/>
        <w:spacing w:line="360" w:lineRule="auto"/>
      </w:pPr>
      <w:r>
        <w:t>корректность начислений и расчетов;</w:t>
      </w:r>
    </w:p>
    <w:p>
      <w:pPr>
        <w:pStyle w:val="ListBullet"/>
        <w:spacing w:line="360" w:lineRule="auto"/>
      </w:pPr>
      <w:r>
        <w:t>надежность информационных систем;</w:t>
      </w:r>
    </w:p>
    <w:p>
      <w:pPr>
        <w:pStyle w:val="ListBullet"/>
        <w:spacing w:line="360" w:lineRule="auto"/>
      </w:pPr>
      <w:r>
        <w:t>профессиональная работа с обращениями потребителей;</w:t>
      </w:r>
    </w:p>
    <w:p>
      <w:pPr>
        <w:pStyle w:val="ListBullet"/>
        <w:spacing w:line="360" w:lineRule="auto"/>
      </w:pPr>
      <w:r>
        <w:t>правовая точность договорной и претензионной работы;</w:t>
      </w:r>
    </w:p>
    <w:p>
      <w:pPr>
        <w:pStyle w:val="ListBullet"/>
        <w:spacing w:line="360" w:lineRule="auto"/>
      </w:pPr>
      <w:r>
        <w:t>способность удерживать квалифицированный персонал.</w:t>
      </w:r>
    </w:p>
    <w:p>
      <w:pPr>
        <w:spacing w:line="360" w:lineRule="auto"/>
        <w:ind w:firstLine="709"/>
        <w:jc w:val="both"/>
      </w:pPr>
      <w:r>
        <w:rPr>
          <w:rFonts w:ascii="Times New Roman" w:hAnsi="Times New Roman" w:eastAsia="Times New Roman"/>
          <w:sz w:val="28"/>
        </w:rPr>
        <w:t>Клиентская база предприятия включает физических лиц, юридических лиц, бюджетные учреждения, коммерческие организации и иных потребителей электроэнергии. Из-за большого количества лицевых счетов и территориальной распределенности потребителей компания вынуждена поддерживать развитую сеть отделений, контактных каналов, фронт-офисных и бэк-офисных процессов. Это определяет сложность организационной структуры и повышает значение кадровой политики.</w:t>
      </w:r>
    </w:p>
    <w:p>
      <w:pPr>
        <w:spacing w:line="360" w:lineRule="auto"/>
        <w:ind w:firstLine="709"/>
        <w:jc w:val="both"/>
      </w:pPr>
      <w:r>
        <w:rPr>
          <w:rFonts w:ascii="Times New Roman" w:hAnsi="Times New Roman" w:eastAsia="Times New Roman"/>
          <w:sz w:val="28"/>
        </w:rPr>
        <w:t>В деятельности ПАО «ТНС энерго НН» можно выделить несколько ключевых направлений:</w:t>
      </w:r>
    </w:p>
    <w:p>
      <w:pPr>
        <w:pStyle w:val="ListNumber"/>
        <w:spacing w:line="360" w:lineRule="auto"/>
      </w:pPr>
      <w:r>
        <w:t>1. Продажа электроэнергии и расчеты с потребителями. Это основной бизнес-процесс, включающий начисления, выставление счетов, прием платежей, обработку показаний и сопровождение договоров.</w:t>
      </w:r>
    </w:p>
    <w:p>
      <w:pPr>
        <w:pStyle w:val="ListNumber"/>
        <w:spacing w:line="360" w:lineRule="auto"/>
      </w:pPr>
      <w:r>
        <w:t>2. Клиентское обслуживание. Включает работу с обращениями, консультации, личные кабинеты, очные и дистанционные каналы взаимодействия.</w:t>
      </w:r>
    </w:p>
    <w:p>
      <w:pPr>
        <w:pStyle w:val="ListNumber"/>
        <w:spacing w:line="360" w:lineRule="auto"/>
      </w:pPr>
      <w:r>
        <w:t>3. Работа с задолженностью. Для энергосбытовой компании управление дебиторской задолженностью является одним из наиболее чувствительных направлений, поскольку задолженность потребителей влияет на оборотный капитал и финансовый результат.</w:t>
      </w:r>
    </w:p>
    <w:p>
      <w:pPr>
        <w:pStyle w:val="ListNumber"/>
        <w:spacing w:line="360" w:lineRule="auto"/>
      </w:pPr>
      <w:r>
        <w:t>4. Правовое сопровождение. Включает договорную работу, судебно-претензионную деятельность, корпоративное управление и взаимодействие с регулирующими органами.</w:t>
      </w:r>
    </w:p>
    <w:p>
      <w:pPr>
        <w:pStyle w:val="ListNumber"/>
        <w:spacing w:line="360" w:lineRule="auto"/>
      </w:pPr>
      <w:r>
        <w:t>5. Технологическая и информационная поддержка. Компания зависит от информационных систем учета, начислений, документооборота, клиентских сервисов и защиты данных.</w:t>
      </w:r>
    </w:p>
    <w:p>
      <w:pPr>
        <w:pStyle w:val="ListNumber"/>
        <w:spacing w:line="360" w:lineRule="auto"/>
      </w:pPr>
      <w:r>
        <w:t>6. Управление персоналом. Подбор, адаптация, обучение, оплата труда, кадровое делопроизводство и мотивация работников обеспечивают устойчивость всех перечисленных процессов.</w:t>
      </w:r>
    </w:p>
    <w:p>
      <w:pPr>
        <w:spacing w:line="360" w:lineRule="auto"/>
        <w:ind w:firstLine="709"/>
        <w:jc w:val="both"/>
      </w:pPr>
      <w:r>
        <w:rPr>
          <w:rFonts w:ascii="Times New Roman" w:hAnsi="Times New Roman" w:eastAsia="Times New Roman"/>
          <w:sz w:val="28"/>
        </w:rPr>
        <w:t>Таким образом, ПАО «ТНС энерго НН» представляет собой крупную региональную энергосбытовую компанию с высокой степенью регламентации деятельности, развитой территориальной сетью и сложной системой управления. Это создает основу для дальнейшего анализа организационной структуры, финансового положения и кадровой политики.</w:t>
      </w:r>
    </w:p>
    <w:p>
      <w:pPr>
        <w:pStyle w:val="Heading2"/>
      </w:pPr>
      <w:r>
        <w:t>1.2. Основные виды деятельности в соответствии с ОКВЭД</w:t>
      </w:r>
    </w:p>
    <w:p>
      <w:pPr>
        <w:spacing w:line="360" w:lineRule="auto"/>
        <w:ind w:firstLine="709"/>
        <w:jc w:val="both"/>
      </w:pPr>
      <w:r>
        <w:rPr>
          <w:rFonts w:ascii="Times New Roman" w:hAnsi="Times New Roman" w:eastAsia="Times New Roman"/>
          <w:sz w:val="28"/>
        </w:rPr>
        <w:t>Согласно открытым сведениям о компании, основным видом деятельности ПАО «ТНС энерго НН» является торговля электроэнергией по ОКВЭД 35.14 [1]. Этот код отражает базовую экономическую функцию предприятия - покупку электрической энергии на оптовом или розничном рынке и ее реализацию конечным потребителям.</w:t>
      </w:r>
    </w:p>
    <w:p>
      <w:pPr>
        <w:spacing w:line="360" w:lineRule="auto"/>
        <w:ind w:firstLine="709"/>
        <w:jc w:val="both"/>
      </w:pPr>
      <w:r>
        <w:rPr>
          <w:rFonts w:ascii="Times New Roman" w:hAnsi="Times New Roman" w:eastAsia="Times New Roman"/>
          <w:sz w:val="28"/>
        </w:rPr>
        <w:t>Дополнительные виды деятельности связаны с обеспечением основного бизнес-процесса, поддержкой технологической инфраструктуры и управленческих функций. В открытых источниках указаны, в частности, следующие коды:</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Код ОКВЭД</w:t>
            </w:r>
          </w:p>
        </w:tc>
        <w:tc>
          <w:tcPr>
            <w:tcW w:type="dxa" w:w="3230"/>
            <w:vAlign w:val="center"/>
            <w:shd w:fill="D9EAF7"/>
          </w:tcPr>
          <w:p>
            <w:pPr>
              <w:spacing w:line="240" w:lineRule="auto"/>
              <w:jc w:val="center"/>
            </w:pPr>
            <w:r>
              <w:rPr>
                <w:rFonts w:ascii="Times New Roman" w:hAnsi="Times New Roman" w:eastAsia="Times New Roman"/>
                <w:b/>
                <w:sz w:val="20"/>
              </w:rPr>
              <w:t>Наименование вида деятельности</w:t>
            </w:r>
          </w:p>
        </w:tc>
        <w:tc>
          <w:tcPr>
            <w:tcW w:type="dxa" w:w="3230"/>
            <w:vAlign w:val="center"/>
            <w:shd w:fill="D9EAF7"/>
          </w:tcPr>
          <w:p>
            <w:pPr>
              <w:spacing w:line="240" w:lineRule="auto"/>
              <w:jc w:val="center"/>
            </w:pPr>
            <w:r>
              <w:rPr>
                <w:rFonts w:ascii="Times New Roman" w:hAnsi="Times New Roman" w:eastAsia="Times New Roman"/>
                <w:b/>
                <w:sz w:val="20"/>
              </w:rPr>
              <w:t>Значение для деятельности ПАО «ТНС энерго НН»</w:t>
            </w:r>
          </w:p>
        </w:tc>
      </w:tr>
      <w:tr>
        <w:tc>
          <w:tcPr>
            <w:tcW w:type="dxa" w:w="3230"/>
            <w:vAlign w:val="center"/>
          </w:tcPr>
          <w:p>
            <w:pPr>
              <w:spacing w:line="240" w:lineRule="auto"/>
              <w:jc w:val="left"/>
            </w:pPr>
            <w:r>
              <w:rPr>
                <w:rFonts w:ascii="Times New Roman" w:hAnsi="Times New Roman" w:eastAsia="Times New Roman"/>
                <w:b w:val="0"/>
                <w:sz w:val="20"/>
              </w:rPr>
              <w:t>35.14</w:t>
            </w:r>
          </w:p>
        </w:tc>
        <w:tc>
          <w:tcPr>
            <w:tcW w:type="dxa" w:w="3230"/>
            <w:vAlign w:val="center"/>
          </w:tcPr>
          <w:p>
            <w:pPr>
              <w:spacing w:line="240" w:lineRule="auto"/>
              <w:jc w:val="left"/>
            </w:pPr>
            <w:r>
              <w:rPr>
                <w:rFonts w:ascii="Times New Roman" w:hAnsi="Times New Roman" w:eastAsia="Times New Roman"/>
                <w:b w:val="0"/>
                <w:sz w:val="20"/>
              </w:rPr>
              <w:t>Торговля электроэнергией</w:t>
            </w:r>
          </w:p>
        </w:tc>
        <w:tc>
          <w:tcPr>
            <w:tcW w:type="dxa" w:w="3230"/>
            <w:vAlign w:val="center"/>
          </w:tcPr>
          <w:p>
            <w:pPr>
              <w:spacing w:line="240" w:lineRule="auto"/>
              <w:jc w:val="left"/>
            </w:pPr>
            <w:r>
              <w:rPr>
                <w:rFonts w:ascii="Times New Roman" w:hAnsi="Times New Roman" w:eastAsia="Times New Roman"/>
                <w:b w:val="0"/>
                <w:sz w:val="20"/>
              </w:rPr>
              <w:t>Основной вид деятельности, определяющий статус энергосбытовой организации</w:t>
            </w:r>
          </w:p>
        </w:tc>
      </w:tr>
      <w:tr>
        <w:tc>
          <w:tcPr>
            <w:tcW w:type="dxa" w:w="3230"/>
            <w:vAlign w:val="center"/>
          </w:tcPr>
          <w:p>
            <w:pPr>
              <w:spacing w:line="240" w:lineRule="auto"/>
              <w:jc w:val="left"/>
            </w:pPr>
            <w:r>
              <w:rPr>
                <w:rFonts w:ascii="Times New Roman" w:hAnsi="Times New Roman" w:eastAsia="Times New Roman"/>
                <w:b w:val="0"/>
                <w:sz w:val="20"/>
              </w:rPr>
              <w:t>35.13</w:t>
            </w:r>
          </w:p>
        </w:tc>
        <w:tc>
          <w:tcPr>
            <w:tcW w:type="dxa" w:w="3230"/>
            <w:vAlign w:val="center"/>
          </w:tcPr>
          <w:p>
            <w:pPr>
              <w:spacing w:line="240" w:lineRule="auto"/>
              <w:jc w:val="left"/>
            </w:pPr>
            <w:r>
              <w:rPr>
                <w:rFonts w:ascii="Times New Roman" w:hAnsi="Times New Roman" w:eastAsia="Times New Roman"/>
                <w:b w:val="0"/>
                <w:sz w:val="20"/>
              </w:rPr>
              <w:t>Распределение электроэнергии</w:t>
            </w:r>
          </w:p>
        </w:tc>
        <w:tc>
          <w:tcPr>
            <w:tcW w:type="dxa" w:w="3230"/>
            <w:vAlign w:val="center"/>
          </w:tcPr>
          <w:p>
            <w:pPr>
              <w:spacing w:line="240" w:lineRule="auto"/>
              <w:jc w:val="left"/>
            </w:pPr>
            <w:r>
              <w:rPr>
                <w:rFonts w:ascii="Times New Roman" w:hAnsi="Times New Roman" w:eastAsia="Times New Roman"/>
                <w:b w:val="0"/>
                <w:sz w:val="20"/>
              </w:rPr>
              <w:t>Связан с взаимодействием с сетевой инфраструктурой и учетом отпуска электроэнергии</w:t>
            </w:r>
          </w:p>
        </w:tc>
      </w:tr>
      <w:tr>
        <w:tc>
          <w:tcPr>
            <w:tcW w:type="dxa" w:w="3230"/>
            <w:vAlign w:val="center"/>
          </w:tcPr>
          <w:p>
            <w:pPr>
              <w:spacing w:line="240" w:lineRule="auto"/>
              <w:jc w:val="left"/>
            </w:pPr>
            <w:r>
              <w:rPr>
                <w:rFonts w:ascii="Times New Roman" w:hAnsi="Times New Roman" w:eastAsia="Times New Roman"/>
                <w:b w:val="0"/>
                <w:sz w:val="20"/>
              </w:rPr>
              <w:t>33.13</w:t>
            </w:r>
          </w:p>
        </w:tc>
        <w:tc>
          <w:tcPr>
            <w:tcW w:type="dxa" w:w="3230"/>
            <w:vAlign w:val="center"/>
          </w:tcPr>
          <w:p>
            <w:pPr>
              <w:spacing w:line="240" w:lineRule="auto"/>
              <w:jc w:val="left"/>
            </w:pPr>
            <w:r>
              <w:rPr>
                <w:rFonts w:ascii="Times New Roman" w:hAnsi="Times New Roman" w:eastAsia="Times New Roman"/>
                <w:b w:val="0"/>
                <w:sz w:val="20"/>
              </w:rPr>
              <w:t>Ремонт электронного и оптического оборудования</w:t>
            </w:r>
          </w:p>
        </w:tc>
        <w:tc>
          <w:tcPr>
            <w:tcW w:type="dxa" w:w="3230"/>
            <w:vAlign w:val="center"/>
          </w:tcPr>
          <w:p>
            <w:pPr>
              <w:spacing w:line="240" w:lineRule="auto"/>
              <w:jc w:val="left"/>
            </w:pPr>
            <w:r>
              <w:rPr>
                <w:rFonts w:ascii="Times New Roman" w:hAnsi="Times New Roman" w:eastAsia="Times New Roman"/>
                <w:b w:val="0"/>
                <w:sz w:val="20"/>
              </w:rPr>
              <w:t>Может применяться при обслуживании оборудования учета и технических средств</w:t>
            </w:r>
          </w:p>
        </w:tc>
      </w:tr>
      <w:tr>
        <w:tc>
          <w:tcPr>
            <w:tcW w:type="dxa" w:w="3230"/>
            <w:vAlign w:val="center"/>
          </w:tcPr>
          <w:p>
            <w:pPr>
              <w:spacing w:line="240" w:lineRule="auto"/>
              <w:jc w:val="left"/>
            </w:pPr>
            <w:r>
              <w:rPr>
                <w:rFonts w:ascii="Times New Roman" w:hAnsi="Times New Roman" w:eastAsia="Times New Roman"/>
                <w:b w:val="0"/>
                <w:sz w:val="20"/>
              </w:rPr>
              <w:t>64.99.4</w:t>
            </w:r>
          </w:p>
        </w:tc>
        <w:tc>
          <w:tcPr>
            <w:tcW w:type="dxa" w:w="3230"/>
            <w:vAlign w:val="center"/>
          </w:tcPr>
          <w:p>
            <w:pPr>
              <w:spacing w:line="240" w:lineRule="auto"/>
              <w:jc w:val="left"/>
            </w:pPr>
            <w:r>
              <w:rPr>
                <w:rFonts w:ascii="Times New Roman" w:hAnsi="Times New Roman" w:eastAsia="Times New Roman"/>
                <w:b w:val="0"/>
                <w:sz w:val="20"/>
              </w:rPr>
              <w:t>Заключение свопов, опционов и других срочных сделок</w:t>
            </w:r>
          </w:p>
        </w:tc>
        <w:tc>
          <w:tcPr>
            <w:tcW w:type="dxa" w:w="3230"/>
            <w:vAlign w:val="center"/>
          </w:tcPr>
          <w:p>
            <w:pPr>
              <w:spacing w:line="240" w:lineRule="auto"/>
              <w:jc w:val="left"/>
            </w:pPr>
            <w:r>
              <w:rPr>
                <w:rFonts w:ascii="Times New Roman" w:hAnsi="Times New Roman" w:eastAsia="Times New Roman"/>
                <w:b w:val="0"/>
                <w:sz w:val="20"/>
              </w:rPr>
              <w:t>Дополнительный финансовый код, отражающий возможность совершения отдельных финансовых операций</w:t>
            </w:r>
          </w:p>
        </w:tc>
      </w:tr>
      <w:tr>
        <w:tc>
          <w:tcPr>
            <w:tcW w:type="dxa" w:w="3230"/>
            <w:vAlign w:val="center"/>
          </w:tcPr>
          <w:p>
            <w:pPr>
              <w:spacing w:line="240" w:lineRule="auto"/>
              <w:jc w:val="left"/>
            </w:pPr>
            <w:r>
              <w:rPr>
                <w:rFonts w:ascii="Times New Roman" w:hAnsi="Times New Roman" w:eastAsia="Times New Roman"/>
                <w:b w:val="0"/>
                <w:sz w:val="20"/>
              </w:rPr>
              <w:t>70.22</w:t>
            </w:r>
          </w:p>
        </w:tc>
        <w:tc>
          <w:tcPr>
            <w:tcW w:type="dxa" w:w="3230"/>
            <w:vAlign w:val="center"/>
          </w:tcPr>
          <w:p>
            <w:pPr>
              <w:spacing w:line="240" w:lineRule="auto"/>
              <w:jc w:val="left"/>
            </w:pPr>
            <w:r>
              <w:rPr>
                <w:rFonts w:ascii="Times New Roman" w:hAnsi="Times New Roman" w:eastAsia="Times New Roman"/>
                <w:b w:val="0"/>
                <w:sz w:val="20"/>
              </w:rPr>
              <w:t>Консультирование по вопросам коммерческой деятельности и управления</w:t>
            </w:r>
          </w:p>
        </w:tc>
        <w:tc>
          <w:tcPr>
            <w:tcW w:type="dxa" w:w="3230"/>
            <w:vAlign w:val="center"/>
          </w:tcPr>
          <w:p>
            <w:pPr>
              <w:spacing w:line="240" w:lineRule="auto"/>
              <w:jc w:val="left"/>
            </w:pPr>
            <w:r>
              <w:rPr>
                <w:rFonts w:ascii="Times New Roman" w:hAnsi="Times New Roman" w:eastAsia="Times New Roman"/>
                <w:b w:val="0"/>
                <w:sz w:val="20"/>
              </w:rPr>
              <w:t>Может использоваться для управленческих и консультационных процессов</w:t>
            </w:r>
          </w:p>
        </w:tc>
      </w:tr>
      <w:tr>
        <w:tc>
          <w:tcPr>
            <w:tcW w:type="dxa" w:w="3230"/>
            <w:vAlign w:val="center"/>
          </w:tcPr>
          <w:p>
            <w:pPr>
              <w:spacing w:line="240" w:lineRule="auto"/>
              <w:jc w:val="left"/>
            </w:pPr>
            <w:r>
              <w:rPr>
                <w:rFonts w:ascii="Times New Roman" w:hAnsi="Times New Roman" w:eastAsia="Times New Roman"/>
                <w:b w:val="0"/>
                <w:sz w:val="20"/>
              </w:rPr>
              <w:t>73.11</w:t>
            </w:r>
          </w:p>
        </w:tc>
        <w:tc>
          <w:tcPr>
            <w:tcW w:type="dxa" w:w="3230"/>
            <w:vAlign w:val="center"/>
          </w:tcPr>
          <w:p>
            <w:pPr>
              <w:spacing w:line="240" w:lineRule="auto"/>
              <w:jc w:val="left"/>
            </w:pPr>
            <w:r>
              <w:rPr>
                <w:rFonts w:ascii="Times New Roman" w:hAnsi="Times New Roman" w:eastAsia="Times New Roman"/>
                <w:b w:val="0"/>
                <w:sz w:val="20"/>
              </w:rPr>
              <w:t>Деятельность рекламных агентств</w:t>
            </w:r>
          </w:p>
        </w:tc>
        <w:tc>
          <w:tcPr>
            <w:tcW w:type="dxa" w:w="3230"/>
            <w:vAlign w:val="center"/>
          </w:tcPr>
          <w:p>
            <w:pPr>
              <w:spacing w:line="240" w:lineRule="auto"/>
              <w:jc w:val="left"/>
            </w:pPr>
            <w:r>
              <w:rPr>
                <w:rFonts w:ascii="Times New Roman" w:hAnsi="Times New Roman" w:eastAsia="Times New Roman"/>
                <w:b w:val="0"/>
                <w:sz w:val="20"/>
              </w:rPr>
              <w:t>Связана с коммуникациями, информированием потребителей, продвижением сервисов</w:t>
            </w:r>
          </w:p>
        </w:tc>
      </w:tr>
    </w:tbl>
    <w:p/>
    <w:p>
      <w:pPr>
        <w:spacing w:line="360" w:lineRule="auto"/>
        <w:ind w:firstLine="709"/>
        <w:jc w:val="both"/>
      </w:pPr>
      <w:r>
        <w:rPr>
          <w:rFonts w:ascii="Times New Roman" w:hAnsi="Times New Roman" w:eastAsia="Times New Roman"/>
          <w:sz w:val="28"/>
        </w:rPr>
        <w:t>Таблица 1 - Основные и дополнительные виды деятельности ПАО «ТНС энерго НН» по ОКВЭД</w:t>
      </w:r>
    </w:p>
    <w:p>
      <w:pPr>
        <w:spacing w:line="360" w:lineRule="auto"/>
        <w:ind w:firstLine="709"/>
        <w:jc w:val="both"/>
      </w:pPr>
      <w:r>
        <w:rPr>
          <w:rFonts w:ascii="Times New Roman" w:hAnsi="Times New Roman" w:eastAsia="Times New Roman"/>
          <w:sz w:val="28"/>
        </w:rPr>
        <w:t>Структура видов деятельности показывает, что компания имеет выраженную энергосбытовую специализацию. Дополнительные коды не меняют основной профиль предприятия, но отражают необходимость комплексного обслуживания потребителей, ведения коммуникаций, сопровождения оборудования, управления финансовыми рисками и реализации вспомогательных функций.</w:t>
      </w:r>
    </w:p>
    <w:p>
      <w:pPr>
        <w:spacing w:line="360" w:lineRule="auto"/>
        <w:ind w:firstLine="709"/>
        <w:jc w:val="both"/>
      </w:pPr>
      <w:r>
        <w:rPr>
          <w:rFonts w:ascii="Times New Roman" w:hAnsi="Times New Roman" w:eastAsia="Times New Roman"/>
          <w:sz w:val="28"/>
        </w:rPr>
        <w:t>Основной код ОКВЭД 35.14 важен также для понимания требований к персоналу. В отличие от производственных энергетических компаний, где значительную долю персонала занимают работники эксплуатации генерирующего или сетевого оборудования, энергосбытовая организация нуждается в специалистах по клиентскому обслуживанию, расчетам, правовой работе, экономике, информационным системам, управлению задолженностью, документообороту и аналитике. Поэтому кадровая политика ПАО «ТНС энерго НН» должна сочетать требования энергетической отрасли, финансово-расчетной дисциплины и сервисной ориентации.</w:t>
      </w:r>
    </w:p>
    <w:p>
      <w:pPr>
        <w:pStyle w:val="Heading2"/>
      </w:pPr>
      <w:r>
        <w:t>1.3. Организационно-управленческая деятельность и организационная структура</w:t>
      </w:r>
    </w:p>
    <w:p>
      <w:pPr>
        <w:spacing w:line="360" w:lineRule="auto"/>
        <w:ind w:firstLine="709"/>
        <w:jc w:val="both"/>
      </w:pPr>
      <w:r>
        <w:rPr>
          <w:rFonts w:ascii="Times New Roman" w:hAnsi="Times New Roman" w:eastAsia="Times New Roman"/>
          <w:sz w:val="28"/>
        </w:rPr>
        <w:t>Организационно-управленческая деятельность ПАО «ТНС энерго НН» строится на принципах централизации ключевых управленческих решений и функционального разделения ответственности между профильными подразделениями. Во главе текущего управления находится генеральный директор. По основным направлениям деятельности выделены заместители генерального директора, департаменты, управления, отделы, секторы и территориальные отделения.</w:t>
      </w:r>
    </w:p>
    <w:p>
      <w:pPr>
        <w:spacing w:line="360" w:lineRule="auto"/>
        <w:ind w:firstLine="709"/>
        <w:jc w:val="both"/>
      </w:pPr>
      <w:r>
        <w:rPr>
          <w:rFonts w:ascii="Times New Roman" w:hAnsi="Times New Roman" w:eastAsia="Times New Roman"/>
          <w:sz w:val="28"/>
        </w:rPr>
        <w:t>На основе организационной структуры, представленной в материалах практики, можно сделать вывод, что компания использует линейно-функциональный тип организационной структуры. Он сочетает вертикаль подчиненности с функциональной специализацией подразделений. Линейная составляющая проявляется в подчинении подразделений руководству, а функциональная - в наличии специализированных департаментов по финансам, реализации электроэнергии, работе с потребителями, правовому сопровождению, безопасности, персоналу, информационным технологиям и обеспечению деятельности.</w:t>
      </w:r>
    </w:p>
    <w:p>
      <w:pPr>
        <w:spacing w:line="360" w:lineRule="auto"/>
        <w:ind w:firstLine="709"/>
        <w:jc w:val="both"/>
      </w:pPr>
      <w:r>
        <w:rPr>
          <w:rFonts w:ascii="Times New Roman" w:hAnsi="Times New Roman" w:eastAsia="Times New Roman"/>
          <w:sz w:val="28"/>
        </w:rPr>
        <w:t>Ключевые управленческие блоки компании:</w:t>
      </w:r>
    </w:p>
    <w:p>
      <w:pPr>
        <w:pStyle w:val="ListBullet"/>
        <w:spacing w:line="360" w:lineRule="auto"/>
      </w:pPr>
      <w:r>
        <w:t>Генеральный директор - общее руководство деятельностью Общества, принятие управленческих решений, координация заместителей и ключевых департаментов.</w:t>
      </w:r>
    </w:p>
    <w:p>
      <w:pPr>
        <w:pStyle w:val="ListBullet"/>
        <w:spacing w:line="360" w:lineRule="auto"/>
      </w:pPr>
      <w:r>
        <w:t>Экономика и финансы - финансовый отдел, планово-экономический отдел, бухгалтерия. Блок отвечает за бюджетирование, учет, финансовый контроль, планирование и отчетность.</w:t>
      </w:r>
    </w:p>
    <w:p>
      <w:pPr>
        <w:pStyle w:val="ListBullet"/>
        <w:spacing w:line="360" w:lineRule="auto"/>
      </w:pPr>
      <w:r>
        <w:t>Реализация электроэнергии - подразделения, связанные с учетом отпуска энергии, балансами, начислениями, задолженностью, техническим аудитом и договорной работой.</w:t>
      </w:r>
    </w:p>
    <w:p>
      <w:pPr>
        <w:pStyle w:val="ListBullet"/>
        <w:spacing w:line="360" w:lineRule="auto"/>
      </w:pPr>
      <w:r>
        <w:t>Работа с потребителями - клиентские процессы, бытовые потребители, обращения, качество клиентского обслуживания, маркетинг и общественные коммуникации.</w:t>
      </w:r>
    </w:p>
    <w:p>
      <w:pPr>
        <w:pStyle w:val="ListBullet"/>
        <w:spacing w:line="360" w:lineRule="auto"/>
      </w:pPr>
      <w:r>
        <w:t>Судебно-правовая работа и корпоративное управление - договорное сопровождение, исковая работа, нормативно-правовое обеспечение, корпоративные процедуры.</w:t>
      </w:r>
    </w:p>
    <w:p>
      <w:pPr>
        <w:pStyle w:val="ListBullet"/>
        <w:spacing w:line="360" w:lineRule="auto"/>
      </w:pPr>
      <w:r>
        <w:t>Безопасность - экономическая безопасность, информационная безопасность, энергоинспекция и контрольные функции.</w:t>
      </w:r>
    </w:p>
    <w:p>
      <w:pPr>
        <w:pStyle w:val="ListBullet"/>
        <w:spacing w:line="360" w:lineRule="auto"/>
      </w:pPr>
      <w:r>
        <w:t>Системы учета и развитие - эксплуатация и внедрение систем учета электроэнергии, развитие интеллектуальных систем учета.</w:t>
      </w:r>
    </w:p>
    <w:p>
      <w:pPr>
        <w:pStyle w:val="ListBullet"/>
        <w:spacing w:line="360" w:lineRule="auto"/>
      </w:pPr>
      <w:r>
        <w:t>Управление персоналом - кадровое администрирование, организация труда и заработной платы, подбор, обучение и развитие персонала.</w:t>
      </w:r>
    </w:p>
    <w:p>
      <w:pPr>
        <w:pStyle w:val="ListBullet"/>
        <w:spacing w:line="360" w:lineRule="auto"/>
      </w:pPr>
      <w:r>
        <w:t>Обеспечение деятельности - материально-техническое снабжение, закупки, общий отдел, инвестиционная деятельность, гражданская оборона и охрана труда.</w:t>
      </w:r>
    </w:p>
    <w:p>
      <w:pPr>
        <w:pStyle w:val="ListBullet"/>
        <w:spacing w:line="360" w:lineRule="auto"/>
      </w:pPr>
      <w:r>
        <w:t>Информационные технологии - эксплуатация инфраструктуры, информационные системы и техническое обеспечение.</w:t>
      </w:r>
    </w:p>
    <w:p>
      <w:pPr>
        <w:pStyle w:val="ListBullet"/>
        <w:spacing w:line="360" w:lineRule="auto"/>
      </w:pPr>
      <w:r>
        <w:t>Территориальные отделения - Арзамасское, Балахнинское, Выксунское, Городское, Кстовское, Семеновское, Сергачское, Шахунское отделения.</w:t>
      </w:r>
    </w:p>
    <w:p>
      <w:pPr>
        <w:spacing w:line="360" w:lineRule="auto"/>
        <w:ind w:firstLine="709"/>
        <w:jc w:val="both"/>
      </w:pPr>
      <w:r>
        <w:rPr>
          <w:rFonts w:ascii="Times New Roman" w:hAnsi="Times New Roman" w:eastAsia="Times New Roman"/>
          <w:sz w:val="28"/>
        </w:rPr>
        <w:t>Организационная структура предприятия представлена на рисунке 1.</w:t>
      </w:r>
    </w:p>
    <w:p>
      <w:pPr>
        <w:jc w:val="center"/>
      </w:pPr>
      <w:r>
        <w:drawing>
          <wp:inline xmlns:a="http://schemas.openxmlformats.org/drawingml/2006/main" xmlns:pic="http://schemas.openxmlformats.org/drawingml/2006/picture">
            <wp:extent cx="6217920" cy="4318000"/>
            <wp:docPr id="1" name="Picture 1"/>
            <wp:cNvGraphicFramePr>
              <a:graphicFrameLocks noChangeAspect="1"/>
            </wp:cNvGraphicFramePr>
            <a:graphic>
              <a:graphicData uri="http://schemas.openxmlformats.org/drawingml/2006/picture">
                <pic:pic>
                  <pic:nvPicPr>
                    <pic:cNvPr id="0" name="organizational_structure_tns_energo_nn.png"/>
                    <pic:cNvPicPr/>
                  </pic:nvPicPr>
                  <pic:blipFill>
                    <a:blip r:embed="rId9"/>
                    <a:stretch>
                      <a:fillRect/>
                    </a:stretch>
                  </pic:blipFill>
                  <pic:spPr>
                    <a:xfrm>
                      <a:off x="0" y="0"/>
                      <a:ext cx="6217920" cy="4318000"/>
                    </a:xfrm>
                    <a:prstGeom prst="rect"/>
                  </pic:spPr>
                </pic:pic>
              </a:graphicData>
            </a:graphic>
          </wp:inline>
        </w:drawing>
      </w:r>
    </w:p>
    <w:p>
      <w:pPr>
        <w:spacing w:line="360" w:lineRule="auto"/>
        <w:ind w:firstLine="709"/>
        <w:jc w:val="both"/>
      </w:pPr>
      <w:r>
        <w:rPr>
          <w:rFonts w:ascii="Times New Roman" w:hAnsi="Times New Roman" w:eastAsia="Times New Roman"/>
          <w:sz w:val="28"/>
        </w:rPr>
        <w:t>Рисунок 1 показывает, что компания имеет сложную многоуровневую структуру. Наличие территориальных отделений объясняется региональным характером бизнеса: потребители находятся не только в Нижнем Новгороде, но и в муниципальных образованиях области. При этом ключевые методологические, финансовые, правовые и кадровые функции сосредоточены в центральном аппарате.</w:t>
      </w:r>
    </w:p>
    <w:p>
      <w:pPr>
        <w:spacing w:line="360" w:lineRule="auto"/>
        <w:ind w:firstLine="709"/>
        <w:jc w:val="both"/>
      </w:pPr>
      <w:r>
        <w:rPr>
          <w:rFonts w:ascii="Times New Roman" w:hAnsi="Times New Roman" w:eastAsia="Times New Roman"/>
          <w:sz w:val="28"/>
        </w:rPr>
        <w:t>Линейно-функциональная структура подходит для ПАО «ТНС энерго НН» по нескольким причинам. Во-первых, деятельность энергосбытовой организации требует единых стандартов учета, начислений, договорной и претензионной работы. Во-вторых, территориальная сеть нуждается в централизованном методическом управлении, иначе возможны расхождения в клиентских процессах. В-третьих, публичный статус компании и регулируемый характер рынка требуют строгого финансового и правового контроля.</w:t>
      </w:r>
    </w:p>
    <w:p>
      <w:pPr>
        <w:spacing w:line="360" w:lineRule="auto"/>
        <w:ind w:firstLine="709"/>
        <w:jc w:val="both"/>
      </w:pPr>
      <w:r>
        <w:rPr>
          <w:rFonts w:ascii="Times New Roman" w:hAnsi="Times New Roman" w:eastAsia="Times New Roman"/>
          <w:sz w:val="28"/>
        </w:rPr>
        <w:t>Вместе с тем такая структура имеет и управленческие риски. Чем больше уровней согласования и функциональных блоков, тем выше вероятность замедления решений, особенно в кадровых, клиентских и ИТ-процессах. Для снижения этих рисков важны регламенты, электронный документооборот, четкое распределение полномочий и регулярная коммуникация между подразделениями.</w:t>
      </w:r>
    </w:p>
    <w:p>
      <w:pPr>
        <w:spacing w:line="360" w:lineRule="auto"/>
        <w:ind w:firstLine="709"/>
        <w:jc w:val="both"/>
      </w:pPr>
      <w:r>
        <w:rPr>
          <w:rFonts w:ascii="Times New Roman" w:hAnsi="Times New Roman" w:eastAsia="Times New Roman"/>
          <w:sz w:val="28"/>
        </w:rPr>
        <w:t>С точки зрения управления персоналом организационная структура означает, что кадровая служба должна работать не только с центральным аппаратом, но и с территориально распределенными подразделениями. Это усложняет подбор, адаптацию, обучение, контроль соблюдения трудовой дисциплины и оценку мотивации сотрудников. Например, потребности отделений в специалистах могут отличаться от потребностей центрального офиса: в отделениях выше значимость клиентских компетенций и универсальности, а в центральном аппарате - аналитических, правовых, финансовых и ИТ-компетенций.</w:t>
      </w:r>
    </w:p>
    <w:p>
      <w:pPr>
        <w:pStyle w:val="Heading2"/>
      </w:pPr>
      <w:r>
        <w:t>1.4. Основные финансовые показатели ПАО «ТНС энерго НН» за 2023-2025 годы</w:t>
      </w:r>
    </w:p>
    <w:p>
      <w:pPr>
        <w:spacing w:line="360" w:lineRule="auto"/>
        <w:ind w:firstLine="709"/>
        <w:jc w:val="both"/>
      </w:pPr>
      <w:r>
        <w:rPr>
          <w:rFonts w:ascii="Times New Roman" w:hAnsi="Times New Roman" w:eastAsia="Times New Roman"/>
          <w:sz w:val="28"/>
        </w:rPr>
        <w:t>Финансовое положение предприятия важно рассматривать в динамике, поскольку оно влияет на возможности компании в сфере оплаты труда, социального пакета, обучения, развития персонала и нематериальной мотивации. Для анализа использованы открытые данные бухгалтерской отчетности и аналитические публикации по итогам 2024 и 2025 годов [1], [2], [3].</w:t>
      </w:r>
    </w:p>
    <w:p>
      <w:pPr>
        <w:spacing w:line="360" w:lineRule="auto"/>
        <w:ind w:firstLine="709"/>
        <w:jc w:val="both"/>
      </w:pPr>
      <w:r>
        <w:rPr>
          <w:rFonts w:ascii="Times New Roman" w:hAnsi="Times New Roman" w:eastAsia="Times New Roman"/>
          <w:sz w:val="28"/>
        </w:rPr>
        <w:t>В таблице 2 представлены основные финансовые показатели ПАО «ТНС энерго НН» за 2023-2025 годы. Показатели приведены в млрд руб. с округлением. По показателям, где база 2024 года отрицательная, темп роста в классическом виде не рассчитывается, поскольку смена знака искажает экономический смысл процента. В таких случаях в таблице дана качественная характеристика.</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pPr>
              <w:spacing w:line="240" w:lineRule="auto"/>
              <w:jc w:val="center"/>
            </w:pPr>
            <w:r>
              <w:rPr>
                <w:rFonts w:ascii="Times New Roman" w:hAnsi="Times New Roman" w:eastAsia="Times New Roman"/>
                <w:b/>
                <w:sz w:val="18"/>
              </w:rPr>
              <w:t>Показатель</w:t>
            </w:r>
          </w:p>
        </w:tc>
        <w:tc>
          <w:tcPr>
            <w:tcW w:type="dxa" w:w="1615"/>
            <w:vAlign w:val="center"/>
            <w:shd w:fill="D9EAF7"/>
          </w:tcPr>
          <w:p>
            <w:pPr>
              <w:spacing w:line="240" w:lineRule="auto"/>
              <w:jc w:val="center"/>
            </w:pPr>
            <w:r>
              <w:rPr>
                <w:rFonts w:ascii="Times New Roman" w:hAnsi="Times New Roman" w:eastAsia="Times New Roman"/>
                <w:b/>
                <w:sz w:val="18"/>
              </w:rPr>
              <w:t>2023</w:t>
            </w:r>
          </w:p>
        </w:tc>
        <w:tc>
          <w:tcPr>
            <w:tcW w:type="dxa" w:w="1615"/>
            <w:vAlign w:val="center"/>
            <w:shd w:fill="D9EAF7"/>
          </w:tcPr>
          <w:p>
            <w:pPr>
              <w:spacing w:line="240" w:lineRule="auto"/>
              <w:jc w:val="center"/>
            </w:pPr>
            <w:r>
              <w:rPr>
                <w:rFonts w:ascii="Times New Roman" w:hAnsi="Times New Roman" w:eastAsia="Times New Roman"/>
                <w:b/>
                <w:sz w:val="18"/>
              </w:rPr>
              <w:t>2024</w:t>
            </w:r>
          </w:p>
        </w:tc>
        <w:tc>
          <w:tcPr>
            <w:tcW w:type="dxa" w:w="1615"/>
            <w:vAlign w:val="center"/>
            <w:shd w:fill="D9EAF7"/>
          </w:tcPr>
          <w:p>
            <w:pPr>
              <w:spacing w:line="240" w:lineRule="auto"/>
              <w:jc w:val="center"/>
            </w:pPr>
            <w:r>
              <w:rPr>
                <w:rFonts w:ascii="Times New Roman" w:hAnsi="Times New Roman" w:eastAsia="Times New Roman"/>
                <w:b/>
                <w:sz w:val="18"/>
              </w:rPr>
              <w:t>2025</w:t>
            </w:r>
          </w:p>
        </w:tc>
        <w:tc>
          <w:tcPr>
            <w:tcW w:type="dxa" w:w="1615"/>
            <w:vAlign w:val="center"/>
            <w:shd w:fill="D9EAF7"/>
          </w:tcPr>
          <w:p>
            <w:pPr>
              <w:spacing w:line="240" w:lineRule="auto"/>
              <w:jc w:val="center"/>
            </w:pPr>
            <w:r>
              <w:rPr>
                <w:rFonts w:ascii="Times New Roman" w:hAnsi="Times New Roman" w:eastAsia="Times New Roman"/>
                <w:b/>
                <w:sz w:val="18"/>
              </w:rPr>
              <w:t>Абсолютное отклонение 2025/2024</w:t>
            </w:r>
          </w:p>
        </w:tc>
        <w:tc>
          <w:tcPr>
            <w:tcW w:type="dxa" w:w="1615"/>
            <w:vAlign w:val="center"/>
            <w:shd w:fill="D9EAF7"/>
          </w:tcPr>
          <w:p>
            <w:pPr>
              <w:spacing w:line="240" w:lineRule="auto"/>
              <w:jc w:val="center"/>
            </w:pPr>
            <w:r>
              <w:rPr>
                <w:rFonts w:ascii="Times New Roman" w:hAnsi="Times New Roman" w:eastAsia="Times New Roman"/>
                <w:b/>
                <w:sz w:val="18"/>
              </w:rPr>
              <w:t>Темп роста 2025 к 2024</w:t>
            </w:r>
          </w:p>
        </w:tc>
      </w:tr>
      <w:tr>
        <w:tc>
          <w:tcPr>
            <w:tcW w:type="dxa" w:w="1615"/>
            <w:vAlign w:val="center"/>
          </w:tcPr>
          <w:p>
            <w:pPr>
              <w:spacing w:line="240" w:lineRule="auto"/>
              <w:jc w:val="left"/>
            </w:pPr>
            <w:r>
              <w:rPr>
                <w:rFonts w:ascii="Times New Roman" w:hAnsi="Times New Roman" w:eastAsia="Times New Roman"/>
                <w:b w:val="0"/>
                <w:sz w:val="18"/>
              </w:rPr>
              <w:t>Выручка</w:t>
            </w:r>
          </w:p>
        </w:tc>
        <w:tc>
          <w:tcPr>
            <w:tcW w:type="dxa" w:w="1615"/>
            <w:vAlign w:val="center"/>
          </w:tcPr>
          <w:p>
            <w:pPr>
              <w:spacing w:line="240" w:lineRule="auto"/>
              <w:jc w:val="left"/>
            </w:pPr>
            <w:r>
              <w:rPr>
                <w:rFonts w:ascii="Times New Roman" w:hAnsi="Times New Roman" w:eastAsia="Times New Roman"/>
                <w:b w:val="0"/>
                <w:sz w:val="18"/>
              </w:rPr>
              <w:t>49,67</w:t>
            </w:r>
          </w:p>
        </w:tc>
        <w:tc>
          <w:tcPr>
            <w:tcW w:type="dxa" w:w="1615"/>
            <w:vAlign w:val="center"/>
          </w:tcPr>
          <w:p>
            <w:pPr>
              <w:spacing w:line="240" w:lineRule="auto"/>
              <w:jc w:val="left"/>
            </w:pPr>
            <w:r>
              <w:rPr>
                <w:rFonts w:ascii="Times New Roman" w:hAnsi="Times New Roman" w:eastAsia="Times New Roman"/>
                <w:b w:val="0"/>
                <w:sz w:val="18"/>
              </w:rPr>
              <w:t>52,57</w:t>
            </w:r>
          </w:p>
        </w:tc>
        <w:tc>
          <w:tcPr>
            <w:tcW w:type="dxa" w:w="1615"/>
            <w:vAlign w:val="center"/>
          </w:tcPr>
          <w:p>
            <w:pPr>
              <w:spacing w:line="240" w:lineRule="auto"/>
              <w:jc w:val="left"/>
            </w:pPr>
            <w:r>
              <w:rPr>
                <w:rFonts w:ascii="Times New Roman" w:hAnsi="Times New Roman" w:eastAsia="Times New Roman"/>
                <w:b w:val="0"/>
                <w:sz w:val="18"/>
              </w:rPr>
              <w:t>59,12</w:t>
            </w:r>
          </w:p>
        </w:tc>
        <w:tc>
          <w:tcPr>
            <w:tcW w:type="dxa" w:w="1615"/>
            <w:vAlign w:val="center"/>
          </w:tcPr>
          <w:p>
            <w:pPr>
              <w:spacing w:line="240" w:lineRule="auto"/>
              <w:jc w:val="left"/>
            </w:pPr>
            <w:r>
              <w:rPr>
                <w:rFonts w:ascii="Times New Roman" w:hAnsi="Times New Roman" w:eastAsia="Times New Roman"/>
                <w:b w:val="0"/>
                <w:sz w:val="18"/>
              </w:rPr>
              <w:t>+6,55</w:t>
            </w:r>
          </w:p>
        </w:tc>
        <w:tc>
          <w:tcPr>
            <w:tcW w:type="dxa" w:w="1615"/>
            <w:vAlign w:val="center"/>
          </w:tcPr>
          <w:p>
            <w:pPr>
              <w:spacing w:line="240" w:lineRule="auto"/>
              <w:jc w:val="left"/>
            </w:pPr>
            <w:r>
              <w:rPr>
                <w:rFonts w:ascii="Times New Roman" w:hAnsi="Times New Roman" w:eastAsia="Times New Roman"/>
                <w:b w:val="0"/>
                <w:sz w:val="18"/>
              </w:rPr>
              <w:t>112,5%</w:t>
            </w:r>
          </w:p>
        </w:tc>
      </w:tr>
      <w:tr>
        <w:tc>
          <w:tcPr>
            <w:tcW w:type="dxa" w:w="1615"/>
            <w:vAlign w:val="center"/>
          </w:tcPr>
          <w:p>
            <w:pPr>
              <w:spacing w:line="240" w:lineRule="auto"/>
              <w:jc w:val="left"/>
            </w:pPr>
            <w:r>
              <w:rPr>
                <w:rFonts w:ascii="Times New Roman" w:hAnsi="Times New Roman" w:eastAsia="Times New Roman"/>
                <w:b w:val="0"/>
                <w:sz w:val="18"/>
              </w:rPr>
              <w:t>Операционные расходы</w:t>
            </w:r>
          </w:p>
        </w:tc>
        <w:tc>
          <w:tcPr>
            <w:tcW w:type="dxa" w:w="1615"/>
            <w:vAlign w:val="center"/>
          </w:tcPr>
          <w:p>
            <w:pPr>
              <w:spacing w:line="240" w:lineRule="auto"/>
              <w:jc w:val="left"/>
            </w:pPr>
            <w:r>
              <w:rPr>
                <w:rFonts w:ascii="Times New Roman" w:hAnsi="Times New Roman" w:eastAsia="Times New Roman"/>
                <w:b w:val="0"/>
                <w:sz w:val="18"/>
              </w:rPr>
              <w:t>47,75</w:t>
            </w:r>
          </w:p>
        </w:tc>
        <w:tc>
          <w:tcPr>
            <w:tcW w:type="dxa" w:w="1615"/>
            <w:vAlign w:val="center"/>
          </w:tcPr>
          <w:p>
            <w:pPr>
              <w:spacing w:line="240" w:lineRule="auto"/>
              <w:jc w:val="left"/>
            </w:pPr>
            <w:r>
              <w:rPr>
                <w:rFonts w:ascii="Times New Roman" w:hAnsi="Times New Roman" w:eastAsia="Times New Roman"/>
                <w:b w:val="0"/>
                <w:sz w:val="18"/>
              </w:rPr>
              <w:t>50,82</w:t>
            </w:r>
          </w:p>
        </w:tc>
        <w:tc>
          <w:tcPr>
            <w:tcW w:type="dxa" w:w="1615"/>
            <w:vAlign w:val="center"/>
          </w:tcPr>
          <w:p>
            <w:pPr>
              <w:spacing w:line="240" w:lineRule="auto"/>
              <w:jc w:val="left"/>
            </w:pPr>
            <w:r>
              <w:rPr>
                <w:rFonts w:ascii="Times New Roman" w:hAnsi="Times New Roman" w:eastAsia="Times New Roman"/>
                <w:b w:val="0"/>
                <w:sz w:val="18"/>
              </w:rPr>
              <w:t>56,45</w:t>
            </w:r>
          </w:p>
        </w:tc>
        <w:tc>
          <w:tcPr>
            <w:tcW w:type="dxa" w:w="1615"/>
            <w:vAlign w:val="center"/>
          </w:tcPr>
          <w:p>
            <w:pPr>
              <w:spacing w:line="240" w:lineRule="auto"/>
              <w:jc w:val="left"/>
            </w:pPr>
            <w:r>
              <w:rPr>
                <w:rFonts w:ascii="Times New Roman" w:hAnsi="Times New Roman" w:eastAsia="Times New Roman"/>
                <w:b w:val="0"/>
                <w:sz w:val="18"/>
              </w:rPr>
              <w:t>+5,63</w:t>
            </w:r>
          </w:p>
        </w:tc>
        <w:tc>
          <w:tcPr>
            <w:tcW w:type="dxa" w:w="1615"/>
            <w:vAlign w:val="center"/>
          </w:tcPr>
          <w:p>
            <w:pPr>
              <w:spacing w:line="240" w:lineRule="auto"/>
              <w:jc w:val="left"/>
            </w:pPr>
            <w:r>
              <w:rPr>
                <w:rFonts w:ascii="Times New Roman" w:hAnsi="Times New Roman" w:eastAsia="Times New Roman"/>
                <w:b w:val="0"/>
                <w:sz w:val="18"/>
              </w:rPr>
              <w:t>111,1%</w:t>
            </w:r>
          </w:p>
        </w:tc>
      </w:tr>
      <w:tr>
        <w:tc>
          <w:tcPr>
            <w:tcW w:type="dxa" w:w="1615"/>
            <w:vAlign w:val="center"/>
          </w:tcPr>
          <w:p>
            <w:pPr>
              <w:spacing w:line="240" w:lineRule="auto"/>
              <w:jc w:val="left"/>
            </w:pPr>
            <w:r>
              <w:rPr>
                <w:rFonts w:ascii="Times New Roman" w:hAnsi="Times New Roman" w:eastAsia="Times New Roman"/>
                <w:b w:val="0"/>
                <w:sz w:val="18"/>
              </w:rPr>
              <w:t>Прибыль от продаж</w:t>
            </w:r>
          </w:p>
        </w:tc>
        <w:tc>
          <w:tcPr>
            <w:tcW w:type="dxa" w:w="1615"/>
            <w:vAlign w:val="center"/>
          </w:tcPr>
          <w:p>
            <w:pPr>
              <w:spacing w:line="240" w:lineRule="auto"/>
              <w:jc w:val="left"/>
            </w:pPr>
            <w:r>
              <w:rPr>
                <w:rFonts w:ascii="Times New Roman" w:hAnsi="Times New Roman" w:eastAsia="Times New Roman"/>
                <w:b w:val="0"/>
                <w:sz w:val="18"/>
              </w:rPr>
              <w:t>1,92</w:t>
            </w:r>
          </w:p>
        </w:tc>
        <w:tc>
          <w:tcPr>
            <w:tcW w:type="dxa" w:w="1615"/>
            <w:vAlign w:val="center"/>
          </w:tcPr>
          <w:p>
            <w:pPr>
              <w:spacing w:line="240" w:lineRule="auto"/>
              <w:jc w:val="left"/>
            </w:pPr>
            <w:r>
              <w:rPr>
                <w:rFonts w:ascii="Times New Roman" w:hAnsi="Times New Roman" w:eastAsia="Times New Roman"/>
                <w:b w:val="0"/>
                <w:sz w:val="18"/>
              </w:rPr>
              <w:t>1,75</w:t>
            </w:r>
          </w:p>
        </w:tc>
        <w:tc>
          <w:tcPr>
            <w:tcW w:type="dxa" w:w="1615"/>
            <w:vAlign w:val="center"/>
          </w:tcPr>
          <w:p>
            <w:pPr>
              <w:spacing w:line="240" w:lineRule="auto"/>
              <w:jc w:val="left"/>
            </w:pPr>
            <w:r>
              <w:rPr>
                <w:rFonts w:ascii="Times New Roman" w:hAnsi="Times New Roman" w:eastAsia="Times New Roman"/>
                <w:b w:val="0"/>
                <w:sz w:val="18"/>
              </w:rPr>
              <w:t>2,67</w:t>
            </w:r>
          </w:p>
        </w:tc>
        <w:tc>
          <w:tcPr>
            <w:tcW w:type="dxa" w:w="1615"/>
            <w:vAlign w:val="center"/>
          </w:tcPr>
          <w:p>
            <w:pPr>
              <w:spacing w:line="240" w:lineRule="auto"/>
              <w:jc w:val="left"/>
            </w:pPr>
            <w:r>
              <w:rPr>
                <w:rFonts w:ascii="Times New Roman" w:hAnsi="Times New Roman" w:eastAsia="Times New Roman"/>
                <w:b w:val="0"/>
                <w:sz w:val="18"/>
              </w:rPr>
              <w:t>+0,92</w:t>
            </w:r>
          </w:p>
        </w:tc>
        <w:tc>
          <w:tcPr>
            <w:tcW w:type="dxa" w:w="1615"/>
            <w:vAlign w:val="center"/>
          </w:tcPr>
          <w:p>
            <w:pPr>
              <w:spacing w:line="240" w:lineRule="auto"/>
              <w:jc w:val="left"/>
            </w:pPr>
            <w:r>
              <w:rPr>
                <w:rFonts w:ascii="Times New Roman" w:hAnsi="Times New Roman" w:eastAsia="Times New Roman"/>
                <w:b w:val="0"/>
                <w:sz w:val="18"/>
              </w:rPr>
              <w:t>153,0%</w:t>
            </w:r>
          </w:p>
        </w:tc>
      </w:tr>
      <w:tr>
        <w:tc>
          <w:tcPr>
            <w:tcW w:type="dxa" w:w="1615"/>
            <w:vAlign w:val="center"/>
          </w:tcPr>
          <w:p>
            <w:pPr>
              <w:spacing w:line="240" w:lineRule="auto"/>
              <w:jc w:val="left"/>
            </w:pPr>
            <w:r>
              <w:rPr>
                <w:rFonts w:ascii="Times New Roman" w:hAnsi="Times New Roman" w:eastAsia="Times New Roman"/>
                <w:b w:val="0"/>
                <w:sz w:val="18"/>
              </w:rPr>
              <w:t>Чистая прибыль / убыток</w:t>
            </w:r>
          </w:p>
        </w:tc>
        <w:tc>
          <w:tcPr>
            <w:tcW w:type="dxa" w:w="1615"/>
            <w:vAlign w:val="center"/>
          </w:tcPr>
          <w:p>
            <w:pPr>
              <w:spacing w:line="240" w:lineRule="auto"/>
              <w:jc w:val="left"/>
            </w:pPr>
            <w:r>
              <w:rPr>
                <w:rFonts w:ascii="Times New Roman" w:hAnsi="Times New Roman" w:eastAsia="Times New Roman"/>
                <w:b w:val="0"/>
                <w:sz w:val="18"/>
              </w:rPr>
              <w:t>-0,28</w:t>
            </w:r>
          </w:p>
        </w:tc>
        <w:tc>
          <w:tcPr>
            <w:tcW w:type="dxa" w:w="1615"/>
            <w:vAlign w:val="center"/>
          </w:tcPr>
          <w:p>
            <w:pPr>
              <w:spacing w:line="240" w:lineRule="auto"/>
              <w:jc w:val="left"/>
            </w:pPr>
            <w:r>
              <w:rPr>
                <w:rFonts w:ascii="Times New Roman" w:hAnsi="Times New Roman" w:eastAsia="Times New Roman"/>
                <w:b w:val="0"/>
                <w:sz w:val="18"/>
              </w:rPr>
              <w:t>-9,49</w:t>
            </w:r>
          </w:p>
        </w:tc>
        <w:tc>
          <w:tcPr>
            <w:tcW w:type="dxa" w:w="1615"/>
            <w:vAlign w:val="center"/>
          </w:tcPr>
          <w:p>
            <w:pPr>
              <w:spacing w:line="240" w:lineRule="auto"/>
              <w:jc w:val="left"/>
            </w:pPr>
            <w:r>
              <w:rPr>
                <w:rFonts w:ascii="Times New Roman" w:hAnsi="Times New Roman" w:eastAsia="Times New Roman"/>
                <w:b w:val="0"/>
                <w:sz w:val="18"/>
              </w:rPr>
              <w:t>1,15</w:t>
            </w:r>
          </w:p>
        </w:tc>
        <w:tc>
          <w:tcPr>
            <w:tcW w:type="dxa" w:w="1615"/>
            <w:vAlign w:val="center"/>
          </w:tcPr>
          <w:p>
            <w:pPr>
              <w:spacing w:line="240" w:lineRule="auto"/>
              <w:jc w:val="left"/>
            </w:pPr>
            <w:r>
              <w:rPr>
                <w:rFonts w:ascii="Times New Roman" w:hAnsi="Times New Roman" w:eastAsia="Times New Roman"/>
                <w:b w:val="0"/>
                <w:sz w:val="18"/>
              </w:rPr>
              <w:t>+10,64</w:t>
            </w:r>
          </w:p>
        </w:tc>
        <w:tc>
          <w:tcPr>
            <w:tcW w:type="dxa" w:w="1615"/>
            <w:vAlign w:val="center"/>
          </w:tcPr>
          <w:p>
            <w:pPr>
              <w:spacing w:line="240" w:lineRule="auto"/>
              <w:jc w:val="left"/>
            </w:pPr>
            <w:r>
              <w:rPr>
                <w:rFonts w:ascii="Times New Roman" w:hAnsi="Times New Roman" w:eastAsia="Times New Roman"/>
                <w:b w:val="0"/>
                <w:sz w:val="18"/>
              </w:rPr>
              <w:t>смена убытка на прибыль</w:t>
            </w:r>
          </w:p>
        </w:tc>
      </w:tr>
      <w:tr>
        <w:tc>
          <w:tcPr>
            <w:tcW w:type="dxa" w:w="1615"/>
            <w:vAlign w:val="center"/>
          </w:tcPr>
          <w:p>
            <w:pPr>
              <w:spacing w:line="240" w:lineRule="auto"/>
              <w:jc w:val="left"/>
            </w:pPr>
            <w:r>
              <w:rPr>
                <w:rFonts w:ascii="Times New Roman" w:hAnsi="Times New Roman" w:eastAsia="Times New Roman"/>
                <w:b w:val="0"/>
                <w:sz w:val="18"/>
              </w:rPr>
              <w:t>Активы, всего</w:t>
            </w:r>
          </w:p>
        </w:tc>
        <w:tc>
          <w:tcPr>
            <w:tcW w:type="dxa" w:w="1615"/>
            <w:vAlign w:val="center"/>
          </w:tcPr>
          <w:p>
            <w:pPr>
              <w:spacing w:line="240" w:lineRule="auto"/>
              <w:jc w:val="left"/>
            </w:pPr>
            <w:r>
              <w:rPr>
                <w:rFonts w:ascii="Times New Roman" w:hAnsi="Times New Roman" w:eastAsia="Times New Roman"/>
                <w:b w:val="0"/>
                <w:sz w:val="18"/>
              </w:rPr>
              <w:t>19,67</w:t>
            </w:r>
          </w:p>
        </w:tc>
        <w:tc>
          <w:tcPr>
            <w:tcW w:type="dxa" w:w="1615"/>
            <w:vAlign w:val="center"/>
          </w:tcPr>
          <w:p>
            <w:pPr>
              <w:spacing w:line="240" w:lineRule="auto"/>
              <w:jc w:val="left"/>
            </w:pPr>
            <w:r>
              <w:rPr>
                <w:rFonts w:ascii="Times New Roman" w:hAnsi="Times New Roman" w:eastAsia="Times New Roman"/>
                <w:b w:val="0"/>
                <w:sz w:val="18"/>
              </w:rPr>
              <w:t>14,48</w:t>
            </w:r>
          </w:p>
        </w:tc>
        <w:tc>
          <w:tcPr>
            <w:tcW w:type="dxa" w:w="1615"/>
            <w:vAlign w:val="center"/>
          </w:tcPr>
          <w:p>
            <w:pPr>
              <w:spacing w:line="240" w:lineRule="auto"/>
              <w:jc w:val="left"/>
            </w:pPr>
            <w:r>
              <w:rPr>
                <w:rFonts w:ascii="Times New Roman" w:hAnsi="Times New Roman" w:eastAsia="Times New Roman"/>
                <w:b w:val="0"/>
                <w:sz w:val="18"/>
              </w:rPr>
              <w:t>16,24</w:t>
            </w:r>
          </w:p>
        </w:tc>
        <w:tc>
          <w:tcPr>
            <w:tcW w:type="dxa" w:w="1615"/>
            <w:vAlign w:val="center"/>
          </w:tcPr>
          <w:p>
            <w:pPr>
              <w:spacing w:line="240" w:lineRule="auto"/>
              <w:jc w:val="left"/>
            </w:pPr>
            <w:r>
              <w:rPr>
                <w:rFonts w:ascii="Times New Roman" w:hAnsi="Times New Roman" w:eastAsia="Times New Roman"/>
                <w:b w:val="0"/>
                <w:sz w:val="18"/>
              </w:rPr>
              <w:t>+1,76</w:t>
            </w:r>
          </w:p>
        </w:tc>
        <w:tc>
          <w:tcPr>
            <w:tcW w:type="dxa" w:w="1615"/>
            <w:vAlign w:val="center"/>
          </w:tcPr>
          <w:p>
            <w:pPr>
              <w:spacing w:line="240" w:lineRule="auto"/>
              <w:jc w:val="left"/>
            </w:pPr>
            <w:r>
              <w:rPr>
                <w:rFonts w:ascii="Times New Roman" w:hAnsi="Times New Roman" w:eastAsia="Times New Roman"/>
                <w:b w:val="0"/>
                <w:sz w:val="18"/>
              </w:rPr>
              <w:t>112,2%</w:t>
            </w:r>
          </w:p>
        </w:tc>
      </w:tr>
      <w:tr>
        <w:tc>
          <w:tcPr>
            <w:tcW w:type="dxa" w:w="1615"/>
            <w:vAlign w:val="center"/>
          </w:tcPr>
          <w:p>
            <w:pPr>
              <w:spacing w:line="240" w:lineRule="auto"/>
              <w:jc w:val="left"/>
            </w:pPr>
            <w:r>
              <w:rPr>
                <w:rFonts w:ascii="Times New Roman" w:hAnsi="Times New Roman" w:eastAsia="Times New Roman"/>
                <w:b w:val="0"/>
                <w:sz w:val="18"/>
              </w:rPr>
              <w:t>Дебиторская задолженность</w:t>
            </w:r>
          </w:p>
        </w:tc>
        <w:tc>
          <w:tcPr>
            <w:tcW w:type="dxa" w:w="1615"/>
            <w:vAlign w:val="center"/>
          </w:tcPr>
          <w:p>
            <w:pPr>
              <w:spacing w:line="240" w:lineRule="auto"/>
              <w:jc w:val="left"/>
            </w:pPr>
            <w:r>
              <w:rPr>
                <w:rFonts w:ascii="Times New Roman" w:hAnsi="Times New Roman" w:eastAsia="Times New Roman"/>
                <w:b w:val="0"/>
                <w:sz w:val="18"/>
              </w:rPr>
              <w:t>12,24</w:t>
            </w:r>
          </w:p>
        </w:tc>
        <w:tc>
          <w:tcPr>
            <w:tcW w:type="dxa" w:w="1615"/>
            <w:vAlign w:val="center"/>
          </w:tcPr>
          <w:p>
            <w:pPr>
              <w:spacing w:line="240" w:lineRule="auto"/>
              <w:jc w:val="left"/>
            </w:pPr>
            <w:r>
              <w:rPr>
                <w:rFonts w:ascii="Times New Roman" w:hAnsi="Times New Roman" w:eastAsia="Times New Roman"/>
                <w:b w:val="0"/>
                <w:sz w:val="18"/>
              </w:rPr>
              <w:t>5,13</w:t>
            </w:r>
          </w:p>
        </w:tc>
        <w:tc>
          <w:tcPr>
            <w:tcW w:type="dxa" w:w="1615"/>
            <w:vAlign w:val="center"/>
          </w:tcPr>
          <w:p>
            <w:pPr>
              <w:spacing w:line="240" w:lineRule="auto"/>
              <w:jc w:val="left"/>
            </w:pPr>
            <w:r>
              <w:rPr>
                <w:rFonts w:ascii="Times New Roman" w:hAnsi="Times New Roman" w:eastAsia="Times New Roman"/>
                <w:b w:val="0"/>
                <w:sz w:val="18"/>
              </w:rPr>
              <w:t>6,27</w:t>
            </w:r>
          </w:p>
        </w:tc>
        <w:tc>
          <w:tcPr>
            <w:tcW w:type="dxa" w:w="1615"/>
            <w:vAlign w:val="center"/>
          </w:tcPr>
          <w:p>
            <w:pPr>
              <w:spacing w:line="240" w:lineRule="auto"/>
              <w:jc w:val="left"/>
            </w:pPr>
            <w:r>
              <w:rPr>
                <w:rFonts w:ascii="Times New Roman" w:hAnsi="Times New Roman" w:eastAsia="Times New Roman"/>
                <w:b w:val="0"/>
                <w:sz w:val="18"/>
              </w:rPr>
              <w:t>+1,14</w:t>
            </w:r>
          </w:p>
        </w:tc>
        <w:tc>
          <w:tcPr>
            <w:tcW w:type="dxa" w:w="1615"/>
            <w:vAlign w:val="center"/>
          </w:tcPr>
          <w:p>
            <w:pPr>
              <w:spacing w:line="240" w:lineRule="auto"/>
              <w:jc w:val="left"/>
            </w:pPr>
            <w:r>
              <w:rPr>
                <w:rFonts w:ascii="Times New Roman" w:hAnsi="Times New Roman" w:eastAsia="Times New Roman"/>
                <w:b w:val="0"/>
                <w:sz w:val="18"/>
              </w:rPr>
              <w:t>122,1%</w:t>
            </w:r>
          </w:p>
        </w:tc>
      </w:tr>
      <w:tr>
        <w:tc>
          <w:tcPr>
            <w:tcW w:type="dxa" w:w="1615"/>
            <w:vAlign w:val="center"/>
          </w:tcPr>
          <w:p>
            <w:pPr>
              <w:spacing w:line="240" w:lineRule="auto"/>
              <w:jc w:val="left"/>
            </w:pPr>
            <w:r>
              <w:rPr>
                <w:rFonts w:ascii="Times New Roman" w:hAnsi="Times New Roman" w:eastAsia="Times New Roman"/>
                <w:b w:val="0"/>
                <w:sz w:val="18"/>
              </w:rPr>
              <w:t>Кредиторская задолженность</w:t>
            </w:r>
          </w:p>
        </w:tc>
        <w:tc>
          <w:tcPr>
            <w:tcW w:type="dxa" w:w="1615"/>
            <w:vAlign w:val="center"/>
          </w:tcPr>
          <w:p>
            <w:pPr>
              <w:spacing w:line="240" w:lineRule="auto"/>
              <w:jc w:val="left"/>
            </w:pPr>
            <w:r>
              <w:rPr>
                <w:rFonts w:ascii="Times New Roman" w:hAnsi="Times New Roman" w:eastAsia="Times New Roman"/>
                <w:b w:val="0"/>
                <w:sz w:val="18"/>
              </w:rPr>
              <w:t>9,53</w:t>
            </w:r>
          </w:p>
        </w:tc>
        <w:tc>
          <w:tcPr>
            <w:tcW w:type="dxa" w:w="1615"/>
            <w:vAlign w:val="center"/>
          </w:tcPr>
          <w:p>
            <w:pPr>
              <w:spacing w:line="240" w:lineRule="auto"/>
              <w:jc w:val="left"/>
            </w:pPr>
            <w:r>
              <w:rPr>
                <w:rFonts w:ascii="Times New Roman" w:hAnsi="Times New Roman" w:eastAsia="Times New Roman"/>
                <w:b w:val="0"/>
                <w:sz w:val="18"/>
              </w:rPr>
              <w:t>7,95</w:t>
            </w:r>
          </w:p>
        </w:tc>
        <w:tc>
          <w:tcPr>
            <w:tcW w:type="dxa" w:w="1615"/>
            <w:vAlign w:val="center"/>
          </w:tcPr>
          <w:p>
            <w:pPr>
              <w:spacing w:line="240" w:lineRule="auto"/>
              <w:jc w:val="left"/>
            </w:pPr>
            <w:r>
              <w:rPr>
                <w:rFonts w:ascii="Times New Roman" w:hAnsi="Times New Roman" w:eastAsia="Times New Roman"/>
                <w:b w:val="0"/>
                <w:sz w:val="18"/>
              </w:rPr>
              <w:t>6,92</w:t>
            </w:r>
          </w:p>
        </w:tc>
        <w:tc>
          <w:tcPr>
            <w:tcW w:type="dxa" w:w="1615"/>
            <w:vAlign w:val="center"/>
          </w:tcPr>
          <w:p>
            <w:pPr>
              <w:spacing w:line="240" w:lineRule="auto"/>
              <w:jc w:val="left"/>
            </w:pPr>
            <w:r>
              <w:rPr>
                <w:rFonts w:ascii="Times New Roman" w:hAnsi="Times New Roman" w:eastAsia="Times New Roman"/>
                <w:b w:val="0"/>
                <w:sz w:val="18"/>
              </w:rPr>
              <w:t>-1,03</w:t>
            </w:r>
          </w:p>
        </w:tc>
        <w:tc>
          <w:tcPr>
            <w:tcW w:type="dxa" w:w="1615"/>
            <w:vAlign w:val="center"/>
          </w:tcPr>
          <w:p>
            <w:pPr>
              <w:spacing w:line="240" w:lineRule="auto"/>
              <w:jc w:val="left"/>
            </w:pPr>
            <w:r>
              <w:rPr>
                <w:rFonts w:ascii="Times New Roman" w:hAnsi="Times New Roman" w:eastAsia="Times New Roman"/>
                <w:b w:val="0"/>
                <w:sz w:val="18"/>
              </w:rPr>
              <w:t>87,1%</w:t>
            </w:r>
          </w:p>
        </w:tc>
      </w:tr>
      <w:tr>
        <w:tc>
          <w:tcPr>
            <w:tcW w:type="dxa" w:w="1615"/>
            <w:vAlign w:val="center"/>
          </w:tcPr>
          <w:p>
            <w:pPr>
              <w:spacing w:line="240" w:lineRule="auto"/>
              <w:jc w:val="left"/>
            </w:pPr>
            <w:r>
              <w:rPr>
                <w:rFonts w:ascii="Times New Roman" w:hAnsi="Times New Roman" w:eastAsia="Times New Roman"/>
                <w:b w:val="0"/>
                <w:sz w:val="18"/>
              </w:rPr>
              <w:t>Собственный капитал</w:t>
            </w:r>
          </w:p>
        </w:tc>
        <w:tc>
          <w:tcPr>
            <w:tcW w:type="dxa" w:w="1615"/>
            <w:vAlign w:val="center"/>
          </w:tcPr>
          <w:p>
            <w:pPr>
              <w:spacing w:line="240" w:lineRule="auto"/>
              <w:jc w:val="left"/>
            </w:pPr>
            <w:r>
              <w:rPr>
                <w:rFonts w:ascii="Times New Roman" w:hAnsi="Times New Roman" w:eastAsia="Times New Roman"/>
                <w:b w:val="0"/>
                <w:sz w:val="18"/>
              </w:rPr>
              <w:t>-0,94</w:t>
            </w:r>
          </w:p>
        </w:tc>
        <w:tc>
          <w:tcPr>
            <w:tcW w:type="dxa" w:w="1615"/>
            <w:vAlign w:val="center"/>
          </w:tcPr>
          <w:p>
            <w:pPr>
              <w:spacing w:line="240" w:lineRule="auto"/>
              <w:jc w:val="left"/>
            </w:pPr>
            <w:r>
              <w:rPr>
                <w:rFonts w:ascii="Times New Roman" w:hAnsi="Times New Roman" w:eastAsia="Times New Roman"/>
                <w:b w:val="0"/>
                <w:sz w:val="18"/>
              </w:rPr>
              <w:t>-10,43</w:t>
            </w:r>
          </w:p>
        </w:tc>
        <w:tc>
          <w:tcPr>
            <w:tcW w:type="dxa" w:w="1615"/>
            <w:vAlign w:val="center"/>
          </w:tcPr>
          <w:p>
            <w:pPr>
              <w:spacing w:line="240" w:lineRule="auto"/>
              <w:jc w:val="left"/>
            </w:pPr>
            <w:r>
              <w:rPr>
                <w:rFonts w:ascii="Times New Roman" w:hAnsi="Times New Roman" w:eastAsia="Times New Roman"/>
                <w:b w:val="0"/>
                <w:sz w:val="18"/>
              </w:rPr>
              <w:t>-9,27</w:t>
            </w:r>
          </w:p>
        </w:tc>
        <w:tc>
          <w:tcPr>
            <w:tcW w:type="dxa" w:w="1615"/>
            <w:vAlign w:val="center"/>
          </w:tcPr>
          <w:p>
            <w:pPr>
              <w:spacing w:line="240" w:lineRule="auto"/>
              <w:jc w:val="left"/>
            </w:pPr>
            <w:r>
              <w:rPr>
                <w:rFonts w:ascii="Times New Roman" w:hAnsi="Times New Roman" w:eastAsia="Times New Roman"/>
                <w:b w:val="0"/>
                <w:sz w:val="18"/>
              </w:rPr>
              <w:t>+1,16</w:t>
            </w:r>
          </w:p>
        </w:tc>
        <w:tc>
          <w:tcPr>
            <w:tcW w:type="dxa" w:w="1615"/>
            <w:vAlign w:val="center"/>
          </w:tcPr>
          <w:p>
            <w:pPr>
              <w:spacing w:line="240" w:lineRule="auto"/>
              <w:jc w:val="left"/>
            </w:pPr>
            <w:r>
              <w:rPr>
                <w:rFonts w:ascii="Times New Roman" w:hAnsi="Times New Roman" w:eastAsia="Times New Roman"/>
                <w:b w:val="0"/>
                <w:sz w:val="18"/>
              </w:rPr>
              <w:t>улучшение отрицательного значения</w:t>
            </w:r>
          </w:p>
        </w:tc>
      </w:tr>
    </w:tbl>
    <w:p/>
    <w:p>
      <w:pPr>
        <w:spacing w:line="360" w:lineRule="auto"/>
        <w:ind w:firstLine="709"/>
        <w:jc w:val="both"/>
      </w:pPr>
      <w:r>
        <w:rPr>
          <w:rFonts w:ascii="Times New Roman" w:hAnsi="Times New Roman" w:eastAsia="Times New Roman"/>
          <w:sz w:val="28"/>
        </w:rPr>
        <w:t>Таблица 2 - Основные финансовые показатели ПАО «ТНС энерго НН» за 2023-2025 годы</w:t>
      </w:r>
    </w:p>
    <w:p>
      <w:pPr>
        <w:spacing w:line="360" w:lineRule="auto"/>
        <w:ind w:firstLine="709"/>
        <w:jc w:val="both"/>
      </w:pPr>
      <w:r>
        <w:rPr>
          <w:rFonts w:ascii="Times New Roman" w:hAnsi="Times New Roman" w:eastAsia="Times New Roman"/>
          <w:sz w:val="28"/>
        </w:rPr>
        <w:t>Динамика выручки показывает восстановление и рост масштабов деятельности. В 2024 году выручка составила 52,57 млрд руб., а в 2025 году увеличилась до 59,12 млрд руб. Рост на 6,55 млрд руб. связан с увеличением полезного отпуска электроэнергии и изменением среднего расчетного тарифа. По данным аналитического обзора за 2025 год, выручка выросла на 12,5%, а операционные расходы - на 11,1% [2]. Это означает, что темп роста выручки оказался выше темпа роста расходов, что положительно сказалось на прибыли от продаж.</w:t>
      </w:r>
    </w:p>
    <w:p>
      <w:pPr>
        <w:spacing w:line="360" w:lineRule="auto"/>
        <w:ind w:firstLine="709"/>
        <w:jc w:val="both"/>
      </w:pPr>
      <w:r>
        <w:rPr>
          <w:rFonts w:ascii="Times New Roman" w:hAnsi="Times New Roman" w:eastAsia="Times New Roman"/>
          <w:sz w:val="28"/>
        </w:rPr>
        <w:t>Прибыль от продаж в 2025 году выросла до 2,67 млрд руб., что на 0,92 млрд руб. выше уровня 2024 года. Темп роста составил около 153%. Это важный сигнал: основная операционная деятельность компании в 2025 году стала более результативной. Для управления персоналом это имеет значение, поскольку устойчивый операционный результат создает финансовую основу для премирования, индексации заработной платы, сохранения социальных гарантий и финансирования кадровых программ.</w:t>
      </w:r>
    </w:p>
    <w:p>
      <w:pPr>
        <w:spacing w:line="360" w:lineRule="auto"/>
        <w:ind w:firstLine="709"/>
        <w:jc w:val="both"/>
      </w:pPr>
      <w:r>
        <w:rPr>
          <w:rFonts w:ascii="Times New Roman" w:hAnsi="Times New Roman" w:eastAsia="Times New Roman"/>
          <w:sz w:val="28"/>
        </w:rPr>
        <w:t>Наиболее резкое изменение наблюдается по чистой прибыли. В 2024 году компания получила значительный убыток, связанный с формированием резервов по сомнительным долгам и оценочным обязательствам, а также с ростом стоимости обслуживания долга [3]. В 2025 году ситуация улучшилась: чистая прибыль составила около 1,15 млрд руб. По данным открытых источников, на улучшение повлияло сокращение прочих расходов и снижение процентов к уплате на фоне погашения кредитной нагрузки [2].</w:t>
      </w:r>
    </w:p>
    <w:p>
      <w:pPr>
        <w:spacing w:line="360" w:lineRule="auto"/>
        <w:ind w:firstLine="709"/>
        <w:jc w:val="both"/>
      </w:pPr>
      <w:r>
        <w:rPr>
          <w:rFonts w:ascii="Times New Roman" w:hAnsi="Times New Roman" w:eastAsia="Times New Roman"/>
          <w:sz w:val="28"/>
        </w:rPr>
        <w:t>При этом финансовое положение нельзя оценивать только по факту выхода на прибыль. Собственный капитал остается отрицательным, хотя в 2025 году его отрицательное значение сократилось. Это означает, что у компании сохраняется накопленный эффект прошлых убытков. Для системы управления персоналом такой фактор важен: даже при положительной прибыли компания может сохранять осторожную политику расходов, включая расходы на оплату труда, социальные программы и внешние HR-сервисы.</w:t>
      </w:r>
    </w:p>
    <w:p>
      <w:pPr>
        <w:spacing w:line="360" w:lineRule="auto"/>
        <w:ind w:firstLine="709"/>
        <w:jc w:val="both"/>
      </w:pPr>
      <w:r>
        <w:rPr>
          <w:rFonts w:ascii="Times New Roman" w:hAnsi="Times New Roman" w:eastAsia="Times New Roman"/>
          <w:sz w:val="28"/>
        </w:rPr>
        <w:t>Дебиторская задолженность в 2025 году увеличилась по сравнению с 2024 годом. Для энергосбытовой организации это один из ключевых рисков, поскольку неплатежи потребителей способны ухудшать ликвидность и вынуждать компанию направлять ресурсы на претензионную и судебную работу. Кредиторская задолженность, напротив, снизилась, что положительно характеризует платежную дисциплину компании и ее способность сокращать обязательства.</w:t>
      </w:r>
    </w:p>
    <w:p>
      <w:pPr>
        <w:spacing w:line="360" w:lineRule="auto"/>
        <w:ind w:firstLine="709"/>
        <w:jc w:val="both"/>
      </w:pPr>
      <w:r>
        <w:rPr>
          <w:rFonts w:ascii="Times New Roman" w:hAnsi="Times New Roman" w:eastAsia="Times New Roman"/>
          <w:sz w:val="28"/>
        </w:rPr>
        <w:t>Таким образом, финансовая динамика ПАО «ТНС энерго НН» за 2023-2025 годы неоднозначна. С одной стороны, компания демонстрирует рост выручки, восстановление прибыли и снижение кредиторской задолженности. С другой стороны, сохраняются риски, связанные с отрицательным собственным капиталом и дебиторской задолженностью. В кадровом аспекте это означает, что система мотивации должна быть достаточно сильной для удержания персонала, но при этом экономически обоснованной и связанной с результатами деятельности.</w:t>
      </w:r>
    </w:p>
    <w:p>
      <w:pPr>
        <w:pStyle w:val="Heading1"/>
        <w:jc w:val="center"/>
      </w:pPr>
      <w:r>
        <w:t>Глава 2. Анализ системы управления персоналом предприятия ПАО «ТНС энерго Нижний Новгород»</w:t>
      </w:r>
    </w:p>
    <w:p>
      <w:pPr>
        <w:pStyle w:val="Heading2"/>
      </w:pPr>
      <w:r>
        <w:t>2.1. Формирование системы управления персоналом в организации</w:t>
      </w:r>
    </w:p>
    <w:p>
      <w:pPr>
        <w:spacing w:line="360" w:lineRule="auto"/>
        <w:ind w:firstLine="709"/>
        <w:jc w:val="both"/>
      </w:pPr>
      <w:r>
        <w:rPr>
          <w:rFonts w:ascii="Times New Roman" w:hAnsi="Times New Roman" w:eastAsia="Times New Roman"/>
          <w:sz w:val="28"/>
        </w:rPr>
        <w:t>Система управления персоналом ПАО «ТНС энерго НН» формируется под влиянием трех групп факторов: отраслевых, организационных и социально-трудовых. Отраслевые факторы связаны с работой на рынке электроэнергии, высокой ответственностью перед потребителями, необходимостью соблюдения регламентов и требований законодательства. Организационные факторы определяются линейно-функциональной структурой, наличием территориальных отделений и большим числом работников. Социально-трудовые факторы закреплены в коллективном договоре, правилах внутреннего трудового распорядка, регламенте подбора персонала и положении об адаптации и наставничестве.</w:t>
      </w:r>
    </w:p>
    <w:p>
      <w:pPr>
        <w:spacing w:line="360" w:lineRule="auto"/>
        <w:ind w:firstLine="709"/>
        <w:jc w:val="both"/>
      </w:pPr>
      <w:r>
        <w:rPr>
          <w:rFonts w:ascii="Times New Roman" w:hAnsi="Times New Roman" w:eastAsia="Times New Roman"/>
          <w:sz w:val="28"/>
        </w:rPr>
        <w:t>В организационной структуре компании выделен департамент по управлению персоналом, а также отдел кадров и отдел организации труда и заработной платы. Это показывает, что кадровая функция в ПАО «ТНС энерго НН» институционально оформлена и разделена на несколько направлений:</w:t>
      </w:r>
    </w:p>
    <w:p>
      <w:pPr>
        <w:pStyle w:val="ListBullet"/>
        <w:spacing w:line="360" w:lineRule="auto"/>
      </w:pPr>
      <w:r>
        <w:t>кадровое делопроизводство;</w:t>
      </w:r>
    </w:p>
    <w:p>
      <w:pPr>
        <w:pStyle w:val="ListBullet"/>
        <w:spacing w:line="360" w:lineRule="auto"/>
      </w:pPr>
      <w:r>
        <w:t>подбор и прием персонала;</w:t>
      </w:r>
    </w:p>
    <w:p>
      <w:pPr>
        <w:pStyle w:val="ListBullet"/>
        <w:spacing w:line="360" w:lineRule="auto"/>
      </w:pPr>
      <w:r>
        <w:t>организация труда и заработной платы;</w:t>
      </w:r>
    </w:p>
    <w:p>
      <w:pPr>
        <w:pStyle w:val="ListBullet"/>
        <w:spacing w:line="360" w:lineRule="auto"/>
      </w:pPr>
      <w:r>
        <w:t>обучение и развитие;</w:t>
      </w:r>
    </w:p>
    <w:p>
      <w:pPr>
        <w:pStyle w:val="ListBullet"/>
        <w:spacing w:line="360" w:lineRule="auto"/>
      </w:pPr>
      <w:r>
        <w:t>адаптация и наставничество;</w:t>
      </w:r>
    </w:p>
    <w:p>
      <w:pPr>
        <w:pStyle w:val="ListBullet"/>
        <w:spacing w:line="360" w:lineRule="auto"/>
      </w:pPr>
      <w:r>
        <w:t>сопровождение социальных гарантий;</w:t>
      </w:r>
    </w:p>
    <w:p>
      <w:pPr>
        <w:pStyle w:val="ListBullet"/>
        <w:spacing w:line="360" w:lineRule="auto"/>
      </w:pPr>
      <w:r>
        <w:t>взаимодействие с руководителями подразделений;</w:t>
      </w:r>
    </w:p>
    <w:p>
      <w:pPr>
        <w:pStyle w:val="ListBullet"/>
        <w:spacing w:line="360" w:lineRule="auto"/>
      </w:pPr>
      <w:r>
        <w:t>соблюдение трудового законодательства и локальных нормативных актов.</w:t>
      </w:r>
    </w:p>
    <w:p>
      <w:pPr>
        <w:spacing w:line="360" w:lineRule="auto"/>
        <w:ind w:firstLine="709"/>
        <w:jc w:val="both"/>
      </w:pPr>
      <w:r>
        <w:rPr>
          <w:rFonts w:ascii="Times New Roman" w:hAnsi="Times New Roman" w:eastAsia="Times New Roman"/>
          <w:sz w:val="28"/>
        </w:rPr>
        <w:t>Система управления персоналом строится на регламентной основе. В регламенте подбора персонала указано, что подбор находится в ведении группы подбора, обучения и развития персонала департамента по управлению персоналом и осуществляется на основании штатного расписания, заявок руководителей структурных подразделений и ежемесячного плана подбора. Организация процесса подбора возложена на начальника департамента по управлению персоналом при взаимодействии с руководителями структурных подразделений и под руководством управляющего директора.</w:t>
      </w:r>
    </w:p>
    <w:p>
      <w:pPr>
        <w:spacing w:line="360" w:lineRule="auto"/>
        <w:ind w:firstLine="709"/>
        <w:jc w:val="both"/>
      </w:pPr>
      <w:r>
        <w:rPr>
          <w:rFonts w:ascii="Times New Roman" w:hAnsi="Times New Roman" w:eastAsia="Times New Roman"/>
          <w:sz w:val="28"/>
        </w:rPr>
        <w:t>Такой подход позволяет обеспечить баланс между потребностями подразделений и централизованным контролем. Руководитель структурного подразделения лучше понимает профессиональные требования к кандидату, а HR-служба обеспечивает соблюдение процедуры, единых стандартов оценки, требований законодательства и сроков закрытия вакансии.</w:t>
      </w:r>
    </w:p>
    <w:p>
      <w:pPr>
        <w:spacing w:line="360" w:lineRule="auto"/>
        <w:ind w:firstLine="709"/>
        <w:jc w:val="both"/>
      </w:pPr>
      <w:r>
        <w:rPr>
          <w:rFonts w:ascii="Times New Roman" w:hAnsi="Times New Roman" w:eastAsia="Times New Roman"/>
          <w:sz w:val="28"/>
        </w:rPr>
        <w:t>Система управления персоналом ПАО «ТНС энерго НН» включает несколько взаимосвязанных подсистем, представленных в таблице 3.</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Подсистема управления персоналом</w:t>
            </w:r>
          </w:p>
        </w:tc>
        <w:tc>
          <w:tcPr>
            <w:tcW w:type="dxa" w:w="3230"/>
            <w:vAlign w:val="center"/>
            <w:shd w:fill="D9EAF7"/>
          </w:tcPr>
          <w:p>
            <w:pPr>
              <w:spacing w:line="240" w:lineRule="auto"/>
              <w:jc w:val="center"/>
            </w:pPr>
            <w:r>
              <w:rPr>
                <w:rFonts w:ascii="Times New Roman" w:hAnsi="Times New Roman" w:eastAsia="Times New Roman"/>
                <w:b/>
                <w:sz w:val="20"/>
              </w:rPr>
              <w:t>Содержание</w:t>
            </w:r>
          </w:p>
        </w:tc>
        <w:tc>
          <w:tcPr>
            <w:tcW w:type="dxa" w:w="3230"/>
            <w:vAlign w:val="center"/>
            <w:shd w:fill="D9EAF7"/>
          </w:tcPr>
          <w:p>
            <w:pPr>
              <w:spacing w:line="240" w:lineRule="auto"/>
              <w:jc w:val="center"/>
            </w:pPr>
            <w:r>
              <w:rPr>
                <w:rFonts w:ascii="Times New Roman" w:hAnsi="Times New Roman" w:eastAsia="Times New Roman"/>
                <w:b/>
                <w:sz w:val="20"/>
              </w:rPr>
              <w:t>Локальные документы и практики</w:t>
            </w:r>
          </w:p>
        </w:tc>
      </w:tr>
      <w:tr>
        <w:tc>
          <w:tcPr>
            <w:tcW w:type="dxa" w:w="3230"/>
            <w:vAlign w:val="center"/>
          </w:tcPr>
          <w:p>
            <w:pPr>
              <w:spacing w:line="240" w:lineRule="auto"/>
              <w:jc w:val="left"/>
            </w:pPr>
            <w:r>
              <w:rPr>
                <w:rFonts w:ascii="Times New Roman" w:hAnsi="Times New Roman" w:eastAsia="Times New Roman"/>
                <w:b w:val="0"/>
                <w:sz w:val="20"/>
              </w:rPr>
              <w:t>Планирование потребности в персонале</w:t>
            </w:r>
          </w:p>
        </w:tc>
        <w:tc>
          <w:tcPr>
            <w:tcW w:type="dxa" w:w="3230"/>
            <w:vAlign w:val="center"/>
          </w:tcPr>
          <w:p>
            <w:pPr>
              <w:spacing w:line="240" w:lineRule="auto"/>
              <w:jc w:val="left"/>
            </w:pPr>
            <w:r>
              <w:rPr>
                <w:rFonts w:ascii="Times New Roman" w:hAnsi="Times New Roman" w:eastAsia="Times New Roman"/>
                <w:b w:val="0"/>
                <w:sz w:val="20"/>
              </w:rPr>
              <w:t>Определение вакансий, учет штатного расписания, план подбора</w:t>
            </w:r>
          </w:p>
        </w:tc>
        <w:tc>
          <w:tcPr>
            <w:tcW w:type="dxa" w:w="3230"/>
            <w:vAlign w:val="center"/>
          </w:tcPr>
          <w:p>
            <w:pPr>
              <w:spacing w:line="240" w:lineRule="auto"/>
              <w:jc w:val="left"/>
            </w:pPr>
            <w:r>
              <w:rPr>
                <w:rFonts w:ascii="Times New Roman" w:hAnsi="Times New Roman" w:eastAsia="Times New Roman"/>
                <w:b w:val="0"/>
                <w:sz w:val="20"/>
              </w:rPr>
              <w:t>Регламент подбора персонала, заявки руководителей</w:t>
            </w:r>
          </w:p>
        </w:tc>
      </w:tr>
      <w:tr>
        <w:tc>
          <w:tcPr>
            <w:tcW w:type="dxa" w:w="3230"/>
            <w:vAlign w:val="center"/>
          </w:tcPr>
          <w:p>
            <w:pPr>
              <w:spacing w:line="240" w:lineRule="auto"/>
              <w:jc w:val="left"/>
            </w:pPr>
            <w:r>
              <w:rPr>
                <w:rFonts w:ascii="Times New Roman" w:hAnsi="Times New Roman" w:eastAsia="Times New Roman"/>
                <w:b w:val="0"/>
                <w:sz w:val="20"/>
              </w:rPr>
              <w:t>Подбор и отбор</w:t>
            </w:r>
          </w:p>
        </w:tc>
        <w:tc>
          <w:tcPr>
            <w:tcW w:type="dxa" w:w="3230"/>
            <w:vAlign w:val="center"/>
          </w:tcPr>
          <w:p>
            <w:pPr>
              <w:spacing w:line="240" w:lineRule="auto"/>
              <w:jc w:val="left"/>
            </w:pPr>
            <w:r>
              <w:rPr>
                <w:rFonts w:ascii="Times New Roman" w:hAnsi="Times New Roman" w:eastAsia="Times New Roman"/>
                <w:b w:val="0"/>
                <w:sz w:val="20"/>
              </w:rPr>
              <w:t>Поиск кандидатов, первичная оценка, собеседования, согласование</w:t>
            </w:r>
          </w:p>
        </w:tc>
        <w:tc>
          <w:tcPr>
            <w:tcW w:type="dxa" w:w="3230"/>
            <w:vAlign w:val="center"/>
          </w:tcPr>
          <w:p>
            <w:pPr>
              <w:spacing w:line="240" w:lineRule="auto"/>
              <w:jc w:val="left"/>
            </w:pPr>
            <w:r>
              <w:rPr>
                <w:rFonts w:ascii="Times New Roman" w:hAnsi="Times New Roman" w:eastAsia="Times New Roman"/>
                <w:b w:val="0"/>
                <w:sz w:val="20"/>
              </w:rPr>
              <w:t>Регламент подбора, лист согласования на прием</w:t>
            </w:r>
          </w:p>
        </w:tc>
      </w:tr>
      <w:tr>
        <w:tc>
          <w:tcPr>
            <w:tcW w:type="dxa" w:w="3230"/>
            <w:vAlign w:val="center"/>
          </w:tcPr>
          <w:p>
            <w:pPr>
              <w:spacing w:line="240" w:lineRule="auto"/>
              <w:jc w:val="left"/>
            </w:pPr>
            <w:r>
              <w:rPr>
                <w:rFonts w:ascii="Times New Roman" w:hAnsi="Times New Roman" w:eastAsia="Times New Roman"/>
                <w:b w:val="0"/>
                <w:sz w:val="20"/>
              </w:rPr>
              <w:t>Кадровое администрирование</w:t>
            </w:r>
          </w:p>
        </w:tc>
        <w:tc>
          <w:tcPr>
            <w:tcW w:type="dxa" w:w="3230"/>
            <w:vAlign w:val="center"/>
          </w:tcPr>
          <w:p>
            <w:pPr>
              <w:spacing w:line="240" w:lineRule="auto"/>
              <w:jc w:val="left"/>
            </w:pPr>
            <w:r>
              <w:rPr>
                <w:rFonts w:ascii="Times New Roman" w:hAnsi="Times New Roman" w:eastAsia="Times New Roman"/>
                <w:b w:val="0"/>
                <w:sz w:val="20"/>
              </w:rPr>
              <w:t>Оформление приема, перевода, увольнения, ведение кадровых документов</w:t>
            </w:r>
          </w:p>
        </w:tc>
        <w:tc>
          <w:tcPr>
            <w:tcW w:type="dxa" w:w="3230"/>
            <w:vAlign w:val="center"/>
          </w:tcPr>
          <w:p>
            <w:pPr>
              <w:spacing w:line="240" w:lineRule="auto"/>
              <w:jc w:val="left"/>
            </w:pPr>
            <w:r>
              <w:rPr>
                <w:rFonts w:ascii="Times New Roman" w:hAnsi="Times New Roman" w:eastAsia="Times New Roman"/>
                <w:b w:val="0"/>
                <w:sz w:val="20"/>
              </w:rPr>
              <w:t>ПВТР, трудовые договоры, приказы</w:t>
            </w:r>
          </w:p>
        </w:tc>
      </w:tr>
      <w:tr>
        <w:tc>
          <w:tcPr>
            <w:tcW w:type="dxa" w:w="3230"/>
            <w:vAlign w:val="center"/>
          </w:tcPr>
          <w:p>
            <w:pPr>
              <w:spacing w:line="240" w:lineRule="auto"/>
              <w:jc w:val="left"/>
            </w:pPr>
            <w:r>
              <w:rPr>
                <w:rFonts w:ascii="Times New Roman" w:hAnsi="Times New Roman" w:eastAsia="Times New Roman"/>
                <w:b w:val="0"/>
                <w:sz w:val="20"/>
              </w:rPr>
              <w:t>Организация труда и оплаты</w:t>
            </w:r>
          </w:p>
        </w:tc>
        <w:tc>
          <w:tcPr>
            <w:tcW w:type="dxa" w:w="3230"/>
            <w:vAlign w:val="center"/>
          </w:tcPr>
          <w:p>
            <w:pPr>
              <w:spacing w:line="240" w:lineRule="auto"/>
              <w:jc w:val="left"/>
            </w:pPr>
            <w:r>
              <w:rPr>
                <w:rFonts w:ascii="Times New Roman" w:hAnsi="Times New Roman" w:eastAsia="Times New Roman"/>
                <w:b w:val="0"/>
                <w:sz w:val="20"/>
              </w:rPr>
              <w:t>Рабочее время, режимы труда, оклады, тарифно-премиальная система</w:t>
            </w:r>
          </w:p>
        </w:tc>
        <w:tc>
          <w:tcPr>
            <w:tcW w:type="dxa" w:w="3230"/>
            <w:vAlign w:val="center"/>
          </w:tcPr>
          <w:p>
            <w:pPr>
              <w:spacing w:line="240" w:lineRule="auto"/>
              <w:jc w:val="left"/>
            </w:pPr>
            <w:r>
              <w:rPr>
                <w:rFonts w:ascii="Times New Roman" w:hAnsi="Times New Roman" w:eastAsia="Times New Roman"/>
                <w:b w:val="0"/>
                <w:sz w:val="20"/>
              </w:rPr>
              <w:t>Коллективный договор, ПВТР, положение об оплате труда</w:t>
            </w:r>
          </w:p>
        </w:tc>
      </w:tr>
      <w:tr>
        <w:tc>
          <w:tcPr>
            <w:tcW w:type="dxa" w:w="3230"/>
            <w:vAlign w:val="center"/>
          </w:tcPr>
          <w:p>
            <w:pPr>
              <w:spacing w:line="240" w:lineRule="auto"/>
              <w:jc w:val="left"/>
            </w:pPr>
            <w:r>
              <w:rPr>
                <w:rFonts w:ascii="Times New Roman" w:hAnsi="Times New Roman" w:eastAsia="Times New Roman"/>
                <w:b w:val="0"/>
                <w:sz w:val="20"/>
              </w:rPr>
              <w:t>Адаптация и наставничество</w:t>
            </w:r>
          </w:p>
        </w:tc>
        <w:tc>
          <w:tcPr>
            <w:tcW w:type="dxa" w:w="3230"/>
            <w:vAlign w:val="center"/>
          </w:tcPr>
          <w:p>
            <w:pPr>
              <w:spacing w:line="240" w:lineRule="auto"/>
              <w:jc w:val="left"/>
            </w:pPr>
            <w:r>
              <w:rPr>
                <w:rFonts w:ascii="Times New Roman" w:hAnsi="Times New Roman" w:eastAsia="Times New Roman"/>
                <w:b w:val="0"/>
                <w:sz w:val="20"/>
              </w:rPr>
              <w:t>Введение в должность, индивидуальный план, наставник, отчеты</w:t>
            </w:r>
          </w:p>
        </w:tc>
        <w:tc>
          <w:tcPr>
            <w:tcW w:type="dxa" w:w="3230"/>
            <w:vAlign w:val="center"/>
          </w:tcPr>
          <w:p>
            <w:pPr>
              <w:spacing w:line="240" w:lineRule="auto"/>
              <w:jc w:val="left"/>
            </w:pPr>
            <w:r>
              <w:rPr>
                <w:rFonts w:ascii="Times New Roman" w:hAnsi="Times New Roman" w:eastAsia="Times New Roman"/>
                <w:b w:val="0"/>
                <w:sz w:val="20"/>
              </w:rPr>
              <w:t>Положение об адаптации и наставничестве в ПАО ГК «ТНС энерго»</w:t>
            </w:r>
          </w:p>
        </w:tc>
      </w:tr>
      <w:tr>
        <w:tc>
          <w:tcPr>
            <w:tcW w:type="dxa" w:w="3230"/>
            <w:vAlign w:val="center"/>
          </w:tcPr>
          <w:p>
            <w:pPr>
              <w:spacing w:line="240" w:lineRule="auto"/>
              <w:jc w:val="left"/>
            </w:pPr>
            <w:r>
              <w:rPr>
                <w:rFonts w:ascii="Times New Roman" w:hAnsi="Times New Roman" w:eastAsia="Times New Roman"/>
                <w:b w:val="0"/>
                <w:sz w:val="20"/>
              </w:rPr>
              <w:t>Обучение и развитие</w:t>
            </w:r>
          </w:p>
        </w:tc>
        <w:tc>
          <w:tcPr>
            <w:tcW w:type="dxa" w:w="3230"/>
            <w:vAlign w:val="center"/>
          </w:tcPr>
          <w:p>
            <w:pPr>
              <w:spacing w:line="240" w:lineRule="auto"/>
              <w:jc w:val="left"/>
            </w:pPr>
            <w:r>
              <w:rPr>
                <w:rFonts w:ascii="Times New Roman" w:hAnsi="Times New Roman" w:eastAsia="Times New Roman"/>
                <w:b w:val="0"/>
                <w:sz w:val="20"/>
              </w:rPr>
              <w:t>Повышение квалификации, профессиональная подготовка, кадровый резерв</w:t>
            </w:r>
          </w:p>
        </w:tc>
        <w:tc>
          <w:tcPr>
            <w:tcW w:type="dxa" w:w="3230"/>
            <w:vAlign w:val="center"/>
          </w:tcPr>
          <w:p>
            <w:pPr>
              <w:spacing w:line="240" w:lineRule="auto"/>
              <w:jc w:val="left"/>
            </w:pPr>
            <w:r>
              <w:rPr>
                <w:rFonts w:ascii="Times New Roman" w:hAnsi="Times New Roman" w:eastAsia="Times New Roman"/>
                <w:b w:val="0"/>
                <w:sz w:val="20"/>
              </w:rPr>
              <w:t>Коллективный договор, локальные программы обучения</w:t>
            </w:r>
          </w:p>
        </w:tc>
      </w:tr>
      <w:tr>
        <w:tc>
          <w:tcPr>
            <w:tcW w:type="dxa" w:w="3230"/>
            <w:vAlign w:val="center"/>
          </w:tcPr>
          <w:p>
            <w:pPr>
              <w:spacing w:line="240" w:lineRule="auto"/>
              <w:jc w:val="left"/>
            </w:pPr>
            <w:r>
              <w:rPr>
                <w:rFonts w:ascii="Times New Roman" w:hAnsi="Times New Roman" w:eastAsia="Times New Roman"/>
                <w:b w:val="0"/>
                <w:sz w:val="20"/>
              </w:rPr>
              <w:t>Социальная поддержка</w:t>
            </w:r>
          </w:p>
        </w:tc>
        <w:tc>
          <w:tcPr>
            <w:tcW w:type="dxa" w:w="3230"/>
            <w:vAlign w:val="center"/>
          </w:tcPr>
          <w:p>
            <w:pPr>
              <w:spacing w:line="240" w:lineRule="auto"/>
              <w:jc w:val="left"/>
            </w:pPr>
            <w:r>
              <w:rPr>
                <w:rFonts w:ascii="Times New Roman" w:hAnsi="Times New Roman" w:eastAsia="Times New Roman"/>
                <w:b w:val="0"/>
                <w:sz w:val="20"/>
              </w:rPr>
              <w:t>Льготы, гарантии, материальная помощь, компенсации</w:t>
            </w:r>
          </w:p>
        </w:tc>
        <w:tc>
          <w:tcPr>
            <w:tcW w:type="dxa" w:w="3230"/>
            <w:vAlign w:val="center"/>
          </w:tcPr>
          <w:p>
            <w:pPr>
              <w:spacing w:line="240" w:lineRule="auto"/>
              <w:jc w:val="left"/>
            </w:pPr>
            <w:r>
              <w:rPr>
                <w:rFonts w:ascii="Times New Roman" w:hAnsi="Times New Roman" w:eastAsia="Times New Roman"/>
                <w:b w:val="0"/>
                <w:sz w:val="20"/>
              </w:rPr>
              <w:t>Коллективный договор 2025-2027 годов</w:t>
            </w:r>
          </w:p>
        </w:tc>
      </w:tr>
      <w:tr>
        <w:tc>
          <w:tcPr>
            <w:tcW w:type="dxa" w:w="3230"/>
            <w:vAlign w:val="center"/>
          </w:tcPr>
          <w:p>
            <w:pPr>
              <w:spacing w:line="240" w:lineRule="auto"/>
              <w:jc w:val="left"/>
            </w:pPr>
            <w:r>
              <w:rPr>
                <w:rFonts w:ascii="Times New Roman" w:hAnsi="Times New Roman" w:eastAsia="Times New Roman"/>
                <w:b w:val="0"/>
                <w:sz w:val="20"/>
              </w:rPr>
              <w:t>Трудовая дисциплина и корпоративные нормы</w:t>
            </w:r>
          </w:p>
        </w:tc>
        <w:tc>
          <w:tcPr>
            <w:tcW w:type="dxa" w:w="3230"/>
            <w:vAlign w:val="center"/>
          </w:tcPr>
          <w:p>
            <w:pPr>
              <w:spacing w:line="240" w:lineRule="auto"/>
              <w:jc w:val="left"/>
            </w:pPr>
            <w:r>
              <w:rPr>
                <w:rFonts w:ascii="Times New Roman" w:hAnsi="Times New Roman" w:eastAsia="Times New Roman"/>
                <w:b w:val="0"/>
                <w:sz w:val="20"/>
              </w:rPr>
              <w:t>Права и обязанности работников, правила поведения, внешний вид</w:t>
            </w:r>
          </w:p>
        </w:tc>
        <w:tc>
          <w:tcPr>
            <w:tcW w:type="dxa" w:w="3230"/>
            <w:vAlign w:val="center"/>
          </w:tcPr>
          <w:p>
            <w:pPr>
              <w:spacing w:line="240" w:lineRule="auto"/>
              <w:jc w:val="left"/>
            </w:pPr>
            <w:r>
              <w:rPr>
                <w:rFonts w:ascii="Times New Roman" w:hAnsi="Times New Roman" w:eastAsia="Times New Roman"/>
                <w:b w:val="0"/>
                <w:sz w:val="20"/>
              </w:rPr>
              <w:t>Правила внутреннего трудового распорядка</w:t>
            </w:r>
          </w:p>
        </w:tc>
      </w:tr>
    </w:tbl>
    <w:p/>
    <w:p>
      <w:pPr>
        <w:spacing w:line="360" w:lineRule="auto"/>
        <w:ind w:firstLine="709"/>
        <w:jc w:val="both"/>
      </w:pPr>
      <w:r>
        <w:rPr>
          <w:rFonts w:ascii="Times New Roman" w:hAnsi="Times New Roman" w:eastAsia="Times New Roman"/>
          <w:sz w:val="28"/>
        </w:rPr>
        <w:t>Таблица 3 - Подсистемы управления персоналом ПАО «ТНС энерго НН»</w:t>
      </w:r>
    </w:p>
    <w:p>
      <w:pPr>
        <w:spacing w:line="360" w:lineRule="auto"/>
        <w:ind w:firstLine="709"/>
        <w:jc w:val="both"/>
      </w:pPr>
      <w:r>
        <w:rPr>
          <w:rFonts w:ascii="Times New Roman" w:hAnsi="Times New Roman" w:eastAsia="Times New Roman"/>
          <w:sz w:val="28"/>
        </w:rPr>
        <w:t>На основании таблицы 3 можно сделать вывод, что управление персоналом в компании носит комплексный характер. Оно не ограничивается кадровым делопроизводством, а охватывает весь жизненный цикл работника: от появления вакансии и подбора кандидата до адаптации, обучения, мотивации, оценки поведения, предоставления социальных гарантий и прекращения трудовых отношений.</w:t>
      </w:r>
    </w:p>
    <w:p>
      <w:pPr>
        <w:spacing w:line="360" w:lineRule="auto"/>
        <w:ind w:firstLine="709"/>
        <w:jc w:val="both"/>
      </w:pPr>
      <w:r>
        <w:rPr>
          <w:rFonts w:ascii="Times New Roman" w:hAnsi="Times New Roman" w:eastAsia="Times New Roman"/>
          <w:sz w:val="28"/>
        </w:rPr>
        <w:t>Важной особенностью системы управления персоналом является участие профсоюзной организации. Коллективный договор на 2025-2027 годы заключен между работодателем и работниками в лице профсоюзной организации. Документ регулирует социально-трудовые отношения, вопросы оплаты труда, рабочего времени и отдыха, занятости, охраны труда, социальных гарантий и компенсаций. Наличие коллективного договора усиливает предсказуемость трудовых отношений и повышает доверие работников к работодателю.</w:t>
      </w:r>
    </w:p>
    <w:p>
      <w:pPr>
        <w:pStyle w:val="Heading2"/>
      </w:pPr>
      <w:r>
        <w:t>2.2. Подбор, прием и движение персонала</w:t>
      </w:r>
    </w:p>
    <w:p>
      <w:pPr>
        <w:spacing w:line="360" w:lineRule="auto"/>
        <w:ind w:firstLine="709"/>
        <w:jc w:val="both"/>
      </w:pPr>
      <w:r>
        <w:rPr>
          <w:rFonts w:ascii="Times New Roman" w:hAnsi="Times New Roman" w:eastAsia="Times New Roman"/>
          <w:sz w:val="28"/>
        </w:rPr>
        <w:t>Подбор персонала в ПАО «ТНС энерго НН» регламентирован отдельным документом. Вакансия может возникнуть по нескольким причинам: увольнение работника, введение новой должности, возобновление ранее приостановленного подбора, замещение отсутствующего работника на период болезни, отпуска по беременности и родам или отпуска по уходу за ребенком.</w:t>
      </w:r>
    </w:p>
    <w:p>
      <w:pPr>
        <w:spacing w:line="360" w:lineRule="auto"/>
        <w:ind w:firstLine="709"/>
        <w:jc w:val="both"/>
      </w:pPr>
      <w:r>
        <w:rPr>
          <w:rFonts w:ascii="Times New Roman" w:hAnsi="Times New Roman" w:eastAsia="Times New Roman"/>
          <w:sz w:val="28"/>
        </w:rPr>
        <w:t>Процесс подбора начинается с заявки руководителя структурного подразделения. Руководитель формулирует потребность, указывает должность, причину появления вакансии, квалификационные требования, опыт, образование, профессиональные знания и навыки. Подбор открывается на следующий рабочий день после поступления заявки в департамент по управлению персоналом. Такой срок показывает ориентацию компании на оперативное закрытие вакансий.</w:t>
      </w:r>
    </w:p>
    <w:p>
      <w:pPr>
        <w:spacing w:line="360" w:lineRule="auto"/>
        <w:ind w:firstLine="709"/>
        <w:jc w:val="both"/>
      </w:pPr>
      <w:r>
        <w:rPr>
          <w:rFonts w:ascii="Times New Roman" w:hAnsi="Times New Roman" w:eastAsia="Times New Roman"/>
          <w:sz w:val="28"/>
        </w:rPr>
        <w:t>Регламент подбора предусматривает использование внутренних и внешних источников. Сначала специалист по подбору оценивает возможность закрытия вакансии внутренними ресурсами: внутренний конкурс, ротация, кадровое перемещение. Если внутренних кандидатов нет, формируется запрос на внешний рынок труда. Используются средства массовой информации, специализированные сайты, социальные сети, рекомендации работников, собственный банк резюме, службы занятости и сотрудничество с учебными заведениями.</w:t>
      </w:r>
    </w:p>
    <w:p>
      <w:pPr>
        <w:spacing w:line="360" w:lineRule="auto"/>
        <w:ind w:firstLine="709"/>
        <w:jc w:val="both"/>
      </w:pPr>
      <w:r>
        <w:rPr>
          <w:rFonts w:ascii="Times New Roman" w:hAnsi="Times New Roman" w:eastAsia="Times New Roman"/>
          <w:sz w:val="28"/>
        </w:rPr>
        <w:t>Процедура отбора включает несколько этапов:</w:t>
      </w:r>
    </w:p>
    <w:p>
      <w:pPr>
        <w:pStyle w:val="ListNumber"/>
        <w:spacing w:line="360" w:lineRule="auto"/>
      </w:pPr>
      <w:r>
        <w:t>1. анализ заявки и требований к кандидату;</w:t>
      </w:r>
    </w:p>
    <w:p>
      <w:pPr>
        <w:pStyle w:val="ListNumber"/>
        <w:spacing w:line="360" w:lineRule="auto"/>
      </w:pPr>
      <w:r>
        <w:t>2. поиск кандидатов во внутренних и внешних источниках;</w:t>
      </w:r>
    </w:p>
    <w:p>
      <w:pPr>
        <w:pStyle w:val="ListNumber"/>
        <w:spacing w:line="360" w:lineRule="auto"/>
      </w:pPr>
      <w:r>
        <w:t>3. анализ резюме, откликов и анкет;</w:t>
      </w:r>
    </w:p>
    <w:p>
      <w:pPr>
        <w:pStyle w:val="ListNumber"/>
        <w:spacing w:line="360" w:lineRule="auto"/>
      </w:pPr>
      <w:r>
        <w:t>4. телефонное интервью и первичная оценка;</w:t>
      </w:r>
    </w:p>
    <w:p>
      <w:pPr>
        <w:pStyle w:val="ListNumber"/>
        <w:spacing w:line="360" w:lineRule="auto"/>
      </w:pPr>
      <w:r>
        <w:t>5. собеседование с HR-службой;</w:t>
      </w:r>
    </w:p>
    <w:p>
      <w:pPr>
        <w:pStyle w:val="ListNumber"/>
        <w:spacing w:line="360" w:lineRule="auto"/>
      </w:pPr>
      <w:r>
        <w:t>6. при необходимости - профессиональное собеседование с руководителем направления;</w:t>
      </w:r>
    </w:p>
    <w:p>
      <w:pPr>
        <w:pStyle w:val="ListNumber"/>
        <w:spacing w:line="360" w:lineRule="auto"/>
      </w:pPr>
      <w:r>
        <w:t>7. согласование кандидата руководителем структурного подразделения;</w:t>
      </w:r>
    </w:p>
    <w:p>
      <w:pPr>
        <w:pStyle w:val="ListNumber"/>
        <w:spacing w:line="360" w:lineRule="auto"/>
      </w:pPr>
      <w:r>
        <w:t>8. проверка в департаменте экономической безопасности;</w:t>
      </w:r>
    </w:p>
    <w:p>
      <w:pPr>
        <w:pStyle w:val="ListNumber"/>
        <w:spacing w:line="360" w:lineRule="auto"/>
      </w:pPr>
      <w:r>
        <w:t>9. финальное решение управляющего директора или уполномоченного лица;</w:t>
      </w:r>
    </w:p>
    <w:p>
      <w:pPr>
        <w:pStyle w:val="ListNumber"/>
        <w:spacing w:line="360" w:lineRule="auto"/>
      </w:pPr>
      <w:r>
        <w:t>10. оформление трудовых отношений.</w:t>
      </w:r>
    </w:p>
    <w:p>
      <w:pPr>
        <w:spacing w:line="360" w:lineRule="auto"/>
        <w:ind w:firstLine="709"/>
        <w:jc w:val="both"/>
      </w:pPr>
      <w:r>
        <w:rPr>
          <w:rFonts w:ascii="Times New Roman" w:hAnsi="Times New Roman" w:eastAsia="Times New Roman"/>
          <w:sz w:val="28"/>
        </w:rPr>
        <w:t>Положительной стороной процедуры является многоступенчатость оценки. Она снижает риск случайного найма, особенно на должности, связанные с материальной ответственностью, доступом к информации, работой с потребителями и финансовыми операциями. Однако многоступенчатость может увеличивать срок закрытия вакансии, поэтому для массовых и типовых позиций важно поддерживать достаточную базу кандидатов.</w:t>
      </w:r>
    </w:p>
    <w:p>
      <w:pPr>
        <w:spacing w:line="360" w:lineRule="auto"/>
        <w:ind w:firstLine="709"/>
        <w:jc w:val="both"/>
      </w:pPr>
      <w:r>
        <w:rPr>
          <w:rFonts w:ascii="Times New Roman" w:hAnsi="Times New Roman" w:eastAsia="Times New Roman"/>
          <w:sz w:val="28"/>
        </w:rPr>
        <w:t>В материалах практики отдельно представлено обоснование расходов на услуги по информационному обеспечению подбора персонала. В нем указано, что с целью оперативного закрытия вакансий используются следующие источники:</w:t>
      </w:r>
    </w:p>
    <w:p>
      <w:pPr>
        <w:pStyle w:val="ListBullet"/>
        <w:spacing w:line="360" w:lineRule="auto"/>
      </w:pPr>
      <w:r>
        <w:t>размещение объявлений на участках, внешнем сайте и внутреннем портале;</w:t>
      </w:r>
    </w:p>
    <w:p>
      <w:pPr>
        <w:pStyle w:val="ListBullet"/>
        <w:spacing w:line="360" w:lineRule="auto"/>
      </w:pPr>
      <w:r>
        <w:t>ротация персонала;</w:t>
      </w:r>
    </w:p>
    <w:p>
      <w:pPr>
        <w:pStyle w:val="ListBullet"/>
        <w:spacing w:line="360" w:lineRule="auto"/>
      </w:pPr>
      <w:r>
        <w:t>размещение информации в центрах занятости населения;</w:t>
      </w:r>
    </w:p>
    <w:p>
      <w:pPr>
        <w:pStyle w:val="ListBullet"/>
        <w:spacing w:line="360" w:lineRule="auto"/>
      </w:pPr>
      <w:r>
        <w:t>поиск кандидатов через социальные сети;</w:t>
      </w:r>
    </w:p>
    <w:p>
      <w:pPr>
        <w:pStyle w:val="ListBullet"/>
        <w:spacing w:line="360" w:lineRule="auto"/>
      </w:pPr>
      <w:r>
        <w:t>взаимодействие с отделами практики и трудоустройства учебных заведений;</w:t>
      </w:r>
    </w:p>
    <w:p>
      <w:pPr>
        <w:pStyle w:val="ListBullet"/>
        <w:spacing w:line="360" w:lineRule="auto"/>
      </w:pPr>
      <w:r>
        <w:t>размещение объявлений в районных газетах;</w:t>
      </w:r>
    </w:p>
    <w:p>
      <w:pPr>
        <w:pStyle w:val="ListBullet"/>
        <w:spacing w:line="360" w:lineRule="auto"/>
      </w:pPr>
      <w:r>
        <w:t>поиск кандидатов и размещение вакансий на специализированных порталах.</w:t>
      </w:r>
    </w:p>
    <w:p>
      <w:pPr>
        <w:spacing w:line="360" w:lineRule="auto"/>
        <w:ind w:firstLine="709"/>
        <w:jc w:val="both"/>
      </w:pPr>
      <w:r>
        <w:rPr>
          <w:rFonts w:ascii="Times New Roman" w:hAnsi="Times New Roman" w:eastAsia="Times New Roman"/>
          <w:sz w:val="28"/>
        </w:rPr>
        <w:t>Особое значение имеет ресурс hh.ru. По материалам практики ПАО «ТНС энерго НН» ежегодно публикует на hh.ru около 145 вакансий. Использование этого ресурса экономически обосновано, поскольку он позволяет не только размещать вакансии, но и работать с базой резюме. При поштучном размещении публикаций доступ к базе резюме не предоставляется, что снижает эффективность поиска. Пакетные решения, в том числе пакет «Стандарт», могут быть более рациональными при регулярной потребности в персонале, так как обеспечивают больший охват кандидатов и сокращают трудозатраты HR-специалистов.</w:t>
      </w:r>
    </w:p>
    <w:p>
      <w:pPr>
        <w:spacing w:line="360" w:lineRule="auto"/>
        <w:ind w:firstLine="709"/>
        <w:jc w:val="both"/>
      </w:pPr>
      <w:r>
        <w:rPr>
          <w:rFonts w:ascii="Times New Roman" w:hAnsi="Times New Roman" w:eastAsia="Times New Roman"/>
          <w:sz w:val="28"/>
        </w:rPr>
        <w:t>Сравнительная характеристика источников подбора представлена в таблице 4.</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spacing w:line="240" w:lineRule="auto"/>
              <w:jc w:val="center"/>
            </w:pPr>
            <w:r>
              <w:rPr>
                <w:rFonts w:ascii="Times New Roman" w:hAnsi="Times New Roman" w:eastAsia="Times New Roman"/>
                <w:b/>
                <w:sz w:val="20"/>
              </w:rPr>
              <w:t>Источник подбора</w:t>
            </w:r>
          </w:p>
        </w:tc>
        <w:tc>
          <w:tcPr>
            <w:tcW w:type="dxa" w:w="2422"/>
            <w:vAlign w:val="center"/>
            <w:shd w:fill="D9EAF7"/>
          </w:tcPr>
          <w:p>
            <w:pPr>
              <w:spacing w:line="240" w:lineRule="auto"/>
              <w:jc w:val="center"/>
            </w:pPr>
            <w:r>
              <w:rPr>
                <w:rFonts w:ascii="Times New Roman" w:hAnsi="Times New Roman" w:eastAsia="Times New Roman"/>
                <w:b/>
                <w:sz w:val="20"/>
              </w:rPr>
              <w:t>Преимущества</w:t>
            </w:r>
          </w:p>
        </w:tc>
        <w:tc>
          <w:tcPr>
            <w:tcW w:type="dxa" w:w="2422"/>
            <w:vAlign w:val="center"/>
            <w:shd w:fill="D9EAF7"/>
          </w:tcPr>
          <w:p>
            <w:pPr>
              <w:spacing w:line="240" w:lineRule="auto"/>
              <w:jc w:val="center"/>
            </w:pPr>
            <w:r>
              <w:rPr>
                <w:rFonts w:ascii="Times New Roman" w:hAnsi="Times New Roman" w:eastAsia="Times New Roman"/>
                <w:b/>
                <w:sz w:val="20"/>
              </w:rPr>
              <w:t>Ограничения</w:t>
            </w:r>
          </w:p>
        </w:tc>
        <w:tc>
          <w:tcPr>
            <w:tcW w:type="dxa" w:w="2422"/>
            <w:vAlign w:val="center"/>
            <w:shd w:fill="D9EAF7"/>
          </w:tcPr>
          <w:p>
            <w:pPr>
              <w:spacing w:line="240" w:lineRule="auto"/>
              <w:jc w:val="center"/>
            </w:pPr>
            <w:r>
              <w:rPr>
                <w:rFonts w:ascii="Times New Roman" w:hAnsi="Times New Roman" w:eastAsia="Times New Roman"/>
                <w:b/>
                <w:sz w:val="20"/>
              </w:rPr>
              <w:t>Роль в системе подбора</w:t>
            </w:r>
          </w:p>
        </w:tc>
      </w:tr>
      <w:tr>
        <w:tc>
          <w:tcPr>
            <w:tcW w:type="dxa" w:w="2422"/>
            <w:vAlign w:val="center"/>
          </w:tcPr>
          <w:p>
            <w:pPr>
              <w:spacing w:line="240" w:lineRule="auto"/>
              <w:jc w:val="left"/>
            </w:pPr>
            <w:r>
              <w:rPr>
                <w:rFonts w:ascii="Times New Roman" w:hAnsi="Times New Roman" w:eastAsia="Times New Roman"/>
                <w:b w:val="0"/>
                <w:sz w:val="20"/>
              </w:rPr>
              <w:t>Внутренний портал и объявления на участках</w:t>
            </w:r>
          </w:p>
        </w:tc>
        <w:tc>
          <w:tcPr>
            <w:tcW w:type="dxa" w:w="2422"/>
            <w:vAlign w:val="center"/>
          </w:tcPr>
          <w:p>
            <w:pPr>
              <w:spacing w:line="240" w:lineRule="auto"/>
              <w:jc w:val="left"/>
            </w:pPr>
            <w:r>
              <w:rPr>
                <w:rFonts w:ascii="Times New Roman" w:hAnsi="Times New Roman" w:eastAsia="Times New Roman"/>
                <w:b w:val="0"/>
                <w:sz w:val="20"/>
              </w:rPr>
              <w:t>Быстрый доступ к работникам, низкая стоимость</w:t>
            </w:r>
          </w:p>
        </w:tc>
        <w:tc>
          <w:tcPr>
            <w:tcW w:type="dxa" w:w="2422"/>
            <w:vAlign w:val="center"/>
          </w:tcPr>
          <w:p>
            <w:pPr>
              <w:spacing w:line="240" w:lineRule="auto"/>
              <w:jc w:val="left"/>
            </w:pPr>
            <w:r>
              <w:rPr>
                <w:rFonts w:ascii="Times New Roman" w:hAnsi="Times New Roman" w:eastAsia="Times New Roman"/>
                <w:b w:val="0"/>
                <w:sz w:val="20"/>
              </w:rPr>
              <w:t>Ограниченный круг кандидатов</w:t>
            </w:r>
          </w:p>
        </w:tc>
        <w:tc>
          <w:tcPr>
            <w:tcW w:type="dxa" w:w="2422"/>
            <w:vAlign w:val="center"/>
          </w:tcPr>
          <w:p>
            <w:pPr>
              <w:spacing w:line="240" w:lineRule="auto"/>
              <w:jc w:val="left"/>
            </w:pPr>
            <w:r>
              <w:rPr>
                <w:rFonts w:ascii="Times New Roman" w:hAnsi="Times New Roman" w:eastAsia="Times New Roman"/>
                <w:b w:val="0"/>
                <w:sz w:val="20"/>
              </w:rPr>
              <w:t>Ротация, внутреннее закрытие вакансий</w:t>
            </w:r>
          </w:p>
        </w:tc>
      </w:tr>
      <w:tr>
        <w:tc>
          <w:tcPr>
            <w:tcW w:type="dxa" w:w="2422"/>
            <w:vAlign w:val="center"/>
          </w:tcPr>
          <w:p>
            <w:pPr>
              <w:spacing w:line="240" w:lineRule="auto"/>
              <w:jc w:val="left"/>
            </w:pPr>
            <w:r>
              <w:rPr>
                <w:rFonts w:ascii="Times New Roman" w:hAnsi="Times New Roman" w:eastAsia="Times New Roman"/>
                <w:b w:val="0"/>
                <w:sz w:val="20"/>
              </w:rPr>
              <w:t>Центры занятости населения</w:t>
            </w:r>
          </w:p>
        </w:tc>
        <w:tc>
          <w:tcPr>
            <w:tcW w:type="dxa" w:w="2422"/>
            <w:vAlign w:val="center"/>
          </w:tcPr>
          <w:p>
            <w:pPr>
              <w:spacing w:line="240" w:lineRule="auto"/>
              <w:jc w:val="left"/>
            </w:pPr>
            <w:r>
              <w:rPr>
                <w:rFonts w:ascii="Times New Roman" w:hAnsi="Times New Roman" w:eastAsia="Times New Roman"/>
                <w:b w:val="0"/>
                <w:sz w:val="20"/>
              </w:rPr>
              <w:t>Бесплатный официальный канал, социальная направленность</w:t>
            </w:r>
          </w:p>
        </w:tc>
        <w:tc>
          <w:tcPr>
            <w:tcW w:type="dxa" w:w="2422"/>
            <w:vAlign w:val="center"/>
          </w:tcPr>
          <w:p>
            <w:pPr>
              <w:spacing w:line="240" w:lineRule="auto"/>
              <w:jc w:val="left"/>
            </w:pPr>
            <w:r>
              <w:rPr>
                <w:rFonts w:ascii="Times New Roman" w:hAnsi="Times New Roman" w:eastAsia="Times New Roman"/>
                <w:b w:val="0"/>
                <w:sz w:val="20"/>
              </w:rPr>
              <w:t>Не всегда достаточное качество откликов</w:t>
            </w:r>
          </w:p>
        </w:tc>
        <w:tc>
          <w:tcPr>
            <w:tcW w:type="dxa" w:w="2422"/>
            <w:vAlign w:val="center"/>
          </w:tcPr>
          <w:p>
            <w:pPr>
              <w:spacing w:line="240" w:lineRule="auto"/>
              <w:jc w:val="left"/>
            </w:pPr>
            <w:r>
              <w:rPr>
                <w:rFonts w:ascii="Times New Roman" w:hAnsi="Times New Roman" w:eastAsia="Times New Roman"/>
                <w:b w:val="0"/>
                <w:sz w:val="20"/>
              </w:rPr>
              <w:t>Подбор на типовые позиции</w:t>
            </w:r>
          </w:p>
        </w:tc>
      </w:tr>
      <w:tr>
        <w:tc>
          <w:tcPr>
            <w:tcW w:type="dxa" w:w="2422"/>
            <w:vAlign w:val="center"/>
          </w:tcPr>
          <w:p>
            <w:pPr>
              <w:spacing w:line="240" w:lineRule="auto"/>
              <w:jc w:val="left"/>
            </w:pPr>
            <w:r>
              <w:rPr>
                <w:rFonts w:ascii="Times New Roman" w:hAnsi="Times New Roman" w:eastAsia="Times New Roman"/>
                <w:b w:val="0"/>
                <w:sz w:val="20"/>
              </w:rPr>
              <w:t>Учебные заведения</w:t>
            </w:r>
          </w:p>
        </w:tc>
        <w:tc>
          <w:tcPr>
            <w:tcW w:type="dxa" w:w="2422"/>
            <w:vAlign w:val="center"/>
          </w:tcPr>
          <w:p>
            <w:pPr>
              <w:spacing w:line="240" w:lineRule="auto"/>
              <w:jc w:val="left"/>
            </w:pPr>
            <w:r>
              <w:rPr>
                <w:rFonts w:ascii="Times New Roman" w:hAnsi="Times New Roman" w:eastAsia="Times New Roman"/>
                <w:b w:val="0"/>
                <w:sz w:val="20"/>
              </w:rPr>
              <w:t>Доступ к молодым специалистам</w:t>
            </w:r>
          </w:p>
        </w:tc>
        <w:tc>
          <w:tcPr>
            <w:tcW w:type="dxa" w:w="2422"/>
            <w:vAlign w:val="center"/>
          </w:tcPr>
          <w:p>
            <w:pPr>
              <w:spacing w:line="240" w:lineRule="auto"/>
              <w:jc w:val="left"/>
            </w:pPr>
            <w:r>
              <w:rPr>
                <w:rFonts w:ascii="Times New Roman" w:hAnsi="Times New Roman" w:eastAsia="Times New Roman"/>
                <w:b w:val="0"/>
                <w:sz w:val="20"/>
              </w:rPr>
              <w:t>Требуется адаптация и обучение</w:t>
            </w:r>
          </w:p>
        </w:tc>
        <w:tc>
          <w:tcPr>
            <w:tcW w:type="dxa" w:w="2422"/>
            <w:vAlign w:val="center"/>
          </w:tcPr>
          <w:p>
            <w:pPr>
              <w:spacing w:line="240" w:lineRule="auto"/>
              <w:jc w:val="left"/>
            </w:pPr>
            <w:r>
              <w:rPr>
                <w:rFonts w:ascii="Times New Roman" w:hAnsi="Times New Roman" w:eastAsia="Times New Roman"/>
                <w:b w:val="0"/>
                <w:sz w:val="20"/>
              </w:rPr>
              <w:t>Формирование кадрового резерва</w:t>
            </w:r>
          </w:p>
        </w:tc>
      </w:tr>
      <w:tr>
        <w:tc>
          <w:tcPr>
            <w:tcW w:type="dxa" w:w="2422"/>
            <w:vAlign w:val="center"/>
          </w:tcPr>
          <w:p>
            <w:pPr>
              <w:spacing w:line="240" w:lineRule="auto"/>
              <w:jc w:val="left"/>
            </w:pPr>
            <w:r>
              <w:rPr>
                <w:rFonts w:ascii="Times New Roman" w:hAnsi="Times New Roman" w:eastAsia="Times New Roman"/>
                <w:b w:val="0"/>
                <w:sz w:val="20"/>
              </w:rPr>
              <w:t>Районные газеты</w:t>
            </w:r>
          </w:p>
        </w:tc>
        <w:tc>
          <w:tcPr>
            <w:tcW w:type="dxa" w:w="2422"/>
            <w:vAlign w:val="center"/>
          </w:tcPr>
          <w:p>
            <w:pPr>
              <w:spacing w:line="240" w:lineRule="auto"/>
              <w:jc w:val="left"/>
            </w:pPr>
            <w:r>
              <w:rPr>
                <w:rFonts w:ascii="Times New Roman" w:hAnsi="Times New Roman" w:eastAsia="Times New Roman"/>
                <w:b w:val="0"/>
                <w:sz w:val="20"/>
              </w:rPr>
              <w:t>Охват локального рынка труда</w:t>
            </w:r>
          </w:p>
        </w:tc>
        <w:tc>
          <w:tcPr>
            <w:tcW w:type="dxa" w:w="2422"/>
            <w:vAlign w:val="center"/>
          </w:tcPr>
          <w:p>
            <w:pPr>
              <w:spacing w:line="240" w:lineRule="auto"/>
              <w:jc w:val="left"/>
            </w:pPr>
            <w:r>
              <w:rPr>
                <w:rFonts w:ascii="Times New Roman" w:hAnsi="Times New Roman" w:eastAsia="Times New Roman"/>
                <w:b w:val="0"/>
                <w:sz w:val="20"/>
              </w:rPr>
              <w:t>Низкая скорость и ограниченная аналитика</w:t>
            </w:r>
          </w:p>
        </w:tc>
        <w:tc>
          <w:tcPr>
            <w:tcW w:type="dxa" w:w="2422"/>
            <w:vAlign w:val="center"/>
          </w:tcPr>
          <w:p>
            <w:pPr>
              <w:spacing w:line="240" w:lineRule="auto"/>
              <w:jc w:val="left"/>
            </w:pPr>
            <w:r>
              <w:rPr>
                <w:rFonts w:ascii="Times New Roman" w:hAnsi="Times New Roman" w:eastAsia="Times New Roman"/>
                <w:b w:val="0"/>
                <w:sz w:val="20"/>
              </w:rPr>
              <w:t>Подбор в отделениях и районах области</w:t>
            </w:r>
          </w:p>
        </w:tc>
      </w:tr>
      <w:tr>
        <w:tc>
          <w:tcPr>
            <w:tcW w:type="dxa" w:w="2422"/>
            <w:vAlign w:val="center"/>
          </w:tcPr>
          <w:p>
            <w:pPr>
              <w:spacing w:line="240" w:lineRule="auto"/>
              <w:jc w:val="left"/>
            </w:pPr>
            <w:r>
              <w:rPr>
                <w:rFonts w:ascii="Times New Roman" w:hAnsi="Times New Roman" w:eastAsia="Times New Roman"/>
                <w:b w:val="0"/>
                <w:sz w:val="20"/>
              </w:rPr>
              <w:t>Социальные сети</w:t>
            </w:r>
          </w:p>
        </w:tc>
        <w:tc>
          <w:tcPr>
            <w:tcW w:type="dxa" w:w="2422"/>
            <w:vAlign w:val="center"/>
          </w:tcPr>
          <w:p>
            <w:pPr>
              <w:spacing w:line="240" w:lineRule="auto"/>
              <w:jc w:val="left"/>
            </w:pPr>
            <w:r>
              <w:rPr>
                <w:rFonts w:ascii="Times New Roman" w:hAnsi="Times New Roman" w:eastAsia="Times New Roman"/>
                <w:b w:val="0"/>
                <w:sz w:val="20"/>
              </w:rPr>
              <w:t>Быстрое распространение информации</w:t>
            </w:r>
          </w:p>
        </w:tc>
        <w:tc>
          <w:tcPr>
            <w:tcW w:type="dxa" w:w="2422"/>
            <w:vAlign w:val="center"/>
          </w:tcPr>
          <w:p>
            <w:pPr>
              <w:spacing w:line="240" w:lineRule="auto"/>
              <w:jc w:val="left"/>
            </w:pPr>
            <w:r>
              <w:rPr>
                <w:rFonts w:ascii="Times New Roman" w:hAnsi="Times New Roman" w:eastAsia="Times New Roman"/>
                <w:b w:val="0"/>
                <w:sz w:val="20"/>
              </w:rPr>
              <w:t>Нужны постоянные коммуникации и фильтрация</w:t>
            </w:r>
          </w:p>
        </w:tc>
        <w:tc>
          <w:tcPr>
            <w:tcW w:type="dxa" w:w="2422"/>
            <w:vAlign w:val="center"/>
          </w:tcPr>
          <w:p>
            <w:pPr>
              <w:spacing w:line="240" w:lineRule="auto"/>
              <w:jc w:val="left"/>
            </w:pPr>
            <w:r>
              <w:rPr>
                <w:rFonts w:ascii="Times New Roman" w:hAnsi="Times New Roman" w:eastAsia="Times New Roman"/>
                <w:b w:val="0"/>
                <w:sz w:val="20"/>
              </w:rPr>
              <w:t>Поддержка HR-бренда</w:t>
            </w:r>
          </w:p>
        </w:tc>
      </w:tr>
      <w:tr>
        <w:tc>
          <w:tcPr>
            <w:tcW w:type="dxa" w:w="2422"/>
            <w:vAlign w:val="center"/>
          </w:tcPr>
          <w:p>
            <w:pPr>
              <w:spacing w:line="240" w:lineRule="auto"/>
              <w:jc w:val="left"/>
            </w:pPr>
            <w:r>
              <w:rPr>
                <w:rFonts w:ascii="Times New Roman" w:hAnsi="Times New Roman" w:eastAsia="Times New Roman"/>
                <w:b w:val="0"/>
                <w:sz w:val="20"/>
              </w:rPr>
              <w:t>hh.ru</w:t>
            </w:r>
          </w:p>
        </w:tc>
        <w:tc>
          <w:tcPr>
            <w:tcW w:type="dxa" w:w="2422"/>
            <w:vAlign w:val="center"/>
          </w:tcPr>
          <w:p>
            <w:pPr>
              <w:spacing w:line="240" w:lineRule="auto"/>
              <w:jc w:val="left"/>
            </w:pPr>
            <w:r>
              <w:rPr>
                <w:rFonts w:ascii="Times New Roman" w:hAnsi="Times New Roman" w:eastAsia="Times New Roman"/>
                <w:b w:val="0"/>
                <w:sz w:val="20"/>
              </w:rPr>
              <w:t>Большая база резюме, отклики, поиск по параметрам</w:t>
            </w:r>
          </w:p>
        </w:tc>
        <w:tc>
          <w:tcPr>
            <w:tcW w:type="dxa" w:w="2422"/>
            <w:vAlign w:val="center"/>
          </w:tcPr>
          <w:p>
            <w:pPr>
              <w:spacing w:line="240" w:lineRule="auto"/>
              <w:jc w:val="left"/>
            </w:pPr>
            <w:r>
              <w:rPr>
                <w:rFonts w:ascii="Times New Roman" w:hAnsi="Times New Roman" w:eastAsia="Times New Roman"/>
                <w:b w:val="0"/>
                <w:sz w:val="20"/>
              </w:rPr>
              <w:t>Платный сервис</w:t>
            </w:r>
          </w:p>
        </w:tc>
        <w:tc>
          <w:tcPr>
            <w:tcW w:type="dxa" w:w="2422"/>
            <w:vAlign w:val="center"/>
          </w:tcPr>
          <w:p>
            <w:pPr>
              <w:spacing w:line="240" w:lineRule="auto"/>
              <w:jc w:val="left"/>
            </w:pPr>
            <w:r>
              <w:rPr>
                <w:rFonts w:ascii="Times New Roman" w:hAnsi="Times New Roman" w:eastAsia="Times New Roman"/>
                <w:b w:val="0"/>
                <w:sz w:val="20"/>
              </w:rPr>
              <w:t>Оперативное закрытие вакансий и доступ к рынку труда</w:t>
            </w:r>
          </w:p>
        </w:tc>
      </w:tr>
    </w:tbl>
    <w:p/>
    <w:p>
      <w:pPr>
        <w:spacing w:line="360" w:lineRule="auto"/>
        <w:ind w:firstLine="709"/>
        <w:jc w:val="both"/>
      </w:pPr>
      <w:r>
        <w:rPr>
          <w:rFonts w:ascii="Times New Roman" w:hAnsi="Times New Roman" w:eastAsia="Times New Roman"/>
          <w:sz w:val="28"/>
        </w:rPr>
        <w:t>Таблица 4 - Источники подбора персонала ПАО «ТНС энерго НН»</w:t>
      </w:r>
    </w:p>
    <w:p>
      <w:pPr>
        <w:spacing w:line="360" w:lineRule="auto"/>
        <w:ind w:firstLine="709"/>
        <w:jc w:val="both"/>
      </w:pPr>
      <w:r>
        <w:rPr>
          <w:rFonts w:ascii="Times New Roman" w:hAnsi="Times New Roman" w:eastAsia="Times New Roman"/>
          <w:sz w:val="28"/>
        </w:rPr>
        <w:t>Для анализа движения персонала использованы данные на март 2026 года, предоставленные в задании. Они отражают текущую кадровую ситуацию и позволяют оценить интенсивность приема и увольнений.</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Показатель</w:t>
            </w:r>
          </w:p>
        </w:tc>
        <w:tc>
          <w:tcPr>
            <w:tcW w:type="dxa" w:w="3230"/>
            <w:vAlign w:val="center"/>
            <w:shd w:fill="D9EAF7"/>
          </w:tcPr>
          <w:p>
            <w:pPr>
              <w:spacing w:line="240" w:lineRule="auto"/>
              <w:jc w:val="center"/>
            </w:pPr>
            <w:r>
              <w:rPr>
                <w:rFonts w:ascii="Times New Roman" w:hAnsi="Times New Roman" w:eastAsia="Times New Roman"/>
                <w:b/>
                <w:sz w:val="20"/>
              </w:rPr>
              <w:t>Значение на март 2026 года</w:t>
            </w:r>
          </w:p>
        </w:tc>
        <w:tc>
          <w:tcPr>
            <w:tcW w:type="dxa" w:w="3230"/>
            <w:vAlign w:val="center"/>
            <w:shd w:fill="D9EAF7"/>
          </w:tcPr>
          <w:p>
            <w:pPr>
              <w:spacing w:line="240" w:lineRule="auto"/>
              <w:jc w:val="center"/>
            </w:pPr>
            <w:r>
              <w:rPr>
                <w:rFonts w:ascii="Times New Roman" w:hAnsi="Times New Roman" w:eastAsia="Times New Roman"/>
                <w:b/>
                <w:sz w:val="20"/>
              </w:rPr>
              <w:t>Аналитический комментарий</w:t>
            </w:r>
          </w:p>
        </w:tc>
      </w:tr>
      <w:tr>
        <w:tc>
          <w:tcPr>
            <w:tcW w:type="dxa" w:w="3230"/>
            <w:vAlign w:val="center"/>
          </w:tcPr>
          <w:p>
            <w:pPr>
              <w:spacing w:line="240" w:lineRule="auto"/>
              <w:jc w:val="left"/>
            </w:pPr>
            <w:r>
              <w:rPr>
                <w:rFonts w:ascii="Times New Roman" w:hAnsi="Times New Roman" w:eastAsia="Times New Roman"/>
                <w:b w:val="0"/>
                <w:sz w:val="20"/>
              </w:rPr>
              <w:t>Принято работников</w:t>
            </w:r>
          </w:p>
        </w:tc>
        <w:tc>
          <w:tcPr>
            <w:tcW w:type="dxa" w:w="3230"/>
            <w:vAlign w:val="center"/>
          </w:tcPr>
          <w:p>
            <w:pPr>
              <w:spacing w:line="240" w:lineRule="auto"/>
              <w:jc w:val="left"/>
            </w:pPr>
            <w:r>
              <w:rPr>
                <w:rFonts w:ascii="Times New Roman" w:hAnsi="Times New Roman" w:eastAsia="Times New Roman"/>
                <w:b w:val="0"/>
                <w:sz w:val="20"/>
              </w:rPr>
              <w:t>9 чел.</w:t>
            </w:r>
          </w:p>
        </w:tc>
        <w:tc>
          <w:tcPr>
            <w:tcW w:type="dxa" w:w="3230"/>
            <w:vAlign w:val="center"/>
          </w:tcPr>
          <w:p>
            <w:pPr>
              <w:spacing w:line="240" w:lineRule="auto"/>
              <w:jc w:val="left"/>
            </w:pPr>
            <w:r>
              <w:rPr>
                <w:rFonts w:ascii="Times New Roman" w:hAnsi="Times New Roman" w:eastAsia="Times New Roman"/>
                <w:b w:val="0"/>
                <w:sz w:val="20"/>
              </w:rPr>
              <w:t>Прием идет, но не компенсирует увольнения месяца</w:t>
            </w:r>
          </w:p>
        </w:tc>
      </w:tr>
      <w:tr>
        <w:tc>
          <w:tcPr>
            <w:tcW w:type="dxa" w:w="3230"/>
            <w:vAlign w:val="center"/>
          </w:tcPr>
          <w:p>
            <w:pPr>
              <w:spacing w:line="240" w:lineRule="auto"/>
              <w:jc w:val="left"/>
            </w:pPr>
            <w:r>
              <w:rPr>
                <w:rFonts w:ascii="Times New Roman" w:hAnsi="Times New Roman" w:eastAsia="Times New Roman"/>
                <w:b w:val="0"/>
                <w:sz w:val="20"/>
              </w:rPr>
              <w:t>Уволено работников</w:t>
            </w:r>
          </w:p>
        </w:tc>
        <w:tc>
          <w:tcPr>
            <w:tcW w:type="dxa" w:w="3230"/>
            <w:vAlign w:val="center"/>
          </w:tcPr>
          <w:p>
            <w:pPr>
              <w:spacing w:line="240" w:lineRule="auto"/>
              <w:jc w:val="left"/>
            </w:pPr>
            <w:r>
              <w:rPr>
                <w:rFonts w:ascii="Times New Roman" w:hAnsi="Times New Roman" w:eastAsia="Times New Roman"/>
                <w:b w:val="0"/>
                <w:sz w:val="20"/>
              </w:rPr>
              <w:t>19 чел.</w:t>
            </w:r>
          </w:p>
        </w:tc>
        <w:tc>
          <w:tcPr>
            <w:tcW w:type="dxa" w:w="3230"/>
            <w:vAlign w:val="center"/>
          </w:tcPr>
          <w:p>
            <w:pPr>
              <w:spacing w:line="240" w:lineRule="auto"/>
              <w:jc w:val="left"/>
            </w:pPr>
            <w:r>
              <w:rPr>
                <w:rFonts w:ascii="Times New Roman" w:hAnsi="Times New Roman" w:eastAsia="Times New Roman"/>
                <w:b w:val="0"/>
                <w:sz w:val="20"/>
              </w:rPr>
              <w:t>Увольнений на 10 человек больше, чем приемов</w:t>
            </w:r>
          </w:p>
        </w:tc>
      </w:tr>
      <w:tr>
        <w:tc>
          <w:tcPr>
            <w:tcW w:type="dxa" w:w="3230"/>
            <w:vAlign w:val="center"/>
          </w:tcPr>
          <w:p>
            <w:pPr>
              <w:spacing w:line="240" w:lineRule="auto"/>
              <w:jc w:val="left"/>
            </w:pPr>
            <w:r>
              <w:rPr>
                <w:rFonts w:ascii="Times New Roman" w:hAnsi="Times New Roman" w:eastAsia="Times New Roman"/>
                <w:b w:val="0"/>
                <w:sz w:val="20"/>
              </w:rPr>
              <w:t>Чистое изменение численности</w:t>
            </w:r>
          </w:p>
        </w:tc>
        <w:tc>
          <w:tcPr>
            <w:tcW w:type="dxa" w:w="3230"/>
            <w:vAlign w:val="center"/>
          </w:tcPr>
          <w:p>
            <w:pPr>
              <w:spacing w:line="240" w:lineRule="auto"/>
              <w:jc w:val="left"/>
            </w:pPr>
            <w:r>
              <w:rPr>
                <w:rFonts w:ascii="Times New Roman" w:hAnsi="Times New Roman" w:eastAsia="Times New Roman"/>
                <w:b w:val="0"/>
                <w:sz w:val="20"/>
              </w:rPr>
              <w:t>-10 чел.</w:t>
            </w:r>
          </w:p>
        </w:tc>
        <w:tc>
          <w:tcPr>
            <w:tcW w:type="dxa" w:w="3230"/>
            <w:vAlign w:val="center"/>
          </w:tcPr>
          <w:p>
            <w:pPr>
              <w:spacing w:line="240" w:lineRule="auto"/>
              <w:jc w:val="left"/>
            </w:pPr>
            <w:r>
              <w:rPr>
                <w:rFonts w:ascii="Times New Roman" w:hAnsi="Times New Roman" w:eastAsia="Times New Roman"/>
                <w:b w:val="0"/>
                <w:sz w:val="20"/>
              </w:rPr>
              <w:t>Наблюдается отрицательное сальдо движения персонала</w:t>
            </w:r>
          </w:p>
        </w:tc>
      </w:tr>
      <w:tr>
        <w:tc>
          <w:tcPr>
            <w:tcW w:type="dxa" w:w="3230"/>
            <w:vAlign w:val="center"/>
          </w:tcPr>
          <w:p>
            <w:pPr>
              <w:spacing w:line="240" w:lineRule="auto"/>
              <w:jc w:val="left"/>
            </w:pPr>
            <w:r>
              <w:rPr>
                <w:rFonts w:ascii="Times New Roman" w:hAnsi="Times New Roman" w:eastAsia="Times New Roman"/>
                <w:b w:val="0"/>
                <w:sz w:val="20"/>
              </w:rPr>
              <w:t>Коэффициент текучести</w:t>
            </w:r>
          </w:p>
        </w:tc>
        <w:tc>
          <w:tcPr>
            <w:tcW w:type="dxa" w:w="3230"/>
            <w:vAlign w:val="center"/>
          </w:tcPr>
          <w:p>
            <w:pPr>
              <w:spacing w:line="240" w:lineRule="auto"/>
              <w:jc w:val="left"/>
            </w:pPr>
            <w:r>
              <w:rPr>
                <w:rFonts w:ascii="Times New Roman" w:hAnsi="Times New Roman" w:eastAsia="Times New Roman"/>
                <w:b w:val="0"/>
                <w:sz w:val="20"/>
              </w:rPr>
              <w:t>2,10%</w:t>
            </w:r>
          </w:p>
        </w:tc>
        <w:tc>
          <w:tcPr>
            <w:tcW w:type="dxa" w:w="3230"/>
            <w:vAlign w:val="center"/>
          </w:tcPr>
          <w:p>
            <w:pPr>
              <w:spacing w:line="240" w:lineRule="auto"/>
              <w:jc w:val="left"/>
            </w:pPr>
            <w:r>
              <w:rPr>
                <w:rFonts w:ascii="Times New Roman" w:hAnsi="Times New Roman" w:eastAsia="Times New Roman"/>
                <w:b w:val="0"/>
                <w:sz w:val="20"/>
              </w:rPr>
              <w:t>Умеренный месячный показатель, требующий наблюдения в динамике</w:t>
            </w:r>
          </w:p>
        </w:tc>
      </w:tr>
      <w:tr>
        <w:tc>
          <w:tcPr>
            <w:tcW w:type="dxa" w:w="3230"/>
            <w:vAlign w:val="center"/>
          </w:tcPr>
          <w:p>
            <w:pPr>
              <w:spacing w:line="240" w:lineRule="auto"/>
              <w:jc w:val="left"/>
            </w:pPr>
            <w:r>
              <w:rPr>
                <w:rFonts w:ascii="Times New Roman" w:hAnsi="Times New Roman" w:eastAsia="Times New Roman"/>
                <w:b w:val="0"/>
                <w:sz w:val="20"/>
              </w:rPr>
              <w:t>Среднесписочная численность</w:t>
            </w:r>
          </w:p>
        </w:tc>
        <w:tc>
          <w:tcPr>
            <w:tcW w:type="dxa" w:w="3230"/>
            <w:vAlign w:val="center"/>
          </w:tcPr>
          <w:p>
            <w:pPr>
              <w:spacing w:line="240" w:lineRule="auto"/>
              <w:jc w:val="left"/>
            </w:pPr>
            <w:r>
              <w:rPr>
                <w:rFonts w:ascii="Times New Roman" w:hAnsi="Times New Roman" w:eastAsia="Times New Roman"/>
                <w:b w:val="0"/>
                <w:sz w:val="20"/>
              </w:rPr>
              <w:t>901,8 чел.</w:t>
            </w:r>
          </w:p>
        </w:tc>
        <w:tc>
          <w:tcPr>
            <w:tcW w:type="dxa" w:w="3230"/>
            <w:vAlign w:val="center"/>
          </w:tcPr>
          <w:p>
            <w:pPr>
              <w:spacing w:line="240" w:lineRule="auto"/>
              <w:jc w:val="left"/>
            </w:pPr>
            <w:r>
              <w:rPr>
                <w:rFonts w:ascii="Times New Roman" w:hAnsi="Times New Roman" w:eastAsia="Times New Roman"/>
                <w:b w:val="0"/>
                <w:sz w:val="20"/>
              </w:rPr>
              <w:t>База для расчета кадровых коэффициентов</w:t>
            </w:r>
          </w:p>
        </w:tc>
      </w:tr>
      <w:tr>
        <w:tc>
          <w:tcPr>
            <w:tcW w:type="dxa" w:w="3230"/>
            <w:vAlign w:val="center"/>
          </w:tcPr>
          <w:p>
            <w:pPr>
              <w:spacing w:line="240" w:lineRule="auto"/>
              <w:jc w:val="left"/>
            </w:pPr>
            <w:r>
              <w:rPr>
                <w:rFonts w:ascii="Times New Roman" w:hAnsi="Times New Roman" w:eastAsia="Times New Roman"/>
                <w:b w:val="0"/>
                <w:sz w:val="20"/>
              </w:rPr>
              <w:t>Внешние совместители</w:t>
            </w:r>
          </w:p>
        </w:tc>
        <w:tc>
          <w:tcPr>
            <w:tcW w:type="dxa" w:w="3230"/>
            <w:vAlign w:val="center"/>
          </w:tcPr>
          <w:p>
            <w:pPr>
              <w:spacing w:line="240" w:lineRule="auto"/>
              <w:jc w:val="left"/>
            </w:pPr>
            <w:r>
              <w:rPr>
                <w:rFonts w:ascii="Times New Roman" w:hAnsi="Times New Roman" w:eastAsia="Times New Roman"/>
                <w:b w:val="0"/>
                <w:sz w:val="20"/>
              </w:rPr>
              <w:t>1,7 чел.</w:t>
            </w:r>
          </w:p>
        </w:tc>
        <w:tc>
          <w:tcPr>
            <w:tcW w:type="dxa" w:w="3230"/>
            <w:vAlign w:val="center"/>
          </w:tcPr>
          <w:p>
            <w:pPr>
              <w:spacing w:line="240" w:lineRule="auto"/>
              <w:jc w:val="left"/>
            </w:pPr>
            <w:r>
              <w:rPr>
                <w:rFonts w:ascii="Times New Roman" w:hAnsi="Times New Roman" w:eastAsia="Times New Roman"/>
                <w:b w:val="0"/>
                <w:sz w:val="20"/>
              </w:rPr>
              <w:t>Доля внешнего совместительства незначительна</w:t>
            </w:r>
          </w:p>
        </w:tc>
      </w:tr>
      <w:tr>
        <w:tc>
          <w:tcPr>
            <w:tcW w:type="dxa" w:w="3230"/>
            <w:vAlign w:val="center"/>
          </w:tcPr>
          <w:p>
            <w:pPr>
              <w:spacing w:line="240" w:lineRule="auto"/>
              <w:jc w:val="left"/>
            </w:pPr>
            <w:r>
              <w:rPr>
                <w:rFonts w:ascii="Times New Roman" w:hAnsi="Times New Roman" w:eastAsia="Times New Roman"/>
                <w:b w:val="0"/>
                <w:sz w:val="20"/>
              </w:rPr>
              <w:t>Работники по договорам</w:t>
            </w:r>
          </w:p>
        </w:tc>
        <w:tc>
          <w:tcPr>
            <w:tcW w:type="dxa" w:w="3230"/>
            <w:vAlign w:val="center"/>
          </w:tcPr>
          <w:p>
            <w:pPr>
              <w:spacing w:line="240" w:lineRule="auto"/>
              <w:jc w:val="left"/>
            </w:pPr>
            <w:r>
              <w:rPr>
                <w:rFonts w:ascii="Times New Roman" w:hAnsi="Times New Roman" w:eastAsia="Times New Roman"/>
                <w:b w:val="0"/>
                <w:sz w:val="20"/>
              </w:rPr>
              <w:t>10 чел.</w:t>
            </w:r>
          </w:p>
        </w:tc>
        <w:tc>
          <w:tcPr>
            <w:tcW w:type="dxa" w:w="3230"/>
            <w:vAlign w:val="center"/>
          </w:tcPr>
          <w:p>
            <w:pPr>
              <w:spacing w:line="240" w:lineRule="auto"/>
              <w:jc w:val="left"/>
            </w:pPr>
            <w:r>
              <w:rPr>
                <w:rFonts w:ascii="Times New Roman" w:hAnsi="Times New Roman" w:eastAsia="Times New Roman"/>
                <w:b w:val="0"/>
                <w:sz w:val="20"/>
              </w:rPr>
              <w:t>Используется ограниченное привлечение договорников</w:t>
            </w:r>
          </w:p>
        </w:tc>
      </w:tr>
      <w:tr>
        <w:tc>
          <w:tcPr>
            <w:tcW w:type="dxa" w:w="3230"/>
            <w:vAlign w:val="center"/>
          </w:tcPr>
          <w:p>
            <w:pPr>
              <w:spacing w:line="240" w:lineRule="auto"/>
              <w:jc w:val="left"/>
            </w:pPr>
            <w:r>
              <w:rPr>
                <w:rFonts w:ascii="Times New Roman" w:hAnsi="Times New Roman" w:eastAsia="Times New Roman"/>
                <w:b w:val="0"/>
                <w:sz w:val="20"/>
              </w:rPr>
              <w:t>Списочная численность</w:t>
            </w:r>
          </w:p>
        </w:tc>
        <w:tc>
          <w:tcPr>
            <w:tcW w:type="dxa" w:w="3230"/>
            <w:vAlign w:val="center"/>
          </w:tcPr>
          <w:p>
            <w:pPr>
              <w:spacing w:line="240" w:lineRule="auto"/>
              <w:jc w:val="left"/>
            </w:pPr>
            <w:r>
              <w:rPr>
                <w:rFonts w:ascii="Times New Roman" w:hAnsi="Times New Roman" w:eastAsia="Times New Roman"/>
                <w:b w:val="0"/>
                <w:sz w:val="20"/>
              </w:rPr>
              <w:t>950,0 чел.</w:t>
            </w:r>
          </w:p>
        </w:tc>
        <w:tc>
          <w:tcPr>
            <w:tcW w:type="dxa" w:w="3230"/>
            <w:vAlign w:val="center"/>
          </w:tcPr>
          <w:p>
            <w:pPr>
              <w:spacing w:line="240" w:lineRule="auto"/>
              <w:jc w:val="left"/>
            </w:pPr>
            <w:r>
              <w:rPr>
                <w:rFonts w:ascii="Times New Roman" w:hAnsi="Times New Roman" w:eastAsia="Times New Roman"/>
                <w:b w:val="0"/>
                <w:sz w:val="20"/>
              </w:rPr>
              <w:t>Общая численность персонала по списку</w:t>
            </w:r>
          </w:p>
        </w:tc>
      </w:tr>
      <w:tr>
        <w:tc>
          <w:tcPr>
            <w:tcW w:type="dxa" w:w="3230"/>
            <w:vAlign w:val="center"/>
          </w:tcPr>
          <w:p>
            <w:pPr>
              <w:spacing w:line="240" w:lineRule="auto"/>
              <w:jc w:val="left"/>
            </w:pPr>
            <w:r>
              <w:rPr>
                <w:rFonts w:ascii="Times New Roman" w:hAnsi="Times New Roman" w:eastAsia="Times New Roman"/>
                <w:b w:val="0"/>
                <w:sz w:val="20"/>
              </w:rPr>
              <w:t>Женщины</w:t>
            </w:r>
          </w:p>
        </w:tc>
        <w:tc>
          <w:tcPr>
            <w:tcW w:type="dxa" w:w="3230"/>
            <w:vAlign w:val="center"/>
          </w:tcPr>
          <w:p>
            <w:pPr>
              <w:spacing w:line="240" w:lineRule="auto"/>
              <w:jc w:val="left"/>
            </w:pPr>
            <w:r>
              <w:rPr>
                <w:rFonts w:ascii="Times New Roman" w:hAnsi="Times New Roman" w:eastAsia="Times New Roman"/>
                <w:b w:val="0"/>
                <w:sz w:val="20"/>
              </w:rPr>
              <w:t>656,2 чел.</w:t>
            </w:r>
          </w:p>
        </w:tc>
        <w:tc>
          <w:tcPr>
            <w:tcW w:type="dxa" w:w="3230"/>
            <w:vAlign w:val="center"/>
          </w:tcPr>
          <w:p>
            <w:pPr>
              <w:spacing w:line="240" w:lineRule="auto"/>
              <w:jc w:val="left"/>
            </w:pPr>
            <w:r>
              <w:rPr>
                <w:rFonts w:ascii="Times New Roman" w:hAnsi="Times New Roman" w:eastAsia="Times New Roman"/>
                <w:b w:val="0"/>
                <w:sz w:val="20"/>
              </w:rPr>
              <w:t>Около 69,1% списочной численности</w:t>
            </w:r>
          </w:p>
        </w:tc>
      </w:tr>
      <w:tr>
        <w:tc>
          <w:tcPr>
            <w:tcW w:type="dxa" w:w="3230"/>
            <w:vAlign w:val="center"/>
          </w:tcPr>
          <w:p>
            <w:pPr>
              <w:spacing w:line="240" w:lineRule="auto"/>
              <w:jc w:val="left"/>
            </w:pPr>
            <w:r>
              <w:rPr>
                <w:rFonts w:ascii="Times New Roman" w:hAnsi="Times New Roman" w:eastAsia="Times New Roman"/>
                <w:b w:val="0"/>
                <w:sz w:val="20"/>
              </w:rPr>
              <w:t>Инвалиды</w:t>
            </w:r>
          </w:p>
        </w:tc>
        <w:tc>
          <w:tcPr>
            <w:tcW w:type="dxa" w:w="3230"/>
            <w:vAlign w:val="center"/>
          </w:tcPr>
          <w:p>
            <w:pPr>
              <w:spacing w:line="240" w:lineRule="auto"/>
              <w:jc w:val="left"/>
            </w:pPr>
            <w:r>
              <w:rPr>
                <w:rFonts w:ascii="Times New Roman" w:hAnsi="Times New Roman" w:eastAsia="Times New Roman"/>
                <w:b w:val="0"/>
                <w:sz w:val="20"/>
              </w:rPr>
              <w:t>15,4 чел.</w:t>
            </w:r>
          </w:p>
        </w:tc>
        <w:tc>
          <w:tcPr>
            <w:tcW w:type="dxa" w:w="3230"/>
            <w:vAlign w:val="center"/>
          </w:tcPr>
          <w:p>
            <w:pPr>
              <w:spacing w:line="240" w:lineRule="auto"/>
              <w:jc w:val="left"/>
            </w:pPr>
            <w:r>
              <w:rPr>
                <w:rFonts w:ascii="Times New Roman" w:hAnsi="Times New Roman" w:eastAsia="Times New Roman"/>
                <w:b w:val="0"/>
                <w:sz w:val="20"/>
              </w:rPr>
              <w:t>Около 1,6% списочной численности</w:t>
            </w:r>
          </w:p>
        </w:tc>
      </w:tr>
      <w:tr>
        <w:tc>
          <w:tcPr>
            <w:tcW w:type="dxa" w:w="3230"/>
            <w:vAlign w:val="center"/>
          </w:tcPr>
          <w:p>
            <w:pPr>
              <w:spacing w:line="240" w:lineRule="auto"/>
              <w:jc w:val="left"/>
            </w:pPr>
            <w:r>
              <w:rPr>
                <w:rFonts w:ascii="Times New Roman" w:hAnsi="Times New Roman" w:eastAsia="Times New Roman"/>
                <w:b w:val="0"/>
                <w:sz w:val="20"/>
              </w:rPr>
              <w:t>Коэффициент приема</w:t>
            </w:r>
          </w:p>
        </w:tc>
        <w:tc>
          <w:tcPr>
            <w:tcW w:type="dxa" w:w="3230"/>
            <w:vAlign w:val="center"/>
          </w:tcPr>
          <w:p>
            <w:pPr>
              <w:spacing w:line="240" w:lineRule="auto"/>
              <w:jc w:val="left"/>
            </w:pPr>
            <w:r>
              <w:rPr>
                <w:rFonts w:ascii="Times New Roman" w:hAnsi="Times New Roman" w:eastAsia="Times New Roman"/>
                <w:b w:val="0"/>
                <w:sz w:val="20"/>
              </w:rPr>
              <w:t>1,00%</w:t>
            </w:r>
          </w:p>
        </w:tc>
        <w:tc>
          <w:tcPr>
            <w:tcW w:type="dxa" w:w="3230"/>
            <w:vAlign w:val="center"/>
          </w:tcPr>
          <w:p>
            <w:pPr>
              <w:spacing w:line="240" w:lineRule="auto"/>
              <w:jc w:val="left"/>
            </w:pPr>
            <w:r>
              <w:rPr>
                <w:rFonts w:ascii="Times New Roman" w:hAnsi="Times New Roman" w:eastAsia="Times New Roman"/>
                <w:b w:val="0"/>
                <w:sz w:val="20"/>
              </w:rPr>
              <w:t>Рассчитано как 9 / 901,8 x 100</w:t>
            </w:r>
          </w:p>
        </w:tc>
      </w:tr>
      <w:tr>
        <w:tc>
          <w:tcPr>
            <w:tcW w:type="dxa" w:w="3230"/>
            <w:vAlign w:val="center"/>
          </w:tcPr>
          <w:p>
            <w:pPr>
              <w:spacing w:line="240" w:lineRule="auto"/>
              <w:jc w:val="left"/>
            </w:pPr>
            <w:r>
              <w:rPr>
                <w:rFonts w:ascii="Times New Roman" w:hAnsi="Times New Roman" w:eastAsia="Times New Roman"/>
                <w:b w:val="0"/>
                <w:sz w:val="20"/>
              </w:rPr>
              <w:t>Коэффициент выбытия</w:t>
            </w:r>
          </w:p>
        </w:tc>
        <w:tc>
          <w:tcPr>
            <w:tcW w:type="dxa" w:w="3230"/>
            <w:vAlign w:val="center"/>
          </w:tcPr>
          <w:p>
            <w:pPr>
              <w:spacing w:line="240" w:lineRule="auto"/>
              <w:jc w:val="left"/>
            </w:pPr>
            <w:r>
              <w:rPr>
                <w:rFonts w:ascii="Times New Roman" w:hAnsi="Times New Roman" w:eastAsia="Times New Roman"/>
                <w:b w:val="0"/>
                <w:sz w:val="20"/>
              </w:rPr>
              <w:t>2,11%</w:t>
            </w:r>
          </w:p>
        </w:tc>
        <w:tc>
          <w:tcPr>
            <w:tcW w:type="dxa" w:w="3230"/>
            <w:vAlign w:val="center"/>
          </w:tcPr>
          <w:p>
            <w:pPr>
              <w:spacing w:line="240" w:lineRule="auto"/>
              <w:jc w:val="left"/>
            </w:pPr>
            <w:r>
              <w:rPr>
                <w:rFonts w:ascii="Times New Roman" w:hAnsi="Times New Roman" w:eastAsia="Times New Roman"/>
                <w:b w:val="0"/>
                <w:sz w:val="20"/>
              </w:rPr>
              <w:t>Рассчитано как 19 / 901,8 x 100</w:t>
            </w:r>
          </w:p>
        </w:tc>
      </w:tr>
      <w:tr>
        <w:tc>
          <w:tcPr>
            <w:tcW w:type="dxa" w:w="3230"/>
            <w:vAlign w:val="center"/>
          </w:tcPr>
          <w:p>
            <w:pPr>
              <w:spacing w:line="240" w:lineRule="auto"/>
              <w:jc w:val="left"/>
            </w:pPr>
            <w:r>
              <w:rPr>
                <w:rFonts w:ascii="Times New Roman" w:hAnsi="Times New Roman" w:eastAsia="Times New Roman"/>
                <w:b w:val="0"/>
                <w:sz w:val="20"/>
              </w:rPr>
              <w:t>Коэффициент замещения</w:t>
            </w:r>
          </w:p>
        </w:tc>
        <w:tc>
          <w:tcPr>
            <w:tcW w:type="dxa" w:w="3230"/>
            <w:vAlign w:val="center"/>
          </w:tcPr>
          <w:p>
            <w:pPr>
              <w:spacing w:line="240" w:lineRule="auto"/>
              <w:jc w:val="left"/>
            </w:pPr>
            <w:r>
              <w:rPr>
                <w:rFonts w:ascii="Times New Roman" w:hAnsi="Times New Roman" w:eastAsia="Times New Roman"/>
                <w:b w:val="0"/>
                <w:sz w:val="20"/>
              </w:rPr>
              <w:t>47,4%</w:t>
            </w:r>
          </w:p>
        </w:tc>
        <w:tc>
          <w:tcPr>
            <w:tcW w:type="dxa" w:w="3230"/>
            <w:vAlign w:val="center"/>
          </w:tcPr>
          <w:p>
            <w:pPr>
              <w:spacing w:line="240" w:lineRule="auto"/>
              <w:jc w:val="left"/>
            </w:pPr>
            <w:r>
              <w:rPr>
                <w:rFonts w:ascii="Times New Roman" w:hAnsi="Times New Roman" w:eastAsia="Times New Roman"/>
                <w:b w:val="0"/>
                <w:sz w:val="20"/>
              </w:rPr>
              <w:t>Прием компенсировал менее половины увольнений</w:t>
            </w:r>
          </w:p>
        </w:tc>
      </w:tr>
    </w:tbl>
    <w:p/>
    <w:p>
      <w:pPr>
        <w:spacing w:line="360" w:lineRule="auto"/>
        <w:ind w:firstLine="709"/>
        <w:jc w:val="both"/>
      </w:pPr>
      <w:r>
        <w:rPr>
          <w:rFonts w:ascii="Times New Roman" w:hAnsi="Times New Roman" w:eastAsia="Times New Roman"/>
          <w:sz w:val="28"/>
        </w:rPr>
        <w:t>Таблица 5 - Анализ движения персонала ПАО «ТНС энерго НН» на март 2026 года</w:t>
      </w:r>
    </w:p>
    <w:p>
      <w:pPr>
        <w:spacing w:line="360" w:lineRule="auto"/>
        <w:ind w:firstLine="709"/>
        <w:jc w:val="both"/>
      </w:pPr>
      <w:r>
        <w:rPr>
          <w:rFonts w:ascii="Times New Roman" w:hAnsi="Times New Roman" w:eastAsia="Times New Roman"/>
          <w:sz w:val="28"/>
        </w:rPr>
        <w:t>Данные таблицы 5 показывают, что в марте 2026 года увольнения превысили прием. Коэффициент текучести 2,10% за месяц не является критическим сам по себе, но при сохранении такой динамики в течение нескольких месяцев может привести к росту нагрузки на действующих работников, увеличению затрат на подбор и адаптацию, снижению качества обслуживания и риску потери организационных знаний.</w:t>
      </w:r>
    </w:p>
    <w:p>
      <w:pPr>
        <w:spacing w:line="360" w:lineRule="auto"/>
        <w:ind w:firstLine="709"/>
        <w:jc w:val="both"/>
      </w:pPr>
      <w:r>
        <w:rPr>
          <w:rFonts w:ascii="Times New Roman" w:hAnsi="Times New Roman" w:eastAsia="Times New Roman"/>
          <w:sz w:val="28"/>
        </w:rPr>
        <w:t>Высокая доля женщин в персонале объяснима спецификой энергосбытовой организации, где значительная часть рабочих мест связана с клиентским обслуживанием, расчетами, документооборотом, бухгалтерией, кадровым администрированием и аналитической работой. Наличие работников с инвалидностью свидетельствует о реализации принципов социальной ответственности и соблюдении требований к трудоустройству отдельных категорий граждан.</w:t>
      </w:r>
    </w:p>
    <w:p>
      <w:pPr>
        <w:spacing w:line="360" w:lineRule="auto"/>
        <w:ind w:firstLine="709"/>
        <w:jc w:val="both"/>
      </w:pPr>
      <w:r>
        <w:rPr>
          <w:rFonts w:ascii="Times New Roman" w:hAnsi="Times New Roman" w:eastAsia="Times New Roman"/>
          <w:sz w:val="28"/>
        </w:rPr>
        <w:t>С точки зрения HR-управления отрицательное сальдо движения персонала требует регулярного мониторинга причин увольнений. Важно разделять естественную текучесть, связанную с выходом на пенсию, переездом или личными обстоятельствами, и управляемую текучесть, вызванную уровнем оплаты, нагрузкой, недостатком карьерных перспектив, конфликтами, слабой адаптацией или неудовлетворенностью условиями труда.</w:t>
      </w:r>
    </w:p>
    <w:p>
      <w:pPr>
        <w:pStyle w:val="Heading2"/>
      </w:pPr>
      <w:r>
        <w:t>2.3. Адаптация и наставничество сотрудников</w:t>
      </w:r>
    </w:p>
    <w:p>
      <w:pPr>
        <w:spacing w:line="360" w:lineRule="auto"/>
        <w:ind w:firstLine="709"/>
        <w:jc w:val="both"/>
      </w:pPr>
      <w:r>
        <w:rPr>
          <w:rFonts w:ascii="Times New Roman" w:hAnsi="Times New Roman" w:eastAsia="Times New Roman"/>
          <w:sz w:val="28"/>
        </w:rPr>
        <w:t>Адаптация и наставничество в ПАО «ТНС энерго НН» являются важными элементами системы управления персоналом. В материалах практики представлен документ «Положение об адаптации и наставничестве в ПАО ГК ТНС энерго». Он устанавливает порядок проведения мероприятий по адаптации новых работников и организации наставничества.</w:t>
      </w:r>
    </w:p>
    <w:p>
      <w:pPr>
        <w:spacing w:line="360" w:lineRule="auto"/>
        <w:ind w:firstLine="709"/>
        <w:jc w:val="both"/>
      </w:pPr>
      <w:r>
        <w:rPr>
          <w:rFonts w:ascii="Times New Roman" w:hAnsi="Times New Roman" w:eastAsia="Times New Roman"/>
          <w:sz w:val="28"/>
        </w:rPr>
        <w:t>В положении адаптация определяется как процесс вхождения нового работника в общество, включающий усвоение норм и правил, принятых в организации, принятие установленных норм взаимоотношений, а также овладение системой профессиональных знаний и навыков. Цели адаптации включают:</w:t>
      </w:r>
    </w:p>
    <w:p>
      <w:pPr>
        <w:pStyle w:val="ListBullet"/>
        <w:spacing w:line="360" w:lineRule="auto"/>
      </w:pPr>
      <w:r>
        <w:t>достижение необходимой эффективности работы нового работника в короткие сроки;</w:t>
      </w:r>
    </w:p>
    <w:p>
      <w:pPr>
        <w:pStyle w:val="ListBullet"/>
        <w:spacing w:line="360" w:lineRule="auto"/>
      </w:pPr>
      <w:r>
        <w:t>ускорение вхождения в должность;</w:t>
      </w:r>
    </w:p>
    <w:p>
      <w:pPr>
        <w:pStyle w:val="ListBullet"/>
        <w:spacing w:line="360" w:lineRule="auto"/>
      </w:pPr>
      <w:r>
        <w:t>помощь в овладении профессиональными знаниями и навыками;</w:t>
      </w:r>
    </w:p>
    <w:p>
      <w:pPr>
        <w:pStyle w:val="ListBullet"/>
        <w:spacing w:line="360" w:lineRule="auto"/>
      </w:pPr>
      <w:r>
        <w:t>осознание связи профессиональной деятельности с целями компании;</w:t>
      </w:r>
    </w:p>
    <w:p>
      <w:pPr>
        <w:pStyle w:val="ListBullet"/>
        <w:spacing w:line="360" w:lineRule="auto"/>
      </w:pPr>
      <w:r>
        <w:t>сокращение текучести кадров;</w:t>
      </w:r>
    </w:p>
    <w:p>
      <w:pPr>
        <w:pStyle w:val="ListBullet"/>
        <w:spacing w:line="360" w:lineRule="auto"/>
      </w:pPr>
      <w:r>
        <w:t>формирование представления о компании, ее структуре, традициях и корпоративной культуре;</w:t>
      </w:r>
    </w:p>
    <w:p>
      <w:pPr>
        <w:pStyle w:val="ListBullet"/>
        <w:spacing w:line="360" w:lineRule="auto"/>
      </w:pPr>
      <w:r>
        <w:t>сокращение производственных ошибок;</w:t>
      </w:r>
    </w:p>
    <w:p>
      <w:pPr>
        <w:pStyle w:val="ListBullet"/>
        <w:spacing w:line="360" w:lineRule="auto"/>
      </w:pPr>
      <w:r>
        <w:t>повышение производительности труда;</w:t>
      </w:r>
    </w:p>
    <w:p>
      <w:pPr>
        <w:pStyle w:val="ListBullet"/>
        <w:spacing w:line="360" w:lineRule="auto"/>
      </w:pPr>
      <w:r>
        <w:t>формирование привлекательного имиджа работодателя;</w:t>
      </w:r>
    </w:p>
    <w:p>
      <w:pPr>
        <w:pStyle w:val="ListBullet"/>
        <w:spacing w:line="360" w:lineRule="auto"/>
      </w:pPr>
      <w:r>
        <w:t>снижение психологического дискомфорта у нового работника и коллектива.</w:t>
      </w:r>
    </w:p>
    <w:p>
      <w:pPr>
        <w:spacing w:line="360" w:lineRule="auto"/>
        <w:ind w:firstLine="709"/>
        <w:jc w:val="both"/>
      </w:pPr>
      <w:r>
        <w:rPr>
          <w:rFonts w:ascii="Times New Roman" w:hAnsi="Times New Roman" w:eastAsia="Times New Roman"/>
          <w:sz w:val="28"/>
        </w:rPr>
        <w:t>Положение выделяет три вида адаптации:</w:t>
      </w:r>
    </w:p>
    <w:p>
      <w:pPr>
        <w:pStyle w:val="ListNumber"/>
        <w:spacing w:line="360" w:lineRule="auto"/>
      </w:pPr>
      <w:r>
        <w:t>1. Первичная, или организационная адаптация. Она связана с ознакомлением работника с особенностями управления, местом подразделения и должности в структуре компании, правилами внутреннего трудового распорядка и локальными документами.</w:t>
      </w:r>
    </w:p>
    <w:p>
      <w:pPr>
        <w:pStyle w:val="ListNumber"/>
        <w:spacing w:line="360" w:lineRule="auto"/>
      </w:pPr>
      <w:r>
        <w:t>2. Профессиональная адаптация. Направлена на освоение профессиональных знаний, навыков, обязанностей, порядка взаимодействия с другими подразделениями и условий труда.</w:t>
      </w:r>
    </w:p>
    <w:p>
      <w:pPr>
        <w:pStyle w:val="ListNumber"/>
        <w:spacing w:line="360" w:lineRule="auto"/>
      </w:pPr>
      <w:r>
        <w:t>3. Социально-психологическая адаптация. Связана с включением работника в коллектив, принятием норм общения, корпоративных ценностей, атмосферы сотрудничества и взаимопомощи.</w:t>
      </w:r>
    </w:p>
    <w:p>
      <w:pPr>
        <w:spacing w:line="360" w:lineRule="auto"/>
        <w:ind w:firstLine="709"/>
        <w:jc w:val="both"/>
      </w:pPr>
      <w:r>
        <w:rPr>
          <w:rFonts w:ascii="Times New Roman" w:hAnsi="Times New Roman" w:eastAsia="Times New Roman"/>
          <w:sz w:val="28"/>
        </w:rPr>
        <w:t>Организация адаптации возлагается на непосредственного руководителя, работников департамента по работе с персоналом и социальным вопросам, специалистов по охране труда, гражданской обороне и документационному обеспечению. Такой состав участников показывает, что адаптация рассматривается не только как знакомство с рабочим местом, но и как комплексный процесс организационного, профессионального и социального включения.</w:t>
      </w:r>
    </w:p>
    <w:p>
      <w:pPr>
        <w:spacing w:line="360" w:lineRule="auto"/>
        <w:ind w:firstLine="709"/>
        <w:jc w:val="both"/>
      </w:pPr>
      <w:r>
        <w:rPr>
          <w:rFonts w:ascii="Times New Roman" w:hAnsi="Times New Roman" w:eastAsia="Times New Roman"/>
          <w:sz w:val="28"/>
        </w:rPr>
        <w:t>Наставник может назначаться для молодых специалистов, работников без опыта или с опытом менее одного года, а также в целях сохранения опыта и знаний внутри организации. Наставником может быть штатный работник из числа вышестоящих или равных по должности работников подразделения, имеющий стаж работы в обществе не менее одного года, высокий уровень профессиональной компетенции, лояльность, коммуникативные и административные навыки.</w:t>
      </w:r>
    </w:p>
    <w:p>
      <w:pPr>
        <w:spacing w:line="360" w:lineRule="auto"/>
        <w:ind w:firstLine="709"/>
        <w:jc w:val="both"/>
      </w:pPr>
      <w:r>
        <w:rPr>
          <w:rFonts w:ascii="Times New Roman" w:hAnsi="Times New Roman" w:eastAsia="Times New Roman"/>
          <w:sz w:val="28"/>
        </w:rPr>
        <w:t>Кандидатура наставника утверждается приказом. На период наставничества может устанавливаться доплата на срок не более трех месяцев. Размер выплат определяется приказом и дополнительным соглашением к трудовому договору, но не более 20% должностного оклада наставника в месяц пропорционально отработанному времени. За одним наставником может быть закреплено не более двух адаптируемых работников. Такая норма снижает риск формального наставничества и чрезмерной нагрузки на опытного сотрудника.</w:t>
      </w:r>
    </w:p>
    <w:p>
      <w:pPr>
        <w:spacing w:line="360" w:lineRule="auto"/>
        <w:ind w:firstLine="709"/>
        <w:jc w:val="both"/>
      </w:pPr>
      <w:r>
        <w:rPr>
          <w:rFonts w:ascii="Times New Roman" w:hAnsi="Times New Roman" w:eastAsia="Times New Roman"/>
          <w:sz w:val="28"/>
        </w:rPr>
        <w:t>Основные элементы адаптации и наставничества представлены в таблице 6.</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Элемент</w:t>
            </w:r>
          </w:p>
        </w:tc>
        <w:tc>
          <w:tcPr>
            <w:tcW w:type="dxa" w:w="3230"/>
            <w:vAlign w:val="center"/>
            <w:shd w:fill="D9EAF7"/>
          </w:tcPr>
          <w:p>
            <w:pPr>
              <w:spacing w:line="240" w:lineRule="auto"/>
              <w:jc w:val="center"/>
            </w:pPr>
            <w:r>
              <w:rPr>
                <w:rFonts w:ascii="Times New Roman" w:hAnsi="Times New Roman" w:eastAsia="Times New Roman"/>
                <w:b/>
                <w:sz w:val="20"/>
              </w:rPr>
              <w:t>Содержание</w:t>
            </w:r>
          </w:p>
        </w:tc>
        <w:tc>
          <w:tcPr>
            <w:tcW w:type="dxa" w:w="3230"/>
            <w:vAlign w:val="center"/>
            <w:shd w:fill="D9EAF7"/>
          </w:tcPr>
          <w:p>
            <w:pPr>
              <w:spacing w:line="240" w:lineRule="auto"/>
              <w:jc w:val="center"/>
            </w:pPr>
            <w:r>
              <w:rPr>
                <w:rFonts w:ascii="Times New Roman" w:hAnsi="Times New Roman" w:eastAsia="Times New Roman"/>
                <w:b/>
                <w:sz w:val="20"/>
              </w:rPr>
              <w:t>Значение для управления персоналом</w:t>
            </w:r>
          </w:p>
        </w:tc>
      </w:tr>
      <w:tr>
        <w:tc>
          <w:tcPr>
            <w:tcW w:type="dxa" w:w="3230"/>
            <w:vAlign w:val="center"/>
          </w:tcPr>
          <w:p>
            <w:pPr>
              <w:spacing w:line="240" w:lineRule="auto"/>
              <w:jc w:val="left"/>
            </w:pPr>
            <w:r>
              <w:rPr>
                <w:rFonts w:ascii="Times New Roman" w:hAnsi="Times New Roman" w:eastAsia="Times New Roman"/>
                <w:b w:val="0"/>
                <w:sz w:val="20"/>
              </w:rPr>
              <w:t>Организационная адаптация</w:t>
            </w:r>
          </w:p>
        </w:tc>
        <w:tc>
          <w:tcPr>
            <w:tcW w:type="dxa" w:w="3230"/>
            <w:vAlign w:val="center"/>
          </w:tcPr>
          <w:p>
            <w:pPr>
              <w:spacing w:line="240" w:lineRule="auto"/>
              <w:jc w:val="left"/>
            </w:pPr>
            <w:r>
              <w:rPr>
                <w:rFonts w:ascii="Times New Roman" w:hAnsi="Times New Roman" w:eastAsia="Times New Roman"/>
                <w:b w:val="0"/>
                <w:sz w:val="20"/>
              </w:rPr>
              <w:t>Ознакомление со структурой, правилами, локальными актами</w:t>
            </w:r>
          </w:p>
        </w:tc>
        <w:tc>
          <w:tcPr>
            <w:tcW w:type="dxa" w:w="3230"/>
            <w:vAlign w:val="center"/>
          </w:tcPr>
          <w:p>
            <w:pPr>
              <w:spacing w:line="240" w:lineRule="auto"/>
              <w:jc w:val="left"/>
            </w:pPr>
            <w:r>
              <w:rPr>
                <w:rFonts w:ascii="Times New Roman" w:hAnsi="Times New Roman" w:eastAsia="Times New Roman"/>
                <w:b w:val="0"/>
                <w:sz w:val="20"/>
              </w:rPr>
              <w:t>Снижает неопределенность и ускоряет включение в работу</w:t>
            </w:r>
          </w:p>
        </w:tc>
      </w:tr>
      <w:tr>
        <w:tc>
          <w:tcPr>
            <w:tcW w:type="dxa" w:w="3230"/>
            <w:vAlign w:val="center"/>
          </w:tcPr>
          <w:p>
            <w:pPr>
              <w:spacing w:line="240" w:lineRule="auto"/>
              <w:jc w:val="left"/>
            </w:pPr>
            <w:r>
              <w:rPr>
                <w:rFonts w:ascii="Times New Roman" w:hAnsi="Times New Roman" w:eastAsia="Times New Roman"/>
                <w:b w:val="0"/>
                <w:sz w:val="20"/>
              </w:rPr>
              <w:t>Профессиональная адаптация</w:t>
            </w:r>
          </w:p>
        </w:tc>
        <w:tc>
          <w:tcPr>
            <w:tcW w:type="dxa" w:w="3230"/>
            <w:vAlign w:val="center"/>
          </w:tcPr>
          <w:p>
            <w:pPr>
              <w:spacing w:line="240" w:lineRule="auto"/>
              <w:jc w:val="left"/>
            </w:pPr>
            <w:r>
              <w:rPr>
                <w:rFonts w:ascii="Times New Roman" w:hAnsi="Times New Roman" w:eastAsia="Times New Roman"/>
                <w:b w:val="0"/>
                <w:sz w:val="20"/>
              </w:rPr>
              <w:t>Освоение обязанностей, процессов и взаимодействия</w:t>
            </w:r>
          </w:p>
        </w:tc>
        <w:tc>
          <w:tcPr>
            <w:tcW w:type="dxa" w:w="3230"/>
            <w:vAlign w:val="center"/>
          </w:tcPr>
          <w:p>
            <w:pPr>
              <w:spacing w:line="240" w:lineRule="auto"/>
              <w:jc w:val="left"/>
            </w:pPr>
            <w:r>
              <w:rPr>
                <w:rFonts w:ascii="Times New Roman" w:hAnsi="Times New Roman" w:eastAsia="Times New Roman"/>
                <w:b w:val="0"/>
                <w:sz w:val="20"/>
              </w:rPr>
              <w:t>Снижает ошибки и повышает качество работы</w:t>
            </w:r>
          </w:p>
        </w:tc>
      </w:tr>
      <w:tr>
        <w:tc>
          <w:tcPr>
            <w:tcW w:type="dxa" w:w="3230"/>
            <w:vAlign w:val="center"/>
          </w:tcPr>
          <w:p>
            <w:pPr>
              <w:spacing w:line="240" w:lineRule="auto"/>
              <w:jc w:val="left"/>
            </w:pPr>
            <w:r>
              <w:rPr>
                <w:rFonts w:ascii="Times New Roman" w:hAnsi="Times New Roman" w:eastAsia="Times New Roman"/>
                <w:b w:val="0"/>
                <w:sz w:val="20"/>
              </w:rPr>
              <w:t>Социально-психологическая адаптация</w:t>
            </w:r>
          </w:p>
        </w:tc>
        <w:tc>
          <w:tcPr>
            <w:tcW w:type="dxa" w:w="3230"/>
            <w:vAlign w:val="center"/>
          </w:tcPr>
          <w:p>
            <w:pPr>
              <w:spacing w:line="240" w:lineRule="auto"/>
              <w:jc w:val="left"/>
            </w:pPr>
            <w:r>
              <w:rPr>
                <w:rFonts w:ascii="Times New Roman" w:hAnsi="Times New Roman" w:eastAsia="Times New Roman"/>
                <w:b w:val="0"/>
                <w:sz w:val="20"/>
              </w:rPr>
              <w:t>Включение в коллектив и корпоративную культуру</w:t>
            </w:r>
          </w:p>
        </w:tc>
        <w:tc>
          <w:tcPr>
            <w:tcW w:type="dxa" w:w="3230"/>
            <w:vAlign w:val="center"/>
          </w:tcPr>
          <w:p>
            <w:pPr>
              <w:spacing w:line="240" w:lineRule="auto"/>
              <w:jc w:val="left"/>
            </w:pPr>
            <w:r>
              <w:rPr>
                <w:rFonts w:ascii="Times New Roman" w:hAnsi="Times New Roman" w:eastAsia="Times New Roman"/>
                <w:b w:val="0"/>
                <w:sz w:val="20"/>
              </w:rPr>
              <w:t>Повышает лояльность и снижает риск раннего увольнения</w:t>
            </w:r>
          </w:p>
        </w:tc>
      </w:tr>
      <w:tr>
        <w:tc>
          <w:tcPr>
            <w:tcW w:type="dxa" w:w="3230"/>
            <w:vAlign w:val="center"/>
          </w:tcPr>
          <w:p>
            <w:pPr>
              <w:spacing w:line="240" w:lineRule="auto"/>
              <w:jc w:val="left"/>
            </w:pPr>
            <w:r>
              <w:rPr>
                <w:rFonts w:ascii="Times New Roman" w:hAnsi="Times New Roman" w:eastAsia="Times New Roman"/>
                <w:b w:val="0"/>
                <w:sz w:val="20"/>
              </w:rPr>
              <w:t>Индивидуальный план развития</w:t>
            </w:r>
          </w:p>
        </w:tc>
        <w:tc>
          <w:tcPr>
            <w:tcW w:type="dxa" w:w="3230"/>
            <w:vAlign w:val="center"/>
          </w:tcPr>
          <w:p>
            <w:pPr>
              <w:spacing w:line="240" w:lineRule="auto"/>
              <w:jc w:val="left"/>
            </w:pPr>
            <w:r>
              <w:rPr>
                <w:rFonts w:ascii="Times New Roman" w:hAnsi="Times New Roman" w:eastAsia="Times New Roman"/>
                <w:b w:val="0"/>
                <w:sz w:val="20"/>
              </w:rPr>
              <w:t>Цели, задачи, сроки, поручения наставника, оценка</w:t>
            </w:r>
          </w:p>
        </w:tc>
        <w:tc>
          <w:tcPr>
            <w:tcW w:type="dxa" w:w="3230"/>
            <w:vAlign w:val="center"/>
          </w:tcPr>
          <w:p>
            <w:pPr>
              <w:spacing w:line="240" w:lineRule="auto"/>
              <w:jc w:val="left"/>
            </w:pPr>
            <w:r>
              <w:rPr>
                <w:rFonts w:ascii="Times New Roman" w:hAnsi="Times New Roman" w:eastAsia="Times New Roman"/>
                <w:b w:val="0"/>
                <w:sz w:val="20"/>
              </w:rPr>
              <w:t>Делает адаптацию измеримой и управляемой</w:t>
            </w:r>
          </w:p>
        </w:tc>
      </w:tr>
      <w:tr>
        <w:tc>
          <w:tcPr>
            <w:tcW w:type="dxa" w:w="3230"/>
            <w:vAlign w:val="center"/>
          </w:tcPr>
          <w:p>
            <w:pPr>
              <w:spacing w:line="240" w:lineRule="auto"/>
              <w:jc w:val="left"/>
            </w:pPr>
            <w:r>
              <w:rPr>
                <w:rFonts w:ascii="Times New Roman" w:hAnsi="Times New Roman" w:eastAsia="Times New Roman"/>
                <w:b w:val="0"/>
                <w:sz w:val="20"/>
              </w:rPr>
              <w:t>Ежемесячные отчеты наставника</w:t>
            </w:r>
          </w:p>
        </w:tc>
        <w:tc>
          <w:tcPr>
            <w:tcW w:type="dxa" w:w="3230"/>
            <w:vAlign w:val="center"/>
          </w:tcPr>
          <w:p>
            <w:pPr>
              <w:spacing w:line="240" w:lineRule="auto"/>
              <w:jc w:val="left"/>
            </w:pPr>
            <w:r>
              <w:rPr>
                <w:rFonts w:ascii="Times New Roman" w:hAnsi="Times New Roman" w:eastAsia="Times New Roman"/>
                <w:b w:val="0"/>
                <w:sz w:val="20"/>
              </w:rPr>
              <w:t>Фиксация промежуточных результатов</w:t>
            </w:r>
          </w:p>
        </w:tc>
        <w:tc>
          <w:tcPr>
            <w:tcW w:type="dxa" w:w="3230"/>
            <w:vAlign w:val="center"/>
          </w:tcPr>
          <w:p>
            <w:pPr>
              <w:spacing w:line="240" w:lineRule="auto"/>
              <w:jc w:val="left"/>
            </w:pPr>
            <w:r>
              <w:rPr>
                <w:rFonts w:ascii="Times New Roman" w:hAnsi="Times New Roman" w:eastAsia="Times New Roman"/>
                <w:b w:val="0"/>
                <w:sz w:val="20"/>
              </w:rPr>
              <w:t>Позволяет контролировать процесс и корректировать обучение</w:t>
            </w:r>
          </w:p>
        </w:tc>
      </w:tr>
      <w:tr>
        <w:tc>
          <w:tcPr>
            <w:tcW w:type="dxa" w:w="3230"/>
            <w:vAlign w:val="center"/>
          </w:tcPr>
          <w:p>
            <w:pPr>
              <w:spacing w:line="240" w:lineRule="auto"/>
              <w:jc w:val="left"/>
            </w:pPr>
            <w:r>
              <w:rPr>
                <w:rFonts w:ascii="Times New Roman" w:hAnsi="Times New Roman" w:eastAsia="Times New Roman"/>
                <w:b w:val="0"/>
                <w:sz w:val="20"/>
              </w:rPr>
              <w:t>Итоговое собеседование</w:t>
            </w:r>
          </w:p>
        </w:tc>
        <w:tc>
          <w:tcPr>
            <w:tcW w:type="dxa" w:w="3230"/>
            <w:vAlign w:val="center"/>
          </w:tcPr>
          <w:p>
            <w:pPr>
              <w:spacing w:line="240" w:lineRule="auto"/>
              <w:jc w:val="left"/>
            </w:pPr>
            <w:r>
              <w:rPr>
                <w:rFonts w:ascii="Times New Roman" w:hAnsi="Times New Roman" w:eastAsia="Times New Roman"/>
                <w:b w:val="0"/>
                <w:sz w:val="20"/>
              </w:rPr>
              <w:t>Оценка результатов адаптации</w:t>
            </w:r>
          </w:p>
        </w:tc>
        <w:tc>
          <w:tcPr>
            <w:tcW w:type="dxa" w:w="3230"/>
            <w:vAlign w:val="center"/>
          </w:tcPr>
          <w:p>
            <w:pPr>
              <w:spacing w:line="240" w:lineRule="auto"/>
              <w:jc w:val="left"/>
            </w:pPr>
            <w:r>
              <w:rPr>
                <w:rFonts w:ascii="Times New Roman" w:hAnsi="Times New Roman" w:eastAsia="Times New Roman"/>
                <w:b w:val="0"/>
                <w:sz w:val="20"/>
              </w:rPr>
              <w:t>Позволяет принять решение о дальнейшем развитии работника</w:t>
            </w:r>
          </w:p>
        </w:tc>
      </w:tr>
      <w:tr>
        <w:tc>
          <w:tcPr>
            <w:tcW w:type="dxa" w:w="3230"/>
            <w:vAlign w:val="center"/>
          </w:tcPr>
          <w:p>
            <w:pPr>
              <w:spacing w:line="240" w:lineRule="auto"/>
              <w:jc w:val="left"/>
            </w:pPr>
            <w:r>
              <w:rPr>
                <w:rFonts w:ascii="Times New Roman" w:hAnsi="Times New Roman" w:eastAsia="Times New Roman"/>
                <w:b w:val="0"/>
                <w:sz w:val="20"/>
              </w:rPr>
              <w:t>Доплата наставнику</w:t>
            </w:r>
          </w:p>
        </w:tc>
        <w:tc>
          <w:tcPr>
            <w:tcW w:type="dxa" w:w="3230"/>
            <w:vAlign w:val="center"/>
          </w:tcPr>
          <w:p>
            <w:pPr>
              <w:spacing w:line="240" w:lineRule="auto"/>
              <w:jc w:val="left"/>
            </w:pPr>
            <w:r>
              <w:rPr>
                <w:rFonts w:ascii="Times New Roman" w:hAnsi="Times New Roman" w:eastAsia="Times New Roman"/>
                <w:b w:val="0"/>
                <w:sz w:val="20"/>
              </w:rPr>
              <w:t>До 20% должностного оклада</w:t>
            </w:r>
          </w:p>
        </w:tc>
        <w:tc>
          <w:tcPr>
            <w:tcW w:type="dxa" w:w="3230"/>
            <w:vAlign w:val="center"/>
          </w:tcPr>
          <w:p>
            <w:pPr>
              <w:spacing w:line="240" w:lineRule="auto"/>
              <w:jc w:val="left"/>
            </w:pPr>
            <w:r>
              <w:rPr>
                <w:rFonts w:ascii="Times New Roman" w:hAnsi="Times New Roman" w:eastAsia="Times New Roman"/>
                <w:b w:val="0"/>
                <w:sz w:val="20"/>
              </w:rPr>
              <w:t>Материально поддерживает наставническую функцию</w:t>
            </w:r>
          </w:p>
        </w:tc>
      </w:tr>
      <w:tr>
        <w:tc>
          <w:tcPr>
            <w:tcW w:type="dxa" w:w="3230"/>
            <w:vAlign w:val="center"/>
          </w:tcPr>
          <w:p>
            <w:pPr>
              <w:spacing w:line="240" w:lineRule="auto"/>
              <w:jc w:val="left"/>
            </w:pPr>
            <w:r>
              <w:rPr>
                <w:rFonts w:ascii="Times New Roman" w:hAnsi="Times New Roman" w:eastAsia="Times New Roman"/>
                <w:b w:val="0"/>
                <w:sz w:val="20"/>
              </w:rPr>
              <w:t>Нематериальное признание наставников</w:t>
            </w:r>
          </w:p>
        </w:tc>
        <w:tc>
          <w:tcPr>
            <w:tcW w:type="dxa" w:w="3230"/>
            <w:vAlign w:val="center"/>
          </w:tcPr>
          <w:p>
            <w:pPr>
              <w:spacing w:line="240" w:lineRule="auto"/>
              <w:jc w:val="left"/>
            </w:pPr>
            <w:r>
              <w:rPr>
                <w:rFonts w:ascii="Times New Roman" w:hAnsi="Times New Roman" w:eastAsia="Times New Roman"/>
                <w:b w:val="0"/>
                <w:sz w:val="20"/>
              </w:rPr>
              <w:t>Публичное признание, участие в мероприятиях</w:t>
            </w:r>
          </w:p>
        </w:tc>
        <w:tc>
          <w:tcPr>
            <w:tcW w:type="dxa" w:w="3230"/>
            <w:vAlign w:val="center"/>
          </w:tcPr>
          <w:p>
            <w:pPr>
              <w:spacing w:line="240" w:lineRule="auto"/>
              <w:jc w:val="left"/>
            </w:pPr>
            <w:r>
              <w:rPr>
                <w:rFonts w:ascii="Times New Roman" w:hAnsi="Times New Roman" w:eastAsia="Times New Roman"/>
                <w:b w:val="0"/>
                <w:sz w:val="20"/>
              </w:rPr>
              <w:t>Повышает статус наставничества</w:t>
            </w:r>
          </w:p>
        </w:tc>
      </w:tr>
    </w:tbl>
    <w:p/>
    <w:p>
      <w:pPr>
        <w:spacing w:line="360" w:lineRule="auto"/>
        <w:ind w:firstLine="709"/>
        <w:jc w:val="both"/>
      </w:pPr>
      <w:r>
        <w:rPr>
          <w:rFonts w:ascii="Times New Roman" w:hAnsi="Times New Roman" w:eastAsia="Times New Roman"/>
          <w:sz w:val="28"/>
        </w:rPr>
        <w:t>Таблица 6 - Элементы системы адаптации и наставничества в ПАО ГК «ТНС энерго»</w:t>
      </w:r>
    </w:p>
    <w:p>
      <w:pPr>
        <w:spacing w:line="360" w:lineRule="auto"/>
        <w:ind w:firstLine="709"/>
        <w:jc w:val="both"/>
      </w:pPr>
      <w:r>
        <w:rPr>
          <w:rFonts w:ascii="Times New Roman" w:hAnsi="Times New Roman" w:eastAsia="Times New Roman"/>
          <w:sz w:val="28"/>
        </w:rPr>
        <w:t>Наличие положения об адаптации и наставничестве является сильной стороной системы управления персоналом. Оно снижает зависимость качества адаптации от личных качеств конкретного руководителя и создает единый стандарт работы с новыми сотрудниками. Особенно важно это для территориальной сети, где новые работники могут находиться вдали от центрального офиса и нуждаются в понятном алгоритме включения в должность.</w:t>
      </w:r>
    </w:p>
    <w:p>
      <w:pPr>
        <w:pStyle w:val="Heading2"/>
      </w:pPr>
      <w:r>
        <w:t>2.4. Социально-трудовые гарантии и локальное регулирование персонала</w:t>
      </w:r>
    </w:p>
    <w:p>
      <w:pPr>
        <w:spacing w:line="360" w:lineRule="auto"/>
        <w:ind w:firstLine="709"/>
        <w:jc w:val="both"/>
      </w:pPr>
      <w:r>
        <w:rPr>
          <w:rFonts w:ascii="Times New Roman" w:hAnsi="Times New Roman" w:eastAsia="Times New Roman"/>
          <w:sz w:val="28"/>
        </w:rPr>
        <w:t>Коллективный договор ПАО «ТНС энерго НН» на 2025-2027 годы является ключевым документом, регулирующим социально-трудовые отношения. Он распространяется на всех работников и устанавливает взаимные обязательства работодателя и работников по вопросам условий труда, оплаты, рабочего времени, отдыха, занятости, охраны труда, социальных гарантий и компенсаций.</w:t>
      </w:r>
    </w:p>
    <w:p>
      <w:pPr>
        <w:spacing w:line="360" w:lineRule="auto"/>
        <w:ind w:firstLine="709"/>
        <w:jc w:val="both"/>
      </w:pPr>
      <w:r>
        <w:rPr>
          <w:rFonts w:ascii="Times New Roman" w:hAnsi="Times New Roman" w:eastAsia="Times New Roman"/>
          <w:sz w:val="28"/>
        </w:rPr>
        <w:t>В коллективном договоре закреплена тарифно-премиальная система оплаты труда. Работодатель обеспечивает связь оплаты труда с результатами, доведение информации об условиях оплаты и совершенствование нормирования труда. В документе также указано, что в обществе применяются системы материального стимулирования, учитывающие отсутствие роста травматизма, отсутствие нарушений правил внутреннего трудового распорядка и охраны труда, достижение финансовых и производственных результатов, повышение производительности труда.</w:t>
      </w:r>
    </w:p>
    <w:p>
      <w:pPr>
        <w:spacing w:line="360" w:lineRule="auto"/>
        <w:ind w:firstLine="709"/>
        <w:jc w:val="both"/>
      </w:pPr>
      <w:r>
        <w:rPr>
          <w:rFonts w:ascii="Times New Roman" w:hAnsi="Times New Roman" w:eastAsia="Times New Roman"/>
          <w:sz w:val="28"/>
        </w:rPr>
        <w:t>В сфере занятости коллективный договор предусматривает политику, основанную на трудовой мобильности, росте профессионально-квалификационного уровня, развитии кадрового потенциала и содействии занятости высвобождаемых работников. В документе указаны такие направления, как профориентационная работа среди студентов, дни открытых дверей, поддержание корпоративных традиций, формирование специализированных разделов на сайтах, популяризация труда в электроэнергетике и развитие кадрового резерва.</w:t>
      </w:r>
    </w:p>
    <w:p>
      <w:pPr>
        <w:spacing w:line="360" w:lineRule="auto"/>
        <w:ind w:firstLine="709"/>
        <w:jc w:val="both"/>
      </w:pPr>
      <w:r>
        <w:rPr>
          <w:rFonts w:ascii="Times New Roman" w:hAnsi="Times New Roman" w:eastAsia="Times New Roman"/>
          <w:sz w:val="28"/>
        </w:rPr>
        <w:t>Правила внутреннего трудового распорядка определяют порядок приема и увольнения, права и обязанности работников и работодателя, режим работы и отдыха, меры поощрения и взыскания. Для большинства работников устанавливается пятидневная рабочая неделя с двумя выходными днями и нормальной продолжительностью рабочего времени 40 часов. Отдельным категориям может устанавливаться суммированный учет рабочего времени или ненормированный рабочий день с дополнительным отпуском от 3 до 7 календарных дней в зависимости от должности.</w:t>
      </w:r>
    </w:p>
    <w:p>
      <w:pPr>
        <w:spacing w:line="360" w:lineRule="auto"/>
        <w:ind w:firstLine="709"/>
        <w:jc w:val="both"/>
      </w:pPr>
      <w:r>
        <w:rPr>
          <w:rFonts w:ascii="Times New Roman" w:hAnsi="Times New Roman" w:eastAsia="Times New Roman"/>
          <w:sz w:val="28"/>
        </w:rPr>
        <w:t>Локальные документы формируют правовую основу кадровой работы. Их значение состоит в том, что они:</w:t>
      </w:r>
    </w:p>
    <w:p>
      <w:pPr>
        <w:pStyle w:val="ListBullet"/>
        <w:spacing w:line="360" w:lineRule="auto"/>
      </w:pPr>
      <w:r>
        <w:t>задают единые правила для работников и руководителей;</w:t>
      </w:r>
    </w:p>
    <w:p>
      <w:pPr>
        <w:pStyle w:val="ListBullet"/>
        <w:spacing w:line="360" w:lineRule="auto"/>
      </w:pPr>
      <w:r>
        <w:t>снижают риск трудовых споров;</w:t>
      </w:r>
    </w:p>
    <w:p>
      <w:pPr>
        <w:pStyle w:val="ListBullet"/>
        <w:spacing w:line="360" w:lineRule="auto"/>
      </w:pPr>
      <w:r>
        <w:t>обеспечивают прозрачность условий труда;</w:t>
      </w:r>
    </w:p>
    <w:p>
      <w:pPr>
        <w:pStyle w:val="ListBullet"/>
        <w:spacing w:line="360" w:lineRule="auto"/>
      </w:pPr>
      <w:r>
        <w:t>закрепляют социальные гарантии;</w:t>
      </w:r>
    </w:p>
    <w:p>
      <w:pPr>
        <w:pStyle w:val="ListBullet"/>
        <w:spacing w:line="360" w:lineRule="auto"/>
      </w:pPr>
      <w:r>
        <w:t>поддерживают дисциплину и корпоративные нормы;</w:t>
      </w:r>
    </w:p>
    <w:p>
      <w:pPr>
        <w:pStyle w:val="ListBullet"/>
        <w:spacing w:line="360" w:lineRule="auto"/>
      </w:pPr>
      <w:r>
        <w:t>позволяют контролировать кадровые процессы в территориально распределенной организации.</w:t>
      </w:r>
    </w:p>
    <w:p>
      <w:pPr>
        <w:spacing w:line="360" w:lineRule="auto"/>
        <w:ind w:firstLine="709"/>
        <w:jc w:val="both"/>
      </w:pPr>
      <w:r>
        <w:rPr>
          <w:rFonts w:ascii="Times New Roman" w:hAnsi="Times New Roman" w:eastAsia="Times New Roman"/>
          <w:sz w:val="28"/>
        </w:rPr>
        <w:t>Таким образом, система управления персоналом ПАО «ТНС энерго НН» является регламентированной, многоуровневой и ориентированной на сочетание производственной эффективности с социальными гарантиями. Ее сильными сторонами являются наличие коллективного договора, регламента подбора, положения об адаптации и наставничестве, развитая структура HR-подразделений и использование разных источников подбора. Потенциальные риски связаны с текучестью, нагрузкой на работников, финансовыми ограничениями и необходимостью поддерживать единые HR-стандарты во всех отделениях.</w:t>
      </w:r>
    </w:p>
    <w:p>
      <w:pPr>
        <w:pStyle w:val="Heading1"/>
        <w:jc w:val="center"/>
      </w:pPr>
      <w:r>
        <w:t>Глава 3. Система мотивации сотрудников ПАО «ТНС энерго Нижний Новгород»</w:t>
      </w:r>
    </w:p>
    <w:p>
      <w:pPr>
        <w:pStyle w:val="Heading2"/>
      </w:pPr>
      <w:r>
        <w:t>3.1. Общая характеристика мотивационной системы</w:t>
      </w:r>
    </w:p>
    <w:p>
      <w:pPr>
        <w:spacing w:line="360" w:lineRule="auto"/>
        <w:ind w:firstLine="709"/>
        <w:jc w:val="both"/>
      </w:pPr>
      <w:r>
        <w:rPr>
          <w:rFonts w:ascii="Times New Roman" w:hAnsi="Times New Roman" w:eastAsia="Times New Roman"/>
          <w:sz w:val="28"/>
        </w:rPr>
        <w:t>Система мотивации персонала ПАО «ТНС энерго НН» представляет собой совокупность материальных, социальных, организационных и нематериальных стимулов, направленных на привлечение, удержание и повышение эффективности работников. Ее основу составляют положения коллективного договора, правила внутреннего трудового распорядка, система оплаты труда, премирование, социальные гарантии, адаптация, наставничество, обучение, корпоративные мероприятия и участие профсоюзной организации.</w:t>
      </w:r>
    </w:p>
    <w:p>
      <w:pPr>
        <w:spacing w:line="360" w:lineRule="auto"/>
        <w:ind w:firstLine="709"/>
        <w:jc w:val="both"/>
      </w:pPr>
      <w:r>
        <w:rPr>
          <w:rFonts w:ascii="Times New Roman" w:hAnsi="Times New Roman" w:eastAsia="Times New Roman"/>
          <w:sz w:val="28"/>
        </w:rPr>
        <w:t>Для энергосбытовой компании мотивация персонала имеет особое значение. Работники ПАО «ТНС энерго НН» выполняют функции, от которых зависит стабильность расчетов за электроэнергию, качество обслуживания потребителей, снижение задолженности, корректность данных учета, правовая защита интересов компании и надежность внутренних процессов. Ошибки персонала могут иметь не только экономические, но и репутационные последствия. Поэтому мотивационная система должна обеспечивать не просто присутствие работников на рабочих местах, а внимательность, ответственность, клиентоориентированность, дисциплину и готовность к профессиональному развитию.</w:t>
      </w:r>
    </w:p>
    <w:p>
      <w:pPr>
        <w:spacing w:line="360" w:lineRule="auto"/>
        <w:ind w:firstLine="709"/>
        <w:jc w:val="both"/>
      </w:pPr>
      <w:r>
        <w:rPr>
          <w:rFonts w:ascii="Times New Roman" w:hAnsi="Times New Roman" w:eastAsia="Times New Roman"/>
          <w:sz w:val="28"/>
        </w:rPr>
        <w:t>В широком смысле мотивационная система компании включает следующие блоки:</w:t>
      </w:r>
    </w:p>
    <w:p>
      <w:pPr>
        <w:pStyle w:val="ListBullet"/>
        <w:spacing w:line="360" w:lineRule="auto"/>
      </w:pPr>
      <w:r>
        <w:t>базовая оплата труда - оклады, тарифные ставки, гарантированный доход;</w:t>
      </w:r>
    </w:p>
    <w:p>
      <w:pPr>
        <w:pStyle w:val="ListBullet"/>
        <w:spacing w:line="360" w:lineRule="auto"/>
      </w:pPr>
      <w:r>
        <w:t>премирование и стимулирующие выплаты - связь вознаграждения с результатами труда;</w:t>
      </w:r>
    </w:p>
    <w:p>
      <w:pPr>
        <w:pStyle w:val="ListBullet"/>
        <w:spacing w:line="360" w:lineRule="auto"/>
      </w:pPr>
      <w:r>
        <w:t>компенсационные выплаты - доплаты и надбавки, связанные с условиями труда, режимом работы и дополнительными обязанностями;</w:t>
      </w:r>
    </w:p>
    <w:p>
      <w:pPr>
        <w:pStyle w:val="ListBullet"/>
        <w:spacing w:line="360" w:lineRule="auto"/>
      </w:pPr>
      <w:r>
        <w:t>социальные гарантии - материальная помощь, компенсации, дополнительные дни отдыха, поддержка семей работников;</w:t>
      </w:r>
    </w:p>
    <w:p>
      <w:pPr>
        <w:pStyle w:val="ListBullet"/>
        <w:spacing w:line="360" w:lineRule="auto"/>
      </w:pPr>
      <w:r>
        <w:t>организационная мотивация - стабильность занятости, понятные правила, регламенты, возможность внутреннего перемещения;</w:t>
      </w:r>
    </w:p>
    <w:p>
      <w:pPr>
        <w:pStyle w:val="ListBullet"/>
        <w:spacing w:line="360" w:lineRule="auto"/>
      </w:pPr>
      <w:r>
        <w:t>профессиональная мотивация - обучение, повышение квалификации, наставничество, участие в развитии компетенций;</w:t>
      </w:r>
    </w:p>
    <w:p>
      <w:pPr>
        <w:pStyle w:val="ListBullet"/>
        <w:spacing w:line="360" w:lineRule="auto"/>
      </w:pPr>
      <w:r>
        <w:t>нематериальная мотивация - признание, корпоративные традиции, участие в мероприятиях, благоприятный климат;</w:t>
      </w:r>
    </w:p>
    <w:p>
      <w:pPr>
        <w:pStyle w:val="ListBullet"/>
        <w:spacing w:line="360" w:lineRule="auto"/>
      </w:pPr>
      <w:r>
        <w:t>мотивация через безопасность и условия труда - охрана труда, нормальные рабочие места, обеспечение оборудованием;</w:t>
      </w:r>
    </w:p>
    <w:p>
      <w:pPr>
        <w:pStyle w:val="ListBullet"/>
        <w:spacing w:line="360" w:lineRule="auto"/>
      </w:pPr>
      <w:r>
        <w:t>мотивация через социальное партнерство - участие профсоюза, коллективный договор, консультации по социально-трудовым вопросам.</w:t>
      </w:r>
    </w:p>
    <w:p>
      <w:pPr>
        <w:spacing w:line="360" w:lineRule="auto"/>
        <w:ind w:firstLine="709"/>
        <w:jc w:val="both"/>
      </w:pPr>
      <w:r>
        <w:rPr>
          <w:rFonts w:ascii="Times New Roman" w:hAnsi="Times New Roman" w:eastAsia="Times New Roman"/>
          <w:sz w:val="28"/>
        </w:rPr>
        <w:t>Логика мотивационной системы ПАО «ТНС энерго НН» представлена в таблице 7.</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Блок мотивации</w:t>
            </w:r>
          </w:p>
        </w:tc>
        <w:tc>
          <w:tcPr>
            <w:tcW w:type="dxa" w:w="3230"/>
            <w:vAlign w:val="center"/>
            <w:shd w:fill="D9EAF7"/>
          </w:tcPr>
          <w:p>
            <w:pPr>
              <w:spacing w:line="240" w:lineRule="auto"/>
              <w:jc w:val="center"/>
            </w:pPr>
            <w:r>
              <w:rPr>
                <w:rFonts w:ascii="Times New Roman" w:hAnsi="Times New Roman" w:eastAsia="Times New Roman"/>
                <w:b/>
                <w:sz w:val="20"/>
              </w:rPr>
              <w:t>Конкретные элементы</w:t>
            </w:r>
          </w:p>
        </w:tc>
        <w:tc>
          <w:tcPr>
            <w:tcW w:type="dxa" w:w="3230"/>
            <w:vAlign w:val="center"/>
            <w:shd w:fill="D9EAF7"/>
          </w:tcPr>
          <w:p>
            <w:pPr>
              <w:spacing w:line="240" w:lineRule="auto"/>
              <w:jc w:val="center"/>
            </w:pPr>
            <w:r>
              <w:rPr>
                <w:rFonts w:ascii="Times New Roman" w:hAnsi="Times New Roman" w:eastAsia="Times New Roman"/>
                <w:b/>
                <w:sz w:val="20"/>
              </w:rPr>
              <w:t>Ожидаемый эффект</w:t>
            </w:r>
          </w:p>
        </w:tc>
      </w:tr>
      <w:tr>
        <w:tc>
          <w:tcPr>
            <w:tcW w:type="dxa" w:w="3230"/>
            <w:vAlign w:val="center"/>
          </w:tcPr>
          <w:p>
            <w:pPr>
              <w:spacing w:line="240" w:lineRule="auto"/>
              <w:jc w:val="left"/>
            </w:pPr>
            <w:r>
              <w:rPr>
                <w:rFonts w:ascii="Times New Roman" w:hAnsi="Times New Roman" w:eastAsia="Times New Roman"/>
                <w:b w:val="0"/>
                <w:sz w:val="20"/>
              </w:rPr>
              <w:t>Материальная мотивация</w:t>
            </w:r>
          </w:p>
        </w:tc>
        <w:tc>
          <w:tcPr>
            <w:tcW w:type="dxa" w:w="3230"/>
            <w:vAlign w:val="center"/>
          </w:tcPr>
          <w:p>
            <w:pPr>
              <w:spacing w:line="240" w:lineRule="auto"/>
              <w:jc w:val="left"/>
            </w:pPr>
            <w:r>
              <w:rPr>
                <w:rFonts w:ascii="Times New Roman" w:hAnsi="Times New Roman" w:eastAsia="Times New Roman"/>
                <w:b w:val="0"/>
                <w:sz w:val="20"/>
              </w:rPr>
              <w:t>Оклад, тарифная ставка, премии, доплаты, надбавки</w:t>
            </w:r>
          </w:p>
        </w:tc>
        <w:tc>
          <w:tcPr>
            <w:tcW w:type="dxa" w:w="3230"/>
            <w:vAlign w:val="center"/>
          </w:tcPr>
          <w:p>
            <w:pPr>
              <w:spacing w:line="240" w:lineRule="auto"/>
              <w:jc w:val="left"/>
            </w:pPr>
            <w:r>
              <w:rPr>
                <w:rFonts w:ascii="Times New Roman" w:hAnsi="Times New Roman" w:eastAsia="Times New Roman"/>
                <w:b w:val="0"/>
                <w:sz w:val="20"/>
              </w:rPr>
              <w:t>Удержание персонала, связь оплаты с результатом</w:t>
            </w:r>
          </w:p>
        </w:tc>
      </w:tr>
      <w:tr>
        <w:tc>
          <w:tcPr>
            <w:tcW w:type="dxa" w:w="3230"/>
            <w:vAlign w:val="center"/>
          </w:tcPr>
          <w:p>
            <w:pPr>
              <w:spacing w:line="240" w:lineRule="auto"/>
              <w:jc w:val="left"/>
            </w:pPr>
            <w:r>
              <w:rPr>
                <w:rFonts w:ascii="Times New Roman" w:hAnsi="Times New Roman" w:eastAsia="Times New Roman"/>
                <w:b w:val="0"/>
                <w:sz w:val="20"/>
              </w:rPr>
              <w:t>Социальная мотивация</w:t>
            </w:r>
          </w:p>
        </w:tc>
        <w:tc>
          <w:tcPr>
            <w:tcW w:type="dxa" w:w="3230"/>
            <w:vAlign w:val="center"/>
          </w:tcPr>
          <w:p>
            <w:pPr>
              <w:spacing w:line="240" w:lineRule="auto"/>
              <w:jc w:val="left"/>
            </w:pPr>
            <w:r>
              <w:rPr>
                <w:rFonts w:ascii="Times New Roman" w:hAnsi="Times New Roman" w:eastAsia="Times New Roman"/>
                <w:b w:val="0"/>
                <w:sz w:val="20"/>
              </w:rPr>
              <w:t>Материальная помощь, компенсации, детские подарки, поддержка семей</w:t>
            </w:r>
          </w:p>
        </w:tc>
        <w:tc>
          <w:tcPr>
            <w:tcW w:type="dxa" w:w="3230"/>
            <w:vAlign w:val="center"/>
          </w:tcPr>
          <w:p>
            <w:pPr>
              <w:spacing w:line="240" w:lineRule="auto"/>
              <w:jc w:val="left"/>
            </w:pPr>
            <w:r>
              <w:rPr>
                <w:rFonts w:ascii="Times New Roman" w:hAnsi="Times New Roman" w:eastAsia="Times New Roman"/>
                <w:b w:val="0"/>
                <w:sz w:val="20"/>
              </w:rPr>
              <w:t>Повышение лояльности и социальной защищенности</w:t>
            </w:r>
          </w:p>
        </w:tc>
      </w:tr>
      <w:tr>
        <w:tc>
          <w:tcPr>
            <w:tcW w:type="dxa" w:w="3230"/>
            <w:vAlign w:val="center"/>
          </w:tcPr>
          <w:p>
            <w:pPr>
              <w:spacing w:line="240" w:lineRule="auto"/>
              <w:jc w:val="left"/>
            </w:pPr>
            <w:r>
              <w:rPr>
                <w:rFonts w:ascii="Times New Roman" w:hAnsi="Times New Roman" w:eastAsia="Times New Roman"/>
                <w:b w:val="0"/>
                <w:sz w:val="20"/>
              </w:rPr>
              <w:t>Организационная мотивация</w:t>
            </w:r>
          </w:p>
        </w:tc>
        <w:tc>
          <w:tcPr>
            <w:tcW w:type="dxa" w:w="3230"/>
            <w:vAlign w:val="center"/>
          </w:tcPr>
          <w:p>
            <w:pPr>
              <w:spacing w:line="240" w:lineRule="auto"/>
              <w:jc w:val="left"/>
            </w:pPr>
            <w:r>
              <w:rPr>
                <w:rFonts w:ascii="Times New Roman" w:hAnsi="Times New Roman" w:eastAsia="Times New Roman"/>
                <w:b w:val="0"/>
                <w:sz w:val="20"/>
              </w:rPr>
              <w:t>Стабильная занятость, ПВТР, понятные процедуры</w:t>
            </w:r>
          </w:p>
        </w:tc>
        <w:tc>
          <w:tcPr>
            <w:tcW w:type="dxa" w:w="3230"/>
            <w:vAlign w:val="center"/>
          </w:tcPr>
          <w:p>
            <w:pPr>
              <w:spacing w:line="240" w:lineRule="auto"/>
              <w:jc w:val="left"/>
            </w:pPr>
            <w:r>
              <w:rPr>
                <w:rFonts w:ascii="Times New Roman" w:hAnsi="Times New Roman" w:eastAsia="Times New Roman"/>
                <w:b w:val="0"/>
                <w:sz w:val="20"/>
              </w:rPr>
              <w:t>Предсказуемость условий труда</w:t>
            </w:r>
          </w:p>
        </w:tc>
      </w:tr>
      <w:tr>
        <w:tc>
          <w:tcPr>
            <w:tcW w:type="dxa" w:w="3230"/>
            <w:vAlign w:val="center"/>
          </w:tcPr>
          <w:p>
            <w:pPr>
              <w:spacing w:line="240" w:lineRule="auto"/>
              <w:jc w:val="left"/>
            </w:pPr>
            <w:r>
              <w:rPr>
                <w:rFonts w:ascii="Times New Roman" w:hAnsi="Times New Roman" w:eastAsia="Times New Roman"/>
                <w:b w:val="0"/>
                <w:sz w:val="20"/>
              </w:rPr>
              <w:t>Профессиональная мотивация</w:t>
            </w:r>
          </w:p>
        </w:tc>
        <w:tc>
          <w:tcPr>
            <w:tcW w:type="dxa" w:w="3230"/>
            <w:vAlign w:val="center"/>
          </w:tcPr>
          <w:p>
            <w:pPr>
              <w:spacing w:line="240" w:lineRule="auto"/>
              <w:jc w:val="left"/>
            </w:pPr>
            <w:r>
              <w:rPr>
                <w:rFonts w:ascii="Times New Roman" w:hAnsi="Times New Roman" w:eastAsia="Times New Roman"/>
                <w:b w:val="0"/>
                <w:sz w:val="20"/>
              </w:rPr>
              <w:t>Обучение, адаптация, наставничество, кадровый резерв</w:t>
            </w:r>
          </w:p>
        </w:tc>
        <w:tc>
          <w:tcPr>
            <w:tcW w:type="dxa" w:w="3230"/>
            <w:vAlign w:val="center"/>
          </w:tcPr>
          <w:p>
            <w:pPr>
              <w:spacing w:line="240" w:lineRule="auto"/>
              <w:jc w:val="left"/>
            </w:pPr>
            <w:r>
              <w:rPr>
                <w:rFonts w:ascii="Times New Roman" w:hAnsi="Times New Roman" w:eastAsia="Times New Roman"/>
                <w:b w:val="0"/>
                <w:sz w:val="20"/>
              </w:rPr>
              <w:t>Рост компетенций и снижение ошибок</w:t>
            </w:r>
          </w:p>
        </w:tc>
      </w:tr>
      <w:tr>
        <w:tc>
          <w:tcPr>
            <w:tcW w:type="dxa" w:w="3230"/>
            <w:vAlign w:val="center"/>
          </w:tcPr>
          <w:p>
            <w:pPr>
              <w:spacing w:line="240" w:lineRule="auto"/>
              <w:jc w:val="left"/>
            </w:pPr>
            <w:r>
              <w:rPr>
                <w:rFonts w:ascii="Times New Roman" w:hAnsi="Times New Roman" w:eastAsia="Times New Roman"/>
                <w:b w:val="0"/>
                <w:sz w:val="20"/>
              </w:rPr>
              <w:t>Нематериальная мотивация</w:t>
            </w:r>
          </w:p>
        </w:tc>
        <w:tc>
          <w:tcPr>
            <w:tcW w:type="dxa" w:w="3230"/>
            <w:vAlign w:val="center"/>
          </w:tcPr>
          <w:p>
            <w:pPr>
              <w:spacing w:line="240" w:lineRule="auto"/>
              <w:jc w:val="left"/>
            </w:pPr>
            <w:r>
              <w:rPr>
                <w:rFonts w:ascii="Times New Roman" w:hAnsi="Times New Roman" w:eastAsia="Times New Roman"/>
                <w:b w:val="0"/>
                <w:sz w:val="20"/>
              </w:rPr>
              <w:t>Признание, корпоративные традиции, мероприятия</w:t>
            </w:r>
          </w:p>
        </w:tc>
        <w:tc>
          <w:tcPr>
            <w:tcW w:type="dxa" w:w="3230"/>
            <w:vAlign w:val="center"/>
          </w:tcPr>
          <w:p>
            <w:pPr>
              <w:spacing w:line="240" w:lineRule="auto"/>
              <w:jc w:val="left"/>
            </w:pPr>
            <w:r>
              <w:rPr>
                <w:rFonts w:ascii="Times New Roman" w:hAnsi="Times New Roman" w:eastAsia="Times New Roman"/>
                <w:b w:val="0"/>
                <w:sz w:val="20"/>
              </w:rPr>
              <w:t>Вовлеченность и позитивный климат</w:t>
            </w:r>
          </w:p>
        </w:tc>
      </w:tr>
      <w:tr>
        <w:tc>
          <w:tcPr>
            <w:tcW w:type="dxa" w:w="3230"/>
            <w:vAlign w:val="center"/>
          </w:tcPr>
          <w:p>
            <w:pPr>
              <w:spacing w:line="240" w:lineRule="auto"/>
              <w:jc w:val="left"/>
            </w:pPr>
            <w:r>
              <w:rPr>
                <w:rFonts w:ascii="Times New Roman" w:hAnsi="Times New Roman" w:eastAsia="Times New Roman"/>
                <w:b w:val="0"/>
                <w:sz w:val="20"/>
              </w:rPr>
              <w:t>Мотивация через условия труда</w:t>
            </w:r>
          </w:p>
        </w:tc>
        <w:tc>
          <w:tcPr>
            <w:tcW w:type="dxa" w:w="3230"/>
            <w:vAlign w:val="center"/>
          </w:tcPr>
          <w:p>
            <w:pPr>
              <w:spacing w:line="240" w:lineRule="auto"/>
              <w:jc w:val="left"/>
            </w:pPr>
            <w:r>
              <w:rPr>
                <w:rFonts w:ascii="Times New Roman" w:hAnsi="Times New Roman" w:eastAsia="Times New Roman"/>
                <w:b w:val="0"/>
                <w:sz w:val="20"/>
              </w:rPr>
              <w:t>Рабочие места, охрана труда, помещения для приема пищи</w:t>
            </w:r>
          </w:p>
        </w:tc>
        <w:tc>
          <w:tcPr>
            <w:tcW w:type="dxa" w:w="3230"/>
            <w:vAlign w:val="center"/>
          </w:tcPr>
          <w:p>
            <w:pPr>
              <w:spacing w:line="240" w:lineRule="auto"/>
              <w:jc w:val="left"/>
            </w:pPr>
            <w:r>
              <w:rPr>
                <w:rFonts w:ascii="Times New Roman" w:hAnsi="Times New Roman" w:eastAsia="Times New Roman"/>
                <w:b w:val="0"/>
                <w:sz w:val="20"/>
              </w:rPr>
              <w:t>Снижение бытового недовольства и рисков</w:t>
            </w:r>
          </w:p>
        </w:tc>
      </w:tr>
    </w:tbl>
    <w:p/>
    <w:p>
      <w:pPr>
        <w:spacing w:line="360" w:lineRule="auto"/>
        <w:ind w:firstLine="709"/>
        <w:jc w:val="both"/>
      </w:pPr>
      <w:r>
        <w:rPr>
          <w:rFonts w:ascii="Times New Roman" w:hAnsi="Times New Roman" w:eastAsia="Times New Roman"/>
          <w:sz w:val="28"/>
        </w:rPr>
        <w:t>Таблица 7 - Основные блоки системы мотивации ПАО «ТНС энерго НН»</w:t>
      </w:r>
    </w:p>
    <w:p>
      <w:pPr>
        <w:spacing w:line="360" w:lineRule="auto"/>
        <w:ind w:firstLine="709"/>
        <w:jc w:val="both"/>
      </w:pPr>
      <w:r>
        <w:rPr>
          <w:rFonts w:ascii="Times New Roman" w:hAnsi="Times New Roman" w:eastAsia="Times New Roman"/>
          <w:sz w:val="28"/>
        </w:rPr>
        <w:t>Система мотивации компании является преимущественно регламентированной. Это означает, что значительная часть стимулов закреплена в локальных нормативных актах. Такой подход повышает прозрачность и защищенность работников, но одновременно может снижать гибкость, если мотивация недостаточно учитывает индивидуальные различия между категориями персонала.</w:t>
      </w:r>
    </w:p>
    <w:p>
      <w:pPr>
        <w:spacing w:line="360" w:lineRule="auto"/>
        <w:ind w:firstLine="709"/>
        <w:jc w:val="both"/>
      </w:pPr>
      <w:r>
        <w:rPr>
          <w:rFonts w:ascii="Times New Roman" w:hAnsi="Times New Roman" w:eastAsia="Times New Roman"/>
          <w:sz w:val="28"/>
        </w:rPr>
        <w:t>Для более точного анализа важно учитывать, что персонал ПАО «ТНС энерго НН» неоднороден по содержанию труда, уровню эмоциональной нагрузки, требованиям к квалификации и источникам профессиональной мотивации. В одной организации работают специалисты клиентского обслуживания, работники расчетных подразделений, юристы, экономисты, бухгалтеры, ИТ-специалисты, сотрудники по работе с задолженностью, специалисты отделений, руководители подразделений и административно-управленческий персонал. Для каждой группы одни и те же стимулы могут иметь разную силу.</w:t>
      </w:r>
    </w:p>
    <w:p>
      <w:pPr>
        <w:spacing w:line="360" w:lineRule="auto"/>
        <w:ind w:firstLine="709"/>
        <w:jc w:val="both"/>
      </w:pPr>
      <w:r>
        <w:rPr>
          <w:rFonts w:ascii="Times New Roman" w:hAnsi="Times New Roman" w:eastAsia="Times New Roman"/>
          <w:sz w:val="28"/>
        </w:rPr>
        <w:t>Например, для работников клиентских подразделений особенно важны понятные показатели качества обслуживания, поддержка руководителя, обучение работе с конфликтными обращениями и признание эмоционально сложного труда. Для специалистов по расчетам и бухгалтерии значимы стабильность, точность регламентов, отсутствие сверхнормативной нагрузки в отчетные периоды и справедливая оценка внимательности. Для ИТ-персонала существенную роль играют профессиональные задачи, возможность осваивать новые технологии, участие в цифровизации и признание вклада в устойчивость информационных систем. Для работников территориальных отделений важны не только деньги, но и доступность коммуникации с центральным аппаратом, равенство условий, своевременность обучения и ощущение включенности в общую корпоративную среду.</w:t>
      </w:r>
    </w:p>
    <w:p>
      <w:pPr>
        <w:spacing w:line="360" w:lineRule="auto"/>
        <w:ind w:firstLine="709"/>
        <w:jc w:val="both"/>
      </w:pPr>
      <w:r>
        <w:rPr>
          <w:rFonts w:ascii="Times New Roman" w:hAnsi="Times New Roman" w:eastAsia="Times New Roman"/>
          <w:sz w:val="28"/>
        </w:rPr>
        <w:t>Таким образом, мотивационная система должна оцениваться не только как набор общих гарантий, но и как механизм, воздействующий на разные группы работников с учетом их трудовой ситуации. Обобщенная характеристика мотивационных факторов по категориям персонала представлена в таблице 8.</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Категория персонала</w:t>
            </w:r>
          </w:p>
        </w:tc>
        <w:tc>
          <w:tcPr>
            <w:tcW w:type="dxa" w:w="3230"/>
            <w:vAlign w:val="center"/>
            <w:shd w:fill="D9EAF7"/>
          </w:tcPr>
          <w:p>
            <w:pPr>
              <w:spacing w:line="240" w:lineRule="auto"/>
              <w:jc w:val="center"/>
            </w:pPr>
            <w:r>
              <w:rPr>
                <w:rFonts w:ascii="Times New Roman" w:hAnsi="Times New Roman" w:eastAsia="Times New Roman"/>
                <w:b/>
                <w:sz w:val="20"/>
              </w:rPr>
              <w:t>Наиболее значимые стимулы</w:t>
            </w:r>
          </w:p>
        </w:tc>
        <w:tc>
          <w:tcPr>
            <w:tcW w:type="dxa" w:w="3230"/>
            <w:vAlign w:val="center"/>
            <w:shd w:fill="D9EAF7"/>
          </w:tcPr>
          <w:p>
            <w:pPr>
              <w:spacing w:line="240" w:lineRule="auto"/>
              <w:jc w:val="center"/>
            </w:pPr>
            <w:r>
              <w:rPr>
                <w:rFonts w:ascii="Times New Roman" w:hAnsi="Times New Roman" w:eastAsia="Times New Roman"/>
                <w:b/>
                <w:sz w:val="20"/>
              </w:rPr>
              <w:t>Потенциальные демотиваторы</w:t>
            </w:r>
          </w:p>
        </w:tc>
      </w:tr>
      <w:tr>
        <w:tc>
          <w:tcPr>
            <w:tcW w:type="dxa" w:w="3230"/>
            <w:vAlign w:val="center"/>
          </w:tcPr>
          <w:p>
            <w:pPr>
              <w:spacing w:line="240" w:lineRule="auto"/>
              <w:jc w:val="left"/>
            </w:pPr>
            <w:r>
              <w:rPr>
                <w:rFonts w:ascii="Times New Roman" w:hAnsi="Times New Roman" w:eastAsia="Times New Roman"/>
                <w:b w:val="0"/>
                <w:sz w:val="20"/>
              </w:rPr>
              <w:t>Клиентское обслуживание</w:t>
            </w:r>
          </w:p>
        </w:tc>
        <w:tc>
          <w:tcPr>
            <w:tcW w:type="dxa" w:w="3230"/>
            <w:vAlign w:val="center"/>
          </w:tcPr>
          <w:p>
            <w:pPr>
              <w:spacing w:line="240" w:lineRule="auto"/>
              <w:jc w:val="left"/>
            </w:pPr>
            <w:r>
              <w:rPr>
                <w:rFonts w:ascii="Times New Roman" w:hAnsi="Times New Roman" w:eastAsia="Times New Roman"/>
                <w:b w:val="0"/>
                <w:sz w:val="20"/>
              </w:rPr>
              <w:t>Премии за качество, обучение коммуникациям, признание сложной работы, понятные стандарты</w:t>
            </w:r>
          </w:p>
        </w:tc>
        <w:tc>
          <w:tcPr>
            <w:tcW w:type="dxa" w:w="3230"/>
            <w:vAlign w:val="center"/>
          </w:tcPr>
          <w:p>
            <w:pPr>
              <w:spacing w:line="240" w:lineRule="auto"/>
              <w:jc w:val="left"/>
            </w:pPr>
            <w:r>
              <w:rPr>
                <w:rFonts w:ascii="Times New Roman" w:hAnsi="Times New Roman" w:eastAsia="Times New Roman"/>
                <w:b w:val="0"/>
                <w:sz w:val="20"/>
              </w:rPr>
              <w:t>Высокая эмоциональная нагрузка, жалобы потребителей, отсутствие обратной связи</w:t>
            </w:r>
          </w:p>
        </w:tc>
      </w:tr>
      <w:tr>
        <w:tc>
          <w:tcPr>
            <w:tcW w:type="dxa" w:w="3230"/>
            <w:vAlign w:val="center"/>
          </w:tcPr>
          <w:p>
            <w:pPr>
              <w:spacing w:line="240" w:lineRule="auto"/>
              <w:jc w:val="left"/>
            </w:pPr>
            <w:r>
              <w:rPr>
                <w:rFonts w:ascii="Times New Roman" w:hAnsi="Times New Roman" w:eastAsia="Times New Roman"/>
                <w:b w:val="0"/>
                <w:sz w:val="20"/>
              </w:rPr>
              <w:t>Расчетные и учетные подразделения</w:t>
            </w:r>
          </w:p>
        </w:tc>
        <w:tc>
          <w:tcPr>
            <w:tcW w:type="dxa" w:w="3230"/>
            <w:vAlign w:val="center"/>
          </w:tcPr>
          <w:p>
            <w:pPr>
              <w:spacing w:line="240" w:lineRule="auto"/>
              <w:jc w:val="left"/>
            </w:pPr>
            <w:r>
              <w:rPr>
                <w:rFonts w:ascii="Times New Roman" w:hAnsi="Times New Roman" w:eastAsia="Times New Roman"/>
                <w:b w:val="0"/>
                <w:sz w:val="20"/>
              </w:rPr>
              <w:t>Стабильность, точность регламентов, премии за отсутствие ошибок, комфортная нагрузка</w:t>
            </w:r>
          </w:p>
        </w:tc>
        <w:tc>
          <w:tcPr>
            <w:tcW w:type="dxa" w:w="3230"/>
            <w:vAlign w:val="center"/>
          </w:tcPr>
          <w:p>
            <w:pPr>
              <w:spacing w:line="240" w:lineRule="auto"/>
              <w:jc w:val="left"/>
            </w:pPr>
            <w:r>
              <w:rPr>
                <w:rFonts w:ascii="Times New Roman" w:hAnsi="Times New Roman" w:eastAsia="Times New Roman"/>
                <w:b w:val="0"/>
                <w:sz w:val="20"/>
              </w:rPr>
              <w:t>Ошибки в данных, пиковые периоды, недостаток автоматизации</w:t>
            </w:r>
          </w:p>
        </w:tc>
      </w:tr>
      <w:tr>
        <w:tc>
          <w:tcPr>
            <w:tcW w:type="dxa" w:w="3230"/>
            <w:vAlign w:val="center"/>
          </w:tcPr>
          <w:p>
            <w:pPr>
              <w:spacing w:line="240" w:lineRule="auto"/>
              <w:jc w:val="left"/>
            </w:pPr>
            <w:r>
              <w:rPr>
                <w:rFonts w:ascii="Times New Roman" w:hAnsi="Times New Roman" w:eastAsia="Times New Roman"/>
                <w:b w:val="0"/>
                <w:sz w:val="20"/>
              </w:rPr>
              <w:t>Работа с задолженностью</w:t>
            </w:r>
          </w:p>
        </w:tc>
        <w:tc>
          <w:tcPr>
            <w:tcW w:type="dxa" w:w="3230"/>
            <w:vAlign w:val="center"/>
          </w:tcPr>
          <w:p>
            <w:pPr>
              <w:spacing w:line="240" w:lineRule="auto"/>
              <w:jc w:val="left"/>
            </w:pPr>
            <w:r>
              <w:rPr>
                <w:rFonts w:ascii="Times New Roman" w:hAnsi="Times New Roman" w:eastAsia="Times New Roman"/>
                <w:b w:val="0"/>
                <w:sz w:val="20"/>
              </w:rPr>
              <w:t>Результативное премирование, правовая поддержка, командное взаимодействие</w:t>
            </w:r>
          </w:p>
        </w:tc>
        <w:tc>
          <w:tcPr>
            <w:tcW w:type="dxa" w:w="3230"/>
            <w:vAlign w:val="center"/>
          </w:tcPr>
          <w:p>
            <w:pPr>
              <w:spacing w:line="240" w:lineRule="auto"/>
              <w:jc w:val="left"/>
            </w:pPr>
            <w:r>
              <w:rPr>
                <w:rFonts w:ascii="Times New Roman" w:hAnsi="Times New Roman" w:eastAsia="Times New Roman"/>
                <w:b w:val="0"/>
                <w:sz w:val="20"/>
              </w:rPr>
              <w:t>Конфликтные ситуации, давление показателей, сложность взыскания</w:t>
            </w:r>
          </w:p>
        </w:tc>
      </w:tr>
      <w:tr>
        <w:tc>
          <w:tcPr>
            <w:tcW w:type="dxa" w:w="3230"/>
            <w:vAlign w:val="center"/>
          </w:tcPr>
          <w:p>
            <w:pPr>
              <w:spacing w:line="240" w:lineRule="auto"/>
              <w:jc w:val="left"/>
            </w:pPr>
            <w:r>
              <w:rPr>
                <w:rFonts w:ascii="Times New Roman" w:hAnsi="Times New Roman" w:eastAsia="Times New Roman"/>
                <w:b w:val="0"/>
                <w:sz w:val="20"/>
              </w:rPr>
              <w:t>Юридические подразделения</w:t>
            </w:r>
          </w:p>
        </w:tc>
        <w:tc>
          <w:tcPr>
            <w:tcW w:type="dxa" w:w="3230"/>
            <w:vAlign w:val="center"/>
          </w:tcPr>
          <w:p>
            <w:pPr>
              <w:spacing w:line="240" w:lineRule="auto"/>
              <w:jc w:val="left"/>
            </w:pPr>
            <w:r>
              <w:rPr>
                <w:rFonts w:ascii="Times New Roman" w:hAnsi="Times New Roman" w:eastAsia="Times New Roman"/>
                <w:b w:val="0"/>
                <w:sz w:val="20"/>
              </w:rPr>
              <w:t>Профессиональная автономия, сложные задачи, признание экспертности</w:t>
            </w:r>
          </w:p>
        </w:tc>
        <w:tc>
          <w:tcPr>
            <w:tcW w:type="dxa" w:w="3230"/>
            <w:vAlign w:val="center"/>
          </w:tcPr>
          <w:p>
            <w:pPr>
              <w:spacing w:line="240" w:lineRule="auto"/>
              <w:jc w:val="left"/>
            </w:pPr>
            <w:r>
              <w:rPr>
                <w:rFonts w:ascii="Times New Roman" w:hAnsi="Times New Roman" w:eastAsia="Times New Roman"/>
                <w:b w:val="0"/>
                <w:sz w:val="20"/>
              </w:rPr>
              <w:t>Большой объем претензионной работы, длительные судебные процессы</w:t>
            </w:r>
          </w:p>
        </w:tc>
      </w:tr>
      <w:tr>
        <w:tc>
          <w:tcPr>
            <w:tcW w:type="dxa" w:w="3230"/>
            <w:vAlign w:val="center"/>
          </w:tcPr>
          <w:p>
            <w:pPr>
              <w:spacing w:line="240" w:lineRule="auto"/>
              <w:jc w:val="left"/>
            </w:pPr>
            <w:r>
              <w:rPr>
                <w:rFonts w:ascii="Times New Roman" w:hAnsi="Times New Roman" w:eastAsia="Times New Roman"/>
                <w:b w:val="0"/>
                <w:sz w:val="20"/>
              </w:rPr>
              <w:t>ИТ-подразделения</w:t>
            </w:r>
          </w:p>
        </w:tc>
        <w:tc>
          <w:tcPr>
            <w:tcW w:type="dxa" w:w="3230"/>
            <w:vAlign w:val="center"/>
          </w:tcPr>
          <w:p>
            <w:pPr>
              <w:spacing w:line="240" w:lineRule="auto"/>
              <w:jc w:val="left"/>
            </w:pPr>
            <w:r>
              <w:rPr>
                <w:rFonts w:ascii="Times New Roman" w:hAnsi="Times New Roman" w:eastAsia="Times New Roman"/>
                <w:b w:val="0"/>
                <w:sz w:val="20"/>
              </w:rPr>
              <w:t>Профессиональное развитие, участие в проектах, современная инфраструктура</w:t>
            </w:r>
          </w:p>
        </w:tc>
        <w:tc>
          <w:tcPr>
            <w:tcW w:type="dxa" w:w="3230"/>
            <w:vAlign w:val="center"/>
          </w:tcPr>
          <w:p>
            <w:pPr>
              <w:spacing w:line="240" w:lineRule="auto"/>
              <w:jc w:val="left"/>
            </w:pPr>
            <w:r>
              <w:rPr>
                <w:rFonts w:ascii="Times New Roman" w:hAnsi="Times New Roman" w:eastAsia="Times New Roman"/>
                <w:b w:val="0"/>
                <w:sz w:val="20"/>
              </w:rPr>
              <w:t>Аварийная нагрузка, недостаток ресурсов, невидимость результата для пользователей</w:t>
            </w:r>
          </w:p>
        </w:tc>
      </w:tr>
      <w:tr>
        <w:tc>
          <w:tcPr>
            <w:tcW w:type="dxa" w:w="3230"/>
            <w:vAlign w:val="center"/>
          </w:tcPr>
          <w:p>
            <w:pPr>
              <w:spacing w:line="240" w:lineRule="auto"/>
              <w:jc w:val="left"/>
            </w:pPr>
            <w:r>
              <w:rPr>
                <w:rFonts w:ascii="Times New Roman" w:hAnsi="Times New Roman" w:eastAsia="Times New Roman"/>
                <w:b w:val="0"/>
                <w:sz w:val="20"/>
              </w:rPr>
              <w:t>Территориальные отделения</w:t>
            </w:r>
          </w:p>
        </w:tc>
        <w:tc>
          <w:tcPr>
            <w:tcW w:type="dxa" w:w="3230"/>
            <w:vAlign w:val="center"/>
          </w:tcPr>
          <w:p>
            <w:pPr>
              <w:spacing w:line="240" w:lineRule="auto"/>
              <w:jc w:val="left"/>
            </w:pPr>
            <w:r>
              <w:rPr>
                <w:rFonts w:ascii="Times New Roman" w:hAnsi="Times New Roman" w:eastAsia="Times New Roman"/>
                <w:b w:val="0"/>
                <w:sz w:val="20"/>
              </w:rPr>
              <w:t>Равный доступ к обучению, поддержка центра, социальная стабильность</w:t>
            </w:r>
          </w:p>
        </w:tc>
        <w:tc>
          <w:tcPr>
            <w:tcW w:type="dxa" w:w="3230"/>
            <w:vAlign w:val="center"/>
          </w:tcPr>
          <w:p>
            <w:pPr>
              <w:spacing w:line="240" w:lineRule="auto"/>
              <w:jc w:val="left"/>
            </w:pPr>
            <w:r>
              <w:rPr>
                <w:rFonts w:ascii="Times New Roman" w:hAnsi="Times New Roman" w:eastAsia="Times New Roman"/>
                <w:b w:val="0"/>
                <w:sz w:val="20"/>
              </w:rPr>
              <w:t>Удаленность от центральных решений, ограниченный карьерный горизонт</w:t>
            </w:r>
          </w:p>
        </w:tc>
      </w:tr>
      <w:tr>
        <w:tc>
          <w:tcPr>
            <w:tcW w:type="dxa" w:w="3230"/>
            <w:vAlign w:val="center"/>
          </w:tcPr>
          <w:p>
            <w:pPr>
              <w:spacing w:line="240" w:lineRule="auto"/>
              <w:jc w:val="left"/>
            </w:pPr>
            <w:r>
              <w:rPr>
                <w:rFonts w:ascii="Times New Roman" w:hAnsi="Times New Roman" w:eastAsia="Times New Roman"/>
                <w:b w:val="0"/>
                <w:sz w:val="20"/>
              </w:rPr>
              <w:t>Руководители среднего звена</w:t>
            </w:r>
          </w:p>
        </w:tc>
        <w:tc>
          <w:tcPr>
            <w:tcW w:type="dxa" w:w="3230"/>
            <w:vAlign w:val="center"/>
          </w:tcPr>
          <w:p>
            <w:pPr>
              <w:spacing w:line="240" w:lineRule="auto"/>
              <w:jc w:val="left"/>
            </w:pPr>
            <w:r>
              <w:rPr>
                <w:rFonts w:ascii="Times New Roman" w:hAnsi="Times New Roman" w:eastAsia="Times New Roman"/>
                <w:b w:val="0"/>
                <w:sz w:val="20"/>
              </w:rPr>
              <w:t>Управленческая самостоятельность, связь премии с результатами подразделения</w:t>
            </w:r>
          </w:p>
        </w:tc>
        <w:tc>
          <w:tcPr>
            <w:tcW w:type="dxa" w:w="3230"/>
            <w:vAlign w:val="center"/>
          </w:tcPr>
          <w:p>
            <w:pPr>
              <w:spacing w:line="240" w:lineRule="auto"/>
              <w:jc w:val="left"/>
            </w:pPr>
            <w:r>
              <w:rPr>
                <w:rFonts w:ascii="Times New Roman" w:hAnsi="Times New Roman" w:eastAsia="Times New Roman"/>
                <w:b w:val="0"/>
                <w:sz w:val="20"/>
              </w:rPr>
              <w:t>Высокая ответственность без достаточных инструментов влияния</w:t>
            </w:r>
          </w:p>
        </w:tc>
      </w:tr>
    </w:tbl>
    <w:p/>
    <w:p>
      <w:pPr>
        <w:spacing w:line="360" w:lineRule="auto"/>
        <w:ind w:firstLine="709"/>
        <w:jc w:val="both"/>
      </w:pPr>
      <w:r>
        <w:rPr>
          <w:rFonts w:ascii="Times New Roman" w:hAnsi="Times New Roman" w:eastAsia="Times New Roman"/>
          <w:sz w:val="28"/>
        </w:rPr>
        <w:t>Таблица 8 - Мотивационные факторы по категориям персонала ПАО «ТНС энерго НН»</w:t>
      </w:r>
    </w:p>
    <w:p>
      <w:pPr>
        <w:spacing w:line="360" w:lineRule="auto"/>
        <w:ind w:firstLine="709"/>
        <w:jc w:val="both"/>
      </w:pPr>
      <w:r>
        <w:rPr>
          <w:rFonts w:ascii="Times New Roman" w:hAnsi="Times New Roman" w:eastAsia="Times New Roman"/>
          <w:sz w:val="28"/>
        </w:rPr>
        <w:t>Данные таблицы 8 показывают, что универсальная мотивационная система должна дополняться адресным управленческим подходом. Если все категории работников стимулируются одинаково, часть стимулов неизбежно оказывается менее эффективной. Например, социальные выплаты важны для большинства сотрудников, но они не заменяют профессиональное развитие для ИТ-специалистов или эмоциональную поддержку для работников клиентского фронта. Аналогично премия за общий финансовый результат может восприниматься справедливо административным персоналом, но недостаточно мотивировать сотрудника, который ежедневно решает конфликтные ситуации с потребителями и хочет видеть признание именно качества своей работы.</w:t>
      </w:r>
    </w:p>
    <w:p>
      <w:pPr>
        <w:spacing w:line="360" w:lineRule="auto"/>
        <w:ind w:firstLine="709"/>
        <w:jc w:val="both"/>
      </w:pPr>
      <w:r>
        <w:rPr>
          <w:rFonts w:ascii="Times New Roman" w:hAnsi="Times New Roman" w:eastAsia="Times New Roman"/>
          <w:sz w:val="28"/>
        </w:rPr>
        <w:t>Еще одна особенность мотивации в ПАО «ТНС энерго НН» связана с регулируемым и массовым характером деятельности. Многие результаты достигаются не отдельными яркими проектами, а ежедневным соблюдением стандартов: правильно обработать показания, вовремя внести данные, корректно ответить потребителю, соблюсти срок претензии, не допустить ошибки в договоре, обеспечить работоспособность информационной системы. Такие результаты менее заметны, чем разовые достижения, но именно они обеспечивают устойчивость энергосбытовой компании. Поэтому мотивационная система должна признавать не только инициативы и перевыполнение планов, но и стабильное качество рутинных операций.</w:t>
      </w:r>
    </w:p>
    <w:p>
      <w:pPr>
        <w:spacing w:line="360" w:lineRule="auto"/>
        <w:ind w:firstLine="709"/>
        <w:jc w:val="both"/>
      </w:pPr>
      <w:r>
        <w:rPr>
          <w:rFonts w:ascii="Times New Roman" w:hAnsi="Times New Roman" w:eastAsia="Times New Roman"/>
          <w:sz w:val="28"/>
        </w:rPr>
        <w:t>В этом проявляется сложность анализа мотивации: часть значимых результатов персонала имеет профилактический характер. Если работник не допустил ошибки, предотвратил жалобу, вовремя выявил некорректные данные или помог новому сотруднику освоиться, экономический эффект может быть неочевиден в моменте. Но отсутствие таких действий приводит к потерям, конфликтам, дополнительным трудозатратам и репутационным рискам. Следовательно, при оценке системы мотивации необходимо учитывать не только прямые финансовые показатели, но и качество процессов, устойчивость работы подразделений и снижение организационных рисков.</w:t>
      </w:r>
    </w:p>
    <w:p>
      <w:pPr>
        <w:pStyle w:val="Heading2"/>
      </w:pPr>
      <w:r>
        <w:t>3.2. Материальная мотивация персонала</w:t>
      </w:r>
    </w:p>
    <w:p>
      <w:pPr>
        <w:spacing w:line="360" w:lineRule="auto"/>
        <w:ind w:firstLine="709"/>
        <w:jc w:val="both"/>
      </w:pPr>
      <w:r>
        <w:rPr>
          <w:rFonts w:ascii="Times New Roman" w:hAnsi="Times New Roman" w:eastAsia="Times New Roman"/>
          <w:sz w:val="28"/>
        </w:rPr>
        <w:t>Материальная мотивация является центральным элементом стимулирования работников. В коллективном договоре ПАО «ТНС энерго НН» указано, что система оплаты и стимулирования труда работников устанавливается положением об оплате труда и мотивации работников. Работодатель обеспечивает связь оплаты труда с результатами труда, информирование работников об условиях оплаты и совершенствование нормирования.</w:t>
      </w:r>
    </w:p>
    <w:p>
      <w:pPr>
        <w:spacing w:line="360" w:lineRule="auto"/>
        <w:ind w:firstLine="709"/>
        <w:jc w:val="both"/>
      </w:pPr>
      <w:r>
        <w:rPr>
          <w:rFonts w:ascii="Times New Roman" w:hAnsi="Times New Roman" w:eastAsia="Times New Roman"/>
          <w:sz w:val="28"/>
        </w:rPr>
        <w:t>В обществе применяется тарифно-премиальная система оплаты труда. Она включает гарантированную часть в виде оклада или тарифной ставки и переменную часть в виде премий, доплат и надбавок. Такой подход является распространенным для крупных организаций, поскольку позволяет сочетать стабильность дохода с возможностью стимулировать результаты.</w:t>
      </w:r>
    </w:p>
    <w:p>
      <w:pPr>
        <w:spacing w:line="360" w:lineRule="auto"/>
        <w:ind w:firstLine="709"/>
        <w:jc w:val="both"/>
      </w:pPr>
      <w:r>
        <w:rPr>
          <w:rFonts w:ascii="Times New Roman" w:hAnsi="Times New Roman" w:eastAsia="Times New Roman"/>
          <w:sz w:val="28"/>
        </w:rPr>
        <w:t>Базовая часть оплаты труда выполняет несколько функций:</w:t>
      </w:r>
    </w:p>
    <w:p>
      <w:pPr>
        <w:pStyle w:val="ListBullet"/>
        <w:spacing w:line="360" w:lineRule="auto"/>
      </w:pPr>
      <w:r>
        <w:t>обеспечивает работнику гарантированный доход;</w:t>
      </w:r>
    </w:p>
    <w:p>
      <w:pPr>
        <w:pStyle w:val="ListBullet"/>
        <w:spacing w:line="360" w:lineRule="auto"/>
      </w:pPr>
      <w:r>
        <w:t>отражает сложность должности, квалификацию и уровень ответственности;</w:t>
      </w:r>
    </w:p>
    <w:p>
      <w:pPr>
        <w:pStyle w:val="ListBullet"/>
        <w:spacing w:line="360" w:lineRule="auto"/>
      </w:pPr>
      <w:r>
        <w:t>формирует основу для расчета некоторых выплат;</w:t>
      </w:r>
    </w:p>
    <w:p>
      <w:pPr>
        <w:pStyle w:val="ListBullet"/>
        <w:spacing w:line="360" w:lineRule="auto"/>
      </w:pPr>
      <w:r>
        <w:t>обеспечивает соответствие трудовому законодательству и локальным нормам.</w:t>
      </w:r>
    </w:p>
    <w:p>
      <w:pPr>
        <w:spacing w:line="360" w:lineRule="auto"/>
        <w:ind w:firstLine="709"/>
        <w:jc w:val="both"/>
      </w:pPr>
      <w:r>
        <w:rPr>
          <w:rFonts w:ascii="Times New Roman" w:hAnsi="Times New Roman" w:eastAsia="Times New Roman"/>
          <w:sz w:val="28"/>
        </w:rPr>
        <w:t>Переменная часть оплаты труда выполняет стимулирующую функцию. В коллективном договоре указано, что материальное стимулирование учитывает достижение финансовых и производственных результатов, отсутствие нарушений правил внутреннего трудового распорядка и охраны труда, отсутствие роста травматизма, повышение производительности труда. Это означает, что премирование связано не только с индивидуальными действиями работника, но и с коллективными и организационными результатами.</w:t>
      </w:r>
    </w:p>
    <w:p>
      <w:pPr>
        <w:spacing w:line="360" w:lineRule="auto"/>
        <w:ind w:firstLine="709"/>
        <w:jc w:val="both"/>
      </w:pPr>
      <w:r>
        <w:rPr>
          <w:rFonts w:ascii="Times New Roman" w:hAnsi="Times New Roman" w:eastAsia="Times New Roman"/>
          <w:sz w:val="28"/>
        </w:rPr>
        <w:t>Материальная мотивация в ПАО «ТНС энерго НН» имеет несколько уровней, представленных в таблице 8.</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Уровень материальной мотивации</w:t>
            </w:r>
          </w:p>
        </w:tc>
        <w:tc>
          <w:tcPr>
            <w:tcW w:type="dxa" w:w="3230"/>
            <w:vAlign w:val="center"/>
            <w:shd w:fill="D9EAF7"/>
          </w:tcPr>
          <w:p>
            <w:pPr>
              <w:spacing w:line="240" w:lineRule="auto"/>
              <w:jc w:val="center"/>
            </w:pPr>
            <w:r>
              <w:rPr>
                <w:rFonts w:ascii="Times New Roman" w:hAnsi="Times New Roman" w:eastAsia="Times New Roman"/>
                <w:b/>
                <w:sz w:val="20"/>
              </w:rPr>
              <w:t>Содержание</w:t>
            </w:r>
          </w:p>
        </w:tc>
        <w:tc>
          <w:tcPr>
            <w:tcW w:type="dxa" w:w="3230"/>
            <w:vAlign w:val="center"/>
            <w:shd w:fill="D9EAF7"/>
          </w:tcPr>
          <w:p>
            <w:pPr>
              <w:spacing w:line="240" w:lineRule="auto"/>
              <w:jc w:val="center"/>
            </w:pPr>
            <w:r>
              <w:rPr>
                <w:rFonts w:ascii="Times New Roman" w:hAnsi="Times New Roman" w:eastAsia="Times New Roman"/>
                <w:b/>
                <w:sz w:val="20"/>
              </w:rPr>
              <w:t>Значение</w:t>
            </w:r>
          </w:p>
        </w:tc>
      </w:tr>
      <w:tr>
        <w:tc>
          <w:tcPr>
            <w:tcW w:type="dxa" w:w="3230"/>
            <w:vAlign w:val="center"/>
          </w:tcPr>
          <w:p>
            <w:pPr>
              <w:spacing w:line="240" w:lineRule="auto"/>
              <w:jc w:val="left"/>
            </w:pPr>
            <w:r>
              <w:rPr>
                <w:rFonts w:ascii="Times New Roman" w:hAnsi="Times New Roman" w:eastAsia="Times New Roman"/>
                <w:b w:val="0"/>
                <w:sz w:val="20"/>
              </w:rPr>
              <w:t>Гарантированный доход</w:t>
            </w:r>
          </w:p>
        </w:tc>
        <w:tc>
          <w:tcPr>
            <w:tcW w:type="dxa" w:w="3230"/>
            <w:vAlign w:val="center"/>
          </w:tcPr>
          <w:p>
            <w:pPr>
              <w:spacing w:line="240" w:lineRule="auto"/>
              <w:jc w:val="left"/>
            </w:pPr>
            <w:r>
              <w:rPr>
                <w:rFonts w:ascii="Times New Roman" w:hAnsi="Times New Roman" w:eastAsia="Times New Roman"/>
                <w:b w:val="0"/>
                <w:sz w:val="20"/>
              </w:rPr>
              <w:t>Оклад, тарифная ставка</w:t>
            </w:r>
          </w:p>
        </w:tc>
        <w:tc>
          <w:tcPr>
            <w:tcW w:type="dxa" w:w="3230"/>
            <w:vAlign w:val="center"/>
          </w:tcPr>
          <w:p>
            <w:pPr>
              <w:spacing w:line="240" w:lineRule="auto"/>
              <w:jc w:val="left"/>
            </w:pPr>
            <w:r>
              <w:rPr>
                <w:rFonts w:ascii="Times New Roman" w:hAnsi="Times New Roman" w:eastAsia="Times New Roman"/>
                <w:b w:val="0"/>
                <w:sz w:val="20"/>
              </w:rPr>
              <w:t>Обеспечивает стабильность и базовую привлекательность рабочего места</w:t>
            </w:r>
          </w:p>
        </w:tc>
      </w:tr>
      <w:tr>
        <w:tc>
          <w:tcPr>
            <w:tcW w:type="dxa" w:w="3230"/>
            <w:vAlign w:val="center"/>
          </w:tcPr>
          <w:p>
            <w:pPr>
              <w:spacing w:line="240" w:lineRule="auto"/>
              <w:jc w:val="left"/>
            </w:pPr>
            <w:r>
              <w:rPr>
                <w:rFonts w:ascii="Times New Roman" w:hAnsi="Times New Roman" w:eastAsia="Times New Roman"/>
                <w:b w:val="0"/>
                <w:sz w:val="20"/>
              </w:rPr>
              <w:t>Премирование</w:t>
            </w:r>
          </w:p>
        </w:tc>
        <w:tc>
          <w:tcPr>
            <w:tcW w:type="dxa" w:w="3230"/>
            <w:vAlign w:val="center"/>
          </w:tcPr>
          <w:p>
            <w:pPr>
              <w:spacing w:line="240" w:lineRule="auto"/>
              <w:jc w:val="left"/>
            </w:pPr>
            <w:r>
              <w:rPr>
                <w:rFonts w:ascii="Times New Roman" w:hAnsi="Times New Roman" w:eastAsia="Times New Roman"/>
                <w:b w:val="0"/>
                <w:sz w:val="20"/>
              </w:rPr>
              <w:t>Выплаты по результатам деятельности</w:t>
            </w:r>
          </w:p>
        </w:tc>
        <w:tc>
          <w:tcPr>
            <w:tcW w:type="dxa" w:w="3230"/>
            <w:vAlign w:val="center"/>
          </w:tcPr>
          <w:p>
            <w:pPr>
              <w:spacing w:line="240" w:lineRule="auto"/>
              <w:jc w:val="left"/>
            </w:pPr>
            <w:r>
              <w:rPr>
                <w:rFonts w:ascii="Times New Roman" w:hAnsi="Times New Roman" w:eastAsia="Times New Roman"/>
                <w:b w:val="0"/>
                <w:sz w:val="20"/>
              </w:rPr>
              <w:t>Связывает интересы работника с целями подразделения и компании</w:t>
            </w:r>
          </w:p>
        </w:tc>
      </w:tr>
      <w:tr>
        <w:tc>
          <w:tcPr>
            <w:tcW w:type="dxa" w:w="3230"/>
            <w:vAlign w:val="center"/>
          </w:tcPr>
          <w:p>
            <w:pPr>
              <w:spacing w:line="240" w:lineRule="auto"/>
              <w:jc w:val="left"/>
            </w:pPr>
            <w:r>
              <w:rPr>
                <w:rFonts w:ascii="Times New Roman" w:hAnsi="Times New Roman" w:eastAsia="Times New Roman"/>
                <w:b w:val="0"/>
                <w:sz w:val="20"/>
              </w:rPr>
              <w:t>Доплаты и надбавки</w:t>
            </w:r>
          </w:p>
        </w:tc>
        <w:tc>
          <w:tcPr>
            <w:tcW w:type="dxa" w:w="3230"/>
            <w:vAlign w:val="center"/>
          </w:tcPr>
          <w:p>
            <w:pPr>
              <w:spacing w:line="240" w:lineRule="auto"/>
              <w:jc w:val="left"/>
            </w:pPr>
            <w:r>
              <w:rPr>
                <w:rFonts w:ascii="Times New Roman" w:hAnsi="Times New Roman" w:eastAsia="Times New Roman"/>
                <w:b w:val="0"/>
                <w:sz w:val="20"/>
              </w:rPr>
              <w:t>Компенсационные и стимулирующие выплаты</w:t>
            </w:r>
          </w:p>
        </w:tc>
        <w:tc>
          <w:tcPr>
            <w:tcW w:type="dxa" w:w="3230"/>
            <w:vAlign w:val="center"/>
          </w:tcPr>
          <w:p>
            <w:pPr>
              <w:spacing w:line="240" w:lineRule="auto"/>
              <w:jc w:val="left"/>
            </w:pPr>
            <w:r>
              <w:rPr>
                <w:rFonts w:ascii="Times New Roman" w:hAnsi="Times New Roman" w:eastAsia="Times New Roman"/>
                <w:b w:val="0"/>
                <w:sz w:val="20"/>
              </w:rPr>
              <w:t>Учитывают сложность, режим и дополнительные обязанности</w:t>
            </w:r>
          </w:p>
        </w:tc>
      </w:tr>
      <w:tr>
        <w:tc>
          <w:tcPr>
            <w:tcW w:type="dxa" w:w="3230"/>
            <w:vAlign w:val="center"/>
          </w:tcPr>
          <w:p>
            <w:pPr>
              <w:spacing w:line="240" w:lineRule="auto"/>
              <w:jc w:val="left"/>
            </w:pPr>
            <w:r>
              <w:rPr>
                <w:rFonts w:ascii="Times New Roman" w:hAnsi="Times New Roman" w:eastAsia="Times New Roman"/>
                <w:b w:val="0"/>
                <w:sz w:val="20"/>
              </w:rPr>
              <w:t>Повышенный размер оплаты</w:t>
            </w:r>
          </w:p>
        </w:tc>
        <w:tc>
          <w:tcPr>
            <w:tcW w:type="dxa" w:w="3230"/>
            <w:vAlign w:val="center"/>
          </w:tcPr>
          <w:p>
            <w:pPr>
              <w:spacing w:line="240" w:lineRule="auto"/>
              <w:jc w:val="left"/>
            </w:pPr>
            <w:r>
              <w:rPr>
                <w:rFonts w:ascii="Times New Roman" w:hAnsi="Times New Roman" w:eastAsia="Times New Roman"/>
                <w:b w:val="0"/>
                <w:sz w:val="20"/>
              </w:rPr>
              <w:t>Может устанавливаться отдельным работникам по решению работодателя</w:t>
            </w:r>
          </w:p>
        </w:tc>
        <w:tc>
          <w:tcPr>
            <w:tcW w:type="dxa" w:w="3230"/>
            <w:vAlign w:val="center"/>
          </w:tcPr>
          <w:p>
            <w:pPr>
              <w:spacing w:line="240" w:lineRule="auto"/>
              <w:jc w:val="left"/>
            </w:pPr>
            <w:r>
              <w:rPr>
                <w:rFonts w:ascii="Times New Roman" w:hAnsi="Times New Roman" w:eastAsia="Times New Roman"/>
                <w:b w:val="0"/>
                <w:sz w:val="20"/>
              </w:rPr>
              <w:t>Позволяет удерживать ценных специалистов</w:t>
            </w:r>
          </w:p>
        </w:tc>
      </w:tr>
      <w:tr>
        <w:tc>
          <w:tcPr>
            <w:tcW w:type="dxa" w:w="3230"/>
            <w:vAlign w:val="center"/>
          </w:tcPr>
          <w:p>
            <w:pPr>
              <w:spacing w:line="240" w:lineRule="auto"/>
              <w:jc w:val="left"/>
            </w:pPr>
            <w:r>
              <w:rPr>
                <w:rFonts w:ascii="Times New Roman" w:hAnsi="Times New Roman" w:eastAsia="Times New Roman"/>
                <w:b w:val="0"/>
                <w:sz w:val="20"/>
              </w:rPr>
              <w:t>Индексация</w:t>
            </w:r>
          </w:p>
        </w:tc>
        <w:tc>
          <w:tcPr>
            <w:tcW w:type="dxa" w:w="3230"/>
            <w:vAlign w:val="center"/>
          </w:tcPr>
          <w:p>
            <w:pPr>
              <w:spacing w:line="240" w:lineRule="auto"/>
              <w:jc w:val="left"/>
            </w:pPr>
            <w:r>
              <w:rPr>
                <w:rFonts w:ascii="Times New Roman" w:hAnsi="Times New Roman" w:eastAsia="Times New Roman"/>
                <w:b w:val="0"/>
                <w:sz w:val="20"/>
              </w:rPr>
              <w:t>Осуществляется при росте индекса потребительских цен с учетом финансовых возможностей</w:t>
            </w:r>
          </w:p>
        </w:tc>
        <w:tc>
          <w:tcPr>
            <w:tcW w:type="dxa" w:w="3230"/>
            <w:vAlign w:val="center"/>
          </w:tcPr>
          <w:p>
            <w:pPr>
              <w:spacing w:line="240" w:lineRule="auto"/>
              <w:jc w:val="left"/>
            </w:pPr>
            <w:r>
              <w:rPr>
                <w:rFonts w:ascii="Times New Roman" w:hAnsi="Times New Roman" w:eastAsia="Times New Roman"/>
                <w:b w:val="0"/>
                <w:sz w:val="20"/>
              </w:rPr>
              <w:t>Частично защищает доход от инфляции</w:t>
            </w:r>
          </w:p>
        </w:tc>
      </w:tr>
      <w:tr>
        <w:tc>
          <w:tcPr>
            <w:tcW w:type="dxa" w:w="3230"/>
            <w:vAlign w:val="center"/>
          </w:tcPr>
          <w:p>
            <w:pPr>
              <w:spacing w:line="240" w:lineRule="auto"/>
              <w:jc w:val="left"/>
            </w:pPr>
            <w:r>
              <w:rPr>
                <w:rFonts w:ascii="Times New Roman" w:hAnsi="Times New Roman" w:eastAsia="Times New Roman"/>
                <w:b w:val="0"/>
                <w:sz w:val="20"/>
              </w:rPr>
              <w:t>Выплаты наставникам</w:t>
            </w:r>
          </w:p>
        </w:tc>
        <w:tc>
          <w:tcPr>
            <w:tcW w:type="dxa" w:w="3230"/>
            <w:vAlign w:val="center"/>
          </w:tcPr>
          <w:p>
            <w:pPr>
              <w:spacing w:line="240" w:lineRule="auto"/>
              <w:jc w:val="left"/>
            </w:pPr>
            <w:r>
              <w:rPr>
                <w:rFonts w:ascii="Times New Roman" w:hAnsi="Times New Roman" w:eastAsia="Times New Roman"/>
                <w:b w:val="0"/>
                <w:sz w:val="20"/>
              </w:rPr>
              <w:t>До 20% должностного оклада на период наставничества</w:t>
            </w:r>
          </w:p>
        </w:tc>
        <w:tc>
          <w:tcPr>
            <w:tcW w:type="dxa" w:w="3230"/>
            <w:vAlign w:val="center"/>
          </w:tcPr>
          <w:p>
            <w:pPr>
              <w:spacing w:line="240" w:lineRule="auto"/>
              <w:jc w:val="left"/>
            </w:pPr>
            <w:r>
              <w:rPr>
                <w:rFonts w:ascii="Times New Roman" w:hAnsi="Times New Roman" w:eastAsia="Times New Roman"/>
                <w:b w:val="0"/>
                <w:sz w:val="20"/>
              </w:rPr>
              <w:t>Стимулирует передачу опыта новым работникам</w:t>
            </w:r>
          </w:p>
        </w:tc>
      </w:tr>
      <w:tr>
        <w:tc>
          <w:tcPr>
            <w:tcW w:type="dxa" w:w="3230"/>
            <w:vAlign w:val="center"/>
          </w:tcPr>
          <w:p>
            <w:pPr>
              <w:spacing w:line="240" w:lineRule="auto"/>
              <w:jc w:val="left"/>
            </w:pPr>
            <w:r>
              <w:rPr>
                <w:rFonts w:ascii="Times New Roman" w:hAnsi="Times New Roman" w:eastAsia="Times New Roman"/>
                <w:b w:val="0"/>
                <w:sz w:val="20"/>
              </w:rPr>
              <w:t>Материальная помощь</w:t>
            </w:r>
          </w:p>
        </w:tc>
        <w:tc>
          <w:tcPr>
            <w:tcW w:type="dxa" w:w="3230"/>
            <w:vAlign w:val="center"/>
          </w:tcPr>
          <w:p>
            <w:pPr>
              <w:spacing w:line="240" w:lineRule="auto"/>
              <w:jc w:val="left"/>
            </w:pPr>
            <w:r>
              <w:rPr>
                <w:rFonts w:ascii="Times New Roman" w:hAnsi="Times New Roman" w:eastAsia="Times New Roman"/>
                <w:b w:val="0"/>
                <w:sz w:val="20"/>
              </w:rPr>
              <w:t>Выплаты по социальным основаниям</w:t>
            </w:r>
          </w:p>
        </w:tc>
        <w:tc>
          <w:tcPr>
            <w:tcW w:type="dxa" w:w="3230"/>
            <w:vAlign w:val="center"/>
          </w:tcPr>
          <w:p>
            <w:pPr>
              <w:spacing w:line="240" w:lineRule="auto"/>
              <w:jc w:val="left"/>
            </w:pPr>
            <w:r>
              <w:rPr>
                <w:rFonts w:ascii="Times New Roman" w:hAnsi="Times New Roman" w:eastAsia="Times New Roman"/>
                <w:b w:val="0"/>
                <w:sz w:val="20"/>
              </w:rPr>
              <w:t>Поддерживает работников в значимых жизненных ситуациях</w:t>
            </w:r>
          </w:p>
        </w:tc>
      </w:tr>
    </w:tbl>
    <w:p/>
    <w:p>
      <w:pPr>
        <w:spacing w:line="360" w:lineRule="auto"/>
        <w:ind w:firstLine="709"/>
        <w:jc w:val="both"/>
      </w:pPr>
      <w:r>
        <w:rPr>
          <w:rFonts w:ascii="Times New Roman" w:hAnsi="Times New Roman" w:eastAsia="Times New Roman"/>
          <w:sz w:val="28"/>
        </w:rPr>
        <w:t>Таблица 9 - Уровни материальной мотивации работников ПАО «ТНС энерго НН»</w:t>
      </w:r>
    </w:p>
    <w:p>
      <w:pPr>
        <w:spacing w:line="360" w:lineRule="auto"/>
        <w:ind w:firstLine="709"/>
        <w:jc w:val="both"/>
      </w:pPr>
      <w:r>
        <w:rPr>
          <w:rFonts w:ascii="Times New Roman" w:hAnsi="Times New Roman" w:eastAsia="Times New Roman"/>
          <w:sz w:val="28"/>
        </w:rPr>
        <w:t>Положительной стороной материальной мотивации является ее нормативная закрепленность. Работник может рассчитывать на определенный порядок оплаты, знать сроки выплаты заработной платы, понимать наличие премиальной составляющей и социальных выплат. Для крупной организации это особенно важно, поскольку снижает субъективность и конфликтность.</w:t>
      </w:r>
    </w:p>
    <w:p>
      <w:pPr>
        <w:spacing w:line="360" w:lineRule="auto"/>
        <w:ind w:firstLine="709"/>
        <w:jc w:val="both"/>
      </w:pPr>
      <w:r>
        <w:rPr>
          <w:rFonts w:ascii="Times New Roman" w:hAnsi="Times New Roman" w:eastAsia="Times New Roman"/>
          <w:sz w:val="28"/>
        </w:rPr>
        <w:t>В то же время материальная мотивация зависит от финансовых возможностей работодателя. В коллективном договоре неоднократно указывается, что отдельные гарантии, компенсации и мероприятия осуществляются в рамках средств, утвержденных бизнес-планом, либо при наличии финансовой возможности. С учетом финансовой динамики 2024 года, когда компания получила значительный убыток, такая зависимость является существенной. Работники могут воспринимать мотивационную систему как менее стабильную, если переменная часть выплат или дополнительные социальные программы зависят от текущего финансового результата.</w:t>
      </w:r>
    </w:p>
    <w:p>
      <w:pPr>
        <w:spacing w:line="360" w:lineRule="auto"/>
        <w:ind w:firstLine="709"/>
        <w:jc w:val="both"/>
      </w:pPr>
      <w:r>
        <w:rPr>
          <w:rFonts w:ascii="Times New Roman" w:hAnsi="Times New Roman" w:eastAsia="Times New Roman"/>
          <w:sz w:val="28"/>
        </w:rPr>
        <w:t>Отдельного внимания заслуживает премирование. Для энергосбытовой компании важно, чтобы показатели премирования были понятны работникам разных категорий. Например, для специалистов клиентского обслуживания релевантны качество консультаций, скорость обработки обращений, корректность данных и отсутствие обоснованных жалоб. Для работников по задолженности - снижение просроченной задолженности, качество претензионной работы, соблюдение правовых процедур. Для ИТ-подразделений - доступность информационных систем, скорость устранения инцидентов, развитие цифровых сервисов. Для кадровой службы - срок закрытия вакансий, качество адаптации, снижение текучести. Если показатели премирования слишком общие или недостаточно прозрачные, стимулирующий эффект снижается.</w:t>
      </w:r>
    </w:p>
    <w:p>
      <w:pPr>
        <w:spacing w:line="360" w:lineRule="auto"/>
        <w:ind w:firstLine="709"/>
        <w:jc w:val="both"/>
      </w:pPr>
      <w:r>
        <w:rPr>
          <w:rFonts w:ascii="Times New Roman" w:hAnsi="Times New Roman" w:eastAsia="Times New Roman"/>
          <w:sz w:val="28"/>
        </w:rPr>
        <w:t>Таким образом, материальная мотивация ПАО «ТНС энерго НН» имеет прочную нормативную основу, но ее эффективность зависит от прозрачности критериев премирования, финансового состояния компании и восприятия работниками справедливости распределения переменной части дохода.</w:t>
      </w:r>
    </w:p>
    <w:p>
      <w:pPr>
        <w:pStyle w:val="Heading2"/>
      </w:pPr>
      <w:r>
        <w:t>3.3. Социальный пакет как элемент удержания сотрудников</w:t>
      </w:r>
    </w:p>
    <w:p>
      <w:pPr>
        <w:spacing w:line="360" w:lineRule="auto"/>
        <w:ind w:firstLine="709"/>
        <w:jc w:val="both"/>
      </w:pPr>
      <w:r>
        <w:rPr>
          <w:rFonts w:ascii="Times New Roman" w:hAnsi="Times New Roman" w:eastAsia="Times New Roman"/>
          <w:sz w:val="28"/>
        </w:rPr>
        <w:t>Социальный пакет является важной частью мотивационной системы, особенно для организаций с большим числом работников и высокой долей сотрудников, ориентированных на стабильность. В ПАО «ТНС энерго НН» социальные гарантии закреплены в коллективном договоре на 2025-2027 годы. Они включают дополнительные оплачиваемые дни отдыха, материальную помощь, компенсации, поддержку семей работников, льготы при выходе на пенсию и организацию культурно-массовой и физкультурно-оздоровительной работы.</w:t>
      </w:r>
    </w:p>
    <w:p>
      <w:pPr>
        <w:spacing w:line="360" w:lineRule="auto"/>
        <w:ind w:firstLine="709"/>
        <w:jc w:val="both"/>
      </w:pPr>
      <w:r>
        <w:rPr>
          <w:rFonts w:ascii="Times New Roman" w:hAnsi="Times New Roman" w:eastAsia="Times New Roman"/>
          <w:sz w:val="28"/>
        </w:rPr>
        <w:t>К социальным гарантиям, имеющим мотивационное значение, относятся:</w:t>
      </w:r>
    </w:p>
    <w:p>
      <w:pPr>
        <w:pStyle w:val="ListBullet"/>
        <w:spacing w:line="360" w:lineRule="auto"/>
      </w:pPr>
      <w:r>
        <w:t>ежегодный основной оплачиваемый отпуск продолжительностью 28 календарных дней;</w:t>
      </w:r>
    </w:p>
    <w:p>
      <w:pPr>
        <w:pStyle w:val="ListBullet"/>
        <w:spacing w:line="360" w:lineRule="auto"/>
      </w:pPr>
      <w:r>
        <w:t>дополнительные оплачиваемые дни отдыха по семейным обстоятельствам;</w:t>
      </w:r>
    </w:p>
    <w:p>
      <w:pPr>
        <w:pStyle w:val="ListBullet"/>
        <w:spacing w:line="360" w:lineRule="auto"/>
      </w:pPr>
      <w:r>
        <w:t>дополнительные отпуска для работников с ненормированным рабочим днем;</w:t>
      </w:r>
    </w:p>
    <w:p>
      <w:pPr>
        <w:pStyle w:val="ListBullet"/>
        <w:spacing w:line="360" w:lineRule="auto"/>
      </w:pPr>
      <w:r>
        <w:t>материальная помощь при уходе в ежегодный отпуск;</w:t>
      </w:r>
    </w:p>
    <w:p>
      <w:pPr>
        <w:pStyle w:val="ListBullet"/>
        <w:spacing w:line="360" w:lineRule="auto"/>
      </w:pPr>
      <w:r>
        <w:t>выплаты при рождении или усыновлении ребенка;</w:t>
      </w:r>
    </w:p>
    <w:p>
      <w:pPr>
        <w:pStyle w:val="ListBullet"/>
        <w:spacing w:line="360" w:lineRule="auto"/>
      </w:pPr>
      <w:r>
        <w:t>выплаты при регистрации брака;</w:t>
      </w:r>
    </w:p>
    <w:p>
      <w:pPr>
        <w:pStyle w:val="ListBullet"/>
        <w:spacing w:line="360" w:lineRule="auto"/>
      </w:pPr>
      <w:r>
        <w:t>помощь семье умершего работника;</w:t>
      </w:r>
    </w:p>
    <w:p>
      <w:pPr>
        <w:pStyle w:val="ListBullet"/>
        <w:spacing w:line="360" w:lineRule="auto"/>
      </w:pPr>
      <w:r>
        <w:t>помощь в связи с погребением близких родственников;</w:t>
      </w:r>
    </w:p>
    <w:p>
      <w:pPr>
        <w:pStyle w:val="ListBullet"/>
        <w:spacing w:line="360" w:lineRule="auto"/>
      </w:pPr>
      <w:r>
        <w:t>выплаты ветеранам к Дню Победы;</w:t>
      </w:r>
    </w:p>
    <w:p>
      <w:pPr>
        <w:pStyle w:val="ListBullet"/>
        <w:spacing w:line="360" w:lineRule="auto"/>
      </w:pPr>
      <w:r>
        <w:t>компенсации расходов на содержание детей в дошкольных учреждениях в отдельных случаях;</w:t>
      </w:r>
    </w:p>
    <w:p>
      <w:pPr>
        <w:pStyle w:val="ListBullet"/>
        <w:spacing w:line="360" w:lineRule="auto"/>
      </w:pPr>
      <w:r>
        <w:t>компенсация стоимости путевок в детские оздоровительные лагеря;</w:t>
      </w:r>
    </w:p>
    <w:p>
      <w:pPr>
        <w:pStyle w:val="ListBullet"/>
        <w:spacing w:line="360" w:lineRule="auto"/>
      </w:pPr>
      <w:r>
        <w:t>премии к юбилейным датам;</w:t>
      </w:r>
    </w:p>
    <w:p>
      <w:pPr>
        <w:pStyle w:val="ListBullet"/>
        <w:spacing w:line="360" w:lineRule="auto"/>
      </w:pPr>
      <w:r>
        <w:t>материальная помощь при увольнении в связи с выходом на пенсию;</w:t>
      </w:r>
    </w:p>
    <w:p>
      <w:pPr>
        <w:pStyle w:val="ListBullet"/>
        <w:spacing w:line="360" w:lineRule="auto"/>
      </w:pPr>
      <w:r>
        <w:t>детские новогодние подарки;</w:t>
      </w:r>
    </w:p>
    <w:p>
      <w:pPr>
        <w:pStyle w:val="ListBullet"/>
        <w:spacing w:line="360" w:lineRule="auto"/>
      </w:pPr>
      <w:r>
        <w:t>культурно-массовые и спортивно-оздоровительные мероприятия.</w:t>
      </w:r>
    </w:p>
    <w:p>
      <w:pPr>
        <w:spacing w:line="360" w:lineRule="auto"/>
        <w:ind w:firstLine="709"/>
        <w:jc w:val="both"/>
      </w:pPr>
      <w:r>
        <w:rPr>
          <w:rFonts w:ascii="Times New Roman" w:hAnsi="Times New Roman" w:eastAsia="Times New Roman"/>
          <w:sz w:val="28"/>
        </w:rPr>
        <w:t>Систематизация социальных выплат и гарантий представлена в таблице 9.</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Направление социальной поддержки</w:t>
            </w:r>
          </w:p>
        </w:tc>
        <w:tc>
          <w:tcPr>
            <w:tcW w:type="dxa" w:w="3230"/>
            <w:vAlign w:val="center"/>
            <w:shd w:fill="D9EAF7"/>
          </w:tcPr>
          <w:p>
            <w:pPr>
              <w:spacing w:line="240" w:lineRule="auto"/>
              <w:jc w:val="center"/>
            </w:pPr>
            <w:r>
              <w:rPr>
                <w:rFonts w:ascii="Times New Roman" w:hAnsi="Times New Roman" w:eastAsia="Times New Roman"/>
                <w:b/>
                <w:sz w:val="20"/>
              </w:rPr>
              <w:t>Примеры выплат и гарантий</w:t>
            </w:r>
          </w:p>
        </w:tc>
        <w:tc>
          <w:tcPr>
            <w:tcW w:type="dxa" w:w="3230"/>
            <w:vAlign w:val="center"/>
            <w:shd w:fill="D9EAF7"/>
          </w:tcPr>
          <w:p>
            <w:pPr>
              <w:spacing w:line="240" w:lineRule="auto"/>
              <w:jc w:val="center"/>
            </w:pPr>
            <w:r>
              <w:rPr>
                <w:rFonts w:ascii="Times New Roman" w:hAnsi="Times New Roman" w:eastAsia="Times New Roman"/>
                <w:b/>
                <w:sz w:val="20"/>
              </w:rPr>
              <w:t>Мотивационный эффект</w:t>
            </w:r>
          </w:p>
        </w:tc>
      </w:tr>
      <w:tr>
        <w:tc>
          <w:tcPr>
            <w:tcW w:type="dxa" w:w="3230"/>
            <w:vAlign w:val="center"/>
          </w:tcPr>
          <w:p>
            <w:pPr>
              <w:spacing w:line="240" w:lineRule="auto"/>
              <w:jc w:val="left"/>
            </w:pPr>
            <w:r>
              <w:rPr>
                <w:rFonts w:ascii="Times New Roman" w:hAnsi="Times New Roman" w:eastAsia="Times New Roman"/>
                <w:b w:val="0"/>
                <w:sz w:val="20"/>
              </w:rPr>
              <w:t>Поддержка семьи</w:t>
            </w:r>
          </w:p>
        </w:tc>
        <w:tc>
          <w:tcPr>
            <w:tcW w:type="dxa" w:w="3230"/>
            <w:vAlign w:val="center"/>
          </w:tcPr>
          <w:p>
            <w:pPr>
              <w:spacing w:line="240" w:lineRule="auto"/>
              <w:jc w:val="left"/>
            </w:pPr>
            <w:r>
              <w:rPr>
                <w:rFonts w:ascii="Times New Roman" w:hAnsi="Times New Roman" w:eastAsia="Times New Roman"/>
                <w:b w:val="0"/>
                <w:sz w:val="20"/>
              </w:rPr>
              <w:t>Выплаты при рождении ребенка, детские подарки, компенсации дошкольных учреждений</w:t>
            </w:r>
          </w:p>
        </w:tc>
        <w:tc>
          <w:tcPr>
            <w:tcW w:type="dxa" w:w="3230"/>
            <w:vAlign w:val="center"/>
          </w:tcPr>
          <w:p>
            <w:pPr>
              <w:spacing w:line="240" w:lineRule="auto"/>
              <w:jc w:val="left"/>
            </w:pPr>
            <w:r>
              <w:rPr>
                <w:rFonts w:ascii="Times New Roman" w:hAnsi="Times New Roman" w:eastAsia="Times New Roman"/>
                <w:b w:val="0"/>
                <w:sz w:val="20"/>
              </w:rPr>
              <w:t>Повышение лояльности работников с детьми</w:t>
            </w:r>
          </w:p>
        </w:tc>
      </w:tr>
      <w:tr>
        <w:tc>
          <w:tcPr>
            <w:tcW w:type="dxa" w:w="3230"/>
            <w:vAlign w:val="center"/>
          </w:tcPr>
          <w:p>
            <w:pPr>
              <w:spacing w:line="240" w:lineRule="auto"/>
              <w:jc w:val="left"/>
            </w:pPr>
            <w:r>
              <w:rPr>
                <w:rFonts w:ascii="Times New Roman" w:hAnsi="Times New Roman" w:eastAsia="Times New Roman"/>
                <w:b w:val="0"/>
                <w:sz w:val="20"/>
              </w:rPr>
              <w:t>Поддержка в сложных ситуациях</w:t>
            </w:r>
          </w:p>
        </w:tc>
        <w:tc>
          <w:tcPr>
            <w:tcW w:type="dxa" w:w="3230"/>
            <w:vAlign w:val="center"/>
          </w:tcPr>
          <w:p>
            <w:pPr>
              <w:spacing w:line="240" w:lineRule="auto"/>
              <w:jc w:val="left"/>
            </w:pPr>
            <w:r>
              <w:rPr>
                <w:rFonts w:ascii="Times New Roman" w:hAnsi="Times New Roman" w:eastAsia="Times New Roman"/>
                <w:b w:val="0"/>
                <w:sz w:val="20"/>
              </w:rPr>
              <w:t>Помощь при смерти работника или родственников, выплаты при инвалидности</w:t>
            </w:r>
          </w:p>
        </w:tc>
        <w:tc>
          <w:tcPr>
            <w:tcW w:type="dxa" w:w="3230"/>
            <w:vAlign w:val="center"/>
          </w:tcPr>
          <w:p>
            <w:pPr>
              <w:spacing w:line="240" w:lineRule="auto"/>
              <w:jc w:val="left"/>
            </w:pPr>
            <w:r>
              <w:rPr>
                <w:rFonts w:ascii="Times New Roman" w:hAnsi="Times New Roman" w:eastAsia="Times New Roman"/>
                <w:b w:val="0"/>
                <w:sz w:val="20"/>
              </w:rPr>
              <w:t>Формирование чувства защищенности</w:t>
            </w:r>
          </w:p>
        </w:tc>
      </w:tr>
      <w:tr>
        <w:tc>
          <w:tcPr>
            <w:tcW w:type="dxa" w:w="3230"/>
            <w:vAlign w:val="center"/>
          </w:tcPr>
          <w:p>
            <w:pPr>
              <w:spacing w:line="240" w:lineRule="auto"/>
              <w:jc w:val="left"/>
            </w:pPr>
            <w:r>
              <w:rPr>
                <w:rFonts w:ascii="Times New Roman" w:hAnsi="Times New Roman" w:eastAsia="Times New Roman"/>
                <w:b w:val="0"/>
                <w:sz w:val="20"/>
              </w:rPr>
              <w:t>Отдых и восстановление</w:t>
            </w:r>
          </w:p>
        </w:tc>
        <w:tc>
          <w:tcPr>
            <w:tcW w:type="dxa" w:w="3230"/>
            <w:vAlign w:val="center"/>
          </w:tcPr>
          <w:p>
            <w:pPr>
              <w:spacing w:line="240" w:lineRule="auto"/>
              <w:jc w:val="left"/>
            </w:pPr>
            <w:r>
              <w:rPr>
                <w:rFonts w:ascii="Times New Roman" w:hAnsi="Times New Roman" w:eastAsia="Times New Roman"/>
                <w:b w:val="0"/>
                <w:sz w:val="20"/>
              </w:rPr>
              <w:t>Отпуск, дополнительные дни отдыха, компенсация путевок</w:t>
            </w:r>
          </w:p>
        </w:tc>
        <w:tc>
          <w:tcPr>
            <w:tcW w:type="dxa" w:w="3230"/>
            <w:vAlign w:val="center"/>
          </w:tcPr>
          <w:p>
            <w:pPr>
              <w:spacing w:line="240" w:lineRule="auto"/>
              <w:jc w:val="left"/>
            </w:pPr>
            <w:r>
              <w:rPr>
                <w:rFonts w:ascii="Times New Roman" w:hAnsi="Times New Roman" w:eastAsia="Times New Roman"/>
                <w:b w:val="0"/>
                <w:sz w:val="20"/>
              </w:rPr>
              <w:t>Снижение эмоционального выгорания</w:t>
            </w:r>
          </w:p>
        </w:tc>
      </w:tr>
      <w:tr>
        <w:tc>
          <w:tcPr>
            <w:tcW w:type="dxa" w:w="3230"/>
            <w:vAlign w:val="center"/>
          </w:tcPr>
          <w:p>
            <w:pPr>
              <w:spacing w:line="240" w:lineRule="auto"/>
              <w:jc w:val="left"/>
            </w:pPr>
            <w:r>
              <w:rPr>
                <w:rFonts w:ascii="Times New Roman" w:hAnsi="Times New Roman" w:eastAsia="Times New Roman"/>
                <w:b w:val="0"/>
                <w:sz w:val="20"/>
              </w:rPr>
              <w:t>Признание стажа и возраста</w:t>
            </w:r>
          </w:p>
        </w:tc>
        <w:tc>
          <w:tcPr>
            <w:tcW w:type="dxa" w:w="3230"/>
            <w:vAlign w:val="center"/>
          </w:tcPr>
          <w:p>
            <w:pPr>
              <w:spacing w:line="240" w:lineRule="auto"/>
              <w:jc w:val="left"/>
            </w:pPr>
            <w:r>
              <w:rPr>
                <w:rFonts w:ascii="Times New Roman" w:hAnsi="Times New Roman" w:eastAsia="Times New Roman"/>
                <w:b w:val="0"/>
                <w:sz w:val="20"/>
              </w:rPr>
              <w:t>Юбилейные премии, выплаты при выходе на пенсию</w:t>
            </w:r>
          </w:p>
        </w:tc>
        <w:tc>
          <w:tcPr>
            <w:tcW w:type="dxa" w:w="3230"/>
            <w:vAlign w:val="center"/>
          </w:tcPr>
          <w:p>
            <w:pPr>
              <w:spacing w:line="240" w:lineRule="auto"/>
              <w:jc w:val="left"/>
            </w:pPr>
            <w:r>
              <w:rPr>
                <w:rFonts w:ascii="Times New Roman" w:hAnsi="Times New Roman" w:eastAsia="Times New Roman"/>
                <w:b w:val="0"/>
                <w:sz w:val="20"/>
              </w:rPr>
              <w:t>Удержание опытных работников</w:t>
            </w:r>
          </w:p>
        </w:tc>
      </w:tr>
      <w:tr>
        <w:tc>
          <w:tcPr>
            <w:tcW w:type="dxa" w:w="3230"/>
            <w:vAlign w:val="center"/>
          </w:tcPr>
          <w:p>
            <w:pPr>
              <w:spacing w:line="240" w:lineRule="auto"/>
              <w:jc w:val="left"/>
            </w:pPr>
            <w:r>
              <w:rPr>
                <w:rFonts w:ascii="Times New Roman" w:hAnsi="Times New Roman" w:eastAsia="Times New Roman"/>
                <w:b w:val="0"/>
                <w:sz w:val="20"/>
              </w:rPr>
              <w:t>Корпоративная и спортивная работа</w:t>
            </w:r>
          </w:p>
        </w:tc>
        <w:tc>
          <w:tcPr>
            <w:tcW w:type="dxa" w:w="3230"/>
            <w:vAlign w:val="center"/>
          </w:tcPr>
          <w:p>
            <w:pPr>
              <w:spacing w:line="240" w:lineRule="auto"/>
              <w:jc w:val="left"/>
            </w:pPr>
            <w:r>
              <w:rPr>
                <w:rFonts w:ascii="Times New Roman" w:hAnsi="Times New Roman" w:eastAsia="Times New Roman"/>
                <w:b w:val="0"/>
                <w:sz w:val="20"/>
              </w:rPr>
              <w:t>Культурно-массовые и физкультурные мероприятия</w:t>
            </w:r>
          </w:p>
        </w:tc>
        <w:tc>
          <w:tcPr>
            <w:tcW w:type="dxa" w:w="3230"/>
            <w:vAlign w:val="center"/>
          </w:tcPr>
          <w:p>
            <w:pPr>
              <w:spacing w:line="240" w:lineRule="auto"/>
              <w:jc w:val="left"/>
            </w:pPr>
            <w:r>
              <w:rPr>
                <w:rFonts w:ascii="Times New Roman" w:hAnsi="Times New Roman" w:eastAsia="Times New Roman"/>
                <w:b w:val="0"/>
                <w:sz w:val="20"/>
              </w:rPr>
              <w:t>Развитие командности и корпоративной идентичности</w:t>
            </w:r>
          </w:p>
        </w:tc>
      </w:tr>
    </w:tbl>
    <w:p/>
    <w:p>
      <w:pPr>
        <w:spacing w:line="360" w:lineRule="auto"/>
        <w:ind w:firstLine="709"/>
        <w:jc w:val="both"/>
      </w:pPr>
      <w:r>
        <w:rPr>
          <w:rFonts w:ascii="Times New Roman" w:hAnsi="Times New Roman" w:eastAsia="Times New Roman"/>
          <w:sz w:val="28"/>
        </w:rPr>
        <w:t>Таблица 10 - Социальный пакет ПАО «ТНС энерго НН» как элемент мотивации</w:t>
      </w:r>
    </w:p>
    <w:p>
      <w:pPr>
        <w:spacing w:line="360" w:lineRule="auto"/>
        <w:ind w:firstLine="709"/>
        <w:jc w:val="both"/>
      </w:pPr>
      <w:r>
        <w:rPr>
          <w:rFonts w:ascii="Times New Roman" w:hAnsi="Times New Roman" w:eastAsia="Times New Roman"/>
          <w:sz w:val="28"/>
        </w:rPr>
        <w:t>Социальный пакет выполняет не только компенсационную, но и психологическую функцию. Работник видит, что работодатель учитывает жизненные обстоятельства, поддерживает семьи, признает стаж и вклад в организацию. Это особенно важно в условиях, когда денежная мотивация может быть ограничена финансовыми возможностями компании.</w:t>
      </w:r>
    </w:p>
    <w:p>
      <w:pPr>
        <w:spacing w:line="360" w:lineRule="auto"/>
        <w:ind w:firstLine="709"/>
        <w:jc w:val="both"/>
      </w:pPr>
      <w:r>
        <w:rPr>
          <w:rFonts w:ascii="Times New Roman" w:hAnsi="Times New Roman" w:eastAsia="Times New Roman"/>
          <w:sz w:val="28"/>
        </w:rPr>
        <w:t>Для ПАО «ТНС энерго НН» социальный пакет также является инструментом удержания персонала. Энергосбытовая деятельность требует накопления специфических знаний: работник должен понимать законодательство, правила расчетов, особенности взаимодействия с потребителями, внутренние информационные системы, регламенты и практику работы с задолженностью. Потеря опытных сотрудников приводит к затратам на подбор и обучение новых работников. Поэтому социальные гарантии, ориентированные на стаж, семью и стабильность, помогают снижать текучесть.</w:t>
      </w:r>
    </w:p>
    <w:p>
      <w:pPr>
        <w:spacing w:line="360" w:lineRule="auto"/>
        <w:ind w:firstLine="709"/>
        <w:jc w:val="both"/>
      </w:pPr>
      <w:r>
        <w:rPr>
          <w:rFonts w:ascii="Times New Roman" w:hAnsi="Times New Roman" w:eastAsia="Times New Roman"/>
          <w:sz w:val="28"/>
        </w:rPr>
        <w:t>Важным элементом является поддержка работников при выходе на пенсию. Коллективный договор предусматривает единовременную материальную помощь в зависимости от трудового стажа в обществе: от одного до трех окладов при стаже свыше установленных периодов. Это формирует долгосрочную привязанность к работодателю и признает вклад работников с большим стажем.</w:t>
      </w:r>
    </w:p>
    <w:p>
      <w:pPr>
        <w:spacing w:line="360" w:lineRule="auto"/>
        <w:ind w:firstLine="709"/>
        <w:jc w:val="both"/>
      </w:pPr>
      <w:r>
        <w:rPr>
          <w:rFonts w:ascii="Times New Roman" w:hAnsi="Times New Roman" w:eastAsia="Times New Roman"/>
          <w:sz w:val="28"/>
        </w:rPr>
        <w:t>Однако социальный пакет имеет и ограничения. Большинство выплат привязано к конкретным событиям: отпуск, рождение ребенка, брак, юбилей, смерть родственника, выход на пенсию. Такие выплаты повышают социальную защищенность, но не всегда стимулируют повседневную производительность, инициативность, инновационность или клиентоориентированность. Поэтому социальный пакет должен рассматриваться как важная, но не единственная часть мотивации.</w:t>
      </w:r>
    </w:p>
    <w:p>
      <w:pPr>
        <w:pStyle w:val="Heading2"/>
      </w:pPr>
      <w:r>
        <w:t>3.4. Нематериальная мотивация и корпоративная среда</w:t>
      </w:r>
    </w:p>
    <w:p>
      <w:pPr>
        <w:spacing w:line="360" w:lineRule="auto"/>
        <w:ind w:firstLine="709"/>
        <w:jc w:val="both"/>
      </w:pPr>
      <w:r>
        <w:rPr>
          <w:rFonts w:ascii="Times New Roman" w:hAnsi="Times New Roman" w:eastAsia="Times New Roman"/>
          <w:sz w:val="28"/>
        </w:rPr>
        <w:t>Нематериальная мотивация в ПАО «ТНС энерго НН» проявляется через корпоративную культуру, признание, участие работников в мероприятиях, профессиональное развитие, наставничество, социальное партнерство и организацию комфортных условий труда. В отличие от материальной мотивации, нематериальные стимулы не всегда имеют прямую денежную форму, но влияют на вовлеченность, лояльность и готовность работника оставаться в компании.</w:t>
      </w:r>
    </w:p>
    <w:p>
      <w:pPr>
        <w:spacing w:line="360" w:lineRule="auto"/>
        <w:ind w:firstLine="709"/>
        <w:jc w:val="both"/>
      </w:pPr>
      <w:r>
        <w:rPr>
          <w:rFonts w:ascii="Times New Roman" w:hAnsi="Times New Roman" w:eastAsia="Times New Roman"/>
          <w:sz w:val="28"/>
        </w:rPr>
        <w:t>Коллективный договор указывает, что стороны считают приоритетными мероприятия по формированию, поддержанию и развитию корпоративных традиций, популяризации здорового образа жизни, формированию семейных ценностей и престижности труда в электроэнергетике. Также предусмотрено выделение средств на культурно-массовую и физкультурно-оздоровительную работу совместно с профсоюзной организацией при наличии финансовой возможности.</w:t>
      </w:r>
    </w:p>
    <w:p>
      <w:pPr>
        <w:spacing w:line="360" w:lineRule="auto"/>
        <w:ind w:firstLine="709"/>
        <w:jc w:val="both"/>
      </w:pPr>
      <w:r>
        <w:rPr>
          <w:rFonts w:ascii="Times New Roman" w:hAnsi="Times New Roman" w:eastAsia="Times New Roman"/>
          <w:sz w:val="28"/>
        </w:rPr>
        <w:t>Правила внутреннего трудового распорядка задают поведенческие нормы: работник обязан быть тактичным, доброжелательным и открытым по отношению к другим работникам, совершенствовать профессиональные знания и навыки, соблюдать дисциплину, бережно относиться к имуществу общества, поддерживать порядок на рабочем месте. Эти нормы формируют основу корпоративного поведения.</w:t>
      </w:r>
    </w:p>
    <w:p>
      <w:pPr>
        <w:spacing w:line="360" w:lineRule="auto"/>
        <w:ind w:firstLine="709"/>
        <w:jc w:val="both"/>
      </w:pPr>
      <w:r>
        <w:rPr>
          <w:rFonts w:ascii="Times New Roman" w:hAnsi="Times New Roman" w:eastAsia="Times New Roman"/>
          <w:sz w:val="28"/>
        </w:rPr>
        <w:t>Нематериальные методы мотивации в компании можно разделить на несколько групп.</w:t>
      </w:r>
    </w:p>
    <w:p>
      <w:pPr>
        <w:spacing w:line="360" w:lineRule="auto"/>
        <w:ind w:firstLine="709"/>
        <w:jc w:val="both"/>
      </w:pPr>
      <w:r>
        <w:rPr>
          <w:rFonts w:ascii="Times New Roman" w:hAnsi="Times New Roman" w:eastAsia="Times New Roman"/>
          <w:sz w:val="28"/>
        </w:rPr>
        <w:t>1. Признание и статус. В положении об адаптации и наставничестве указано, что для поощрения наставников могут использоваться методы нематериальной мотивации: публичное признание значимости роли наставников и возможность участия в конференциях и профильных выставках. Это важно, потому что наставничество требует времени, терпения и готовности делиться опытом.</w:t>
      </w:r>
    </w:p>
    <w:p>
      <w:pPr>
        <w:spacing w:line="360" w:lineRule="auto"/>
        <w:ind w:firstLine="709"/>
        <w:jc w:val="both"/>
      </w:pPr>
      <w:r>
        <w:rPr>
          <w:rFonts w:ascii="Times New Roman" w:hAnsi="Times New Roman" w:eastAsia="Times New Roman"/>
          <w:sz w:val="28"/>
        </w:rPr>
        <w:t>2. Корпоративная принадлежность. Проведение корпоративных, культурных и спортивных мероприятий способствует развитию горизонтальных связей между работниками, снижает отчужденность между подразделениями и поддерживает корпоративную идентичность.</w:t>
      </w:r>
    </w:p>
    <w:p>
      <w:pPr>
        <w:spacing w:line="360" w:lineRule="auto"/>
        <w:ind w:firstLine="709"/>
        <w:jc w:val="both"/>
      </w:pPr>
      <w:r>
        <w:rPr>
          <w:rFonts w:ascii="Times New Roman" w:hAnsi="Times New Roman" w:eastAsia="Times New Roman"/>
          <w:sz w:val="28"/>
        </w:rPr>
        <w:t>3. Профессиональная значимость. Работа в энергетической отрасли имеет социальную ценность. Компания может формировать у работников понимание, что их труд влияет на стабильность энергоснабжения, качество обслуживания жителей и организаций региона.</w:t>
      </w:r>
    </w:p>
    <w:p>
      <w:pPr>
        <w:spacing w:line="360" w:lineRule="auto"/>
        <w:ind w:firstLine="709"/>
        <w:jc w:val="both"/>
      </w:pPr>
      <w:r>
        <w:rPr>
          <w:rFonts w:ascii="Times New Roman" w:hAnsi="Times New Roman" w:eastAsia="Times New Roman"/>
          <w:sz w:val="28"/>
        </w:rPr>
        <w:t>4. Участие в развитии. Коллективный договор предусматривает поддержку творческой инициативы работников в новаторской и рационализаторской деятельности, направленной на повышение производительности труда и эффективности деятельности общества.</w:t>
      </w:r>
    </w:p>
    <w:p>
      <w:pPr>
        <w:spacing w:line="360" w:lineRule="auto"/>
        <w:ind w:firstLine="709"/>
        <w:jc w:val="both"/>
      </w:pPr>
      <w:r>
        <w:rPr>
          <w:rFonts w:ascii="Times New Roman" w:hAnsi="Times New Roman" w:eastAsia="Times New Roman"/>
          <w:sz w:val="28"/>
        </w:rPr>
        <w:t>5. Обучение и развитие компетенций. Возможность повышать квалификацию и развиваться профессионально является нематериальным стимулом, особенно для молодых специалистов и работников с карьерными ожиданиями.</w:t>
      </w:r>
    </w:p>
    <w:p>
      <w:pPr>
        <w:spacing w:line="360" w:lineRule="auto"/>
        <w:ind w:firstLine="709"/>
        <w:jc w:val="both"/>
      </w:pPr>
      <w:r>
        <w:rPr>
          <w:rFonts w:ascii="Times New Roman" w:hAnsi="Times New Roman" w:eastAsia="Times New Roman"/>
          <w:sz w:val="28"/>
        </w:rPr>
        <w:t>6. Благоприятный социально-психологический климат. В положении об адаптации указано, что социально-психологическая адаптация строится на доверии, честности, справедливости, доброжелательности, конструктивном сотрудничестве, взаимопомощи и уважении к знаниям коллег.</w:t>
      </w:r>
    </w:p>
    <w:p>
      <w:pPr>
        <w:spacing w:line="360" w:lineRule="auto"/>
        <w:ind w:firstLine="709"/>
        <w:jc w:val="both"/>
      </w:pPr>
      <w:r>
        <w:rPr>
          <w:rFonts w:ascii="Times New Roman" w:hAnsi="Times New Roman" w:eastAsia="Times New Roman"/>
          <w:sz w:val="28"/>
        </w:rPr>
        <w:t>Основные нематериальные стимулы представлены в таблице 10.</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Метод нематериальной мотивации</w:t>
            </w:r>
          </w:p>
        </w:tc>
        <w:tc>
          <w:tcPr>
            <w:tcW w:type="dxa" w:w="3230"/>
            <w:vAlign w:val="center"/>
            <w:shd w:fill="D9EAF7"/>
          </w:tcPr>
          <w:p>
            <w:pPr>
              <w:spacing w:line="240" w:lineRule="auto"/>
              <w:jc w:val="center"/>
            </w:pPr>
            <w:r>
              <w:rPr>
                <w:rFonts w:ascii="Times New Roman" w:hAnsi="Times New Roman" w:eastAsia="Times New Roman"/>
                <w:b/>
                <w:sz w:val="20"/>
              </w:rPr>
              <w:t>Проявление в компании</w:t>
            </w:r>
          </w:p>
        </w:tc>
        <w:tc>
          <w:tcPr>
            <w:tcW w:type="dxa" w:w="3230"/>
            <w:vAlign w:val="center"/>
            <w:shd w:fill="D9EAF7"/>
          </w:tcPr>
          <w:p>
            <w:pPr>
              <w:spacing w:line="240" w:lineRule="auto"/>
              <w:jc w:val="center"/>
            </w:pPr>
            <w:r>
              <w:rPr>
                <w:rFonts w:ascii="Times New Roman" w:hAnsi="Times New Roman" w:eastAsia="Times New Roman"/>
                <w:b/>
                <w:sz w:val="20"/>
              </w:rPr>
              <w:t>Ожидаемое влияние</w:t>
            </w:r>
          </w:p>
        </w:tc>
      </w:tr>
      <w:tr>
        <w:tc>
          <w:tcPr>
            <w:tcW w:type="dxa" w:w="3230"/>
            <w:vAlign w:val="center"/>
          </w:tcPr>
          <w:p>
            <w:pPr>
              <w:spacing w:line="240" w:lineRule="auto"/>
              <w:jc w:val="left"/>
            </w:pPr>
            <w:r>
              <w:rPr>
                <w:rFonts w:ascii="Times New Roman" w:hAnsi="Times New Roman" w:eastAsia="Times New Roman"/>
                <w:b w:val="0"/>
                <w:sz w:val="20"/>
              </w:rPr>
              <w:t>Публичное признание</w:t>
            </w:r>
          </w:p>
        </w:tc>
        <w:tc>
          <w:tcPr>
            <w:tcW w:type="dxa" w:w="3230"/>
            <w:vAlign w:val="center"/>
          </w:tcPr>
          <w:p>
            <w:pPr>
              <w:spacing w:line="240" w:lineRule="auto"/>
              <w:jc w:val="left"/>
            </w:pPr>
            <w:r>
              <w:rPr>
                <w:rFonts w:ascii="Times New Roman" w:hAnsi="Times New Roman" w:eastAsia="Times New Roman"/>
                <w:b w:val="0"/>
                <w:sz w:val="20"/>
              </w:rPr>
              <w:t>Признание роли наставников, корпоративные мероприятия</w:t>
            </w:r>
          </w:p>
        </w:tc>
        <w:tc>
          <w:tcPr>
            <w:tcW w:type="dxa" w:w="3230"/>
            <w:vAlign w:val="center"/>
          </w:tcPr>
          <w:p>
            <w:pPr>
              <w:spacing w:line="240" w:lineRule="auto"/>
              <w:jc w:val="left"/>
            </w:pPr>
            <w:r>
              <w:rPr>
                <w:rFonts w:ascii="Times New Roman" w:hAnsi="Times New Roman" w:eastAsia="Times New Roman"/>
                <w:b w:val="0"/>
                <w:sz w:val="20"/>
              </w:rPr>
              <w:t>Повышение статуса активных работников</w:t>
            </w:r>
          </w:p>
        </w:tc>
      </w:tr>
      <w:tr>
        <w:tc>
          <w:tcPr>
            <w:tcW w:type="dxa" w:w="3230"/>
            <w:vAlign w:val="center"/>
          </w:tcPr>
          <w:p>
            <w:pPr>
              <w:spacing w:line="240" w:lineRule="auto"/>
              <w:jc w:val="left"/>
            </w:pPr>
            <w:r>
              <w:rPr>
                <w:rFonts w:ascii="Times New Roman" w:hAnsi="Times New Roman" w:eastAsia="Times New Roman"/>
                <w:b w:val="0"/>
                <w:sz w:val="20"/>
              </w:rPr>
              <w:t>Корпоративные традиции</w:t>
            </w:r>
          </w:p>
        </w:tc>
        <w:tc>
          <w:tcPr>
            <w:tcW w:type="dxa" w:w="3230"/>
            <w:vAlign w:val="center"/>
          </w:tcPr>
          <w:p>
            <w:pPr>
              <w:spacing w:line="240" w:lineRule="auto"/>
              <w:jc w:val="left"/>
            </w:pPr>
            <w:r>
              <w:rPr>
                <w:rFonts w:ascii="Times New Roman" w:hAnsi="Times New Roman" w:eastAsia="Times New Roman"/>
                <w:b w:val="0"/>
                <w:sz w:val="20"/>
              </w:rPr>
              <w:t>Профессиональные праздники, культурные мероприятия</w:t>
            </w:r>
          </w:p>
        </w:tc>
        <w:tc>
          <w:tcPr>
            <w:tcW w:type="dxa" w:w="3230"/>
            <w:vAlign w:val="center"/>
          </w:tcPr>
          <w:p>
            <w:pPr>
              <w:spacing w:line="240" w:lineRule="auto"/>
              <w:jc w:val="left"/>
            </w:pPr>
            <w:r>
              <w:rPr>
                <w:rFonts w:ascii="Times New Roman" w:hAnsi="Times New Roman" w:eastAsia="Times New Roman"/>
                <w:b w:val="0"/>
                <w:sz w:val="20"/>
              </w:rPr>
              <w:t>Укрепление принадлежности к организации</w:t>
            </w:r>
          </w:p>
        </w:tc>
      </w:tr>
      <w:tr>
        <w:tc>
          <w:tcPr>
            <w:tcW w:type="dxa" w:w="3230"/>
            <w:vAlign w:val="center"/>
          </w:tcPr>
          <w:p>
            <w:pPr>
              <w:spacing w:line="240" w:lineRule="auto"/>
              <w:jc w:val="left"/>
            </w:pPr>
            <w:r>
              <w:rPr>
                <w:rFonts w:ascii="Times New Roman" w:hAnsi="Times New Roman" w:eastAsia="Times New Roman"/>
                <w:b w:val="0"/>
                <w:sz w:val="20"/>
              </w:rPr>
              <w:t>Профессиональное развитие</w:t>
            </w:r>
          </w:p>
        </w:tc>
        <w:tc>
          <w:tcPr>
            <w:tcW w:type="dxa" w:w="3230"/>
            <w:vAlign w:val="center"/>
          </w:tcPr>
          <w:p>
            <w:pPr>
              <w:spacing w:line="240" w:lineRule="auto"/>
              <w:jc w:val="left"/>
            </w:pPr>
            <w:r>
              <w:rPr>
                <w:rFonts w:ascii="Times New Roman" w:hAnsi="Times New Roman" w:eastAsia="Times New Roman"/>
                <w:b w:val="0"/>
                <w:sz w:val="20"/>
              </w:rPr>
              <w:t>Обучение, повышение квалификации, наставничество</w:t>
            </w:r>
          </w:p>
        </w:tc>
        <w:tc>
          <w:tcPr>
            <w:tcW w:type="dxa" w:w="3230"/>
            <w:vAlign w:val="center"/>
          </w:tcPr>
          <w:p>
            <w:pPr>
              <w:spacing w:line="240" w:lineRule="auto"/>
              <w:jc w:val="left"/>
            </w:pPr>
            <w:r>
              <w:rPr>
                <w:rFonts w:ascii="Times New Roman" w:hAnsi="Times New Roman" w:eastAsia="Times New Roman"/>
                <w:b w:val="0"/>
                <w:sz w:val="20"/>
              </w:rPr>
              <w:t>Рост компетенций и вовлеченности</w:t>
            </w:r>
          </w:p>
        </w:tc>
      </w:tr>
      <w:tr>
        <w:tc>
          <w:tcPr>
            <w:tcW w:type="dxa" w:w="3230"/>
            <w:vAlign w:val="center"/>
          </w:tcPr>
          <w:p>
            <w:pPr>
              <w:spacing w:line="240" w:lineRule="auto"/>
              <w:jc w:val="left"/>
            </w:pPr>
            <w:r>
              <w:rPr>
                <w:rFonts w:ascii="Times New Roman" w:hAnsi="Times New Roman" w:eastAsia="Times New Roman"/>
                <w:b w:val="0"/>
                <w:sz w:val="20"/>
              </w:rPr>
              <w:t>Социальное партнерство</w:t>
            </w:r>
          </w:p>
        </w:tc>
        <w:tc>
          <w:tcPr>
            <w:tcW w:type="dxa" w:w="3230"/>
            <w:vAlign w:val="center"/>
          </w:tcPr>
          <w:p>
            <w:pPr>
              <w:spacing w:line="240" w:lineRule="auto"/>
              <w:jc w:val="left"/>
            </w:pPr>
            <w:r>
              <w:rPr>
                <w:rFonts w:ascii="Times New Roman" w:hAnsi="Times New Roman" w:eastAsia="Times New Roman"/>
                <w:b w:val="0"/>
                <w:sz w:val="20"/>
              </w:rPr>
              <w:t>Профсоюз, коллективный договор, консультации</w:t>
            </w:r>
          </w:p>
        </w:tc>
        <w:tc>
          <w:tcPr>
            <w:tcW w:type="dxa" w:w="3230"/>
            <w:vAlign w:val="center"/>
          </w:tcPr>
          <w:p>
            <w:pPr>
              <w:spacing w:line="240" w:lineRule="auto"/>
              <w:jc w:val="left"/>
            </w:pPr>
            <w:r>
              <w:rPr>
                <w:rFonts w:ascii="Times New Roman" w:hAnsi="Times New Roman" w:eastAsia="Times New Roman"/>
                <w:b w:val="0"/>
                <w:sz w:val="20"/>
              </w:rPr>
              <w:t>Доверие к работодателю</w:t>
            </w:r>
          </w:p>
        </w:tc>
      </w:tr>
      <w:tr>
        <w:tc>
          <w:tcPr>
            <w:tcW w:type="dxa" w:w="3230"/>
            <w:vAlign w:val="center"/>
          </w:tcPr>
          <w:p>
            <w:pPr>
              <w:spacing w:line="240" w:lineRule="auto"/>
              <w:jc w:val="left"/>
            </w:pPr>
            <w:r>
              <w:rPr>
                <w:rFonts w:ascii="Times New Roman" w:hAnsi="Times New Roman" w:eastAsia="Times New Roman"/>
                <w:b w:val="0"/>
                <w:sz w:val="20"/>
              </w:rPr>
              <w:t>Участие в инициативах</w:t>
            </w:r>
          </w:p>
        </w:tc>
        <w:tc>
          <w:tcPr>
            <w:tcW w:type="dxa" w:w="3230"/>
            <w:vAlign w:val="center"/>
          </w:tcPr>
          <w:p>
            <w:pPr>
              <w:spacing w:line="240" w:lineRule="auto"/>
              <w:jc w:val="left"/>
            </w:pPr>
            <w:r>
              <w:rPr>
                <w:rFonts w:ascii="Times New Roman" w:hAnsi="Times New Roman" w:eastAsia="Times New Roman"/>
                <w:b w:val="0"/>
                <w:sz w:val="20"/>
              </w:rPr>
              <w:t>Новаторство, рационализаторская деятельность</w:t>
            </w:r>
          </w:p>
        </w:tc>
        <w:tc>
          <w:tcPr>
            <w:tcW w:type="dxa" w:w="3230"/>
            <w:vAlign w:val="center"/>
          </w:tcPr>
          <w:p>
            <w:pPr>
              <w:spacing w:line="240" w:lineRule="auto"/>
              <w:jc w:val="left"/>
            </w:pPr>
            <w:r>
              <w:rPr>
                <w:rFonts w:ascii="Times New Roman" w:hAnsi="Times New Roman" w:eastAsia="Times New Roman"/>
                <w:b w:val="0"/>
                <w:sz w:val="20"/>
              </w:rPr>
              <w:t>Развитие инициативности</w:t>
            </w:r>
          </w:p>
        </w:tc>
      </w:tr>
      <w:tr>
        <w:tc>
          <w:tcPr>
            <w:tcW w:type="dxa" w:w="3230"/>
            <w:vAlign w:val="center"/>
          </w:tcPr>
          <w:p>
            <w:pPr>
              <w:spacing w:line="240" w:lineRule="auto"/>
              <w:jc w:val="left"/>
            </w:pPr>
            <w:r>
              <w:rPr>
                <w:rFonts w:ascii="Times New Roman" w:hAnsi="Times New Roman" w:eastAsia="Times New Roman"/>
                <w:b w:val="0"/>
                <w:sz w:val="20"/>
              </w:rPr>
              <w:t>Комфортные условия труда</w:t>
            </w:r>
          </w:p>
        </w:tc>
        <w:tc>
          <w:tcPr>
            <w:tcW w:type="dxa" w:w="3230"/>
            <w:vAlign w:val="center"/>
          </w:tcPr>
          <w:p>
            <w:pPr>
              <w:spacing w:line="240" w:lineRule="auto"/>
              <w:jc w:val="left"/>
            </w:pPr>
            <w:r>
              <w:rPr>
                <w:rFonts w:ascii="Times New Roman" w:hAnsi="Times New Roman" w:eastAsia="Times New Roman"/>
                <w:b w:val="0"/>
                <w:sz w:val="20"/>
              </w:rPr>
              <w:t>Помещения для приема пищи, оборудование рабочих мест</w:t>
            </w:r>
          </w:p>
        </w:tc>
        <w:tc>
          <w:tcPr>
            <w:tcW w:type="dxa" w:w="3230"/>
            <w:vAlign w:val="center"/>
          </w:tcPr>
          <w:p>
            <w:pPr>
              <w:spacing w:line="240" w:lineRule="auto"/>
              <w:jc w:val="left"/>
            </w:pPr>
            <w:r>
              <w:rPr>
                <w:rFonts w:ascii="Times New Roman" w:hAnsi="Times New Roman" w:eastAsia="Times New Roman"/>
                <w:b w:val="0"/>
                <w:sz w:val="20"/>
              </w:rPr>
              <w:t>Снижение бытовой неудовлетворенности</w:t>
            </w:r>
          </w:p>
        </w:tc>
      </w:tr>
      <w:tr>
        <w:tc>
          <w:tcPr>
            <w:tcW w:type="dxa" w:w="3230"/>
            <w:vAlign w:val="center"/>
          </w:tcPr>
          <w:p>
            <w:pPr>
              <w:spacing w:line="240" w:lineRule="auto"/>
              <w:jc w:val="left"/>
            </w:pPr>
            <w:r>
              <w:rPr>
                <w:rFonts w:ascii="Times New Roman" w:hAnsi="Times New Roman" w:eastAsia="Times New Roman"/>
                <w:b w:val="0"/>
                <w:sz w:val="20"/>
              </w:rPr>
              <w:t>Корпоративные нормы общения</w:t>
            </w:r>
          </w:p>
        </w:tc>
        <w:tc>
          <w:tcPr>
            <w:tcW w:type="dxa" w:w="3230"/>
            <w:vAlign w:val="center"/>
          </w:tcPr>
          <w:p>
            <w:pPr>
              <w:spacing w:line="240" w:lineRule="auto"/>
              <w:jc w:val="left"/>
            </w:pPr>
            <w:r>
              <w:rPr>
                <w:rFonts w:ascii="Times New Roman" w:hAnsi="Times New Roman" w:eastAsia="Times New Roman"/>
                <w:b w:val="0"/>
                <w:sz w:val="20"/>
              </w:rPr>
              <w:t>Требования доброжелательности, тактичности, дисциплины</w:t>
            </w:r>
          </w:p>
        </w:tc>
        <w:tc>
          <w:tcPr>
            <w:tcW w:type="dxa" w:w="3230"/>
            <w:vAlign w:val="center"/>
          </w:tcPr>
          <w:p>
            <w:pPr>
              <w:spacing w:line="240" w:lineRule="auto"/>
              <w:jc w:val="left"/>
            </w:pPr>
            <w:r>
              <w:rPr>
                <w:rFonts w:ascii="Times New Roman" w:hAnsi="Times New Roman" w:eastAsia="Times New Roman"/>
                <w:b w:val="0"/>
                <w:sz w:val="20"/>
              </w:rPr>
              <w:t>Поддержание деловой культуры</w:t>
            </w:r>
          </w:p>
        </w:tc>
      </w:tr>
    </w:tbl>
    <w:p/>
    <w:p>
      <w:pPr>
        <w:spacing w:line="360" w:lineRule="auto"/>
        <w:ind w:firstLine="709"/>
        <w:jc w:val="both"/>
      </w:pPr>
      <w:r>
        <w:rPr>
          <w:rFonts w:ascii="Times New Roman" w:hAnsi="Times New Roman" w:eastAsia="Times New Roman"/>
          <w:sz w:val="28"/>
        </w:rPr>
        <w:t>Таблица 11 - Нематериальные методы мотивации в ПАО «ТНС энерго НН»</w:t>
      </w:r>
    </w:p>
    <w:p>
      <w:pPr>
        <w:spacing w:line="360" w:lineRule="auto"/>
        <w:ind w:firstLine="709"/>
        <w:jc w:val="both"/>
      </w:pPr>
      <w:r>
        <w:rPr>
          <w:rFonts w:ascii="Times New Roman" w:hAnsi="Times New Roman" w:eastAsia="Times New Roman"/>
          <w:sz w:val="28"/>
        </w:rPr>
        <w:t>Нематериальная мотивация особенно важна для категорий работников, у которых денежное вознаграждение не является единственным фактором удовлетворенности. Это молодые специалисты, сотрудники клиентского обслуживания, наставники, специалисты ИТ, юристы, аналитики и руководители среднего звена. Для них значимы признание, профессиональный рост, участие в проектах, качество руководства и атмосфера в коллективе.</w:t>
      </w:r>
    </w:p>
    <w:p>
      <w:pPr>
        <w:spacing w:line="360" w:lineRule="auto"/>
        <w:ind w:firstLine="709"/>
        <w:jc w:val="both"/>
      </w:pPr>
      <w:r>
        <w:rPr>
          <w:rFonts w:ascii="Times New Roman" w:hAnsi="Times New Roman" w:eastAsia="Times New Roman"/>
          <w:sz w:val="28"/>
        </w:rPr>
        <w:t>Вместе с тем в изученных документах нематериальная мотивация описана менее подробно, чем материальные выплаты и социальные гарантии. Это позволяет сделать вывод, что нематериальные методы существуют, но не всегда оформлены как единая система с измеримыми показателями. Например, закреплено публичное признание наставников, но не описан комплексный механизм признания лучших работников по другим направлениям: клиентское обслуживание, снижение задолженности, цифровизация, качество правовой работы, инициативы по улучшению процессов.</w:t>
      </w:r>
    </w:p>
    <w:p>
      <w:pPr>
        <w:pStyle w:val="Heading2"/>
      </w:pPr>
      <w:r>
        <w:t>3.5. Мотивация через обучение, адаптацию и наставничество</w:t>
      </w:r>
    </w:p>
    <w:p>
      <w:pPr>
        <w:spacing w:line="360" w:lineRule="auto"/>
        <w:ind w:firstLine="709"/>
        <w:jc w:val="both"/>
      </w:pPr>
      <w:r>
        <w:rPr>
          <w:rFonts w:ascii="Times New Roman" w:hAnsi="Times New Roman" w:eastAsia="Times New Roman"/>
          <w:sz w:val="28"/>
        </w:rPr>
        <w:t>Обучение, адаптация и наставничество занимают промежуточное положение между управлением персоналом и мотивацией. Формально они направлены на развитие компетенций, но фактически выполняют мотивационную функцию: помогают работнику быстрее почувствовать уверенность, увидеть перспективу, установить связи в коллективе и снизить риск профессионального выгорания.</w:t>
      </w:r>
    </w:p>
    <w:p>
      <w:pPr>
        <w:spacing w:line="360" w:lineRule="auto"/>
        <w:ind w:firstLine="709"/>
        <w:jc w:val="both"/>
      </w:pPr>
      <w:r>
        <w:rPr>
          <w:rFonts w:ascii="Times New Roman" w:hAnsi="Times New Roman" w:eastAsia="Times New Roman"/>
          <w:sz w:val="28"/>
        </w:rPr>
        <w:t>В ПАО «ТНС энерго НН» адаптация новых сотрудников имеет четкую структуру. Новый работник знакомится с организацией, подразделением, должностными обязанностями, правилами внутреннего трудового распорядка, локальными актами, условиями труда и порядком взаимодействия. Это снижает неопределенность, которая часто является причиной неудовлетворенности в первые месяцы работы.</w:t>
      </w:r>
    </w:p>
    <w:p>
      <w:pPr>
        <w:spacing w:line="360" w:lineRule="auto"/>
        <w:ind w:firstLine="709"/>
        <w:jc w:val="both"/>
      </w:pPr>
      <w:r>
        <w:rPr>
          <w:rFonts w:ascii="Times New Roman" w:hAnsi="Times New Roman" w:eastAsia="Times New Roman"/>
          <w:sz w:val="28"/>
        </w:rPr>
        <w:t>Наставничество мотивирует сразу две стороны. Для адаптируемого работника оно создает поддержку и возможность быстрее освоить работу. Для наставника - повышает статус, дает возможность проявить экспертность и получить доплату. Кроме того, наставничество способствует передаче неформальных знаний, которые не всегда можно описать в инструкциях: как взаимодействовать с конкретными подразделениями, как решать типовые конфликтные ситуации с потребителями, как избегать ошибок в расчетах или документах.</w:t>
      </w:r>
    </w:p>
    <w:p>
      <w:pPr>
        <w:spacing w:line="360" w:lineRule="auto"/>
        <w:ind w:firstLine="709"/>
        <w:jc w:val="both"/>
      </w:pPr>
      <w:r>
        <w:rPr>
          <w:rFonts w:ascii="Times New Roman" w:hAnsi="Times New Roman" w:eastAsia="Times New Roman"/>
          <w:sz w:val="28"/>
        </w:rPr>
        <w:t>С точки зрения мотивации наставничество выполняет следующие функции:</w:t>
      </w:r>
    </w:p>
    <w:p>
      <w:pPr>
        <w:pStyle w:val="ListBullet"/>
        <w:spacing w:line="360" w:lineRule="auto"/>
      </w:pPr>
      <w:r>
        <w:t>снижает страх нового работника перед сложными задачами;</w:t>
      </w:r>
    </w:p>
    <w:p>
      <w:pPr>
        <w:pStyle w:val="ListBullet"/>
        <w:spacing w:line="360" w:lineRule="auto"/>
      </w:pPr>
      <w:r>
        <w:t>ускоряет достижение первых результатов;</w:t>
      </w:r>
    </w:p>
    <w:p>
      <w:pPr>
        <w:pStyle w:val="ListBullet"/>
        <w:spacing w:line="360" w:lineRule="auto"/>
      </w:pPr>
      <w:r>
        <w:t>формирует эмоциональную связь с коллективом;</w:t>
      </w:r>
    </w:p>
    <w:p>
      <w:pPr>
        <w:pStyle w:val="ListBullet"/>
        <w:spacing w:line="360" w:lineRule="auto"/>
      </w:pPr>
      <w:r>
        <w:t>показывает заинтересованность работодателя в развитии работника;</w:t>
      </w:r>
    </w:p>
    <w:p>
      <w:pPr>
        <w:pStyle w:val="ListBullet"/>
        <w:spacing w:line="360" w:lineRule="auto"/>
      </w:pPr>
      <w:r>
        <w:t>создает дополнительный статус для опытных сотрудников;</w:t>
      </w:r>
    </w:p>
    <w:p>
      <w:pPr>
        <w:pStyle w:val="ListBullet"/>
        <w:spacing w:line="360" w:lineRule="auto"/>
      </w:pPr>
      <w:r>
        <w:t>помогает сохранить знания работников, готовящихся к выходу на пенсию;</w:t>
      </w:r>
    </w:p>
    <w:p>
      <w:pPr>
        <w:pStyle w:val="ListBullet"/>
        <w:spacing w:line="360" w:lineRule="auto"/>
      </w:pPr>
      <w:r>
        <w:t>снижает риск ранней текучести.</w:t>
      </w:r>
    </w:p>
    <w:p>
      <w:pPr>
        <w:spacing w:line="360" w:lineRule="auto"/>
        <w:ind w:firstLine="709"/>
        <w:jc w:val="both"/>
      </w:pPr>
      <w:r>
        <w:rPr>
          <w:rFonts w:ascii="Times New Roman" w:hAnsi="Times New Roman" w:eastAsia="Times New Roman"/>
          <w:sz w:val="28"/>
        </w:rPr>
        <w:t>Положение об адаптации предусматривает индивидуальный план профессионального развития. Он включает трудовые обязанности, необходимые знания и навыки, цели и задачи на период адаптации, сроки исполнения, поручения наставника и оценку деятельности работника. Наличие индивидуального плана повышает прозрачность ожиданий. Работник понимает, что именно он должен освоить, в какие сроки и по каким критериям будет оценен.</w:t>
      </w:r>
    </w:p>
    <w:p>
      <w:pPr>
        <w:spacing w:line="360" w:lineRule="auto"/>
        <w:ind w:firstLine="709"/>
        <w:jc w:val="both"/>
      </w:pPr>
      <w:r>
        <w:rPr>
          <w:rFonts w:ascii="Times New Roman" w:hAnsi="Times New Roman" w:eastAsia="Times New Roman"/>
          <w:sz w:val="28"/>
        </w:rPr>
        <w:t>Однако мотивационный эффект адаптации зависит от качества реализации. Если наставничество превращается в формальное заполнение отчетов, оно перестает мотивировать. Если наставник перегружен основной работой или не обладает коммуникативными навыками, новый работник может не получить необходимой поддержки. Поэтому важны не только локальные нормы, но и практический контроль качества наставничества.</w:t>
      </w:r>
    </w:p>
    <w:p>
      <w:pPr>
        <w:pStyle w:val="Heading2"/>
      </w:pPr>
      <w:r>
        <w:t>3.6. Оценка сильных сторон и проблем системы мотивации</w:t>
      </w:r>
    </w:p>
    <w:p>
      <w:pPr>
        <w:spacing w:line="360" w:lineRule="auto"/>
        <w:ind w:firstLine="709"/>
        <w:jc w:val="both"/>
      </w:pPr>
      <w:r>
        <w:rPr>
          <w:rFonts w:ascii="Times New Roman" w:hAnsi="Times New Roman" w:eastAsia="Times New Roman"/>
          <w:sz w:val="28"/>
        </w:rPr>
        <w:t>На основе анализа документов и данных о деятельности ПАО «ТНС энерго НН» можно выделить сильные стороны действующей системы мотивации.</w:t>
      </w:r>
    </w:p>
    <w:p>
      <w:pPr>
        <w:spacing w:line="360" w:lineRule="auto"/>
        <w:ind w:firstLine="709"/>
        <w:jc w:val="both"/>
      </w:pPr>
      <w:r>
        <w:rPr>
          <w:rFonts w:ascii="Times New Roman" w:hAnsi="Times New Roman" w:eastAsia="Times New Roman"/>
          <w:sz w:val="28"/>
        </w:rPr>
        <w:t>Первая сильная сторона - нормативная закрепленность. Коллективный договор, правила внутреннего трудового распорядка, положение об оплате труда, регламент подбора и положение об адаптации создают формальную основу мотивации. Это снижает неопределенность и укрепляет доверие работников.</w:t>
      </w:r>
    </w:p>
    <w:p>
      <w:pPr>
        <w:spacing w:line="360" w:lineRule="auto"/>
        <w:ind w:firstLine="709"/>
        <w:jc w:val="both"/>
      </w:pPr>
      <w:r>
        <w:rPr>
          <w:rFonts w:ascii="Times New Roman" w:hAnsi="Times New Roman" w:eastAsia="Times New Roman"/>
          <w:sz w:val="28"/>
        </w:rPr>
        <w:t>Вторая сильная сторона - сочетание материальных и социальных стимулов. Работники получают не только заработную плату и премии, но и социальные гарантии, материальную помощь, компенсации, дополнительные дни отдыха, поддержку семей и выплаты при значимых жизненных событиях.</w:t>
      </w:r>
    </w:p>
    <w:p>
      <w:pPr>
        <w:spacing w:line="360" w:lineRule="auto"/>
        <w:ind w:firstLine="709"/>
        <w:jc w:val="both"/>
      </w:pPr>
      <w:r>
        <w:rPr>
          <w:rFonts w:ascii="Times New Roman" w:hAnsi="Times New Roman" w:eastAsia="Times New Roman"/>
          <w:sz w:val="28"/>
        </w:rPr>
        <w:t>Третья сильная сторона - наличие наставничества. Для организации с большим числом работников и сложными процессами наставничество является важным инструментом сохранения знаний и снижения текучести новых сотрудников.</w:t>
      </w:r>
    </w:p>
    <w:p>
      <w:pPr>
        <w:spacing w:line="360" w:lineRule="auto"/>
        <w:ind w:firstLine="709"/>
        <w:jc w:val="both"/>
      </w:pPr>
      <w:r>
        <w:rPr>
          <w:rFonts w:ascii="Times New Roman" w:hAnsi="Times New Roman" w:eastAsia="Times New Roman"/>
          <w:sz w:val="28"/>
        </w:rPr>
        <w:t>Четвертая сильная сторона - участие профсоюзной организации. Социальное партнерство повышает легитимность коллективного договора, позволяет учитывать интересы работников и снижает риск трудовых конфликтов.</w:t>
      </w:r>
    </w:p>
    <w:p>
      <w:pPr>
        <w:spacing w:line="360" w:lineRule="auto"/>
        <w:ind w:firstLine="709"/>
        <w:jc w:val="both"/>
      </w:pPr>
      <w:r>
        <w:rPr>
          <w:rFonts w:ascii="Times New Roman" w:hAnsi="Times New Roman" w:eastAsia="Times New Roman"/>
          <w:sz w:val="28"/>
        </w:rPr>
        <w:t>Пятая сильная сторона - связь мотивации с дисциплиной, охраной труда и результатами. В коллективном договоре указано, что материальное стимулирование учитывает отсутствие нарушений, отсутствие роста травматизма и достижение производственных и финансовых результатов. Это соответствует специфике энергетической отрасли.</w:t>
      </w:r>
    </w:p>
    <w:p>
      <w:pPr>
        <w:spacing w:line="360" w:lineRule="auto"/>
        <w:ind w:firstLine="709"/>
        <w:jc w:val="both"/>
      </w:pPr>
      <w:r>
        <w:rPr>
          <w:rFonts w:ascii="Times New Roman" w:hAnsi="Times New Roman" w:eastAsia="Times New Roman"/>
          <w:sz w:val="28"/>
        </w:rPr>
        <w:t>Сильные стороны и ограничения мотивационной системы представлены в таблице 12.</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Элемент системы</w:t>
            </w:r>
          </w:p>
        </w:tc>
        <w:tc>
          <w:tcPr>
            <w:tcW w:type="dxa" w:w="3230"/>
            <w:vAlign w:val="center"/>
            <w:shd w:fill="D9EAF7"/>
          </w:tcPr>
          <w:p>
            <w:pPr>
              <w:spacing w:line="240" w:lineRule="auto"/>
              <w:jc w:val="center"/>
            </w:pPr>
            <w:r>
              <w:rPr>
                <w:rFonts w:ascii="Times New Roman" w:hAnsi="Times New Roman" w:eastAsia="Times New Roman"/>
                <w:b/>
                <w:sz w:val="20"/>
              </w:rPr>
              <w:t>Сильные стороны</w:t>
            </w:r>
          </w:p>
        </w:tc>
        <w:tc>
          <w:tcPr>
            <w:tcW w:type="dxa" w:w="3230"/>
            <w:vAlign w:val="center"/>
            <w:shd w:fill="D9EAF7"/>
          </w:tcPr>
          <w:p>
            <w:pPr>
              <w:spacing w:line="240" w:lineRule="auto"/>
              <w:jc w:val="center"/>
            </w:pPr>
            <w:r>
              <w:rPr>
                <w:rFonts w:ascii="Times New Roman" w:hAnsi="Times New Roman" w:eastAsia="Times New Roman"/>
                <w:b/>
                <w:sz w:val="20"/>
              </w:rPr>
              <w:t>Ограничения и риски</w:t>
            </w:r>
          </w:p>
        </w:tc>
      </w:tr>
      <w:tr>
        <w:tc>
          <w:tcPr>
            <w:tcW w:type="dxa" w:w="3230"/>
            <w:vAlign w:val="center"/>
          </w:tcPr>
          <w:p>
            <w:pPr>
              <w:spacing w:line="240" w:lineRule="auto"/>
              <w:jc w:val="left"/>
            </w:pPr>
            <w:r>
              <w:rPr>
                <w:rFonts w:ascii="Times New Roman" w:hAnsi="Times New Roman" w:eastAsia="Times New Roman"/>
                <w:b w:val="0"/>
                <w:sz w:val="20"/>
              </w:rPr>
              <w:t>Оплата труда</w:t>
            </w:r>
          </w:p>
        </w:tc>
        <w:tc>
          <w:tcPr>
            <w:tcW w:type="dxa" w:w="3230"/>
            <w:vAlign w:val="center"/>
          </w:tcPr>
          <w:p>
            <w:pPr>
              <w:spacing w:line="240" w:lineRule="auto"/>
              <w:jc w:val="left"/>
            </w:pPr>
            <w:r>
              <w:rPr>
                <w:rFonts w:ascii="Times New Roman" w:hAnsi="Times New Roman" w:eastAsia="Times New Roman"/>
                <w:b w:val="0"/>
                <w:sz w:val="20"/>
              </w:rPr>
              <w:t>Тарифно-премиальная система, связь с результатами</w:t>
            </w:r>
          </w:p>
        </w:tc>
        <w:tc>
          <w:tcPr>
            <w:tcW w:type="dxa" w:w="3230"/>
            <w:vAlign w:val="center"/>
          </w:tcPr>
          <w:p>
            <w:pPr>
              <w:spacing w:line="240" w:lineRule="auto"/>
              <w:jc w:val="left"/>
            </w:pPr>
            <w:r>
              <w:rPr>
                <w:rFonts w:ascii="Times New Roman" w:hAnsi="Times New Roman" w:eastAsia="Times New Roman"/>
                <w:b w:val="0"/>
                <w:sz w:val="20"/>
              </w:rPr>
              <w:t>Зависимость переменной части от финансовых возможностей</w:t>
            </w:r>
          </w:p>
        </w:tc>
      </w:tr>
      <w:tr>
        <w:tc>
          <w:tcPr>
            <w:tcW w:type="dxa" w:w="3230"/>
            <w:vAlign w:val="center"/>
          </w:tcPr>
          <w:p>
            <w:pPr>
              <w:spacing w:line="240" w:lineRule="auto"/>
              <w:jc w:val="left"/>
            </w:pPr>
            <w:r>
              <w:rPr>
                <w:rFonts w:ascii="Times New Roman" w:hAnsi="Times New Roman" w:eastAsia="Times New Roman"/>
                <w:b w:val="0"/>
                <w:sz w:val="20"/>
              </w:rPr>
              <w:t>Социальные гарантии</w:t>
            </w:r>
          </w:p>
        </w:tc>
        <w:tc>
          <w:tcPr>
            <w:tcW w:type="dxa" w:w="3230"/>
            <w:vAlign w:val="center"/>
          </w:tcPr>
          <w:p>
            <w:pPr>
              <w:spacing w:line="240" w:lineRule="auto"/>
              <w:jc w:val="left"/>
            </w:pPr>
            <w:r>
              <w:rPr>
                <w:rFonts w:ascii="Times New Roman" w:hAnsi="Times New Roman" w:eastAsia="Times New Roman"/>
                <w:b w:val="0"/>
                <w:sz w:val="20"/>
              </w:rPr>
              <w:t>Широкий перечень выплат и компенсаций</w:t>
            </w:r>
          </w:p>
        </w:tc>
        <w:tc>
          <w:tcPr>
            <w:tcW w:type="dxa" w:w="3230"/>
            <w:vAlign w:val="center"/>
          </w:tcPr>
          <w:p>
            <w:pPr>
              <w:spacing w:line="240" w:lineRule="auto"/>
              <w:jc w:val="left"/>
            </w:pPr>
            <w:r>
              <w:rPr>
                <w:rFonts w:ascii="Times New Roman" w:hAnsi="Times New Roman" w:eastAsia="Times New Roman"/>
                <w:b w:val="0"/>
                <w:sz w:val="20"/>
              </w:rPr>
              <w:t>Многие выплаты событийные, а не результативные</w:t>
            </w:r>
          </w:p>
        </w:tc>
      </w:tr>
      <w:tr>
        <w:tc>
          <w:tcPr>
            <w:tcW w:type="dxa" w:w="3230"/>
            <w:vAlign w:val="center"/>
          </w:tcPr>
          <w:p>
            <w:pPr>
              <w:spacing w:line="240" w:lineRule="auto"/>
              <w:jc w:val="left"/>
            </w:pPr>
            <w:r>
              <w:rPr>
                <w:rFonts w:ascii="Times New Roman" w:hAnsi="Times New Roman" w:eastAsia="Times New Roman"/>
                <w:b w:val="0"/>
                <w:sz w:val="20"/>
              </w:rPr>
              <w:t>Премирование</w:t>
            </w:r>
          </w:p>
        </w:tc>
        <w:tc>
          <w:tcPr>
            <w:tcW w:type="dxa" w:w="3230"/>
            <w:vAlign w:val="center"/>
          </w:tcPr>
          <w:p>
            <w:pPr>
              <w:spacing w:line="240" w:lineRule="auto"/>
              <w:jc w:val="left"/>
            </w:pPr>
            <w:r>
              <w:rPr>
                <w:rFonts w:ascii="Times New Roman" w:hAnsi="Times New Roman" w:eastAsia="Times New Roman"/>
                <w:b w:val="0"/>
                <w:sz w:val="20"/>
              </w:rPr>
              <w:t>Возможность стимулировать показатели подразделений</w:t>
            </w:r>
          </w:p>
        </w:tc>
        <w:tc>
          <w:tcPr>
            <w:tcW w:type="dxa" w:w="3230"/>
            <w:vAlign w:val="center"/>
          </w:tcPr>
          <w:p>
            <w:pPr>
              <w:spacing w:line="240" w:lineRule="auto"/>
              <w:jc w:val="left"/>
            </w:pPr>
            <w:r>
              <w:rPr>
                <w:rFonts w:ascii="Times New Roman" w:hAnsi="Times New Roman" w:eastAsia="Times New Roman"/>
                <w:b w:val="0"/>
                <w:sz w:val="20"/>
              </w:rPr>
              <w:t>Необходима высокая прозрачность критериев</w:t>
            </w:r>
          </w:p>
        </w:tc>
      </w:tr>
      <w:tr>
        <w:tc>
          <w:tcPr>
            <w:tcW w:type="dxa" w:w="3230"/>
            <w:vAlign w:val="center"/>
          </w:tcPr>
          <w:p>
            <w:pPr>
              <w:spacing w:line="240" w:lineRule="auto"/>
              <w:jc w:val="left"/>
            </w:pPr>
            <w:r>
              <w:rPr>
                <w:rFonts w:ascii="Times New Roman" w:hAnsi="Times New Roman" w:eastAsia="Times New Roman"/>
                <w:b w:val="0"/>
                <w:sz w:val="20"/>
              </w:rPr>
              <w:t>Наставничество</w:t>
            </w:r>
          </w:p>
        </w:tc>
        <w:tc>
          <w:tcPr>
            <w:tcW w:type="dxa" w:w="3230"/>
            <w:vAlign w:val="center"/>
          </w:tcPr>
          <w:p>
            <w:pPr>
              <w:spacing w:line="240" w:lineRule="auto"/>
              <w:jc w:val="left"/>
            </w:pPr>
            <w:r>
              <w:rPr>
                <w:rFonts w:ascii="Times New Roman" w:hAnsi="Times New Roman" w:eastAsia="Times New Roman"/>
                <w:b w:val="0"/>
                <w:sz w:val="20"/>
              </w:rPr>
              <w:t>Индивидуальный план, доплата наставнику, отчеты</w:t>
            </w:r>
          </w:p>
        </w:tc>
        <w:tc>
          <w:tcPr>
            <w:tcW w:type="dxa" w:w="3230"/>
            <w:vAlign w:val="center"/>
          </w:tcPr>
          <w:p>
            <w:pPr>
              <w:spacing w:line="240" w:lineRule="auto"/>
              <w:jc w:val="left"/>
            </w:pPr>
            <w:r>
              <w:rPr>
                <w:rFonts w:ascii="Times New Roman" w:hAnsi="Times New Roman" w:eastAsia="Times New Roman"/>
                <w:b w:val="0"/>
                <w:sz w:val="20"/>
              </w:rPr>
              <w:t>Риск формального исполнения при высокой нагрузке</w:t>
            </w:r>
          </w:p>
        </w:tc>
      </w:tr>
      <w:tr>
        <w:tc>
          <w:tcPr>
            <w:tcW w:type="dxa" w:w="3230"/>
            <w:vAlign w:val="center"/>
          </w:tcPr>
          <w:p>
            <w:pPr>
              <w:spacing w:line="240" w:lineRule="auto"/>
              <w:jc w:val="left"/>
            </w:pPr>
            <w:r>
              <w:rPr>
                <w:rFonts w:ascii="Times New Roman" w:hAnsi="Times New Roman" w:eastAsia="Times New Roman"/>
                <w:b w:val="0"/>
                <w:sz w:val="20"/>
              </w:rPr>
              <w:t>Нематериальная мотивация</w:t>
            </w:r>
          </w:p>
        </w:tc>
        <w:tc>
          <w:tcPr>
            <w:tcW w:type="dxa" w:w="3230"/>
            <w:vAlign w:val="center"/>
          </w:tcPr>
          <w:p>
            <w:pPr>
              <w:spacing w:line="240" w:lineRule="auto"/>
              <w:jc w:val="left"/>
            </w:pPr>
            <w:r>
              <w:rPr>
                <w:rFonts w:ascii="Times New Roman" w:hAnsi="Times New Roman" w:eastAsia="Times New Roman"/>
                <w:b w:val="0"/>
                <w:sz w:val="20"/>
              </w:rPr>
              <w:t>Корпоративные традиции, признание наставников</w:t>
            </w:r>
          </w:p>
        </w:tc>
        <w:tc>
          <w:tcPr>
            <w:tcW w:type="dxa" w:w="3230"/>
            <w:vAlign w:val="center"/>
          </w:tcPr>
          <w:p>
            <w:pPr>
              <w:spacing w:line="240" w:lineRule="auto"/>
              <w:jc w:val="left"/>
            </w:pPr>
            <w:r>
              <w:rPr>
                <w:rFonts w:ascii="Times New Roman" w:hAnsi="Times New Roman" w:eastAsia="Times New Roman"/>
                <w:b w:val="0"/>
                <w:sz w:val="20"/>
              </w:rPr>
              <w:t>Недостаточно описана единая система признания достижений</w:t>
            </w:r>
          </w:p>
        </w:tc>
      </w:tr>
      <w:tr>
        <w:tc>
          <w:tcPr>
            <w:tcW w:type="dxa" w:w="3230"/>
            <w:vAlign w:val="center"/>
          </w:tcPr>
          <w:p>
            <w:pPr>
              <w:spacing w:line="240" w:lineRule="auto"/>
              <w:jc w:val="left"/>
            </w:pPr>
            <w:r>
              <w:rPr>
                <w:rFonts w:ascii="Times New Roman" w:hAnsi="Times New Roman" w:eastAsia="Times New Roman"/>
                <w:b w:val="0"/>
                <w:sz w:val="20"/>
              </w:rPr>
              <w:t>Обучение и развитие</w:t>
            </w:r>
          </w:p>
        </w:tc>
        <w:tc>
          <w:tcPr>
            <w:tcW w:type="dxa" w:w="3230"/>
            <w:vAlign w:val="center"/>
          </w:tcPr>
          <w:p>
            <w:pPr>
              <w:spacing w:line="240" w:lineRule="auto"/>
              <w:jc w:val="left"/>
            </w:pPr>
            <w:r>
              <w:rPr>
                <w:rFonts w:ascii="Times New Roman" w:hAnsi="Times New Roman" w:eastAsia="Times New Roman"/>
                <w:b w:val="0"/>
                <w:sz w:val="20"/>
              </w:rPr>
              <w:t>Закреплено право на повышение квалификации</w:t>
            </w:r>
          </w:p>
        </w:tc>
        <w:tc>
          <w:tcPr>
            <w:tcW w:type="dxa" w:w="3230"/>
            <w:vAlign w:val="center"/>
          </w:tcPr>
          <w:p>
            <w:pPr>
              <w:spacing w:line="240" w:lineRule="auto"/>
              <w:jc w:val="left"/>
            </w:pPr>
            <w:r>
              <w:rPr>
                <w:rFonts w:ascii="Times New Roman" w:hAnsi="Times New Roman" w:eastAsia="Times New Roman"/>
                <w:b w:val="0"/>
                <w:sz w:val="20"/>
              </w:rPr>
              <w:t>Не всегда видна связь обучения с карьерным ростом</w:t>
            </w:r>
          </w:p>
        </w:tc>
      </w:tr>
      <w:tr>
        <w:tc>
          <w:tcPr>
            <w:tcW w:type="dxa" w:w="3230"/>
            <w:vAlign w:val="center"/>
          </w:tcPr>
          <w:p>
            <w:pPr>
              <w:spacing w:line="240" w:lineRule="auto"/>
              <w:jc w:val="left"/>
            </w:pPr>
            <w:r>
              <w:rPr>
                <w:rFonts w:ascii="Times New Roman" w:hAnsi="Times New Roman" w:eastAsia="Times New Roman"/>
                <w:b w:val="0"/>
                <w:sz w:val="20"/>
              </w:rPr>
              <w:t>Социальное партнерство</w:t>
            </w:r>
          </w:p>
        </w:tc>
        <w:tc>
          <w:tcPr>
            <w:tcW w:type="dxa" w:w="3230"/>
            <w:vAlign w:val="center"/>
          </w:tcPr>
          <w:p>
            <w:pPr>
              <w:spacing w:line="240" w:lineRule="auto"/>
              <w:jc w:val="left"/>
            </w:pPr>
            <w:r>
              <w:rPr>
                <w:rFonts w:ascii="Times New Roman" w:hAnsi="Times New Roman" w:eastAsia="Times New Roman"/>
                <w:b w:val="0"/>
                <w:sz w:val="20"/>
              </w:rPr>
              <w:t>Профсоюз и коллективный договор</w:t>
            </w:r>
          </w:p>
        </w:tc>
        <w:tc>
          <w:tcPr>
            <w:tcW w:type="dxa" w:w="3230"/>
            <w:vAlign w:val="center"/>
          </w:tcPr>
          <w:p>
            <w:pPr>
              <w:spacing w:line="240" w:lineRule="auto"/>
              <w:jc w:val="left"/>
            </w:pPr>
            <w:r>
              <w:rPr>
                <w:rFonts w:ascii="Times New Roman" w:hAnsi="Times New Roman" w:eastAsia="Times New Roman"/>
                <w:b w:val="0"/>
                <w:sz w:val="20"/>
              </w:rPr>
              <w:t>Часть мер зависит от финансовых возможностей</w:t>
            </w:r>
          </w:p>
        </w:tc>
      </w:tr>
    </w:tbl>
    <w:p/>
    <w:p>
      <w:pPr>
        <w:spacing w:line="360" w:lineRule="auto"/>
        <w:ind w:firstLine="709"/>
        <w:jc w:val="both"/>
      </w:pPr>
      <w:r>
        <w:rPr>
          <w:rFonts w:ascii="Times New Roman" w:hAnsi="Times New Roman" w:eastAsia="Times New Roman"/>
          <w:sz w:val="28"/>
        </w:rPr>
        <w:t>Таблица 12 - Сильные стороны и ограничения системы мотивации ПАО «ТНС энерго НН»</w:t>
      </w:r>
    </w:p>
    <w:p>
      <w:pPr>
        <w:spacing w:line="360" w:lineRule="auto"/>
        <w:ind w:firstLine="709"/>
        <w:jc w:val="both"/>
      </w:pPr>
      <w:r>
        <w:rPr>
          <w:rFonts w:ascii="Times New Roman" w:hAnsi="Times New Roman" w:eastAsia="Times New Roman"/>
          <w:sz w:val="28"/>
        </w:rPr>
        <w:t>Наряду с сильными сторонами можно выделить несколько проблемных зон.</w:t>
      </w:r>
    </w:p>
    <w:p>
      <w:pPr>
        <w:spacing w:line="360" w:lineRule="auto"/>
        <w:ind w:firstLine="709"/>
        <w:jc w:val="both"/>
      </w:pPr>
      <w:r>
        <w:rPr>
          <w:rFonts w:ascii="Times New Roman" w:hAnsi="Times New Roman" w:eastAsia="Times New Roman"/>
          <w:sz w:val="28"/>
        </w:rPr>
        <w:t>1. Зависимость мотивационных программ от финансового состояния. Многие выплаты и мероприятия осуществляются в пределах средств бизнес-плана или при наличии финансовой возможности. С учетом убытка 2024 года и отрицательного собственного капитала это может ограничивать развитие мотивации.</w:t>
      </w:r>
    </w:p>
    <w:p>
      <w:pPr>
        <w:spacing w:line="360" w:lineRule="auto"/>
        <w:ind w:firstLine="709"/>
        <w:jc w:val="both"/>
      </w:pPr>
      <w:r>
        <w:rPr>
          <w:rFonts w:ascii="Times New Roman" w:hAnsi="Times New Roman" w:eastAsia="Times New Roman"/>
          <w:sz w:val="28"/>
        </w:rPr>
        <w:t>2. Недостаточная видимость индивидуальной связи между результатом и вознаграждением. В документах указана связь оплаты с результатами, но из доступных материалов не видно детального описания индивидуальных KPI для разных категорий работников. Если работник не понимает, какие действия влияют на премию, мотивационный эффект снижается.</w:t>
      </w:r>
    </w:p>
    <w:p>
      <w:pPr>
        <w:spacing w:line="360" w:lineRule="auto"/>
        <w:ind w:firstLine="709"/>
        <w:jc w:val="both"/>
      </w:pPr>
      <w:r>
        <w:rPr>
          <w:rFonts w:ascii="Times New Roman" w:hAnsi="Times New Roman" w:eastAsia="Times New Roman"/>
          <w:sz w:val="28"/>
        </w:rPr>
        <w:t>3. Преобладание традиционных социальных гарантий над современными инструментами вовлеченности. Социальный пакет достаточно широк, но значительная часть выплат привязана к жизненным событиям. Меньше внимания в документах уделено регулярной обратной связи, признанию инициатив, карьерным трекам, внутренним конкурсам проектов и оценке вовлеченности.</w:t>
      </w:r>
    </w:p>
    <w:p>
      <w:pPr>
        <w:spacing w:line="360" w:lineRule="auto"/>
        <w:ind w:firstLine="709"/>
        <w:jc w:val="both"/>
      </w:pPr>
      <w:r>
        <w:rPr>
          <w:rFonts w:ascii="Times New Roman" w:hAnsi="Times New Roman" w:eastAsia="Times New Roman"/>
          <w:sz w:val="28"/>
        </w:rPr>
        <w:t>4. Риск формализации нематериальной мотивации. Корпоративные мероприятия и признание наставников важны, но они не образуют полностью описанной системы нематериального стимулирования для всех категорий персонала.</w:t>
      </w:r>
    </w:p>
    <w:p>
      <w:pPr>
        <w:spacing w:line="360" w:lineRule="auto"/>
        <w:ind w:firstLine="709"/>
        <w:jc w:val="both"/>
      </w:pPr>
      <w:r>
        <w:rPr>
          <w:rFonts w:ascii="Times New Roman" w:hAnsi="Times New Roman" w:eastAsia="Times New Roman"/>
          <w:sz w:val="28"/>
        </w:rPr>
        <w:t>5. Текучесть и отрицательное сальдо движения персонала. В марте 2026 года принято 9 работников, уволено 19. Сам по себе месячный показатель не позволяет делать окончательные выводы, но он указывает на необходимость анализа причин увольнений и качества удержания.</w:t>
      </w:r>
    </w:p>
    <w:p>
      <w:pPr>
        <w:spacing w:line="360" w:lineRule="auto"/>
        <w:ind w:firstLine="709"/>
        <w:jc w:val="both"/>
      </w:pPr>
      <w:r>
        <w:rPr>
          <w:rFonts w:ascii="Times New Roman" w:hAnsi="Times New Roman" w:eastAsia="Times New Roman"/>
          <w:sz w:val="28"/>
        </w:rPr>
        <w:t>6. Территориальная неоднородность. Наличие отделений в разных городах области может приводить к различиям в доступности обучения, корпоративных мероприятий, качества руководства и нематериальных стимулов.</w:t>
      </w:r>
    </w:p>
    <w:p>
      <w:pPr>
        <w:spacing w:line="360" w:lineRule="auto"/>
        <w:ind w:firstLine="709"/>
        <w:jc w:val="both"/>
      </w:pPr>
      <w:r>
        <w:rPr>
          <w:rFonts w:ascii="Times New Roman" w:hAnsi="Times New Roman" w:eastAsia="Times New Roman"/>
          <w:sz w:val="28"/>
        </w:rPr>
        <w:t>Для более глубокого понимания проблем мотивации важно рассмотреть не только перечень стимулов, но и возможные проявления недостаточной мотивации в операционной деятельности. В энергосбытовой организации такие проявления могут быть не всегда очевидны в виде прямого конфликта или массового увольнения. Чаще они выражаются в снижении инициативности, формальном отношении к клиентским обращениям, росте ошибок, слабом участии в улучшении процессов, нежелании брать дополнительные функции, низкой готовности становиться наставником или участвовать в проектах цифровизации.</w:t>
      </w:r>
    </w:p>
    <w:p>
      <w:pPr>
        <w:spacing w:line="360" w:lineRule="auto"/>
        <w:ind w:firstLine="709"/>
        <w:jc w:val="both"/>
      </w:pPr>
      <w:r>
        <w:rPr>
          <w:rFonts w:ascii="Times New Roman" w:hAnsi="Times New Roman" w:eastAsia="Times New Roman"/>
          <w:sz w:val="28"/>
        </w:rPr>
        <w:t>Особенно чувствительной является мотивация сотрудников, работающих на стыке нескольких подразделений. Например, клиентская служба зависит от корректности расчетов, расчетные подразделения - от данных учета, юристы - от качества документов и своевременности передачи информации, ИТ-подразделения - от постановки задач внутренними заказчиками. Если работник видит только свой узкий участок и не понимает влияния своего труда на общий результат, мотивация становится процедурной: выполнить инструкцию, закрыть задачу, не допустить нарушения. Такой подход обеспечивает дисциплину, но не всегда стимулирует улучшения.</w:t>
      </w:r>
    </w:p>
    <w:p>
      <w:pPr>
        <w:spacing w:line="360" w:lineRule="auto"/>
        <w:ind w:firstLine="709"/>
        <w:jc w:val="both"/>
      </w:pPr>
      <w:r>
        <w:rPr>
          <w:rFonts w:ascii="Times New Roman" w:hAnsi="Times New Roman" w:eastAsia="Times New Roman"/>
          <w:sz w:val="28"/>
        </w:rPr>
        <w:t>Вторая зона риска связана с эмоциональной нагрузкой. Работники, взаимодействующие с потребителями и должниками, регулярно сталкиваются с претензиями, конфликтами, недовольством начислениями, просьбами об отсрочке платежей и необходимостью объяснять сложные правила. В такой ситуации материальная мотивация важна, но не полностью компенсирует эмоциональные затраты. Если система признания не фиксирует качество коммуникации, способность снижать конфликтность и предотвращать повторные обращения, у работника может возникнуть ощущение невидимости его труда.</w:t>
      </w:r>
    </w:p>
    <w:p>
      <w:pPr>
        <w:spacing w:line="360" w:lineRule="auto"/>
        <w:ind w:firstLine="709"/>
        <w:jc w:val="both"/>
      </w:pPr>
      <w:r>
        <w:rPr>
          <w:rFonts w:ascii="Times New Roman" w:hAnsi="Times New Roman" w:eastAsia="Times New Roman"/>
          <w:sz w:val="28"/>
        </w:rPr>
        <w:t>Третья зона риска связана с мотивацией опытных сотрудников. Для компании они являются носителями практических знаний, особенно в отделениях и специализированных подразделениях. При этом опытные работники могут воспринимать дополнительные обязанности наставника как нагрузку, если они не сопровождаются реальным признанием, временем на обучение нового сотрудника и понятной оценкой результата наставничества. В положении предусмотрена доплата до 20% должностного оклада и нематериальное признание, что является сильной стороной, но на практике мотивационный эффект зависит от того, насколько руководители действительно ценят наставников и освобождают их от части текущей перегрузки.</w:t>
      </w:r>
    </w:p>
    <w:p>
      <w:pPr>
        <w:spacing w:line="360" w:lineRule="auto"/>
        <w:ind w:firstLine="709"/>
        <w:jc w:val="both"/>
      </w:pPr>
      <w:r>
        <w:rPr>
          <w:rFonts w:ascii="Times New Roman" w:hAnsi="Times New Roman" w:eastAsia="Times New Roman"/>
          <w:sz w:val="28"/>
        </w:rPr>
        <w:t>Четвертая зона риска связана с молодыми работниками. Для них важны адаптация, наставник, понятный карьерный горизонт и возможность профессионального роста. Если после завершения адаптационного периода работник не видит дальнейшей траектории развития, его мотивация может снизиться. Социальный пакет и стабильность важны, но для молодых специалистов часто недостаточны без ощущения движения и роста.</w:t>
      </w:r>
    </w:p>
    <w:p>
      <w:pPr>
        <w:spacing w:line="360" w:lineRule="auto"/>
        <w:ind w:firstLine="709"/>
        <w:jc w:val="both"/>
      </w:pPr>
      <w:r>
        <w:rPr>
          <w:rFonts w:ascii="Times New Roman" w:hAnsi="Times New Roman" w:eastAsia="Times New Roman"/>
          <w:sz w:val="28"/>
        </w:rPr>
        <w:t>Пятая зона риска - восприятие справедливости. Система оплаты и премирования может быть формально корректной, но если работники не понимают, почему одно подразделение получает больше возможностей, почему премия меняется от периода к периоду или почему инициативный вклад не выделяется отдельно, возникает риск скрытой демотивации. Для крупной организации с территориальными отделениями этот риск усиливается, поскольку работники сравнивают условия не только внутри своего подразделения, но и между отделениями, центральным аппаратом и внешним рынком труда.</w:t>
      </w:r>
    </w:p>
    <w:p>
      <w:pPr>
        <w:spacing w:line="360" w:lineRule="auto"/>
        <w:ind w:firstLine="709"/>
        <w:jc w:val="both"/>
      </w:pPr>
      <w:r>
        <w:rPr>
          <w:rFonts w:ascii="Times New Roman" w:hAnsi="Times New Roman" w:eastAsia="Times New Roman"/>
          <w:sz w:val="28"/>
        </w:rPr>
        <w:t>Диагностические признаки возможных проблем мотивации представлены в таблице 13.</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Возможный признак</w:t>
            </w:r>
          </w:p>
        </w:tc>
        <w:tc>
          <w:tcPr>
            <w:tcW w:type="dxa" w:w="3230"/>
            <w:vAlign w:val="center"/>
            <w:shd w:fill="D9EAF7"/>
          </w:tcPr>
          <w:p>
            <w:pPr>
              <w:spacing w:line="240" w:lineRule="auto"/>
              <w:jc w:val="center"/>
            </w:pPr>
            <w:r>
              <w:rPr>
                <w:rFonts w:ascii="Times New Roman" w:hAnsi="Times New Roman" w:eastAsia="Times New Roman"/>
                <w:b/>
                <w:sz w:val="20"/>
              </w:rPr>
              <w:t>Как может проявляться в ПАО «ТНС энерго НН»</w:t>
            </w:r>
          </w:p>
        </w:tc>
        <w:tc>
          <w:tcPr>
            <w:tcW w:type="dxa" w:w="3230"/>
            <w:vAlign w:val="center"/>
            <w:shd w:fill="D9EAF7"/>
          </w:tcPr>
          <w:p>
            <w:pPr>
              <w:spacing w:line="240" w:lineRule="auto"/>
              <w:jc w:val="center"/>
            </w:pPr>
            <w:r>
              <w:rPr>
                <w:rFonts w:ascii="Times New Roman" w:hAnsi="Times New Roman" w:eastAsia="Times New Roman"/>
                <w:b/>
                <w:sz w:val="20"/>
              </w:rPr>
              <w:t>Почему это важно для мотивации</w:t>
            </w:r>
          </w:p>
        </w:tc>
      </w:tr>
      <w:tr>
        <w:tc>
          <w:tcPr>
            <w:tcW w:type="dxa" w:w="3230"/>
            <w:vAlign w:val="center"/>
          </w:tcPr>
          <w:p>
            <w:pPr>
              <w:spacing w:line="240" w:lineRule="auto"/>
              <w:jc w:val="left"/>
            </w:pPr>
            <w:r>
              <w:rPr>
                <w:rFonts w:ascii="Times New Roman" w:hAnsi="Times New Roman" w:eastAsia="Times New Roman"/>
                <w:b w:val="0"/>
                <w:sz w:val="20"/>
              </w:rPr>
              <w:t>Формальное выполнение обязанностей</w:t>
            </w:r>
          </w:p>
        </w:tc>
        <w:tc>
          <w:tcPr>
            <w:tcW w:type="dxa" w:w="3230"/>
            <w:vAlign w:val="center"/>
          </w:tcPr>
          <w:p>
            <w:pPr>
              <w:spacing w:line="240" w:lineRule="auto"/>
              <w:jc w:val="left"/>
            </w:pPr>
            <w:r>
              <w:rPr>
                <w:rFonts w:ascii="Times New Roman" w:hAnsi="Times New Roman" w:eastAsia="Times New Roman"/>
                <w:b w:val="0"/>
                <w:sz w:val="20"/>
              </w:rPr>
              <w:t>Работник выполняет минимум по инструкции, но не предлагает улучшений</w:t>
            </w:r>
          </w:p>
        </w:tc>
        <w:tc>
          <w:tcPr>
            <w:tcW w:type="dxa" w:w="3230"/>
            <w:vAlign w:val="center"/>
          </w:tcPr>
          <w:p>
            <w:pPr>
              <w:spacing w:line="240" w:lineRule="auto"/>
              <w:jc w:val="left"/>
            </w:pPr>
            <w:r>
              <w:rPr>
                <w:rFonts w:ascii="Times New Roman" w:hAnsi="Times New Roman" w:eastAsia="Times New Roman"/>
                <w:b w:val="0"/>
                <w:sz w:val="20"/>
              </w:rPr>
              <w:t>Снижается потенциал повышения качества процессов</w:t>
            </w:r>
          </w:p>
        </w:tc>
      </w:tr>
      <w:tr>
        <w:tc>
          <w:tcPr>
            <w:tcW w:type="dxa" w:w="3230"/>
            <w:vAlign w:val="center"/>
          </w:tcPr>
          <w:p>
            <w:pPr>
              <w:spacing w:line="240" w:lineRule="auto"/>
              <w:jc w:val="left"/>
            </w:pPr>
            <w:r>
              <w:rPr>
                <w:rFonts w:ascii="Times New Roman" w:hAnsi="Times New Roman" w:eastAsia="Times New Roman"/>
                <w:b w:val="0"/>
                <w:sz w:val="20"/>
              </w:rPr>
              <w:t>Рост эмоциональной усталости</w:t>
            </w:r>
          </w:p>
        </w:tc>
        <w:tc>
          <w:tcPr>
            <w:tcW w:type="dxa" w:w="3230"/>
            <w:vAlign w:val="center"/>
          </w:tcPr>
          <w:p>
            <w:pPr>
              <w:spacing w:line="240" w:lineRule="auto"/>
              <w:jc w:val="left"/>
            </w:pPr>
            <w:r>
              <w:rPr>
                <w:rFonts w:ascii="Times New Roman" w:hAnsi="Times New Roman" w:eastAsia="Times New Roman"/>
                <w:b w:val="0"/>
                <w:sz w:val="20"/>
              </w:rPr>
              <w:t>Раздражительность в клиентских коммуникациях, снижение терпимости к обращениям</w:t>
            </w:r>
          </w:p>
        </w:tc>
        <w:tc>
          <w:tcPr>
            <w:tcW w:type="dxa" w:w="3230"/>
            <w:vAlign w:val="center"/>
          </w:tcPr>
          <w:p>
            <w:pPr>
              <w:spacing w:line="240" w:lineRule="auto"/>
              <w:jc w:val="left"/>
            </w:pPr>
            <w:r>
              <w:rPr>
                <w:rFonts w:ascii="Times New Roman" w:hAnsi="Times New Roman" w:eastAsia="Times New Roman"/>
                <w:b w:val="0"/>
                <w:sz w:val="20"/>
              </w:rPr>
              <w:t>Ухудшается клиентский опыт и возрастает риск жалоб</w:t>
            </w:r>
          </w:p>
        </w:tc>
      </w:tr>
      <w:tr>
        <w:tc>
          <w:tcPr>
            <w:tcW w:type="dxa" w:w="3230"/>
            <w:vAlign w:val="center"/>
          </w:tcPr>
          <w:p>
            <w:pPr>
              <w:spacing w:line="240" w:lineRule="auto"/>
              <w:jc w:val="left"/>
            </w:pPr>
            <w:r>
              <w:rPr>
                <w:rFonts w:ascii="Times New Roman" w:hAnsi="Times New Roman" w:eastAsia="Times New Roman"/>
                <w:b w:val="0"/>
                <w:sz w:val="20"/>
              </w:rPr>
              <w:t>Низкая готовность к наставничеству</w:t>
            </w:r>
          </w:p>
        </w:tc>
        <w:tc>
          <w:tcPr>
            <w:tcW w:type="dxa" w:w="3230"/>
            <w:vAlign w:val="center"/>
          </w:tcPr>
          <w:p>
            <w:pPr>
              <w:spacing w:line="240" w:lineRule="auto"/>
              <w:jc w:val="left"/>
            </w:pPr>
            <w:r>
              <w:rPr>
                <w:rFonts w:ascii="Times New Roman" w:hAnsi="Times New Roman" w:eastAsia="Times New Roman"/>
                <w:b w:val="0"/>
                <w:sz w:val="20"/>
              </w:rPr>
              <w:t>Опытные сотрудники избегают роли наставника</w:t>
            </w:r>
          </w:p>
        </w:tc>
        <w:tc>
          <w:tcPr>
            <w:tcW w:type="dxa" w:w="3230"/>
            <w:vAlign w:val="center"/>
          </w:tcPr>
          <w:p>
            <w:pPr>
              <w:spacing w:line="240" w:lineRule="auto"/>
              <w:jc w:val="left"/>
            </w:pPr>
            <w:r>
              <w:rPr>
                <w:rFonts w:ascii="Times New Roman" w:hAnsi="Times New Roman" w:eastAsia="Times New Roman"/>
                <w:b w:val="0"/>
                <w:sz w:val="20"/>
              </w:rPr>
              <w:t>Замедляется передача знаний и адаптация новичков</w:t>
            </w:r>
          </w:p>
        </w:tc>
      </w:tr>
      <w:tr>
        <w:tc>
          <w:tcPr>
            <w:tcW w:type="dxa" w:w="3230"/>
            <w:vAlign w:val="center"/>
          </w:tcPr>
          <w:p>
            <w:pPr>
              <w:spacing w:line="240" w:lineRule="auto"/>
              <w:jc w:val="left"/>
            </w:pPr>
            <w:r>
              <w:rPr>
                <w:rFonts w:ascii="Times New Roman" w:hAnsi="Times New Roman" w:eastAsia="Times New Roman"/>
                <w:b w:val="0"/>
                <w:sz w:val="20"/>
              </w:rPr>
              <w:t>Слабая связь премии с личным вкладом</w:t>
            </w:r>
          </w:p>
        </w:tc>
        <w:tc>
          <w:tcPr>
            <w:tcW w:type="dxa" w:w="3230"/>
            <w:vAlign w:val="center"/>
          </w:tcPr>
          <w:p>
            <w:pPr>
              <w:spacing w:line="240" w:lineRule="auto"/>
              <w:jc w:val="left"/>
            </w:pPr>
            <w:r>
              <w:rPr>
                <w:rFonts w:ascii="Times New Roman" w:hAnsi="Times New Roman" w:eastAsia="Times New Roman"/>
                <w:b w:val="0"/>
                <w:sz w:val="20"/>
              </w:rPr>
              <w:t>Работник не понимает, какие действия влияют на вознаграждение</w:t>
            </w:r>
          </w:p>
        </w:tc>
        <w:tc>
          <w:tcPr>
            <w:tcW w:type="dxa" w:w="3230"/>
            <w:vAlign w:val="center"/>
          </w:tcPr>
          <w:p>
            <w:pPr>
              <w:spacing w:line="240" w:lineRule="auto"/>
              <w:jc w:val="left"/>
            </w:pPr>
            <w:r>
              <w:rPr>
                <w:rFonts w:ascii="Times New Roman" w:hAnsi="Times New Roman" w:eastAsia="Times New Roman"/>
                <w:b w:val="0"/>
                <w:sz w:val="20"/>
              </w:rPr>
              <w:t>Снижается управляемость стимулирования</w:t>
            </w:r>
          </w:p>
        </w:tc>
      </w:tr>
      <w:tr>
        <w:tc>
          <w:tcPr>
            <w:tcW w:type="dxa" w:w="3230"/>
            <w:vAlign w:val="center"/>
          </w:tcPr>
          <w:p>
            <w:pPr>
              <w:spacing w:line="240" w:lineRule="auto"/>
              <w:jc w:val="left"/>
            </w:pPr>
            <w:r>
              <w:rPr>
                <w:rFonts w:ascii="Times New Roman" w:hAnsi="Times New Roman" w:eastAsia="Times New Roman"/>
                <w:b w:val="0"/>
                <w:sz w:val="20"/>
              </w:rPr>
              <w:t>Неравномерность доступа к развитию</w:t>
            </w:r>
          </w:p>
        </w:tc>
        <w:tc>
          <w:tcPr>
            <w:tcW w:type="dxa" w:w="3230"/>
            <w:vAlign w:val="center"/>
          </w:tcPr>
          <w:p>
            <w:pPr>
              <w:spacing w:line="240" w:lineRule="auto"/>
              <w:jc w:val="left"/>
            </w:pPr>
            <w:r>
              <w:rPr>
                <w:rFonts w:ascii="Times New Roman" w:hAnsi="Times New Roman" w:eastAsia="Times New Roman"/>
                <w:b w:val="0"/>
                <w:sz w:val="20"/>
              </w:rPr>
              <w:t>Сотрудники отделений реже участвуют в обучении и мероприятиях</w:t>
            </w:r>
          </w:p>
        </w:tc>
        <w:tc>
          <w:tcPr>
            <w:tcW w:type="dxa" w:w="3230"/>
            <w:vAlign w:val="center"/>
          </w:tcPr>
          <w:p>
            <w:pPr>
              <w:spacing w:line="240" w:lineRule="auto"/>
              <w:jc w:val="left"/>
            </w:pPr>
            <w:r>
              <w:rPr>
                <w:rFonts w:ascii="Times New Roman" w:hAnsi="Times New Roman" w:eastAsia="Times New Roman"/>
                <w:b w:val="0"/>
                <w:sz w:val="20"/>
              </w:rPr>
              <w:t>Возникает ощущение периферийности и неравенства</w:t>
            </w:r>
          </w:p>
        </w:tc>
      </w:tr>
      <w:tr>
        <w:tc>
          <w:tcPr>
            <w:tcW w:type="dxa" w:w="3230"/>
            <w:vAlign w:val="center"/>
          </w:tcPr>
          <w:p>
            <w:pPr>
              <w:spacing w:line="240" w:lineRule="auto"/>
              <w:jc w:val="left"/>
            </w:pPr>
            <w:r>
              <w:rPr>
                <w:rFonts w:ascii="Times New Roman" w:hAnsi="Times New Roman" w:eastAsia="Times New Roman"/>
                <w:b w:val="0"/>
                <w:sz w:val="20"/>
              </w:rPr>
              <w:t>Отрицательное сальдо движения персонала</w:t>
            </w:r>
          </w:p>
        </w:tc>
        <w:tc>
          <w:tcPr>
            <w:tcW w:type="dxa" w:w="3230"/>
            <w:vAlign w:val="center"/>
          </w:tcPr>
          <w:p>
            <w:pPr>
              <w:spacing w:line="240" w:lineRule="auto"/>
              <w:jc w:val="left"/>
            </w:pPr>
            <w:r>
              <w:rPr>
                <w:rFonts w:ascii="Times New Roman" w:hAnsi="Times New Roman" w:eastAsia="Times New Roman"/>
                <w:b w:val="0"/>
                <w:sz w:val="20"/>
              </w:rPr>
              <w:t>Увольнения превышают прием, как в марте 2026 года</w:t>
            </w:r>
          </w:p>
        </w:tc>
        <w:tc>
          <w:tcPr>
            <w:tcW w:type="dxa" w:w="3230"/>
            <w:vAlign w:val="center"/>
          </w:tcPr>
          <w:p>
            <w:pPr>
              <w:spacing w:line="240" w:lineRule="auto"/>
              <w:jc w:val="left"/>
            </w:pPr>
            <w:r>
              <w:rPr>
                <w:rFonts w:ascii="Times New Roman" w:hAnsi="Times New Roman" w:eastAsia="Times New Roman"/>
                <w:b w:val="0"/>
                <w:sz w:val="20"/>
              </w:rPr>
              <w:t>Возрастает нагрузка на оставшихся работников</w:t>
            </w:r>
          </w:p>
        </w:tc>
      </w:tr>
      <w:tr>
        <w:tc>
          <w:tcPr>
            <w:tcW w:type="dxa" w:w="3230"/>
            <w:vAlign w:val="center"/>
          </w:tcPr>
          <w:p>
            <w:pPr>
              <w:spacing w:line="240" w:lineRule="auto"/>
              <w:jc w:val="left"/>
            </w:pPr>
            <w:r>
              <w:rPr>
                <w:rFonts w:ascii="Times New Roman" w:hAnsi="Times New Roman" w:eastAsia="Times New Roman"/>
                <w:b w:val="0"/>
                <w:sz w:val="20"/>
              </w:rPr>
              <w:t>Невидимость профилактического труда</w:t>
            </w:r>
          </w:p>
        </w:tc>
        <w:tc>
          <w:tcPr>
            <w:tcW w:type="dxa" w:w="3230"/>
            <w:vAlign w:val="center"/>
          </w:tcPr>
          <w:p>
            <w:pPr>
              <w:spacing w:line="240" w:lineRule="auto"/>
              <w:jc w:val="left"/>
            </w:pPr>
            <w:r>
              <w:rPr>
                <w:rFonts w:ascii="Times New Roman" w:hAnsi="Times New Roman" w:eastAsia="Times New Roman"/>
                <w:b w:val="0"/>
                <w:sz w:val="20"/>
              </w:rPr>
              <w:t>Не фиксируется предотвращение ошибок, жалоб и сбоев</w:t>
            </w:r>
          </w:p>
        </w:tc>
        <w:tc>
          <w:tcPr>
            <w:tcW w:type="dxa" w:w="3230"/>
            <w:vAlign w:val="center"/>
          </w:tcPr>
          <w:p>
            <w:pPr>
              <w:spacing w:line="240" w:lineRule="auto"/>
              <w:jc w:val="left"/>
            </w:pPr>
            <w:r>
              <w:rPr>
                <w:rFonts w:ascii="Times New Roman" w:hAnsi="Times New Roman" w:eastAsia="Times New Roman"/>
                <w:b w:val="0"/>
                <w:sz w:val="20"/>
              </w:rPr>
              <w:t>Недооцениваются работники, обеспечивающие стабильность</w:t>
            </w:r>
          </w:p>
        </w:tc>
      </w:tr>
    </w:tbl>
    <w:p/>
    <w:p>
      <w:pPr>
        <w:spacing w:line="360" w:lineRule="auto"/>
        <w:ind w:firstLine="709"/>
        <w:jc w:val="both"/>
      </w:pPr>
      <w:r>
        <w:rPr>
          <w:rFonts w:ascii="Times New Roman" w:hAnsi="Times New Roman" w:eastAsia="Times New Roman"/>
          <w:sz w:val="28"/>
        </w:rPr>
        <w:t>Таблица 13 - Диагностические признаки проблем мотивации персонала ПАО «ТНС энерго НН»</w:t>
      </w:r>
    </w:p>
    <w:p>
      <w:pPr>
        <w:spacing w:line="360" w:lineRule="auto"/>
        <w:ind w:firstLine="709"/>
        <w:jc w:val="both"/>
      </w:pPr>
      <w:r>
        <w:rPr>
          <w:rFonts w:ascii="Times New Roman" w:hAnsi="Times New Roman" w:eastAsia="Times New Roman"/>
          <w:sz w:val="28"/>
        </w:rPr>
        <w:t>Представленные признаки не означают, что все они одновременно присутствуют в компании в критической форме. Однако они важны как аналитическая рамка, позволяющая понять, почему даже развитая формальная система мотивации может не полностью решать задачи удержания и вовлеченности. Основной вывод состоит в том, что мотивация должна поддерживать не только трудовую дисциплину, но и инициативность, качество сервиса, передачу знаний и готовность работников участвовать в изменениях.</w:t>
      </w:r>
    </w:p>
    <w:p>
      <w:pPr>
        <w:pStyle w:val="Heading2"/>
      </w:pPr>
      <w:r>
        <w:t>3.7. Ключевая проблема мотивационной системы, выявленная по результатам анализа</w:t>
      </w:r>
    </w:p>
    <w:p>
      <w:pPr>
        <w:spacing w:line="360" w:lineRule="auto"/>
        <w:ind w:firstLine="709"/>
        <w:jc w:val="both"/>
      </w:pPr>
      <w:r>
        <w:rPr>
          <w:rFonts w:ascii="Times New Roman" w:hAnsi="Times New Roman" w:eastAsia="Times New Roman"/>
          <w:sz w:val="28"/>
        </w:rPr>
        <w:t>По результатам анализа можно сформулировать ключевую проблему мотивационной системы ПАО «ТНС энерго НН»: система мотивации имеет развитую нормативную и социальную базу, но недостаточно явно демонстрирует индивидуальную связь между вкладом работника, качеством его работы, профессиональным развитием и получаемым вознаграждением или признанием.</w:t>
      </w:r>
    </w:p>
    <w:p>
      <w:pPr>
        <w:spacing w:line="360" w:lineRule="auto"/>
        <w:ind w:firstLine="709"/>
        <w:jc w:val="both"/>
      </w:pPr>
      <w:r>
        <w:rPr>
          <w:rFonts w:ascii="Times New Roman" w:hAnsi="Times New Roman" w:eastAsia="Times New Roman"/>
          <w:sz w:val="28"/>
        </w:rPr>
        <w:t>Иными словами, в компании присутствуют базовые элементы мотивации: оплата труда, премии, социальный пакет, наставничество, обучение, коллективный договор и корпоративные мероприятия. Однако из изученных материалов видно, что значительная часть стимулов носит общий или событийный характер. Работник получает социальные гарантии при наступлении определенных жизненных обстоятельств, имеет право на обучение, может быть участником корпоративных мероприятий, но не всегда очевидно, как именно его ежедневная инициативность, качество обслуживания, снижение ошибок, участие в улучшении процессов или наставнический вклад преобразуются в конкретное признание.</w:t>
      </w:r>
    </w:p>
    <w:p>
      <w:pPr>
        <w:spacing w:line="360" w:lineRule="auto"/>
        <w:ind w:firstLine="709"/>
        <w:jc w:val="both"/>
      </w:pPr>
      <w:r>
        <w:rPr>
          <w:rFonts w:ascii="Times New Roman" w:hAnsi="Times New Roman" w:eastAsia="Times New Roman"/>
          <w:sz w:val="28"/>
        </w:rPr>
        <w:t>Эта проблема особенно важна для энергосбытовой организации по нескольким причинам.</w:t>
      </w:r>
    </w:p>
    <w:p>
      <w:pPr>
        <w:spacing w:line="360" w:lineRule="auto"/>
        <w:ind w:firstLine="709"/>
        <w:jc w:val="both"/>
      </w:pPr>
      <w:r>
        <w:rPr>
          <w:rFonts w:ascii="Times New Roman" w:hAnsi="Times New Roman" w:eastAsia="Times New Roman"/>
          <w:sz w:val="28"/>
        </w:rPr>
        <w:t>Во-первых, многие результаты труда имеют качественный характер. Например, специалист по работе с потребителями может предотвратить конфликт, грамотно объяснить начисление, снизить количество повторных обращений, повысить доверие клиента. Такие результаты сложно измерить только объемными показателями.</w:t>
      </w:r>
    </w:p>
    <w:p>
      <w:pPr>
        <w:spacing w:line="360" w:lineRule="auto"/>
        <w:ind w:firstLine="709"/>
        <w:jc w:val="both"/>
      </w:pPr>
      <w:r>
        <w:rPr>
          <w:rFonts w:ascii="Times New Roman" w:hAnsi="Times New Roman" w:eastAsia="Times New Roman"/>
          <w:sz w:val="28"/>
        </w:rPr>
        <w:t>Во-вторых, работа с задолженностью, обращениями и расчетами часто эмоционально напряженная. Если работник не чувствует признания и справедливой оценки, даже стабильная заработная плата и социальный пакет могут не компенсировать нагрузку.</w:t>
      </w:r>
    </w:p>
    <w:p>
      <w:pPr>
        <w:spacing w:line="360" w:lineRule="auto"/>
        <w:ind w:firstLine="709"/>
        <w:jc w:val="both"/>
      </w:pPr>
      <w:r>
        <w:rPr>
          <w:rFonts w:ascii="Times New Roman" w:hAnsi="Times New Roman" w:eastAsia="Times New Roman"/>
          <w:sz w:val="28"/>
        </w:rPr>
        <w:t>В-третьих, молодые специалисты и сотрудники с высоким потенциалом обычно ожидают не только стабильности, но и понятной профессиональной траектории. Если карьерные возможности, участие в проектах и признание инициатив не описаны достаточно прозрачно, такие работники могут рассматривать внешние предложения.</w:t>
      </w:r>
    </w:p>
    <w:p>
      <w:pPr>
        <w:spacing w:line="360" w:lineRule="auto"/>
        <w:ind w:firstLine="709"/>
        <w:jc w:val="both"/>
      </w:pPr>
      <w:r>
        <w:rPr>
          <w:rFonts w:ascii="Times New Roman" w:hAnsi="Times New Roman" w:eastAsia="Times New Roman"/>
          <w:sz w:val="28"/>
        </w:rPr>
        <w:t>В-четвертых, территориальные отделения могут находиться в разных условиях рынка труда. Там, где конкуренция за специалистов выше или где сложнее закрывать вакансии, общая мотивационная система может требовать более гибкого применения.</w:t>
      </w:r>
    </w:p>
    <w:p>
      <w:pPr>
        <w:spacing w:line="360" w:lineRule="auto"/>
        <w:ind w:firstLine="709"/>
        <w:jc w:val="both"/>
      </w:pPr>
      <w:r>
        <w:rPr>
          <w:rFonts w:ascii="Times New Roman" w:hAnsi="Times New Roman" w:eastAsia="Times New Roman"/>
          <w:sz w:val="28"/>
        </w:rPr>
        <w:t>Проблема не означает, что система мотивации неэффективна в целом. Напротив, у компании есть сильная база: коллективный договор, социальный пакет, тарифно-премиальная система, наставничество, профсоюзное участие. Но именно потому, что базовая система уже сформирована, дальнейшее развитие мотивации должно быть связано с повышением адресности, прозрачности и управляемости стимулов. В рамках данной главы рекомендации не формулируются, однако выявленная проблема может быть использована как основа для последующей разработки мероприятий по совершенствованию мотивации персонала.</w:t>
      </w:r>
    </w:p>
    <w:p>
      <w:pPr>
        <w:spacing w:line="360" w:lineRule="auto"/>
        <w:ind w:firstLine="709"/>
        <w:jc w:val="both"/>
      </w:pPr>
      <w:r>
        <w:rPr>
          <w:rFonts w:ascii="Times New Roman" w:hAnsi="Times New Roman" w:eastAsia="Times New Roman"/>
          <w:sz w:val="28"/>
        </w:rPr>
        <w:t>Итоговая оценка мотивационной системы представлена в таблице 14.</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Критерий оценки</w:t>
            </w:r>
          </w:p>
        </w:tc>
        <w:tc>
          <w:tcPr>
            <w:tcW w:type="dxa" w:w="3230"/>
            <w:vAlign w:val="center"/>
            <w:shd w:fill="D9EAF7"/>
          </w:tcPr>
          <w:p>
            <w:pPr>
              <w:spacing w:line="240" w:lineRule="auto"/>
              <w:jc w:val="center"/>
            </w:pPr>
            <w:r>
              <w:rPr>
                <w:rFonts w:ascii="Times New Roman" w:hAnsi="Times New Roman" w:eastAsia="Times New Roman"/>
                <w:b/>
                <w:sz w:val="20"/>
              </w:rPr>
              <w:t>Текущий уровень по результатам анализа</w:t>
            </w:r>
          </w:p>
        </w:tc>
        <w:tc>
          <w:tcPr>
            <w:tcW w:type="dxa" w:w="3230"/>
            <w:vAlign w:val="center"/>
            <w:shd w:fill="D9EAF7"/>
          </w:tcPr>
          <w:p>
            <w:pPr>
              <w:spacing w:line="240" w:lineRule="auto"/>
              <w:jc w:val="center"/>
            </w:pPr>
            <w:r>
              <w:rPr>
                <w:rFonts w:ascii="Times New Roman" w:hAnsi="Times New Roman" w:eastAsia="Times New Roman"/>
                <w:b/>
                <w:sz w:val="20"/>
              </w:rPr>
              <w:t>Комментарий</w:t>
            </w:r>
          </w:p>
        </w:tc>
      </w:tr>
      <w:tr>
        <w:tc>
          <w:tcPr>
            <w:tcW w:type="dxa" w:w="3230"/>
            <w:vAlign w:val="center"/>
          </w:tcPr>
          <w:p>
            <w:pPr>
              <w:spacing w:line="240" w:lineRule="auto"/>
              <w:jc w:val="left"/>
            </w:pPr>
            <w:r>
              <w:rPr>
                <w:rFonts w:ascii="Times New Roman" w:hAnsi="Times New Roman" w:eastAsia="Times New Roman"/>
                <w:b w:val="0"/>
                <w:sz w:val="20"/>
              </w:rPr>
              <w:t>Наличие нормативной базы</w:t>
            </w:r>
          </w:p>
        </w:tc>
        <w:tc>
          <w:tcPr>
            <w:tcW w:type="dxa" w:w="3230"/>
            <w:vAlign w:val="center"/>
          </w:tcPr>
          <w:p>
            <w:pPr>
              <w:spacing w:line="240" w:lineRule="auto"/>
              <w:jc w:val="left"/>
            </w:pPr>
            <w:r>
              <w:rPr>
                <w:rFonts w:ascii="Times New Roman" w:hAnsi="Times New Roman" w:eastAsia="Times New Roman"/>
                <w:b w:val="0"/>
                <w:sz w:val="20"/>
              </w:rPr>
              <w:t>Высокий</w:t>
            </w:r>
          </w:p>
        </w:tc>
        <w:tc>
          <w:tcPr>
            <w:tcW w:type="dxa" w:w="3230"/>
            <w:vAlign w:val="center"/>
          </w:tcPr>
          <w:p>
            <w:pPr>
              <w:spacing w:line="240" w:lineRule="auto"/>
              <w:jc w:val="left"/>
            </w:pPr>
            <w:r>
              <w:rPr>
                <w:rFonts w:ascii="Times New Roman" w:hAnsi="Times New Roman" w:eastAsia="Times New Roman"/>
                <w:b w:val="0"/>
                <w:sz w:val="20"/>
              </w:rPr>
              <w:t>Коллективный договор, ПВТР, положения и регламенты</w:t>
            </w:r>
          </w:p>
        </w:tc>
      </w:tr>
      <w:tr>
        <w:tc>
          <w:tcPr>
            <w:tcW w:type="dxa" w:w="3230"/>
            <w:vAlign w:val="center"/>
          </w:tcPr>
          <w:p>
            <w:pPr>
              <w:spacing w:line="240" w:lineRule="auto"/>
              <w:jc w:val="left"/>
            </w:pPr>
            <w:r>
              <w:rPr>
                <w:rFonts w:ascii="Times New Roman" w:hAnsi="Times New Roman" w:eastAsia="Times New Roman"/>
                <w:b w:val="0"/>
                <w:sz w:val="20"/>
              </w:rPr>
              <w:t>Материальная мотивация</w:t>
            </w:r>
          </w:p>
        </w:tc>
        <w:tc>
          <w:tcPr>
            <w:tcW w:type="dxa" w:w="3230"/>
            <w:vAlign w:val="center"/>
          </w:tcPr>
          <w:p>
            <w:pPr>
              <w:spacing w:line="240" w:lineRule="auto"/>
              <w:jc w:val="left"/>
            </w:pPr>
            <w:r>
              <w:rPr>
                <w:rFonts w:ascii="Times New Roman" w:hAnsi="Times New Roman" w:eastAsia="Times New Roman"/>
                <w:b w:val="0"/>
                <w:sz w:val="20"/>
              </w:rPr>
              <w:t>Достаточный</w:t>
            </w:r>
          </w:p>
        </w:tc>
        <w:tc>
          <w:tcPr>
            <w:tcW w:type="dxa" w:w="3230"/>
            <w:vAlign w:val="center"/>
          </w:tcPr>
          <w:p>
            <w:pPr>
              <w:spacing w:line="240" w:lineRule="auto"/>
              <w:jc w:val="left"/>
            </w:pPr>
            <w:r>
              <w:rPr>
                <w:rFonts w:ascii="Times New Roman" w:hAnsi="Times New Roman" w:eastAsia="Times New Roman"/>
                <w:b w:val="0"/>
                <w:sz w:val="20"/>
              </w:rPr>
              <w:t>Есть тарифно-премиальная система и стимулирующие выплаты</w:t>
            </w:r>
          </w:p>
        </w:tc>
      </w:tr>
      <w:tr>
        <w:tc>
          <w:tcPr>
            <w:tcW w:type="dxa" w:w="3230"/>
            <w:vAlign w:val="center"/>
          </w:tcPr>
          <w:p>
            <w:pPr>
              <w:spacing w:line="240" w:lineRule="auto"/>
              <w:jc w:val="left"/>
            </w:pPr>
            <w:r>
              <w:rPr>
                <w:rFonts w:ascii="Times New Roman" w:hAnsi="Times New Roman" w:eastAsia="Times New Roman"/>
                <w:b w:val="0"/>
                <w:sz w:val="20"/>
              </w:rPr>
              <w:t>Социальная поддержка</w:t>
            </w:r>
          </w:p>
        </w:tc>
        <w:tc>
          <w:tcPr>
            <w:tcW w:type="dxa" w:w="3230"/>
            <w:vAlign w:val="center"/>
          </w:tcPr>
          <w:p>
            <w:pPr>
              <w:spacing w:line="240" w:lineRule="auto"/>
              <w:jc w:val="left"/>
            </w:pPr>
            <w:r>
              <w:rPr>
                <w:rFonts w:ascii="Times New Roman" w:hAnsi="Times New Roman" w:eastAsia="Times New Roman"/>
                <w:b w:val="0"/>
                <w:sz w:val="20"/>
              </w:rPr>
              <w:t>Высокий</w:t>
            </w:r>
          </w:p>
        </w:tc>
        <w:tc>
          <w:tcPr>
            <w:tcW w:type="dxa" w:w="3230"/>
            <w:vAlign w:val="center"/>
          </w:tcPr>
          <w:p>
            <w:pPr>
              <w:spacing w:line="240" w:lineRule="auto"/>
              <w:jc w:val="left"/>
            </w:pPr>
            <w:r>
              <w:rPr>
                <w:rFonts w:ascii="Times New Roman" w:hAnsi="Times New Roman" w:eastAsia="Times New Roman"/>
                <w:b w:val="0"/>
                <w:sz w:val="20"/>
              </w:rPr>
              <w:t>Широкий набор гарантий и компенсаций</w:t>
            </w:r>
          </w:p>
        </w:tc>
      </w:tr>
      <w:tr>
        <w:tc>
          <w:tcPr>
            <w:tcW w:type="dxa" w:w="3230"/>
            <w:vAlign w:val="center"/>
          </w:tcPr>
          <w:p>
            <w:pPr>
              <w:spacing w:line="240" w:lineRule="auto"/>
              <w:jc w:val="left"/>
            </w:pPr>
            <w:r>
              <w:rPr>
                <w:rFonts w:ascii="Times New Roman" w:hAnsi="Times New Roman" w:eastAsia="Times New Roman"/>
                <w:b w:val="0"/>
                <w:sz w:val="20"/>
              </w:rPr>
              <w:t>Нематериальная мотивация</w:t>
            </w:r>
          </w:p>
        </w:tc>
        <w:tc>
          <w:tcPr>
            <w:tcW w:type="dxa" w:w="3230"/>
            <w:vAlign w:val="center"/>
          </w:tcPr>
          <w:p>
            <w:pPr>
              <w:spacing w:line="240" w:lineRule="auto"/>
              <w:jc w:val="left"/>
            </w:pPr>
            <w:r>
              <w:rPr>
                <w:rFonts w:ascii="Times New Roman" w:hAnsi="Times New Roman" w:eastAsia="Times New Roman"/>
                <w:b w:val="0"/>
                <w:sz w:val="20"/>
              </w:rPr>
              <w:t>Средний</w:t>
            </w:r>
          </w:p>
        </w:tc>
        <w:tc>
          <w:tcPr>
            <w:tcW w:type="dxa" w:w="3230"/>
            <w:vAlign w:val="center"/>
          </w:tcPr>
          <w:p>
            <w:pPr>
              <w:spacing w:line="240" w:lineRule="auto"/>
              <w:jc w:val="left"/>
            </w:pPr>
            <w:r>
              <w:rPr>
                <w:rFonts w:ascii="Times New Roman" w:hAnsi="Times New Roman" w:eastAsia="Times New Roman"/>
                <w:b w:val="0"/>
                <w:sz w:val="20"/>
              </w:rPr>
              <w:t>Есть корпоративные элементы, но система признания описана ограниченно</w:t>
            </w:r>
          </w:p>
        </w:tc>
      </w:tr>
      <w:tr>
        <w:tc>
          <w:tcPr>
            <w:tcW w:type="dxa" w:w="3230"/>
            <w:vAlign w:val="center"/>
          </w:tcPr>
          <w:p>
            <w:pPr>
              <w:spacing w:line="240" w:lineRule="auto"/>
              <w:jc w:val="left"/>
            </w:pPr>
            <w:r>
              <w:rPr>
                <w:rFonts w:ascii="Times New Roman" w:hAnsi="Times New Roman" w:eastAsia="Times New Roman"/>
                <w:b w:val="0"/>
                <w:sz w:val="20"/>
              </w:rPr>
              <w:t>Мотивация молодых работников</w:t>
            </w:r>
          </w:p>
        </w:tc>
        <w:tc>
          <w:tcPr>
            <w:tcW w:type="dxa" w:w="3230"/>
            <w:vAlign w:val="center"/>
          </w:tcPr>
          <w:p>
            <w:pPr>
              <w:spacing w:line="240" w:lineRule="auto"/>
              <w:jc w:val="left"/>
            </w:pPr>
            <w:r>
              <w:rPr>
                <w:rFonts w:ascii="Times New Roman" w:hAnsi="Times New Roman" w:eastAsia="Times New Roman"/>
                <w:b w:val="0"/>
                <w:sz w:val="20"/>
              </w:rPr>
              <w:t>Средний</w:t>
            </w:r>
          </w:p>
        </w:tc>
        <w:tc>
          <w:tcPr>
            <w:tcW w:type="dxa" w:w="3230"/>
            <w:vAlign w:val="center"/>
          </w:tcPr>
          <w:p>
            <w:pPr>
              <w:spacing w:line="240" w:lineRule="auto"/>
              <w:jc w:val="left"/>
            </w:pPr>
            <w:r>
              <w:rPr>
                <w:rFonts w:ascii="Times New Roman" w:hAnsi="Times New Roman" w:eastAsia="Times New Roman"/>
                <w:b w:val="0"/>
                <w:sz w:val="20"/>
              </w:rPr>
              <w:t>Есть адаптация и наставничество, но карьерные траектории требуют детализации</w:t>
            </w:r>
          </w:p>
        </w:tc>
      </w:tr>
      <w:tr>
        <w:tc>
          <w:tcPr>
            <w:tcW w:type="dxa" w:w="3230"/>
            <w:vAlign w:val="center"/>
          </w:tcPr>
          <w:p>
            <w:pPr>
              <w:spacing w:line="240" w:lineRule="auto"/>
              <w:jc w:val="left"/>
            </w:pPr>
            <w:r>
              <w:rPr>
                <w:rFonts w:ascii="Times New Roman" w:hAnsi="Times New Roman" w:eastAsia="Times New Roman"/>
                <w:b w:val="0"/>
                <w:sz w:val="20"/>
              </w:rPr>
              <w:t>Прозрачность индивидуального вклада</w:t>
            </w:r>
          </w:p>
        </w:tc>
        <w:tc>
          <w:tcPr>
            <w:tcW w:type="dxa" w:w="3230"/>
            <w:vAlign w:val="center"/>
          </w:tcPr>
          <w:p>
            <w:pPr>
              <w:spacing w:line="240" w:lineRule="auto"/>
              <w:jc w:val="left"/>
            </w:pPr>
            <w:r>
              <w:rPr>
                <w:rFonts w:ascii="Times New Roman" w:hAnsi="Times New Roman" w:eastAsia="Times New Roman"/>
                <w:b w:val="0"/>
                <w:sz w:val="20"/>
              </w:rPr>
              <w:t>Средний / недостаточный</w:t>
            </w:r>
          </w:p>
        </w:tc>
        <w:tc>
          <w:tcPr>
            <w:tcW w:type="dxa" w:w="3230"/>
            <w:vAlign w:val="center"/>
          </w:tcPr>
          <w:p>
            <w:pPr>
              <w:spacing w:line="240" w:lineRule="auto"/>
              <w:jc w:val="left"/>
            </w:pPr>
            <w:r>
              <w:rPr>
                <w:rFonts w:ascii="Times New Roman" w:hAnsi="Times New Roman" w:eastAsia="Times New Roman"/>
                <w:b w:val="0"/>
                <w:sz w:val="20"/>
              </w:rPr>
              <w:t>Из документов не видна полная система индивидуальных KPI</w:t>
            </w:r>
          </w:p>
        </w:tc>
      </w:tr>
      <w:tr>
        <w:tc>
          <w:tcPr>
            <w:tcW w:type="dxa" w:w="3230"/>
            <w:vAlign w:val="center"/>
          </w:tcPr>
          <w:p>
            <w:pPr>
              <w:spacing w:line="240" w:lineRule="auto"/>
              <w:jc w:val="left"/>
            </w:pPr>
            <w:r>
              <w:rPr>
                <w:rFonts w:ascii="Times New Roman" w:hAnsi="Times New Roman" w:eastAsia="Times New Roman"/>
                <w:b w:val="0"/>
                <w:sz w:val="20"/>
              </w:rPr>
              <w:t>Удержание персонала</w:t>
            </w:r>
          </w:p>
        </w:tc>
        <w:tc>
          <w:tcPr>
            <w:tcW w:type="dxa" w:w="3230"/>
            <w:vAlign w:val="center"/>
          </w:tcPr>
          <w:p>
            <w:pPr>
              <w:spacing w:line="240" w:lineRule="auto"/>
              <w:jc w:val="left"/>
            </w:pPr>
            <w:r>
              <w:rPr>
                <w:rFonts w:ascii="Times New Roman" w:hAnsi="Times New Roman" w:eastAsia="Times New Roman"/>
                <w:b w:val="0"/>
                <w:sz w:val="20"/>
              </w:rPr>
              <w:t>Требует наблюдения</w:t>
            </w:r>
          </w:p>
        </w:tc>
        <w:tc>
          <w:tcPr>
            <w:tcW w:type="dxa" w:w="3230"/>
            <w:vAlign w:val="center"/>
          </w:tcPr>
          <w:p>
            <w:pPr>
              <w:spacing w:line="240" w:lineRule="auto"/>
              <w:jc w:val="left"/>
            </w:pPr>
            <w:r>
              <w:rPr>
                <w:rFonts w:ascii="Times New Roman" w:hAnsi="Times New Roman" w:eastAsia="Times New Roman"/>
                <w:b w:val="0"/>
                <w:sz w:val="20"/>
              </w:rPr>
              <w:t>В марте 2026 года увольнения превысили прием</w:t>
            </w:r>
          </w:p>
        </w:tc>
      </w:tr>
      <w:tr>
        <w:tc>
          <w:tcPr>
            <w:tcW w:type="dxa" w:w="3230"/>
            <w:vAlign w:val="center"/>
          </w:tcPr>
          <w:p>
            <w:pPr>
              <w:spacing w:line="240" w:lineRule="auto"/>
              <w:jc w:val="left"/>
            </w:pPr>
            <w:r>
              <w:rPr>
                <w:rFonts w:ascii="Times New Roman" w:hAnsi="Times New Roman" w:eastAsia="Times New Roman"/>
                <w:b w:val="0"/>
                <w:sz w:val="20"/>
              </w:rPr>
              <w:t>Связь мотивации с финансовым состоянием</w:t>
            </w:r>
          </w:p>
        </w:tc>
        <w:tc>
          <w:tcPr>
            <w:tcW w:type="dxa" w:w="3230"/>
            <w:vAlign w:val="center"/>
          </w:tcPr>
          <w:p>
            <w:pPr>
              <w:spacing w:line="240" w:lineRule="auto"/>
              <w:jc w:val="left"/>
            </w:pPr>
            <w:r>
              <w:rPr>
                <w:rFonts w:ascii="Times New Roman" w:hAnsi="Times New Roman" w:eastAsia="Times New Roman"/>
                <w:b w:val="0"/>
                <w:sz w:val="20"/>
              </w:rPr>
              <w:t>Высокая зависимость</w:t>
            </w:r>
          </w:p>
        </w:tc>
        <w:tc>
          <w:tcPr>
            <w:tcW w:type="dxa" w:w="3230"/>
            <w:vAlign w:val="center"/>
          </w:tcPr>
          <w:p>
            <w:pPr>
              <w:spacing w:line="240" w:lineRule="auto"/>
              <w:jc w:val="left"/>
            </w:pPr>
            <w:r>
              <w:rPr>
                <w:rFonts w:ascii="Times New Roman" w:hAnsi="Times New Roman" w:eastAsia="Times New Roman"/>
                <w:b w:val="0"/>
                <w:sz w:val="20"/>
              </w:rPr>
              <w:t>Часть мер реализуется при наличии финансовой возможности</w:t>
            </w:r>
          </w:p>
        </w:tc>
      </w:tr>
    </w:tbl>
    <w:p/>
    <w:p>
      <w:pPr>
        <w:spacing w:line="360" w:lineRule="auto"/>
        <w:ind w:firstLine="709"/>
        <w:jc w:val="both"/>
      </w:pPr>
      <w:r>
        <w:rPr>
          <w:rFonts w:ascii="Times New Roman" w:hAnsi="Times New Roman" w:eastAsia="Times New Roman"/>
          <w:sz w:val="28"/>
        </w:rPr>
        <w:t>Таблица 14 - Итоговая оценка системы мотивации ПАО «ТНС энерго НН»</w:t>
      </w:r>
    </w:p>
    <w:p>
      <w:pPr>
        <w:spacing w:line="360" w:lineRule="auto"/>
        <w:ind w:firstLine="709"/>
        <w:jc w:val="both"/>
      </w:pPr>
      <w:r>
        <w:rPr>
          <w:rFonts w:ascii="Times New Roman" w:hAnsi="Times New Roman" w:eastAsia="Times New Roman"/>
          <w:sz w:val="28"/>
        </w:rPr>
        <w:t>Таким образом, система мотивации ПАО «ТНС энерго НН» является достаточно развитой и социально ориентированной. Она обеспечивает работникам стабильность, гарантии, регламентированную оплату труда и поддержку в значимых жизненных ситуациях. Основное ограничение состоит не в отсутствии мотивации, а в недостаточной адресности и прозрачности связи между индивидуальным вкладом работника, профессиональным ростом, признанием и вознаграждением. Эта проблема особенно актуальна в условиях отрицательного сальдо движения персонала и необходимости удерживать квалифицированные кадры в территориально распределенной энергосбытовой компании.</w:t>
      </w:r>
    </w:p>
    <w:p>
      <w:pPr>
        <w:pStyle w:val="Heading2"/>
      </w:pPr>
      <w:r>
        <w:t>Заключение</w:t>
      </w:r>
    </w:p>
    <w:p>
      <w:pPr>
        <w:spacing w:line="360" w:lineRule="auto"/>
        <w:ind w:firstLine="709"/>
        <w:jc w:val="both"/>
      </w:pPr>
      <w:r>
        <w:rPr>
          <w:rFonts w:ascii="Times New Roman" w:hAnsi="Times New Roman" w:eastAsia="Times New Roman"/>
          <w:sz w:val="28"/>
        </w:rPr>
        <w:t>В ходе преддипломной практики была рассмотрена деятельность ПАО «ТНС энерго Нижний Новгород» как крупной региональной энергосбытовой организации, выполняющей функции гарантирующего поставщика электроэнергии на территории Нижегородской области. Компания имеет публичный статус, входит в группу компаний «ТНС энерго», работает с населением, коммерческими организациями и иными потребителями, а также обеспечивает широкий комплекс расчетных, клиентских, правовых, финансовых и информационно-технологических процессов.</w:t>
      </w:r>
    </w:p>
    <w:p>
      <w:pPr>
        <w:spacing w:line="360" w:lineRule="auto"/>
        <w:ind w:firstLine="709"/>
        <w:jc w:val="both"/>
      </w:pPr>
      <w:r>
        <w:rPr>
          <w:rFonts w:ascii="Times New Roman" w:hAnsi="Times New Roman" w:eastAsia="Times New Roman"/>
          <w:sz w:val="28"/>
        </w:rPr>
        <w:t>В первой главе была дана общая характеристика предприятия, определены основные виды деятельности по ОКВЭД и рассмотрена организационно-управленческая структура. Основным видом деятельности компании является торговля электроэнергией по ОКВЭД 35.14. Дополнительные виды деятельности связаны с распределением электроэнергии, обслуживанием оборудования, управленческим консультированием и коммуникационными функциями. Анализ организационной структуры показал, что ПАО «ТНС энерго НН» использует линейно-функциональную модель управления с выделением ключевых направлений: экономика и финансы, реализация электроэнергии, работа с потребителями, правовое сопровождение, безопасность, системы учета, информационные технологии, управление персоналом и территориальные отделения.</w:t>
      </w:r>
    </w:p>
    <w:p>
      <w:pPr>
        <w:spacing w:line="360" w:lineRule="auto"/>
        <w:ind w:firstLine="709"/>
        <w:jc w:val="both"/>
      </w:pPr>
      <w:r>
        <w:rPr>
          <w:rFonts w:ascii="Times New Roman" w:hAnsi="Times New Roman" w:eastAsia="Times New Roman"/>
          <w:sz w:val="28"/>
        </w:rPr>
        <w:t>Финансовый анализ за 2023-2025 годы показал неоднозначную, но в целом улучшающуюся динамику. В 2025 году выручка выросла до 59,12 млрд руб., прибыль от продаж увеличилась, а чистый финансовый результат изменился с крупного убытка 2024 года на прибыль. Вместе с тем сохраняются ограничения, связанные с отрицательным собственным капиталом и значимостью дебиторской задолженности. Для кадровой политики это означает необходимость поддерживать баланс между экономической осторожностью и достаточным уровнем мотивации работников, поскольку качество персонала напрямую влияет на платежную дисциплину, клиентский сервис и устойчивость внутренних процессов.</w:t>
      </w:r>
    </w:p>
    <w:p>
      <w:pPr>
        <w:spacing w:line="360" w:lineRule="auto"/>
        <w:ind w:firstLine="709"/>
        <w:jc w:val="both"/>
      </w:pPr>
      <w:r>
        <w:rPr>
          <w:rFonts w:ascii="Times New Roman" w:hAnsi="Times New Roman" w:eastAsia="Times New Roman"/>
          <w:sz w:val="28"/>
        </w:rPr>
        <w:t>Во второй главе была проанализирована система управления персоналом предприятия. Установлено, что кадровая работа в ПАО «ТНС энерго НН» носит регламентированный и комплексный характер. Она включает подбор, прием, кадровое администрирование, организацию труда и оплаты, обучение, адаптацию, наставничество, социальную поддержку и взаимодействие с профсоюзной организацией. Важную роль играют коллективный договор на 2025-2027 годы, правила внутреннего трудового распорядка, регламент подбора персонала и положение об адаптации и наставничестве.</w:t>
      </w:r>
    </w:p>
    <w:p>
      <w:pPr>
        <w:spacing w:line="360" w:lineRule="auto"/>
        <w:ind w:firstLine="709"/>
        <w:jc w:val="both"/>
      </w:pPr>
      <w:r>
        <w:rPr>
          <w:rFonts w:ascii="Times New Roman" w:hAnsi="Times New Roman" w:eastAsia="Times New Roman"/>
          <w:sz w:val="28"/>
        </w:rPr>
        <w:t>Анализ движения персонала на март 2026 года показал, что в отчетном месяце было принято 9 работников, уволено 19 работников, коэффициент текучести составил 2,10%. При среднесписочной численности 901,8 человека и списочной численности 950 человек отрицательное сальдо движения персонала требует внимания со стороны HR-службы. Сам показатель за один месяц не позволяет говорить о критической ситуации, однако он указывает на необходимость системного анализа причин увольнений, особенно если подобная динамика повторяется.</w:t>
      </w:r>
    </w:p>
    <w:p>
      <w:pPr>
        <w:spacing w:line="360" w:lineRule="auto"/>
        <w:ind w:firstLine="709"/>
        <w:jc w:val="both"/>
      </w:pPr>
      <w:r>
        <w:rPr>
          <w:rFonts w:ascii="Times New Roman" w:hAnsi="Times New Roman" w:eastAsia="Times New Roman"/>
          <w:sz w:val="28"/>
        </w:rPr>
        <w:t>Отдельно была рассмотрена система подбора персонала. Компания использует внутренние и внешние источники поиска: внутренний портал, объявления на участках, ротацию персонала, центры занятости, социальные сети, учебные заведения, районные газеты и специализированные порталы трудоустройства. Существенное значение имеет hh.ru, где организация ежегодно публикует около 145 вакансий. Использование данного ресурса обосновано необходимостью оперативного закрытия вакансий и доступа к базе резюме.</w:t>
      </w:r>
    </w:p>
    <w:p>
      <w:pPr>
        <w:spacing w:line="360" w:lineRule="auto"/>
        <w:ind w:firstLine="709"/>
        <w:jc w:val="both"/>
      </w:pPr>
      <w:r>
        <w:rPr>
          <w:rFonts w:ascii="Times New Roman" w:hAnsi="Times New Roman" w:eastAsia="Times New Roman"/>
          <w:sz w:val="28"/>
        </w:rPr>
        <w:t>Адаптация и наставничество в компании выступают важными инструментами снижения текучести и передачи организационных знаний. Положение об адаптации и наставничестве предусматривает организационную, профессиональную и социально-психологическую адаптацию, индивидуальный план профессионального развития, ежемесячные и итоговые отчеты наставника, а также возможность доплаты наставнику до 20% должностного оклада. Наличие такой системы является сильной стороной управления персоналом, особенно с учетом территориальной распределенности подразделений.</w:t>
      </w:r>
    </w:p>
    <w:p>
      <w:pPr>
        <w:spacing w:line="360" w:lineRule="auto"/>
        <w:ind w:firstLine="709"/>
        <w:jc w:val="both"/>
      </w:pPr>
      <w:r>
        <w:rPr>
          <w:rFonts w:ascii="Times New Roman" w:hAnsi="Times New Roman" w:eastAsia="Times New Roman"/>
          <w:sz w:val="28"/>
        </w:rPr>
        <w:t>В третьей главе была подробно рассмотрена система мотивации сотрудников ПАО «ТНС энерго НН». Установлено, что она включает материальные, социальные, организационные и нематериальные стимулы. Материальная мотивация основана на тарифно-премиальной системе оплаты труда, премировании, доплатах, надбавках, индексации с учетом финансовых возможностей и выплатах наставникам. Социальная мотивация представлена широким набором гарантий: материальной помощью, выплатами при семейных обстоятельствах, компенсациями, дополнительными днями отдыха, поддержкой работников с детьми, юбилейными выплатами и помощью при выходе на пенсию.</w:t>
      </w:r>
    </w:p>
    <w:p>
      <w:pPr>
        <w:spacing w:line="360" w:lineRule="auto"/>
        <w:ind w:firstLine="709"/>
        <w:jc w:val="both"/>
      </w:pPr>
      <w:r>
        <w:rPr>
          <w:rFonts w:ascii="Times New Roman" w:hAnsi="Times New Roman" w:eastAsia="Times New Roman"/>
          <w:sz w:val="28"/>
        </w:rPr>
        <w:t>Нематериальная мотивация проявляется через корпоративные традиции, признание наставников, обучение, профессиональное развитие, социальное партнерство, участие в мероприятиях и поддержание благоприятного психологического климата. При этом анализ показал, что нематериальные стимулы описаны менее детально, чем материальные и социальные гарантии. В результате ключевой проблемой мотивационной системы определена недостаточная прозрачность индивидуальной связи между вкладом работника, качеством его работы, профессиональным развитием и получаемым вознаграждением или признанием.</w:t>
      </w:r>
    </w:p>
    <w:p>
      <w:pPr>
        <w:spacing w:line="360" w:lineRule="auto"/>
        <w:ind w:firstLine="709"/>
        <w:jc w:val="both"/>
      </w:pPr>
      <w:r>
        <w:rPr>
          <w:rFonts w:ascii="Times New Roman" w:hAnsi="Times New Roman" w:eastAsia="Times New Roman"/>
          <w:sz w:val="28"/>
        </w:rPr>
        <w:t>Итоговый вывод состоит в том, что ПАО «ТНС энерго НН» обладает развитой системой управления персоналом и достаточно широкой системой мотивации, основанной на локальных нормативных актах и социальном партнерстве. Сильными сторонами являются регламентированность кадровых процессов, наличие коллективного договора, развитый социальный пакет, система адаптации и наставничества, использование разных источников подбора и ориентация на профессиональное развитие работников. Основная зона дальнейшего анализа связана с повышением адресности мотивации, прозрачности критериев премирования и признания индивидуального вклада сотрудников. Данная проблема может быть использована как база для разработки практических рекомендаций в последующей части выпускной квалификационной работы.</w:t>
      </w:r>
    </w:p>
    <w:p>
      <w:pPr>
        <w:pStyle w:val="Heading2"/>
      </w:pPr>
      <w:r>
        <w:t>Список использованных источников</w:t>
      </w:r>
    </w:p>
    <w:p>
      <w:pPr>
        <w:pStyle w:val="ListNumber"/>
        <w:spacing w:line="360" w:lineRule="auto"/>
      </w:pPr>
      <w:r>
        <w:t>1. ПАО «ТНС энерго НН» - сведения о контрагенте, реквизиты, ОКВЭД и бухгалтерская отчетность за 2025 год. Т-Банк. URL: &lt;https://www.tbank.ru/business/contractor/legal/1055238038316/&gt;</w:t>
      </w:r>
    </w:p>
    <w:p>
      <w:pPr>
        <w:pStyle w:val="ListNumber"/>
        <w:spacing w:line="360" w:lineRule="auto"/>
      </w:pPr>
      <w:r>
        <w:t>2. Итоги 2025 г.: улучшение финансового результата на фоне снижения резервов. Блог Арсагеры, ПАО «ТНС энерго Нижний Новгород». URL: &lt;https://bf.arsagera.ru/energeticheskie_sbytovye_i_setevye_kompanii/nizhegorodskaya_sbytovaya_kompaniya/itogi-2025-g-ulucsenie-finansovogo-rezultata-na-fone-snizeniia-rezervov&gt;</w:t>
      </w:r>
    </w:p>
    <w:p>
      <w:pPr>
        <w:pStyle w:val="ListNumber"/>
        <w:spacing w:line="360" w:lineRule="auto"/>
      </w:pPr>
      <w:r>
        <w:t>3. Итоги 2024 г.: формирование резервов оставило результат в отрицательной зоне. Блог Арсагеры, ПАО «ТНС энерго Нижний Новгород». URL: &lt;https://bf.arsagera.ru/energeticheskie_sbytovye_i_setevye_kompanii/nizhegorodskaya_sbytovaya_kompaniya/itogi-2024-g-formirovanie-rezervov-ostavilo-rezultat-v-otricatelnoi-zone?page=1&gt;</w:t>
      </w:r>
    </w:p>
    <w:p>
      <w:pPr>
        <w:pStyle w:val="ListNumber"/>
        <w:spacing w:line="360" w:lineRule="auto"/>
      </w:pPr>
      <w:r>
        <w:t>4. Карточка ценной бумаги ПАО «ТНС энерго Нижний Новгород», Московская биржа. URL: &lt;https://www.moex.com/ru/listing/securities-cards.aspx?id=287&gt;</w:t>
      </w:r>
    </w:p>
    <w:p>
      <w:pPr>
        <w:pStyle w:val="ListNumber"/>
        <w:spacing w:line="360" w:lineRule="auto"/>
      </w:pPr>
      <w:r>
        <w:t>5. Официальный сайт ПАО «ТНС энерго Нижний Новгород». URL: &lt;https://nn.tns-e.ru/&gt;</w:t>
      </w:r>
    </w:p>
    <w:p>
      <w:pPr>
        <w:pStyle w:val="ListNumber"/>
        <w:spacing w:line="360" w:lineRule="auto"/>
      </w:pPr>
      <w:r>
        <w:t>6. Государственный информационный ресурс бухгалтерской отчетности ФНС России. URL: &lt;https://bo.nalog.gov.ru/&gt;</w:t>
      </w:r>
    </w:p>
    <w:p>
      <w:pPr>
        <w:pStyle w:val="ListNumber"/>
        <w:spacing w:line="360" w:lineRule="auto"/>
      </w:pPr>
      <w:r>
        <w:t>7. Сервис поиска работы и персонала hh.ru. URL: &lt;https://hh.ru/&gt;</w:t>
      </w:r>
    </w:p>
    <w:p>
      <w:pPr>
        <w:pStyle w:val="ListNumber"/>
        <w:spacing w:line="360" w:lineRule="auto"/>
      </w:pPr>
      <w:r>
        <w:t>8. Коллективный договор ПАО «ТНС энерго Нижний Новгород» на 2025-2027 годы. Файл `src/diplom/kd.docx`.</w:t>
      </w:r>
    </w:p>
    <w:p>
      <w:pPr>
        <w:pStyle w:val="ListNumber"/>
        <w:spacing w:line="360" w:lineRule="auto"/>
      </w:pPr>
      <w:r>
        <w:t>9. Правила внутреннего трудового распорядка для работников ПАО «ТНС энерго НН» с изменениями на 30.09.2021. Файл `src/diplom/PVTR_s_izmeneniami_na_30_09_2021.doc`.</w:t>
      </w:r>
    </w:p>
    <w:p>
      <w:pPr>
        <w:pStyle w:val="ListNumber"/>
        <w:spacing w:line="360" w:lineRule="auto"/>
      </w:pPr>
      <w:r>
        <w:t>10. Регламент подбора персонала ПАО «ТНС энерго НН». Файл `src/diplom/Prilozhenie_k_prikazu_Reglament_podbora_personala_v_PAO_TNS_energo_NN.docx`.</w:t>
      </w:r>
    </w:p>
    <w:p>
      <w:pPr>
        <w:pStyle w:val="ListNumber"/>
        <w:spacing w:line="360" w:lineRule="auto"/>
      </w:pPr>
      <w:r>
        <w:t>11. Положение об адаптации и наставничестве в ПАО ГК «ТНС энерго». Файл `src/diplom/Polozhenie_ob_adaptatsii_i_nastavnichestve.doc`.</w:t>
      </w:r>
    </w:p>
    <w:p>
      <w:pPr>
        <w:pStyle w:val="ListNumber"/>
        <w:spacing w:line="360" w:lineRule="auto"/>
      </w:pPr>
      <w:r>
        <w:t>12. Обоснование расходов ПАО «ТНС энерго НН» на услуги по информационному обеспечению подбора персонала. Файл `src/diplom/Obosnovanie.docx`.</w:t>
      </w:r>
    </w:p>
    <w:p>
      <w:pPr>
        <w:pStyle w:val="ListNumber"/>
        <w:spacing w:line="360" w:lineRule="auto"/>
      </w:pPr>
      <w:r>
        <w:t>13. Организационная структура ПАО «ТНС энерго НН». Файл `src/diplom/Organizatsionnaya_struktura.pdf`.</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