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F72DA">
      <w:pPr>
        <w:keepNext w:val="0"/>
        <w:keepLines w:val="0"/>
        <w:pageBreakBefore w:val="0"/>
        <w:widowControl/>
        <w:kinsoku/>
        <w:wordWrap/>
        <w:overflowPunct/>
        <w:topLinePunct w:val="0"/>
        <w:autoSpaceDE/>
        <w:autoSpaceDN/>
        <w:bidi w:val="0"/>
        <w:adjustRightInd/>
        <w:snapToGrid/>
        <w:spacing w:line="360" w:lineRule="auto"/>
        <w:ind w:firstLine="351" w:firstLineChars="125"/>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СОДЕРЖАНИЕ</w:t>
      </w:r>
    </w:p>
    <w:p w14:paraId="3DD40F19">
      <w:pPr>
        <w:keepNext w:val="0"/>
        <w:keepLines w:val="0"/>
        <w:pageBreakBefore w:val="0"/>
        <w:widowControl/>
        <w:tabs>
          <w:tab w:val="right" w:pos="9000"/>
        </w:tabs>
        <w:kinsoku/>
        <w:wordWrap/>
        <w:overflowPunct/>
        <w:topLinePunct w:val="0"/>
        <w:autoSpaceDE/>
        <w:autoSpaceDN/>
        <w:bidi w:val="0"/>
        <w:adjustRightInd/>
        <w:snapToGrid/>
        <w:spacing w:line="276" w:lineRule="auto"/>
        <w:ind w:firstLine="0" w:firstLineChars="0"/>
        <w:jc w:val="both"/>
        <w:textAlignment w:val="auto"/>
        <w:rPr>
          <w:rFonts w:hint="default" w:ascii="Times New Roman" w:hAnsi="Times New Roman"/>
          <w:b/>
          <w:bCs/>
          <w:sz w:val="28"/>
          <w:szCs w:val="28"/>
          <w:lang w:val="ru-RU"/>
        </w:rPr>
      </w:pPr>
    </w:p>
    <w:p w14:paraId="5F93D09D">
      <w:pPr>
        <w:keepNext w:val="0"/>
        <w:keepLines w:val="0"/>
        <w:pageBreakBefore w:val="0"/>
        <w:widowControl/>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ВВЕДЕНИЕ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..........................................................................................................5</w:t>
      </w:r>
    </w:p>
    <w:p w14:paraId="4D44C499">
      <w:pPr>
        <w:keepNext w:val="0"/>
        <w:keepLines w:val="0"/>
        <w:pageBreakBefore w:val="0"/>
        <w:widowControl/>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ГЛАВА 1. </w:t>
      </w:r>
      <w:r>
        <w:rPr>
          <w:rFonts w:hint="default" w:ascii="Times New Roman" w:hAnsi="Times New Roman"/>
          <w:b w:val="0"/>
          <w:bCs w:val="0"/>
          <w:sz w:val="28"/>
          <w:szCs w:val="28"/>
        </w:rPr>
        <w:t xml:space="preserve"> ТЕОРЕТИЧЕСКИЕ ОСНОВЫ ОБУЧЕНИЯ И РАЗВИТИЯ ТЕНДЕРНЫХ СПЕЦИАЛИСТОВ</w:t>
      </w:r>
      <w:r>
        <w:rPr>
          <w:rFonts w:hint="default" w:ascii="Times New Roman" w:hAnsi="Times New Roman"/>
          <w:b w:val="0"/>
          <w:bCs w:val="0"/>
          <w:sz w:val="28"/>
          <w:szCs w:val="28"/>
          <w:lang w:val="ru-RU"/>
        </w:rPr>
        <w:t>.................................................................</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7</w:t>
      </w:r>
    </w:p>
    <w:p w14:paraId="5AFD2EBB">
      <w:pPr>
        <w:keepNext w:val="0"/>
        <w:keepLines w:val="0"/>
        <w:pageBreakBefore w:val="0"/>
        <w:widowControl/>
        <w:numPr>
          <w:ilvl w:val="-2"/>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1.1. Роль и значение обучения персонала в системе управления организацией....................................................................................................</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7</w:t>
      </w:r>
    </w:p>
    <w:p w14:paraId="4CB8F8EB">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1.2. Специфика профессиональных компетенций  тендерных специалистов и современные подходы к их развитию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15</w:t>
      </w:r>
    </w:p>
    <w:p w14:paraId="2B281192">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1.3. Методологические подходы к оценке эффективности обучения тендерных специалистов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20</w:t>
      </w:r>
    </w:p>
    <w:p w14:paraId="661DD75C">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Выводы по первой главе..................................................................................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21</w:t>
      </w:r>
    </w:p>
    <w:p w14:paraId="73672D99">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ГЛАВА 2. АНАЛИЗ СИСТЕМЫ ОБУЧЕНИЯ И РАЗВИТИЯ ТЕНДЕРНЫХ СПЕЦИАЛИСТОВ ООО «ЛАЙФ МЕДИА».....................</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23</w:t>
      </w:r>
    </w:p>
    <w:p w14:paraId="00A40495">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2.1. Общая характеристика ООО «Лайф Медиа» и структуры закупочной деятельности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..23</w:t>
      </w:r>
      <w:r>
        <w:rPr>
          <w:rFonts w:hint="default" w:ascii="Times New Roman" w:hAnsi="Times New Roman"/>
          <w:b w:val="0"/>
          <w:bCs w:val="0"/>
          <w:sz w:val="28"/>
          <w:szCs w:val="28"/>
          <w:lang w:val="ru-RU"/>
        </w:rPr>
        <w:tab/>
      </w:r>
    </w:p>
    <w:p w14:paraId="7AB6EDA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2.2. Анализ системы управления персоналом ООО «Лайф Медиа»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256C1E5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2.3 Оценка эффективности текущей системы обучения и выявление проблем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572FC407">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Выводы по второй главе..................................................................................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0805F5AD">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ГЛАВА 3. СОВЕРШЕНСТВОВАНИЕ СИСТЕМЫ ОБУЧЕНИЯ И РАЗВИТИЯ ТЕНДЕРНЫХ СПЕЦИАЛИСТОВ ООО «ЛАЙФ МЕДИА».........................................................................................................</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7E210436">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3.1. Разработка комплекса мероприятий по совершенствованию системы обучения..........................................................................................................</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 xml:space="preserve">00 </w:t>
      </w:r>
    </w:p>
    <w:p w14:paraId="112B8D19">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3.2. Формирование модели компетенций и внедрение программ профессиональной переподготовки.............................................................</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 xml:space="preserve">00 </w:t>
      </w:r>
    </w:p>
    <w:p w14:paraId="533D2CCE">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3.3. Оценка социально-экономической эффективности предложенных мероприятий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7F21A654">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Выводы по третьей главе................................................................................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2060470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ЗАКЛЮЧЕНИЕ...............................................................................................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001C0BCD">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Список используемой литературы.................................................................</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4DC1787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ПРИЛОЖЕНИЯ...............................................................................................</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0B9CAEF4">
      <w:pPr>
        <w:keepNext w:val="0"/>
        <w:keepLines w:val="0"/>
        <w:pageBreakBefore w:val="0"/>
        <w:widowControl/>
        <w:kinsoku/>
        <w:wordWrap/>
        <w:overflowPunct/>
        <w:topLinePunct w:val="0"/>
        <w:autoSpaceDE/>
        <w:autoSpaceDN/>
        <w:bidi w:val="0"/>
        <w:adjustRightInd/>
        <w:snapToGrid/>
        <w:spacing w:line="276" w:lineRule="auto"/>
        <w:ind w:right="200" w:rightChars="100" w:firstLine="0" w:firstLineChars="0"/>
        <w:jc w:val="both"/>
        <w:textAlignment w:val="auto"/>
        <w:rPr>
          <w:rFonts w:hint="default" w:ascii="Times New Roman" w:hAnsi="Times New Roman"/>
          <w:b w:val="0"/>
          <w:bCs w:val="0"/>
          <w:sz w:val="28"/>
          <w:szCs w:val="28"/>
          <w:lang w:val="ru-RU"/>
        </w:rPr>
      </w:pPr>
    </w:p>
    <w:p w14:paraId="0A21C685">
      <w:pPr>
        <w:keepNext w:val="0"/>
        <w:keepLines w:val="0"/>
        <w:pageBreakBefore w:val="0"/>
        <w:widowControl/>
        <w:kinsoku/>
        <w:wordWrap/>
        <w:overflowPunct/>
        <w:topLinePunct w:val="0"/>
        <w:autoSpaceDE/>
        <w:autoSpaceDN/>
        <w:bidi w:val="0"/>
        <w:adjustRightInd/>
        <w:snapToGrid/>
        <w:spacing w:line="240" w:lineRule="auto"/>
        <w:ind w:right="200" w:rightChars="100" w:firstLine="351" w:firstLineChars="125"/>
        <w:jc w:val="both"/>
        <w:textAlignment w:val="auto"/>
        <w:rPr>
          <w:rFonts w:hint="default" w:ascii="Times New Roman" w:hAnsi="Times New Roman"/>
          <w:b/>
          <w:bCs/>
          <w:sz w:val="28"/>
          <w:szCs w:val="28"/>
          <w:lang w:val="ru-RU"/>
        </w:rPr>
      </w:pPr>
    </w:p>
    <w:p>
      <w:pPr>
        <w:spacing w:line="360" w:lineRule="auto" w:after="120"/>
        <w:jc w:val="center"/>
      </w:pPr>
      <w:r>
        <w:rPr>
          <w:rFonts w:ascii="Times New Roman" w:hAnsi="Times New Roman"/>
          <w:b/>
          <w:sz w:val="28"/>
        </w:rPr>
        <w:t>ВВЕДЕНИЕ</w:t>
      </w:r>
    </w:p>
    <w:p>
      <w:pPr>
        <w:spacing w:line="360" w:lineRule="auto" w:after="120"/>
        <w:ind w:firstLine="700"/>
      </w:pPr>
      <w:r>
        <w:rPr>
          <w:rFonts w:ascii="Times New Roman" w:hAnsi="Times New Roman"/>
          <w:b w:val="0"/>
          <w:sz w:val="28"/>
        </w:rPr>
        <w:t>Актуальность темы выпускной квалификационной работы «Совершенствование системы обучения и развития тендерных специалистов» обусловлена возрастающей ролью закупочной деятельности в современной экономике. Для организаций, работающих с государственными и корпоративными заказчиками, участие в тендерах является не только способом получения контрактов, но и важным фактором конкурентоспособности. Результат закупочной процедуры зависит от качества анализа документации, правильности расчета цены, соблюдения требований 44-ФЗ и 223-ФЗ, умения работать с электронными торговыми площадками и своевременного оформления комплекта документов. Поэтому профессиональная подготовка тендерных специалистов непосредственно влияет на выручку, прибыль, деловую репутацию и устойчивость предприятия.</w:t>
      </w:r>
    </w:p>
    <w:p>
      <w:pPr>
        <w:spacing w:line="360" w:lineRule="auto" w:after="120"/>
        <w:ind w:firstLine="700"/>
      </w:pPr>
      <w:r>
        <w:rPr>
          <w:rFonts w:ascii="Times New Roman" w:hAnsi="Times New Roman"/>
          <w:b w:val="0"/>
          <w:sz w:val="28"/>
        </w:rPr>
        <w:t>Актуальность темы проявляется и в том, что сфера закупок постоянно изменяется. Законодательные требования обновляются, заказчики детализируют условия допуска, электронные площадки совершенствуют цифровые процедуры, а конкуренция за выгодные контракты усиливается. В таких условиях разовых обучающих мероприятий недостаточно. Организации необходима системная работа по развитию компетенций сотрудников: адаптация новых специалистов, регулярное обновление знаний, закрепление актуальных шаблонов, контроль качества заявок, разбор ошибок и оценка влияния обучения на результаты деятельности.</w:t>
      </w:r>
    </w:p>
    <w:p>
      <w:pPr>
        <w:spacing w:line="360" w:lineRule="auto" w:after="120"/>
        <w:ind w:firstLine="700"/>
      </w:pPr>
      <w:r>
        <w:rPr>
          <w:rFonts w:ascii="Times New Roman" w:hAnsi="Times New Roman"/>
          <w:b w:val="0"/>
          <w:sz w:val="28"/>
        </w:rPr>
        <w:t>Для ООО «Лайф Медиа» выбранная тема имеет прикладное значение. Компания специализируется на оптовых поставках техники и оборудования, работает на рынках B2B и B2G и активно участвует в государственных и корпоративных закупках. Тендерный отдел является одним из ключевых подразделений предприятия, так как именно он обеспечивает значительную часть выручки. При этом анализ деятельности компании показывает наличие проблем: часть заявок отклоняется на этапе допуска, сотрудники используют разрозненные материалы, обучение проводится эпизодически, а адаптация новых специалистов зависит преимущественно от устных пояснений руководителя и помощи коллег.</w:t>
      </w:r>
    </w:p>
    <w:p>
      <w:pPr>
        <w:spacing w:line="360" w:lineRule="auto" w:after="120"/>
        <w:ind w:firstLine="700"/>
      </w:pPr>
      <w:r>
        <w:rPr>
          <w:rFonts w:ascii="Times New Roman" w:hAnsi="Times New Roman"/>
          <w:b w:val="0"/>
          <w:sz w:val="28"/>
        </w:rPr>
        <w:t>Краткая характеристика предприятия подтверждает необходимость исследования. ООО «Лайф Медиа» относится к малому бизнесу, имеет линейно-функциональную структуру управления и использует преимущественно удаленный формат работы. Такой формат позволяет привлекать специалистов из разных регионов, но одновременно требует высокой цифровой дисциплины, единых стандартов подготовки документов и доступной базы знаний. Основная цель развития компании связана с повышением результативности участия в закупках, увеличением доли выигранных тендеров и расширением географии поставок. Достижение этих целей невозможно без совершенствования системы обучения и развития тендерных специалистов.</w:t>
      </w:r>
    </w:p>
    <w:p>
      <w:pPr>
        <w:spacing w:line="360" w:lineRule="auto" w:after="120"/>
        <w:ind w:firstLine="700"/>
      </w:pPr>
      <w:r>
        <w:rPr>
          <w:rFonts w:ascii="Times New Roman" w:hAnsi="Times New Roman"/>
          <w:sz w:val="28"/>
        </w:rPr>
        <w:t>Проблема совершенствования обучения тендерных специалистов имеет значение не только для кадровой службы, но и для всей системы управления предприятием. Если сотрудник недостаточно уверенно ориентируется в требованиях закупочной документации, использует устаревший шаблон или допускает техническую ошибку при загрузке файлов, компания теряет не учебный результат, а реальную коммерческую возможность. Поэтому развитие тендерных специалистов связано с управлением рисками, повышением качества внутренних процессов и укреплением конкурентных преимуществ организации.</w:t>
      </w:r>
    </w:p>
    <w:p>
      <w:pPr>
        <w:spacing w:line="360" w:lineRule="auto" w:after="120"/>
        <w:ind w:firstLine="700"/>
      </w:pPr>
      <w:r>
        <w:rPr>
          <w:rFonts w:ascii="Times New Roman" w:hAnsi="Times New Roman"/>
          <w:sz w:val="28"/>
        </w:rPr>
        <w:t>Особенность выбранной темы состоит в том, что обучение в сфере закупок должно быть максимально приближено к практической деятельности. Для тендерного отдела недостаточно общих лекций по управлению персоналом или разовых вебинаров по изменениям законодательства. Необходима система, в которой знания регулярно обновляются, ошибки фиксируются и превращаются в учебные кейсы, новые сотрудники проходят понятный адаптационный маршрут, а результаты обучения оцениваются через конкретные показатели: долю допущенных заявок, количество выигранных контрактов, снижение повторяющихся ошибок и экономический эффект для предприятия.</w:t>
      </w:r>
    </w:p>
    <w:p>
      <w:pPr>
        <w:spacing w:line="360" w:lineRule="auto" w:after="120"/>
        <w:ind w:firstLine="700"/>
      </w:pPr>
      <w:r>
        <w:rPr>
          <w:rFonts w:ascii="Times New Roman" w:hAnsi="Times New Roman"/>
          <w:b w:val="0"/>
          <w:sz w:val="28"/>
        </w:rPr>
        <w:t>Новизна темы заключается в рассмотрении обучения тендерных специалистов не как отдельного кадрового мероприятия, а как управляемой системы, связанной с бизнес-показателями предприятия. В работе обучение рассматривается через взаимосвязь адаптации, базы знаний, наставничества, чек-листов, реестра ошибок, внешнего повышения квалификации, KPI и оценки экономической эффективности. Такой подход позволяет перейти от фрагментарного обучения к целостному механизму повышения качества тендерной деятельности.</w:t>
      </w:r>
    </w:p>
    <w:p>
      <w:pPr>
        <w:spacing w:line="360" w:lineRule="auto" w:after="120"/>
        <w:ind w:firstLine="700"/>
      </w:pPr>
      <w:r>
        <w:rPr>
          <w:rFonts w:ascii="Times New Roman" w:hAnsi="Times New Roman"/>
          <w:b w:val="0"/>
          <w:sz w:val="28"/>
        </w:rPr>
        <w:t>Объектом выпускной квалификационной работы является система управления персоналом ООО «Лайф Медиа». Предметом исследования является система обучения и развития тендерных специалистов ООО «Лайф Медиа», включающая адаптацию, обновление профессиональных знаний, передачу опыта, контроль качества подготовки заявок и оценку эффективности обучающих мероприятий.</w:t>
      </w:r>
    </w:p>
    <w:p>
      <w:pPr>
        <w:spacing w:line="360" w:lineRule="auto" w:after="120"/>
        <w:ind w:firstLine="700"/>
      </w:pPr>
      <w:r>
        <w:rPr>
          <w:rFonts w:ascii="Times New Roman" w:hAnsi="Times New Roman"/>
          <w:b w:val="0"/>
          <w:sz w:val="28"/>
        </w:rPr>
        <w:t>Цель выпускной квалификационной работы состоит в выявлении проблем действующей системы обучения и развития тендерных специалистов ООО «Лайф Медиа», разработке и обосновании практических рекомендаций по ее совершенствованию, а также в оценке социально-экономической эффективности предлагаемых мероприятий.</w:t>
      </w:r>
    </w:p>
    <w:p>
      <w:pPr>
        <w:spacing w:line="360" w:lineRule="auto" w:after="120"/>
        <w:ind w:firstLine="700"/>
      </w:pPr>
      <w:r>
        <w:rPr>
          <w:rFonts w:ascii="Times New Roman" w:hAnsi="Times New Roman"/>
          <w:b w:val="0"/>
          <w:sz w:val="28"/>
        </w:rPr>
        <w:t>Для достижения поставленной цели необходимо решить следующие задачи:</w:t>
      </w:r>
    </w:p>
    <w:p>
      <w:pPr>
        <w:spacing w:line="360" w:lineRule="auto" w:after="120"/>
        <w:ind w:firstLine="700"/>
      </w:pPr>
      <w:r>
        <w:rPr>
          <w:rFonts w:ascii="Times New Roman" w:hAnsi="Times New Roman"/>
          <w:b w:val="0"/>
          <w:sz w:val="28"/>
        </w:rPr>
        <w:t>1. Рассмотреть теоретические основы обучения и развития персонала в системе управления организацией.</w:t>
      </w:r>
    </w:p>
    <w:p>
      <w:pPr>
        <w:spacing w:line="360" w:lineRule="auto" w:after="120"/>
        <w:ind w:firstLine="700"/>
      </w:pPr>
      <w:r>
        <w:rPr>
          <w:rFonts w:ascii="Times New Roman" w:hAnsi="Times New Roman"/>
          <w:b w:val="0"/>
          <w:sz w:val="28"/>
        </w:rPr>
        <w:t>2. Изучить специфику профессиональных компетенций тендерных специалистов и современные подходы к их развитию.</w:t>
      </w:r>
    </w:p>
    <w:p>
      <w:pPr>
        <w:spacing w:line="360" w:lineRule="auto" w:after="120"/>
        <w:ind w:firstLine="700"/>
      </w:pPr>
      <w:r>
        <w:rPr>
          <w:rFonts w:ascii="Times New Roman" w:hAnsi="Times New Roman"/>
          <w:b w:val="0"/>
          <w:sz w:val="28"/>
        </w:rPr>
        <w:t>3. Охарактеризовать ООО «Лайф Медиа», сферу его деятельности, структуру закупочной работы и роль тендерного отдела.</w:t>
      </w:r>
    </w:p>
    <w:p>
      <w:pPr>
        <w:spacing w:line="360" w:lineRule="auto" w:after="120"/>
        <w:ind w:firstLine="700"/>
      </w:pPr>
      <w:r>
        <w:rPr>
          <w:rFonts w:ascii="Times New Roman" w:hAnsi="Times New Roman"/>
          <w:b w:val="0"/>
          <w:sz w:val="28"/>
        </w:rPr>
        <w:t>4. Проанализировать действующую систему управления персоналом, обучения и развития тендерных специалистов на предприятии.</w:t>
      </w:r>
    </w:p>
    <w:p>
      <w:pPr>
        <w:spacing w:line="360" w:lineRule="auto" w:after="120"/>
        <w:ind w:firstLine="700"/>
      </w:pPr>
      <w:r>
        <w:rPr>
          <w:rFonts w:ascii="Times New Roman" w:hAnsi="Times New Roman"/>
          <w:b w:val="0"/>
          <w:sz w:val="28"/>
        </w:rPr>
        <w:t>5. Выявить основные проблемы текущей системы обучения на основе анализа документов, показателей тендерной деятельности и опроса сотрудников.</w:t>
      </w:r>
    </w:p>
    <w:p>
      <w:pPr>
        <w:spacing w:line="360" w:lineRule="auto" w:after="120"/>
        <w:ind w:firstLine="700"/>
      </w:pPr>
      <w:r>
        <w:rPr>
          <w:rFonts w:ascii="Times New Roman" w:hAnsi="Times New Roman"/>
          <w:b w:val="0"/>
          <w:sz w:val="28"/>
        </w:rPr>
        <w:t>6. Разработать комплекс рекомендаций по совершенствованию системы обучения и развития тендерных специалистов ООО «Лайф Медиа».</w:t>
      </w:r>
    </w:p>
    <w:p>
      <w:pPr>
        <w:spacing w:line="360" w:lineRule="auto" w:after="120"/>
        <w:ind w:firstLine="700"/>
      </w:pPr>
      <w:r>
        <w:rPr>
          <w:rFonts w:ascii="Times New Roman" w:hAnsi="Times New Roman"/>
          <w:b w:val="0"/>
          <w:sz w:val="28"/>
        </w:rPr>
        <w:t>7. Рассчитать затраты на внедрение предложенных мероприятий и оценить их экономическую эффективность.</w:t>
      </w:r>
    </w:p>
    <w:p>
      <w:pPr>
        <w:spacing w:line="360" w:lineRule="auto" w:after="120"/>
        <w:ind w:firstLine="700"/>
      </w:pPr>
      <w:r>
        <w:rPr>
          <w:rFonts w:ascii="Times New Roman" w:hAnsi="Times New Roman"/>
          <w:b w:val="0"/>
          <w:sz w:val="28"/>
        </w:rPr>
        <w:t>В работе использованы следующие методы исследования: описательный метод, анализ научной и учебной литературы, анализ нормативно-правовых документов, анализ внутренней документации предприятия, сравнительный анализ, экономический анализ, анкетирование, экспертно-анкетная оценка, шкалирование по Лайкерту, анализ разрывов, табличный метод, расчет ROI, срока окупаемости и дисконтированного дохода.</w:t>
      </w:r>
    </w:p>
    <w:p>
      <w:pPr>
        <w:spacing w:line="360" w:lineRule="auto" w:after="120"/>
        <w:ind w:firstLine="700"/>
      </w:pPr>
      <w:r>
        <w:rPr>
          <w:rFonts w:ascii="Times New Roman" w:hAnsi="Times New Roman"/>
          <w:b w:val="0"/>
          <w:sz w:val="28"/>
        </w:rPr>
        <w:t>Структура выпускной квалификационной работы соответствует цели и задачам исследования. Работа состоит из введения, трех глав, заключения, списка использованных источников и приложений. В первой главе рассматриваются теоретические основы обучения и развития персонала, особенности компетенций тендерных специалистов и подходы к оценке эффективности обучения. Во второй главе анализируется деятельность ООО «Лайф Медиа», система управления персоналом и текущее состояние обучения тендерного отдела. В третьей главе разрабатываются рекомендации по совершенствованию системы обучения и развития тендерных специалистов, приводится технико-экономическое обоснование мероприятий и расчет их эффективности.</w:t>
      </w:r>
    </w:p>
    <w:p w14:paraId="24B9F265">
      <w:pPr>
        <w:keepNext w:val="0"/>
        <w:keepLines w:val="0"/>
        <w:pageBreakBefore w:val="0"/>
        <w:widowControl/>
        <w:kinsoku/>
        <w:wordWrap/>
        <w:overflowPunct/>
        <w:topLinePunct w:val="0"/>
        <w:autoSpaceDE/>
        <w:autoSpaceDN/>
        <w:bidi w:val="0"/>
        <w:adjustRightInd/>
        <w:snapToGrid/>
        <w:ind w:firstLine="351" w:firstLineChars="125"/>
        <w:jc w:val="both"/>
        <w:textAlignment w:val="auto"/>
        <w:rPr>
          <w:rFonts w:hint="default" w:ascii="Times New Roman" w:hAnsi="Times New Roman"/>
          <w:b/>
          <w:bCs/>
          <w:sz w:val="28"/>
          <w:szCs w:val="28"/>
        </w:rPr>
      </w:pPr>
      <w:r>
        <w:rPr>
          <w:rFonts w:hint="default" w:ascii="Times New Roman" w:hAnsi="Times New Roman"/>
          <w:b/>
          <w:bCs/>
          <w:sz w:val="28"/>
          <w:szCs w:val="28"/>
          <w:lang w:val="ru-RU"/>
        </w:rPr>
        <w:t>ГЛАВА 1</w:t>
      </w:r>
      <w:r>
        <w:rPr>
          <w:rFonts w:hint="default" w:ascii="Times New Roman" w:hAnsi="Times New Roman"/>
          <w:b/>
          <w:bCs/>
          <w:sz w:val="28"/>
          <w:szCs w:val="28"/>
        </w:rPr>
        <w:t>. ТЕОРЕТИЧЕСКИЕ ОСНОВЫ ОБУЧЕНИЯ И РАЗВИТИЯ ТЕНДЕРНЫХ СПЕЦИАЛИСТОВ</w:t>
      </w:r>
    </w:p>
    <w:p w14:paraId="79BBE093">
      <w:pPr>
        <w:keepNext w:val="0"/>
        <w:keepLines w:val="0"/>
        <w:pageBreakBefore w:val="0"/>
        <w:kinsoku/>
        <w:wordWrap/>
        <w:overflowPunct/>
        <w:topLinePunct w:val="0"/>
        <w:autoSpaceDE/>
        <w:autoSpaceDN/>
        <w:bidi w:val="0"/>
        <w:adjustRightInd/>
        <w:snapToGrid/>
        <w:ind w:firstLine="351" w:firstLineChars="125"/>
        <w:jc w:val="center"/>
        <w:textAlignment w:val="auto"/>
        <w:rPr>
          <w:rFonts w:hint="default" w:ascii="Times New Roman" w:hAnsi="Times New Roman"/>
          <w:b/>
          <w:bCs/>
          <w:sz w:val="28"/>
          <w:szCs w:val="28"/>
        </w:rPr>
      </w:pPr>
    </w:p>
    <w:p w14:paraId="3F44201F">
      <w:pPr>
        <w:keepNext w:val="0"/>
        <w:keepLines w:val="0"/>
        <w:pageBreakBefore w:val="0"/>
        <w:numPr>
          <w:ilvl w:val="0"/>
          <w:numId w:val="0"/>
        </w:numPr>
        <w:kinsoku/>
        <w:wordWrap/>
        <w:overflowPunct/>
        <w:topLinePunct w:val="0"/>
        <w:autoSpaceDE/>
        <w:autoSpaceDN/>
        <w:bidi w:val="0"/>
        <w:adjustRightInd/>
        <w:snapToGrid/>
        <w:ind w:leftChars="125"/>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 xml:space="preserve">1.2. </w:t>
      </w:r>
      <w:r>
        <w:rPr>
          <w:rFonts w:hint="default" w:ascii="Times New Roman" w:hAnsi="Times New Roman"/>
          <w:b/>
          <w:bCs/>
          <w:sz w:val="28"/>
          <w:szCs w:val="28"/>
        </w:rPr>
        <w:t>Роль и значение обучения персонала в системе управления организацией</w:t>
      </w:r>
      <w:r>
        <w:rPr>
          <w:rFonts w:hint="default" w:ascii="Times New Roman" w:hAnsi="Times New Roman"/>
          <w:b/>
          <w:bCs/>
          <w:sz w:val="28"/>
          <w:szCs w:val="28"/>
          <w:lang w:val="ru-RU"/>
        </w:rPr>
        <w:t>, современные тенденции</w:t>
      </w:r>
    </w:p>
    <w:p w14:paraId="58E1DC62">
      <w:pPr>
        <w:keepNext w:val="0"/>
        <w:keepLines w:val="0"/>
        <w:pageBreakBefore w:val="0"/>
        <w:numPr>
          <w:ilvl w:val="0"/>
          <w:numId w:val="0"/>
        </w:numPr>
        <w:kinsoku/>
        <w:wordWrap/>
        <w:overflowPunct/>
        <w:topLinePunct w:val="0"/>
        <w:autoSpaceDE/>
        <w:autoSpaceDN/>
        <w:bidi w:val="0"/>
        <w:adjustRightInd/>
        <w:snapToGrid/>
        <w:ind w:leftChars="0" w:firstLine="350" w:firstLineChars="125"/>
        <w:jc w:val="both"/>
        <w:textAlignment w:val="auto"/>
        <w:rPr>
          <w:rFonts w:hint="default" w:ascii="Times New Roman" w:hAnsi="Times New Roman"/>
          <w:sz w:val="28"/>
          <w:szCs w:val="28"/>
          <w:lang w:val="ru-RU"/>
        </w:rPr>
      </w:pPr>
    </w:p>
    <w:p w14:paraId="5ABB614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современном экономическом мире, характеризующимся постоянными изменениями внешней среды, стремительным развитием технологий и ростом конкуренции, персонал становятся ключевым стратегическим ресурсом организации. Поэтому система обучения и развития сотрудников становится не просто вспомогательной функцией отдела кадров, а перерастает в один из главных элементов управления, который напрямую оказывает влияние на успех, эффективность и конкурентоспособность бизнеса на рынке </w:t>
      </w:r>
      <w:r>
        <w:rPr>
          <w:rFonts w:hint="default" w:ascii="Times New Roman" w:hAnsi="Times New Roman"/>
          <w:sz w:val="28"/>
          <w:szCs w:val="28"/>
          <w:lang w:val="en-US"/>
        </w:rPr>
        <w:t>[</w:t>
      </w:r>
      <w:r>
        <w:rPr>
          <w:rFonts w:hint="default" w:ascii="Times New Roman" w:hAnsi="Times New Roman"/>
          <w:sz w:val="28"/>
          <w:szCs w:val="28"/>
          <w:lang w:val="ru-RU"/>
        </w:rPr>
        <w:t>2, с. 15</w:t>
      </w:r>
      <w:r>
        <w:rPr>
          <w:rFonts w:hint="default" w:ascii="Times New Roman" w:hAnsi="Times New Roman"/>
          <w:sz w:val="28"/>
          <w:szCs w:val="28"/>
          <w:lang w:val="en-US"/>
        </w:rPr>
        <w:t>]</w:t>
      </w:r>
      <w:r>
        <w:rPr>
          <w:rFonts w:hint="default" w:ascii="Times New Roman" w:hAnsi="Times New Roman"/>
          <w:sz w:val="28"/>
          <w:szCs w:val="28"/>
          <w:lang w:val="ru-RU"/>
        </w:rPr>
        <w:t>.</w:t>
      </w:r>
    </w:p>
    <w:p w14:paraId="56356A65">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общем, обучение и развитие персонала – это стратегически спланированный и последовательно реализуемый процесс, направленный на получение новых знаний и умений для  формирования актуального набора компетенций. Тем не менее в контексте управления организацией это понятие имеет более весомое стратегическое значение. Современные исследователи в области административного управления справедливо отмечают, что руководство должно воспринимать обучение и профессиональное развитие как целенаправленный управленческий цикл образовательных мероприятий, а его основная функция – развивать необходимые компетенции у персонала, что критически важно для эффективной реализации стратегических задач компании </w:t>
      </w:r>
      <w:r>
        <w:rPr>
          <w:rFonts w:hint="default" w:ascii="Times New Roman" w:hAnsi="Times New Roman"/>
          <w:sz w:val="28"/>
          <w:szCs w:val="28"/>
          <w:lang w:val="en-US"/>
        </w:rPr>
        <w:t>[</w:t>
      </w:r>
      <w:r>
        <w:rPr>
          <w:rFonts w:hint="default" w:ascii="Times New Roman" w:hAnsi="Times New Roman"/>
          <w:sz w:val="28"/>
          <w:szCs w:val="28"/>
          <w:lang w:val="ru-RU"/>
        </w:rPr>
        <w:t>1, с.48</w:t>
      </w:r>
      <w:r>
        <w:rPr>
          <w:rFonts w:hint="default" w:ascii="Times New Roman" w:hAnsi="Times New Roman"/>
          <w:sz w:val="28"/>
          <w:szCs w:val="28"/>
          <w:lang w:val="en-US"/>
        </w:rPr>
        <w:t>]</w:t>
      </w:r>
      <w:r>
        <w:rPr>
          <w:rFonts w:hint="default" w:ascii="Times New Roman" w:hAnsi="Times New Roman"/>
          <w:sz w:val="28"/>
          <w:szCs w:val="28"/>
          <w:lang w:val="ru-RU"/>
        </w:rPr>
        <w:t>. Данный процесс охватывает планирование, организацию, проведение и контроль учебных мероприятий, которые позволяют персоналу приобретать новые знания и навыки.</w:t>
      </w:r>
    </w:p>
    <w:p w14:paraId="4D94CDDD">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В научной литературе существуют различные подходы к пониманию обучения сотрудников компаний:</w:t>
      </w:r>
    </w:p>
    <w:p w14:paraId="1424F207">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контексте управления персоналом, Гайфуллина М.М., Низамова Г.З. и Маков В.М. В. Р. трактуют обучение как комплекс мер, направленных на профессиональный рост и повышение компетентности сотрудников </w:t>
      </w:r>
      <w:r>
        <w:rPr>
          <w:rFonts w:hint="default" w:ascii="Times New Roman" w:hAnsi="Times New Roman"/>
          <w:sz w:val="28"/>
          <w:szCs w:val="28"/>
          <w:lang w:val="en-US"/>
        </w:rPr>
        <w:t>[</w:t>
      </w:r>
      <w:r>
        <w:rPr>
          <w:rFonts w:hint="default" w:ascii="Times New Roman" w:hAnsi="Times New Roman"/>
          <w:sz w:val="28"/>
          <w:szCs w:val="28"/>
          <w:lang w:val="ru-RU"/>
        </w:rPr>
        <w:t>4, с.7</w:t>
      </w:r>
      <w:r>
        <w:rPr>
          <w:rFonts w:hint="default" w:ascii="Times New Roman" w:hAnsi="Times New Roman"/>
          <w:sz w:val="28"/>
          <w:szCs w:val="28"/>
          <w:lang w:val="en-US"/>
        </w:rPr>
        <w:t>]</w:t>
      </w:r>
      <w:r>
        <w:rPr>
          <w:rFonts w:hint="default" w:ascii="Times New Roman" w:hAnsi="Times New Roman"/>
          <w:sz w:val="28"/>
          <w:szCs w:val="28"/>
          <w:lang w:val="ru-RU"/>
        </w:rPr>
        <w:t xml:space="preserve">. Тонких Н. В. видит в обучении фундаментальный процесс развития личности, охватывающий знания, навыки, способности, поведение и отношение </w:t>
      </w:r>
      <w:r>
        <w:rPr>
          <w:rFonts w:hint="default" w:ascii="Times New Roman" w:hAnsi="Times New Roman"/>
          <w:sz w:val="28"/>
          <w:szCs w:val="28"/>
          <w:lang w:val="en-US"/>
        </w:rPr>
        <w:t>[</w:t>
      </w:r>
      <w:r>
        <w:rPr>
          <w:rFonts w:hint="default" w:ascii="Times New Roman" w:hAnsi="Times New Roman"/>
          <w:sz w:val="28"/>
          <w:szCs w:val="28"/>
          <w:lang w:val="ru-RU"/>
        </w:rPr>
        <w:t>3, с.86</w:t>
      </w:r>
      <w:r>
        <w:rPr>
          <w:rFonts w:hint="default" w:ascii="Times New Roman" w:hAnsi="Times New Roman"/>
          <w:sz w:val="28"/>
          <w:szCs w:val="28"/>
          <w:lang w:val="en-US"/>
        </w:rPr>
        <w:t>]</w:t>
      </w:r>
      <w:r>
        <w:rPr>
          <w:rFonts w:hint="default" w:ascii="Times New Roman" w:hAnsi="Times New Roman"/>
          <w:sz w:val="28"/>
          <w:szCs w:val="28"/>
          <w:lang w:val="ru-RU"/>
        </w:rPr>
        <w:t xml:space="preserve">. Попов А. А. и Мальцева С. М. выделяют обучение персонала как ключевой элемент управления в коммерческих организациях, определяя его как организованный процесс формирования у сотрудников знаний и навыков для достижения конкретных результатов и повышения общей эффективности </w:t>
      </w:r>
      <w:r>
        <w:rPr>
          <w:rFonts w:hint="default" w:ascii="Times New Roman" w:hAnsi="Times New Roman"/>
          <w:sz w:val="28"/>
          <w:szCs w:val="28"/>
          <w:lang w:val="en-US"/>
        </w:rPr>
        <w:t>[</w:t>
      </w:r>
      <w:r>
        <w:rPr>
          <w:rFonts w:hint="default" w:ascii="Times New Roman" w:hAnsi="Times New Roman"/>
          <w:sz w:val="28"/>
          <w:szCs w:val="28"/>
          <w:lang w:val="ru-RU"/>
        </w:rPr>
        <w:t>6, с.25</w:t>
      </w:r>
      <w:r>
        <w:rPr>
          <w:rFonts w:hint="default" w:ascii="Times New Roman" w:hAnsi="Times New Roman"/>
          <w:sz w:val="28"/>
          <w:szCs w:val="28"/>
          <w:lang w:val="en-US"/>
        </w:rPr>
        <w:t>]</w:t>
      </w:r>
      <w:r>
        <w:rPr>
          <w:rFonts w:hint="default" w:ascii="Times New Roman" w:hAnsi="Times New Roman"/>
          <w:sz w:val="28"/>
          <w:szCs w:val="28"/>
          <w:lang w:val="ru-RU"/>
        </w:rPr>
        <w:t xml:space="preserve">. Плетенева О. Г. акцентирует внимание на управленческом аспекте, связывая обучение с осознанием важности развития персонала и сокращения оттока кадров </w:t>
      </w:r>
      <w:r>
        <w:rPr>
          <w:rFonts w:hint="default" w:ascii="Times New Roman" w:hAnsi="Times New Roman"/>
          <w:sz w:val="28"/>
          <w:szCs w:val="28"/>
          <w:lang w:val="en-US"/>
        </w:rPr>
        <w:t>[</w:t>
      </w:r>
      <w:r>
        <w:rPr>
          <w:rFonts w:hint="default" w:ascii="Times New Roman" w:hAnsi="Times New Roman"/>
          <w:sz w:val="28"/>
          <w:szCs w:val="28"/>
          <w:lang w:val="ru-RU"/>
        </w:rPr>
        <w:t>5, с.14</w:t>
      </w:r>
      <w:r>
        <w:rPr>
          <w:rFonts w:hint="default" w:ascii="Times New Roman" w:hAnsi="Times New Roman"/>
          <w:sz w:val="28"/>
          <w:szCs w:val="28"/>
          <w:lang w:val="en-US"/>
        </w:rPr>
        <w:t>]</w:t>
      </w:r>
      <w:r>
        <w:rPr>
          <w:rFonts w:hint="default" w:ascii="Times New Roman" w:hAnsi="Times New Roman"/>
          <w:sz w:val="28"/>
          <w:szCs w:val="28"/>
          <w:lang w:val="ru-RU"/>
        </w:rPr>
        <w:t>.</w:t>
      </w:r>
    </w:p>
    <w:p w14:paraId="52A5E22D">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В наши дни обучение персонала выполняет целый спектр управленческих функций. Оно призвано ликвидировать несоответствие между имеющимися у сотрудников знаниями и навыками и постоянно меняющимися требованиями рабочих мест и бизнес-процессов. Помимо этого, обучение является эффективным способом передачи корпоративных ценностей и норм, что укрепляет культуру компании и способствует единству коллектива. Важно отметить, что хорошо продуманные образовательные программы напрямую способствуют достижению целей предприятия, обеспечивая сотрудников актуальными компетенциями. Наконец, система обучения закладывает основу для планирования карьерного пути и формирования кадрового резерва, целенаправленно подготавливая сотрудников к продвижению. В итоге, обучение становится мостом между текущей деятельностью работника и его будущим ростом в организации</w:t>
      </w:r>
      <w:r>
        <w:rPr>
          <w:rFonts w:hint="default" w:ascii="Times New Roman" w:hAnsi="Times New Roman"/>
          <w:sz w:val="28"/>
          <w:szCs w:val="28"/>
          <w:lang w:val="en-US"/>
        </w:rPr>
        <w:t xml:space="preserve"> [</w:t>
      </w:r>
      <w:r>
        <w:rPr>
          <w:rFonts w:hint="default" w:ascii="Times New Roman" w:hAnsi="Times New Roman"/>
          <w:sz w:val="28"/>
          <w:szCs w:val="28"/>
          <w:lang w:val="ru-RU"/>
        </w:rPr>
        <w:t>4, с.9</w:t>
      </w:r>
      <w:r>
        <w:rPr>
          <w:rFonts w:hint="default" w:ascii="Times New Roman" w:hAnsi="Times New Roman"/>
          <w:sz w:val="28"/>
          <w:szCs w:val="28"/>
          <w:lang w:val="en-US"/>
        </w:rPr>
        <w:t>]</w:t>
      </w:r>
      <w:r>
        <w:rPr>
          <w:rFonts w:hint="default" w:ascii="Times New Roman" w:hAnsi="Times New Roman"/>
          <w:sz w:val="28"/>
          <w:szCs w:val="28"/>
          <w:lang w:val="ru-RU"/>
        </w:rPr>
        <w:t>.</w:t>
      </w:r>
    </w:p>
    <w:p w14:paraId="6ABF0346">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обучения является инструментом реализации кадровой политики предприятия и обеспечивает:</w:t>
      </w:r>
    </w:p>
    <w:p w14:paraId="68D0483A">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подготовку работников к выполнению новых функций;</w:t>
      </w:r>
    </w:p>
    <w:p w14:paraId="4696F0BE">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повышение их квалификации в условиях технологических и организационных изменений;</w:t>
      </w:r>
    </w:p>
    <w:p w14:paraId="337FC31D">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формирование корпоративной культуры и ценностей, объединяющих сотрудников;</w:t>
      </w:r>
    </w:p>
    <w:p w14:paraId="4FBCF3E7">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sz w:val="28"/>
          <w:szCs w:val="28"/>
          <w:lang w:val="ru-RU"/>
        </w:rPr>
      </w:pPr>
      <w:r>
        <w:rPr>
          <w:rFonts w:hint="default" w:ascii="Times New Roman" w:hAnsi="Times New Roman" w:cs="Times New Roman"/>
          <w:sz w:val="28"/>
          <w:szCs w:val="28"/>
        </w:rPr>
        <w:t>снижение текучести кадров и повышение их лояльности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ru-RU"/>
        </w:rPr>
        <w:t>9</w:t>
      </w:r>
      <w:r>
        <w:rPr>
          <w:rFonts w:hint="default" w:ascii="Times New Roman" w:hAnsi="Times New Roman" w:cs="Times New Roman"/>
          <w:sz w:val="28"/>
          <w:szCs w:val="28"/>
        </w:rPr>
        <w:t>].</w:t>
      </w:r>
    </w:p>
    <w:p w14:paraId="2152AA03">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Обучение следует рассматривать как практический инструмент, ориентированный на достижение конкретных результатов. Основные цели организации обучения</w:t>
      </w:r>
      <w:r>
        <w:rPr>
          <w:rFonts w:hint="default" w:ascii="Times New Roman" w:hAnsi="Times New Roman"/>
          <w:sz w:val="28"/>
          <w:szCs w:val="28"/>
          <w:lang w:val="en-US"/>
        </w:rPr>
        <w:t xml:space="preserve"> </w:t>
      </w:r>
      <w:r>
        <w:rPr>
          <w:rFonts w:hint="default" w:ascii="Times New Roman" w:hAnsi="Times New Roman"/>
          <w:sz w:val="28"/>
          <w:szCs w:val="28"/>
          <w:lang w:val="ru-RU"/>
        </w:rPr>
        <w:t>представлены в таблице 1.1.</w:t>
      </w:r>
    </w:p>
    <w:p w14:paraId="4AC796F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p>
    <w:p w14:paraId="4FF92D90">
      <w:pPr>
        <w:keepNext w:val="0"/>
        <w:keepLines w:val="0"/>
        <w:pageBreakBefore w:val="0"/>
        <w:kinsoku/>
        <w:wordWrap/>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sz w:val="24"/>
          <w:szCs w:val="24"/>
          <w:lang w:val="en-US"/>
        </w:rPr>
      </w:pPr>
      <w:r>
        <w:rPr>
          <w:rFonts w:hint="default" w:ascii="Times New Roman" w:hAnsi="Times New Roman"/>
          <w:sz w:val="24"/>
          <w:szCs w:val="24"/>
          <w:lang w:val="ru-RU"/>
        </w:rPr>
        <w:t xml:space="preserve">Таблица 1.1.. Влияние обучения на ключевые показатели деятельности организации </w:t>
      </w:r>
      <w:r>
        <w:rPr>
          <w:rFonts w:hint="default" w:ascii="Times New Roman" w:hAnsi="Times New Roman"/>
          <w:sz w:val="24"/>
          <w:szCs w:val="24"/>
          <w:lang w:val="en-US"/>
        </w:rPr>
        <w:t>[</w:t>
      </w:r>
      <w:r>
        <w:rPr>
          <w:rFonts w:hint="default" w:ascii="Times New Roman" w:hAnsi="Times New Roman"/>
          <w:sz w:val="24"/>
          <w:szCs w:val="24"/>
          <w:lang w:val="ru-RU"/>
        </w:rPr>
        <w:t>4,7,8</w:t>
      </w:r>
      <w:r>
        <w:rPr>
          <w:rFonts w:hint="default" w:ascii="Times New Roman" w:hAnsi="Times New Roman"/>
          <w:sz w:val="24"/>
          <w:szCs w:val="24"/>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5358"/>
      </w:tblGrid>
      <w:tr w14:paraId="43E4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3164" w:type="dxa"/>
          </w:tcPr>
          <w:p w14:paraId="608DB1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Направление развития</w:t>
            </w:r>
          </w:p>
        </w:tc>
        <w:tc>
          <w:tcPr>
            <w:tcW w:w="5358" w:type="dxa"/>
          </w:tcPr>
          <w:p w14:paraId="45A692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Достигаемый результат</w:t>
            </w:r>
          </w:p>
        </w:tc>
      </w:tr>
      <w:tr w14:paraId="5B38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2" w:hRule="atLeast"/>
        </w:trPr>
        <w:tc>
          <w:tcPr>
            <w:tcW w:w="3164" w:type="dxa"/>
          </w:tcPr>
          <w:p w14:paraId="3A4EC14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Оптимизация производительности и сокращение расходов</w:t>
            </w:r>
          </w:p>
        </w:tc>
        <w:tc>
          <w:tcPr>
            <w:tcW w:w="5358" w:type="dxa"/>
          </w:tcPr>
          <w:p w14:paraId="23AA341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увеличение выработки и улучшение качества работы (сотрудники работают продуктивнее, создают продукт более высокого качества);</w:t>
            </w:r>
          </w:p>
          <w:p w14:paraId="410E2C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минимизация потерь и экономия ресурсов (снижение числа ошибок и финансовых потерь, связанных с некомпетентностью).</w:t>
            </w:r>
          </w:p>
        </w:tc>
      </w:tr>
      <w:tr w14:paraId="3C21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6527FC5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Адаптация навыков к актуальным и перспективным задачам</w:t>
            </w:r>
          </w:p>
          <w:p w14:paraId="642B1A8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организации</w:t>
            </w:r>
          </w:p>
        </w:tc>
        <w:tc>
          <w:tcPr>
            <w:tcW w:w="5358" w:type="dxa"/>
          </w:tcPr>
          <w:p w14:paraId="24CD8CC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xml:space="preserve">–  актуализация знаний и умений (сотрудники получат необходимые </w:t>
            </w:r>
            <w:r>
              <w:rPr>
                <w:rFonts w:hint="default" w:ascii="Times New Roman" w:hAnsi="Times New Roman"/>
                <w:i/>
                <w:iCs/>
                <w:sz w:val="24"/>
                <w:szCs w:val="24"/>
                <w:vertAlign w:val="baseline"/>
                <w:lang w:val="ru-RU"/>
              </w:rPr>
              <w:t>на сегодня</w:t>
            </w:r>
            <w:r>
              <w:rPr>
                <w:rFonts w:hint="default" w:ascii="Times New Roman" w:hAnsi="Times New Roman"/>
                <w:sz w:val="24"/>
                <w:szCs w:val="24"/>
                <w:vertAlign w:val="baseline"/>
                <w:lang w:val="ru-RU"/>
              </w:rPr>
              <w:t xml:space="preserve"> профессиональные навыки и знания, соответствующие текущим требованиям) </w:t>
            </w:r>
          </w:p>
          <w:p w14:paraId="73B48D3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подготовка к будущему (программы развития сформируют компетенции, которые будут востребованы в будущем, обеспечивая компании конкурентное преимущество за счет опережающего развития)</w:t>
            </w:r>
          </w:p>
        </w:tc>
      </w:tr>
      <w:tr w14:paraId="65B1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06680D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Стимулирование вовлеченности и преданности компании</w:t>
            </w:r>
          </w:p>
        </w:tc>
        <w:tc>
          <w:tcPr>
            <w:tcW w:w="5358" w:type="dxa"/>
          </w:tcPr>
          <w:p w14:paraId="5E66E87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повышение мотивации (сотрудники станут более мотивированными и почувствуют свою ценность, видя заботу компании о своем профессиональном росте)</w:t>
            </w:r>
          </w:p>
          <w:p w14:paraId="4CB72C1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xml:space="preserve">–  укрепление лояльности (регулярное обучение способствует формированию привязанности к компании, снижая вероятность ухода ценных сотрудников) </w:t>
            </w:r>
          </w:p>
        </w:tc>
      </w:tr>
      <w:tr w14:paraId="1A38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1F391CD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Создание единого видения и корпоративных ценностей</w:t>
            </w:r>
          </w:p>
          <w:p w14:paraId="4DF4A14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p>
        </w:tc>
        <w:tc>
          <w:tcPr>
            <w:tcW w:w="5358" w:type="dxa"/>
          </w:tcPr>
          <w:p w14:paraId="1110A17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xml:space="preserve">–  формирование общих ценностей (сотрудники усвоят и примут ценности и установки, соответствующие стратегии и целям организации) </w:t>
            </w:r>
          </w:p>
          <w:p w14:paraId="746B52E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укрепление командного духа (чувство единства и командной работы)</w:t>
            </w:r>
          </w:p>
        </w:tc>
      </w:tr>
    </w:tbl>
    <w:p w14:paraId="6E1E5DB6">
      <w:pPr>
        <w:keepNext w:val="0"/>
        <w:keepLines w:val="0"/>
        <w:pageBreakBefore w:val="0"/>
        <w:numPr>
          <w:ilvl w:val="0"/>
          <w:numId w:val="0"/>
        </w:numPr>
        <w:kinsoku/>
        <w:wordWrap/>
        <w:overflowPunct/>
        <w:topLinePunct w:val="0"/>
        <w:autoSpaceDE/>
        <w:autoSpaceDN/>
        <w:bidi w:val="0"/>
        <w:adjustRightInd/>
        <w:snapToGrid/>
        <w:spacing w:line="240" w:lineRule="auto"/>
        <w:ind w:leftChars="0" w:firstLine="350" w:firstLineChars="125"/>
        <w:jc w:val="both"/>
        <w:textAlignment w:val="auto"/>
        <w:rPr>
          <w:rFonts w:hint="default" w:ascii="Times New Roman" w:hAnsi="Times New Roman"/>
          <w:sz w:val="28"/>
          <w:szCs w:val="28"/>
          <w:lang w:val="ru-RU"/>
        </w:rPr>
      </w:pPr>
    </w:p>
    <w:p w14:paraId="4B3D74B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По мнению исследователей, грамотное построение системы обучения позволяет организации достигать синергетического эффекта: рост индивидуальных компетенций сотрудников ведёт к росту общей эффективности бизнес-процессов [10]. При этом важным фактором является взаимосвязь обучения с другими направлениями HR-деятельности — оценкой, мотивацией и карьерным развитием [11].</w:t>
      </w:r>
    </w:p>
    <w:p w14:paraId="6432D9E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современных условиях динамичной экономики практически каждая компания сталкивается с необходимостью подстраиваться под постоянно меняющуюся реальность. Изменения на рынке задают новые стандарты и правила, конкуренты растут, а актуальность инноваций и технологий сохраняется лишь пару лет. В данных условиях бизнес должен выбирать: либо меняться с той же скоростью, что и внешняя среда, либо отставать. И именно тут ключевую роль играет та часть компании, которая эти изменения должна реализовывать на практике, то есть персонал. Как подчёркивает И. Ансофф, отец стратегического менеджмента, для долгосрочного успеха компании критически важно вовремя замечать изменения во внешней среде и гибко перестраивать свои внутренние ресурсы, в первую очередь – человеческие </w:t>
      </w:r>
      <w:r>
        <w:rPr>
          <w:rFonts w:hint="default" w:ascii="Times New Roman" w:hAnsi="Times New Roman"/>
          <w:sz w:val="28"/>
          <w:szCs w:val="28"/>
          <w:lang w:val="en-US"/>
        </w:rPr>
        <w:t>[</w:t>
      </w:r>
      <w:r>
        <w:rPr>
          <w:rFonts w:hint="default" w:ascii="Times New Roman" w:hAnsi="Times New Roman"/>
          <w:sz w:val="28"/>
          <w:szCs w:val="28"/>
          <w:lang w:val="ru-RU"/>
        </w:rPr>
        <w:t>12, с.114</w:t>
      </w:r>
      <w:r>
        <w:rPr>
          <w:rFonts w:hint="default" w:ascii="Times New Roman" w:hAnsi="Times New Roman"/>
          <w:sz w:val="28"/>
          <w:szCs w:val="28"/>
          <w:lang w:val="en-US"/>
        </w:rPr>
        <w:t>]</w:t>
      </w:r>
      <w:r>
        <w:rPr>
          <w:rFonts w:hint="default" w:ascii="Times New Roman" w:hAnsi="Times New Roman"/>
          <w:sz w:val="28"/>
          <w:szCs w:val="28"/>
          <w:lang w:val="ru-RU"/>
        </w:rPr>
        <w:t>.</w:t>
      </w:r>
    </w:p>
    <w:p w14:paraId="7148979E">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Работы Магуры и Курбатовой в сфере менеджмента, отражают, что корпоративное обучение персонала стало критически важным. Они выделяют три основных причины: 1) необходимость новых знаний для успешной реализации стратегий компании, 2) сотрудники с их знаниями и навыками </w:t>
      </w:r>
      <w:r>
        <w:rPr>
          <w:rFonts w:hint="default" w:ascii="Times New Roman" w:hAnsi="Times New Roman"/>
          <w:sz w:val="28"/>
          <w:szCs w:val="28"/>
          <w:vertAlign w:val="baseline"/>
          <w:lang w:val="ru-RU"/>
        </w:rPr>
        <w:t xml:space="preserve">– </w:t>
      </w:r>
      <w:r>
        <w:rPr>
          <w:rFonts w:hint="default" w:ascii="Times New Roman" w:hAnsi="Times New Roman"/>
          <w:sz w:val="28"/>
          <w:szCs w:val="28"/>
          <w:lang w:val="ru-RU"/>
        </w:rPr>
        <w:t xml:space="preserve">основное ядро, определяющее ценность компании, 3) любые изменения обречены на провал если нет предварительной подготовки (так как люди не будут готовы к этому) </w:t>
      </w:r>
      <w:r>
        <w:rPr>
          <w:rFonts w:hint="default" w:ascii="Times New Roman" w:hAnsi="Times New Roman"/>
          <w:sz w:val="28"/>
          <w:szCs w:val="28"/>
          <w:lang w:val="en-US"/>
        </w:rPr>
        <w:t>[</w:t>
      </w:r>
      <w:r>
        <w:rPr>
          <w:rFonts w:hint="default" w:ascii="Times New Roman" w:hAnsi="Times New Roman"/>
          <w:sz w:val="28"/>
          <w:szCs w:val="28"/>
          <w:lang w:val="ru-RU"/>
        </w:rPr>
        <w:t>13, с.79-81</w:t>
      </w:r>
      <w:r>
        <w:rPr>
          <w:rFonts w:hint="default" w:ascii="Times New Roman" w:hAnsi="Times New Roman"/>
          <w:sz w:val="28"/>
          <w:szCs w:val="28"/>
          <w:lang w:val="en-US"/>
        </w:rPr>
        <w:t>]</w:t>
      </w:r>
      <w:r>
        <w:rPr>
          <w:rFonts w:hint="default" w:ascii="Times New Roman" w:hAnsi="Times New Roman"/>
          <w:sz w:val="28"/>
          <w:szCs w:val="28"/>
          <w:lang w:val="ru-RU"/>
        </w:rPr>
        <w:t>.</w:t>
      </w:r>
    </w:p>
    <w:p w14:paraId="72F3437C">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Главная мысль заключается в том, что прежде чем внедрять какие-либо изменения, руководитель должен понять готова ли его команда. Это касается как их профессиональных умений, так и их эмоционального состояния. Сопротивление изменениям </w:t>
      </w:r>
      <w:r>
        <w:rPr>
          <w:rFonts w:hint="default" w:ascii="Times New Roman" w:hAnsi="Times New Roman"/>
          <w:sz w:val="28"/>
          <w:szCs w:val="28"/>
          <w:vertAlign w:val="baseline"/>
          <w:lang w:val="ru-RU"/>
        </w:rPr>
        <w:t xml:space="preserve">– </w:t>
      </w:r>
      <w:r>
        <w:rPr>
          <w:rFonts w:hint="default" w:ascii="Times New Roman" w:hAnsi="Times New Roman"/>
          <w:sz w:val="28"/>
          <w:szCs w:val="28"/>
          <w:lang w:val="ru-RU"/>
        </w:rPr>
        <w:t xml:space="preserve">это нормальная человеческая реакция. Без должного управления, оно может полностью нивелировать эффективность даже самого разумного и логичного решения. Подробное описание этой закономерности можно найти в модели управления изменениями Курта Левина, чья основная идея заключалась в том, что любые преобразования должны проходить стадию «размораживания» </w:t>
      </w:r>
      <w:r>
        <w:rPr>
          <w:rFonts w:hint="default" w:ascii="Times New Roman" w:hAnsi="Times New Roman"/>
          <w:sz w:val="28"/>
          <w:szCs w:val="28"/>
          <w:vertAlign w:val="baseline"/>
          <w:lang w:val="ru-RU"/>
        </w:rPr>
        <w:t xml:space="preserve">– </w:t>
      </w:r>
      <w:r>
        <w:rPr>
          <w:rFonts w:hint="default" w:ascii="Times New Roman" w:hAnsi="Times New Roman"/>
          <w:sz w:val="28"/>
          <w:szCs w:val="28"/>
          <w:lang w:val="ru-RU"/>
        </w:rPr>
        <w:t xml:space="preserve">то есть подготовки сознания сотрудников через информирование и обучение, иначе новый этап («замораживание») новых норм работы просто не наступит </w:t>
      </w:r>
      <w:r>
        <w:rPr>
          <w:rFonts w:hint="default" w:ascii="Times New Roman" w:hAnsi="Times New Roman"/>
          <w:sz w:val="28"/>
          <w:szCs w:val="28"/>
          <w:lang w:val="en-US"/>
        </w:rPr>
        <w:t>[</w:t>
      </w:r>
      <w:r>
        <w:rPr>
          <w:rFonts w:hint="default" w:ascii="Times New Roman" w:hAnsi="Times New Roman"/>
          <w:sz w:val="28"/>
          <w:szCs w:val="28"/>
          <w:lang w:val="ru-RU"/>
        </w:rPr>
        <w:t>14, с.216</w:t>
      </w:r>
      <w:r>
        <w:rPr>
          <w:rFonts w:hint="default" w:ascii="Times New Roman" w:hAnsi="Times New Roman"/>
          <w:sz w:val="28"/>
          <w:szCs w:val="28"/>
          <w:lang w:val="en-US"/>
        </w:rPr>
        <w:t>]</w:t>
      </w:r>
      <w:r>
        <w:rPr>
          <w:rFonts w:hint="default" w:ascii="Times New Roman" w:hAnsi="Times New Roman"/>
          <w:sz w:val="28"/>
          <w:szCs w:val="28"/>
          <w:lang w:val="ru-RU"/>
        </w:rPr>
        <w:t xml:space="preserve">. </w:t>
      </w:r>
    </w:p>
    <w:p w14:paraId="753230E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Внешние изменения, будь то агрессивные действия конкурентов или спад в отрасли, могут заставить компанию меняться так же, как и внутренние стратегические цели. В этот момент становится понятно насколько быстро и эффективно выстроенная нами система обучения  помогает сотрудникам приспосабливаться к новым реалиям. Тут важно проанализировать ситуацию. Главное </w:t>
      </w:r>
      <w:r>
        <w:rPr>
          <w:rFonts w:hint="default" w:ascii="Times New Roman" w:hAnsi="Times New Roman"/>
          <w:sz w:val="28"/>
          <w:szCs w:val="28"/>
          <w:vertAlign w:val="baseline"/>
          <w:lang w:val="ru-RU"/>
        </w:rPr>
        <w:t>–  построить адаптивную систему, которая оперативно предоставит сотрудникам новые знания</w:t>
      </w:r>
      <w:r>
        <w:rPr>
          <w:rFonts w:hint="default" w:ascii="Times New Roman" w:hAnsi="Times New Roman"/>
          <w:sz w:val="28"/>
          <w:szCs w:val="28"/>
          <w:lang w:val="ru-RU"/>
        </w:rPr>
        <w:t>. Для этого потребуется исследовать теоретические концепции, выбрать наиболее подходящие для нашей компании, проанализировать собственный опыт (что оказалось полезным, а что нет), а также определить факторы, которые способствуют или препятствуют развитию. Только после этого можно будет разработать конкретные шаги по совершенствованию системы. Грамотно организованная система непременно положительно повлияет на общую эффективность компании. Сотрудники начнут работать продуктивнее, быстрее будут осваивать новые навыки, увереннее адаптируются к изменениям на рынке. В результате организация становится более и конкурентоспособной. Как справедливо отмечают западные исследователи в области стратегического управления Д. Ульрих и У. Брокбэнк, уникальные компетенции и навыки персонала, развиваемые внутри организации, формируют такую ценность, которую конкуренты не могут воспроизвести простым копированием технологий [15, с.98].</w:t>
      </w:r>
    </w:p>
    <w:p w14:paraId="676AA597">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lang w:val="ru-RU"/>
        </w:rPr>
        <w:t xml:space="preserve">В условиях текущего экономического развития цифровизация стала неотъемлемой частью всех бизнес-процессов, и система подготовки персонала вынуждена адаптироваться к этой новой реальности. Трансформация подходов </w:t>
      </w:r>
      <w:r>
        <w:rPr>
          <w:rFonts w:hint="default" w:ascii="Times New Roman" w:hAnsi="Times New Roman"/>
          <w:sz w:val="28"/>
          <w:szCs w:val="28"/>
          <w:vertAlign w:val="baseline"/>
          <w:lang w:val="ru-RU"/>
        </w:rPr>
        <w:t xml:space="preserve">–  это не желание быть как все, а объективное требование для выживания. Скорость обновления профессиональных знаний и навыков достигла такого уровня, при котором всеми привычные подходы формата повышения квалификации не успевают за потребностями бизнеса. Современные организации активно внедряют цифровые технологии для оптимизации образовательных программ. Эти инновации обеспечивают повышенную гибкость, экономическую эффективность и направленность на достижение измеримых результатов. Исследования подтверждают, что цифровая трансформация корпоративного обучения не только повышает уровень профессиональной квалификации персонала, но и культивирует у сотрудников установку на непрерывное самосовершенствование, что критически важно в условиях динамично развивающейся деловой среды </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16,17</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 Чтобы оставаться конкурентоспособными, компаниям необходимо дать своим сотрудникам возможность учиться постоянно прямо на рабочем месте. Именно цифровые технологии делают это возможным, переделывая подходы к обучению и развитию персонала.</w:t>
      </w:r>
    </w:p>
    <w:p w14:paraId="2BB4735A">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Благодаря цифровизации, обучение перестаёт быть привязанным к конкретному месту и привычным методам, открывая новые возможности для получения знаний. В настоящее время сотрудники повсеместно используют телефоны и ПК не только для выполнения рабочих задач, но и для саморазвития и личного роста, это обесценивает традиционные модели, которые ранее были основаны на стационарных компьютерах и физическом обучении.  Так как информация стала повсеместной и мгновенной, а цифровая среда – основной инструмент для обучения во многих сферах, то непрерывное образование в наше время стало реальностью. С развитием «умного» образования, которое основанное на самообучении, адаптации и мотивации, критически важной компетенцией сотрудника становится способность эффективно применять цифровые инструменты для интеграции в повседневную работу.</w:t>
      </w:r>
    </w:p>
    <w:p w14:paraId="68737B05">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Образовательные технологии представляют большой выбор инструментов для корпоративного обучения. Наибольшее распространение получили интернет-обучение (55% компаний), видеоконференции (46%) и традиционные аудиторные занятия (41%), при этом веб-конференции и внутрикорпоративные сети также занимают заметную долю [18].</w:t>
      </w:r>
    </w:p>
    <w:p w14:paraId="0524873C">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Основой цифрового обучения являются системы управления обучением (</w:t>
      </w:r>
      <w:r>
        <w:rPr>
          <w:rFonts w:hint="default" w:ascii="Times New Roman" w:hAnsi="Times New Roman"/>
          <w:sz w:val="28"/>
          <w:szCs w:val="28"/>
          <w:vertAlign w:val="baseline"/>
          <w:lang w:val="en-US"/>
        </w:rPr>
        <w:t>LMS</w:t>
      </w:r>
      <w:r>
        <w:rPr>
          <w:rFonts w:hint="default" w:ascii="Times New Roman" w:hAnsi="Times New Roman"/>
          <w:sz w:val="28"/>
          <w:szCs w:val="28"/>
          <w:vertAlign w:val="baseline"/>
          <w:lang w:val="ru-RU"/>
        </w:rPr>
        <w:t>), которые представляют собой единую базу электронных курсов и учебных материалов для автоматизации рутинных процессов, контроля успеваемости и формирования индивидуального плана развития. Преимущества заключаются в том, что они экономят ресурсы за счёт сокращения командировок, унифицируют стандарты обучения и имеют прозрачную статистику результатов.  Дальнейшее развитие этого направления – платформы LXP (Learning Experience Platform), которые не просто хранят курсы, а подбирают контент под индивидуальные запросы пользователя [19].</w:t>
      </w:r>
    </w:p>
    <w:p w14:paraId="75B5D926">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Среди российских цифровых ресурсов выделяют порталы «ИНТУИТ», «Деловая среда», Eduson, «Открытое образование», ориентированные на подготовку специалистов конкретных профилей. Активно внедряются вебинары, чат-боты, сервисы интерактивных подсказок и решения на базе искусственного интеллекта  [20].</w:t>
      </w:r>
    </w:p>
    <w:p w14:paraId="20E0B972">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Технологии вовлечения персонала заслуживают особого внимания: геймификация (баллы, бейджи, рейтинги) ускоряет адаптацию и делает обучение увлекательнее [21]. А концепция через развлечение и игровые методики обеспечивает лёгкое усвоение материала [20]. Технологии виртуальной реальности  показывают высокую эффективность, особенно для рабочих профессий. Крупные компании, включая ОАО «РЖД», «Леруа Мерлен», ПАО «Газпром» и ПАО «Сбербанк», уже используют этот инструмент [21]. В сферах, где реальные тренировки невозможны или опасны, например при подготовке служб экстренного реагирования, компьютерные тренажёры и симуляторы становятся незаменимы. Цифровизация обучения выгодна всем и имеет ряд преимуществ – это гибкость, доступность, скорость, автоматизация проверки знаний и экономия.</w:t>
      </w:r>
    </w:p>
    <w:p w14:paraId="339CDE04">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Для бизнеса цифровизация – это ключ к новым возможностям. Она упрощает обмен опытом между сотрудниками, повышает эффективность обучения, порождает новые профессии и гибкие формы занятости, а также делает контроль за персоналом более прозрачным, снижая вероятность ошибок, связанных с человеческим фактором  [22]. Автоматизация образования позволяет компаниям быстрее адаптироваться к меняющимся требованиям рынка труда и гарантирует непрерывное развитие компетенций своих сотрудников.</w:t>
      </w:r>
    </w:p>
    <w:p w14:paraId="03682F38">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 xml:space="preserve">Благодаря тому, что поколение Y выросло в цифровой среде и привыкло к постоянному использованию гаджетов, оно демонстрирует наивысшую готовность к освоению цифровых форматов. Это способствует их быстрой адаптации к современным образовательным технологиям </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23</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 xml:space="preserve">. </w:t>
      </w:r>
    </w:p>
    <w:p w14:paraId="5905B4DC">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Основные барьеры – дефицит необходимых компетенций у персонала, нехватка квалифицированных специалистов по внедрению, а также законодательные и политические ограничения, затрудняющие доступ к зарубежным технологиям (особенно в настоящее время). Степень проникновения цифровых инструментов сильно варьируется по отраслям: лидируют банковский сектор, торговля и телекоммуникации [19].</w:t>
      </w:r>
    </w:p>
    <w:p w14:paraId="6936C81E">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В исследованиях, посвящённых цифровой трансформации образования, отражается множество различных подходов. Так, О.В. Ладыкова акцентирует внимание на цифровых технологиях как на базовом средстве развития профессиональных навыков, особо выделяя значимость внутрикорпоративных сетей для обмена информацией и продвижения организационных ценностей [24]. Т.А. Гилева предлагает оценивать готовность компании через категорию «цифровой зрелости», под которой понимается совокупность необходимых ресурсов и умений для внедрения современных образовательных практик. Исследовательница разделяет процесс на две стадии: внедрение E-Learning как технологической основы и последующую цифровизацию, предполагающую адаптацию программ под индивидуальные запросы и создание виртуальных профессиональных сообществ [17]. В свою очередь, В.В. Верна описывает перспективу формирования «образовательной экосистемы» — целостной среды, где различные структуры взаимодействуют для совместного поиска и апробации инновационных подходов к труду в ответ на изменения в экономике [16].</w:t>
      </w:r>
    </w:p>
    <w:p w14:paraId="615DF041">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Подводя итог, можно сказать, что в современной экономике, основанной на знаниях, обучение сотрудников приобретает первостепенное значение. Оно перестаёт быть второстепенной функцией и становится ключевым элементом управления, гарантирующим стабильное развитие компании в долгосрочной перспективе. Использование актуальных подходов, таких как геймификация, индивидуальные образовательные программы и LMS-платформы, позволяет организациям не только оперативно решать текущие кадровые задачи, но и готовить будущих лидеров, тем самым повышая качество управленческих решений</w:t>
      </w:r>
    </w:p>
    <w:p w14:paraId="5F5C3F7A">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p>
    <w:p w14:paraId="28D8E9A6">
      <w:pPr>
        <w:keepNext w:val="0"/>
        <w:keepLines w:val="0"/>
        <w:pageBreakBefore w:val="0"/>
        <w:numPr>
          <w:ilvl w:val="0"/>
          <w:numId w:val="0"/>
        </w:numPr>
        <w:kinsoku/>
        <w:wordWrap/>
        <w:overflowPunct/>
        <w:topLinePunct w:val="0"/>
        <w:autoSpaceDE/>
        <w:autoSpaceDN/>
        <w:bidi w:val="0"/>
        <w:adjustRightInd/>
        <w:snapToGrid/>
        <w:spacing w:line="360" w:lineRule="auto"/>
        <w:ind w:leftChars="125"/>
        <w:jc w:val="center"/>
        <w:textAlignment w:val="auto"/>
        <w:rPr>
          <w:rFonts w:hint="default" w:ascii="Times New Roman" w:hAnsi="Times New Roman"/>
          <w:b/>
          <w:bCs/>
          <w:sz w:val="28"/>
          <w:szCs w:val="28"/>
          <w:vertAlign w:val="baseline"/>
          <w:lang w:val="ru-RU"/>
        </w:rPr>
      </w:pPr>
      <w:r>
        <w:rPr>
          <w:rFonts w:hint="default" w:ascii="Times New Roman" w:hAnsi="Times New Roman"/>
          <w:b/>
          <w:bCs/>
          <w:sz w:val="28"/>
          <w:szCs w:val="28"/>
          <w:lang w:val="ru-RU"/>
        </w:rPr>
        <w:t xml:space="preserve">1.2. </w:t>
      </w:r>
      <w:r>
        <w:rPr>
          <w:rFonts w:hint="default" w:ascii="Times New Roman" w:hAnsi="Times New Roman"/>
          <w:b/>
          <w:bCs/>
          <w:sz w:val="28"/>
          <w:szCs w:val="28"/>
        </w:rPr>
        <w:t>Специфика профессиональных компетенций  тендерных специалистов и современные подходы к их развитию</w:t>
      </w:r>
    </w:p>
    <w:p w14:paraId="3640E35D">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 современной экономике закупки трансформируются из вспомогательной функции, нацеленной на оперативное удовлетворение потребностей производства, в стратегически значимую деятельность, напрямую влияющую на конкурентоспособность бизнеса. Согласно Е.С. Лисиной, ключевыми драйверами этой трансформации выступают цифровизация и санкционное давление, требующие от специалиста перехода от пассивного реагирования к активному формированию рыночных условий. Это предполагает развитие навыков управления рисками, построения партнёрств и стратегического мышления, вытесняющих простое владение регламентами. Как подчёркивает автор, ответом на новый запрос становится разработка специализированных тренингов и системное обновление образовательных программ, позволяющих реализовать стратегический потенциал закупок [25].</w:t>
      </w:r>
    </w:p>
    <w:p w14:paraId="6777C229">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Переход закупочной деятельности  в стратегически значимую влечет за собой и качественное изменение требований к тендерным специалистам (см.табл.1.2.).</w:t>
      </w:r>
    </w:p>
    <w:p w14:paraId="11AA45D6">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005A7E31">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righ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Таблица 1.2. Стуктура профессиональных компетенций тендерного специалиста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2"/>
        <w:gridCol w:w="3729"/>
        <w:gridCol w:w="2841"/>
      </w:tblGrid>
      <w:tr w14:paraId="113C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0AECBC2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Блок компетенций</w:t>
            </w:r>
          </w:p>
        </w:tc>
        <w:tc>
          <w:tcPr>
            <w:tcW w:w="3729" w:type="dxa"/>
          </w:tcPr>
          <w:p w14:paraId="34A92AC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Ключевые составляющие</w:t>
            </w:r>
          </w:p>
        </w:tc>
        <w:tc>
          <w:tcPr>
            <w:tcW w:w="2841" w:type="dxa"/>
          </w:tcPr>
          <w:p w14:paraId="43D49F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Ожидаемый результат</w:t>
            </w:r>
          </w:p>
        </w:tc>
      </w:tr>
      <w:tr w14:paraId="7F7E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1C7034C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Ядро</w:t>
            </w:r>
          </w:p>
          <w:p w14:paraId="7581AF5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ru-RU"/>
              </w:rPr>
              <w:t xml:space="preserve"> </w:t>
            </w:r>
            <w:r>
              <w:rPr>
                <w:rFonts w:hint="default" w:ascii="Times New Roman" w:hAnsi="Times New Roman"/>
                <w:b w:val="0"/>
                <w:bCs w:val="0"/>
                <w:sz w:val="24"/>
                <w:szCs w:val="24"/>
                <w:vertAlign w:val="baseline"/>
                <w:lang w:val="en-US"/>
              </w:rPr>
              <w:t>(Hard skills)</w:t>
            </w:r>
          </w:p>
        </w:tc>
        <w:tc>
          <w:tcPr>
            <w:tcW w:w="3729" w:type="dxa"/>
          </w:tcPr>
          <w:p w14:paraId="79BFE1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Знание 44-ФЗ, 223-ФЗ, ГК РФ</w:t>
            </w:r>
          </w:p>
          <w:p w14:paraId="183D73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Работа в ЕИС и на ЭТП</w:t>
            </w:r>
          </w:p>
          <w:p w14:paraId="78662CE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Владение </w:t>
            </w:r>
            <w:r>
              <w:rPr>
                <w:rFonts w:hint="default" w:ascii="Times New Roman" w:hAnsi="Times New Roman"/>
                <w:b w:val="0"/>
                <w:bCs w:val="0"/>
                <w:sz w:val="24"/>
                <w:szCs w:val="24"/>
                <w:vertAlign w:val="baseline"/>
                <w:lang w:val="en-US"/>
              </w:rPr>
              <w:t xml:space="preserve">Exel, Word, </w:t>
            </w:r>
            <w:r>
              <w:rPr>
                <w:rFonts w:hint="default" w:ascii="Times New Roman" w:hAnsi="Times New Roman"/>
                <w:b w:val="0"/>
                <w:bCs w:val="0"/>
                <w:sz w:val="24"/>
                <w:szCs w:val="24"/>
                <w:vertAlign w:val="baseline"/>
                <w:lang w:val="ru-RU"/>
              </w:rPr>
              <w:t>УКЭП</w:t>
            </w:r>
          </w:p>
        </w:tc>
        <w:tc>
          <w:tcPr>
            <w:tcW w:w="2841" w:type="dxa"/>
          </w:tcPr>
          <w:p w14:paraId="06435AA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Безупречное оформление заявок, соответствие нормативам, эффективная работа в цифровой среде</w:t>
            </w:r>
          </w:p>
        </w:tc>
      </w:tr>
      <w:tr w14:paraId="3403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413E934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Аналитика и экономика</w:t>
            </w:r>
          </w:p>
        </w:tc>
        <w:tc>
          <w:tcPr>
            <w:tcW w:w="3729" w:type="dxa"/>
          </w:tcPr>
          <w:p w14:paraId="2332C4A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Анализ рынка и конкурентов</w:t>
            </w:r>
          </w:p>
          <w:p w14:paraId="27019E4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Расчет рентабельности и себестоимости</w:t>
            </w:r>
          </w:p>
          <w:p w14:paraId="7ED59D1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Оценка вероятности выигрыша</w:t>
            </w:r>
          </w:p>
          <w:p w14:paraId="1566D29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Прогнозирование прибыли</w:t>
            </w:r>
          </w:p>
          <w:p w14:paraId="5C6B2BC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tc>
        <w:tc>
          <w:tcPr>
            <w:tcW w:w="2841" w:type="dxa"/>
          </w:tcPr>
          <w:p w14:paraId="7A741EB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Обоснованный выбор  тендеров, экономическая эффективность участия, превращение затрат в инвестиции</w:t>
            </w:r>
          </w:p>
        </w:tc>
      </w:tr>
      <w:tr w14:paraId="76BD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6412DFF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Soft skills</w:t>
            </w:r>
          </w:p>
        </w:tc>
        <w:tc>
          <w:tcPr>
            <w:tcW w:w="3729" w:type="dxa"/>
          </w:tcPr>
          <w:p w14:paraId="14F3134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Внимание к деталям</w:t>
            </w:r>
          </w:p>
          <w:p w14:paraId="14D59EE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Стрессоустойчивость и многозадачность</w:t>
            </w:r>
          </w:p>
          <w:p w14:paraId="61C0F1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Межфункциональное взаимодействие</w:t>
            </w:r>
          </w:p>
        </w:tc>
        <w:tc>
          <w:tcPr>
            <w:tcW w:w="2841" w:type="dxa"/>
          </w:tcPr>
          <w:p w14:paraId="602F71E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Минимизация рисков отклонения заявок, эффективная коммуникация внутри компании, </w:t>
            </w:r>
          </w:p>
        </w:tc>
      </w:tr>
    </w:tbl>
    <w:p w14:paraId="5B66221E">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right"/>
        <w:textAlignment w:val="auto"/>
        <w:rPr>
          <w:rFonts w:hint="default" w:ascii="Times New Roman" w:hAnsi="Times New Roman"/>
          <w:b w:val="0"/>
          <w:bCs w:val="0"/>
          <w:sz w:val="28"/>
          <w:szCs w:val="28"/>
          <w:vertAlign w:val="baseline"/>
          <w:lang w:val="ru-RU"/>
        </w:rPr>
      </w:pPr>
    </w:p>
    <w:p w14:paraId="6C1B445B">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Ядро компетенций </w:t>
      </w:r>
      <w:r>
        <w:rPr>
          <w:rFonts w:hint="default" w:ascii="Times New Roman" w:hAnsi="Times New Roman"/>
          <w:sz w:val="28"/>
          <w:szCs w:val="28"/>
          <w:vertAlign w:val="baseline"/>
          <w:lang w:val="ru-RU"/>
        </w:rPr>
        <w:t xml:space="preserve">– нормативно - правовая и цифровая грамотность. Базовый уровень профессиональной подготовки –  глубокое знание и понимание законодательной базы. По мнению экспертов </w:t>
      </w:r>
      <w:r>
        <w:rPr>
          <w:rFonts w:hint="default" w:ascii="Times New Roman" w:hAnsi="Times New Roman"/>
          <w:b w:val="0"/>
          <w:bCs w:val="0"/>
          <w:sz w:val="28"/>
          <w:szCs w:val="28"/>
          <w:vertAlign w:val="baseline"/>
          <w:lang w:val="ru-RU"/>
        </w:rPr>
        <w:t xml:space="preserve">BiCoTender, фундаментом профессии является подробное знание Федеральных законов  № 44-ФЗ и № 223-ФЗ. Не менее важно понимание норм Гражданского кодекса, касающихся заключения и исполнения контракт, а также антимонопольного законодательства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26</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 Главное уметь не просто ориентироваться в базовых знаниях, но и отслеживать постоянные изменения, понимать логику их применения на практике.</w:t>
      </w:r>
    </w:p>
    <w:p w14:paraId="3A0BE4A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В условиях, когда все закупки осуществляются в цифровом  формате, цифровая грамотность становится важнейшим требованием к специалистам. Ключевые инструменты включают уверенную работу в Единой информационной системе (ЕИС) на портале zakupki.gov.ru, на электронных торговых площадках (ЭТП), владение усиленной квалифицированной электронной подписью (УКЭП), а также свободное использование текстовых и табличных редакторов (Word, Excel) для подготовки расчётов и аналитических материалов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26</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1586D1E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Эффективное управление закупками требует глубокого аналитического мышления с экономической составляющей. Согласно экспертам РБК, для этого необходимо проводить тщательный анализ рынка закупок, оценивать вероятность успешного исхода тендера, рассчитывать его рентабельность и отслеживать ценовую политику конкурентов. Вместо того чтобы распылять усилия на все доступные процедуры, профессионал осуществляет отбор, ориентируясь на максимальную выгоду и вероятность победы для своей компании</w:t>
      </w:r>
      <w:r>
        <w:rPr>
          <w:rFonts w:hint="default" w:ascii="Times New Roman" w:hAnsi="Times New Roman"/>
          <w:b w:val="0"/>
          <w:bCs w:val="0"/>
          <w:sz w:val="28"/>
          <w:szCs w:val="28"/>
          <w:vertAlign w:val="baseline"/>
          <w:lang w:val="en-US"/>
        </w:rPr>
        <w:t xml:space="preserve"> [27]</w:t>
      </w:r>
      <w:r>
        <w:rPr>
          <w:rFonts w:hint="default" w:ascii="Times New Roman" w:hAnsi="Times New Roman"/>
          <w:b w:val="0"/>
          <w:bCs w:val="0"/>
          <w:sz w:val="28"/>
          <w:szCs w:val="28"/>
          <w:vertAlign w:val="baseline"/>
          <w:lang w:val="ru-RU"/>
        </w:rPr>
        <w:t>. Эксперты BiCoTender подчёркивают, что такой специалист должен быть настоящим экономистом: уметь точно просчитать себестоимость, учесть все дополнительные расходы (на обеспечение, логистику) и спрогнозировать ожидаемую прибыль от контракта. Такой подход трансформирует роль специалиста из простого исполнителя в ценного сотрудника, который активно способствует увеличению прибыли компании, находя наиболее выгодные и перспективные возможности для закупок</w:t>
      </w:r>
      <w:r>
        <w:rPr>
          <w:rFonts w:hint="default" w:ascii="Times New Roman" w:hAnsi="Times New Roman"/>
          <w:b w:val="0"/>
          <w:bCs w:val="0"/>
          <w:sz w:val="28"/>
          <w:szCs w:val="28"/>
          <w:vertAlign w:val="baseline"/>
          <w:lang w:val="en-US"/>
        </w:rPr>
        <w:t xml:space="preserve"> [25]</w:t>
      </w:r>
      <w:r>
        <w:rPr>
          <w:rFonts w:hint="default" w:ascii="Times New Roman" w:hAnsi="Times New Roman"/>
          <w:b w:val="0"/>
          <w:bCs w:val="0"/>
          <w:sz w:val="28"/>
          <w:szCs w:val="28"/>
          <w:vertAlign w:val="baseline"/>
          <w:lang w:val="ru-RU"/>
        </w:rPr>
        <w:t>.</w:t>
      </w:r>
    </w:p>
    <w:p w14:paraId="466469E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Развитие личностных качеств и способность к эффективного взаимодействия также влияет на успех работы тендерного специалиста. BiCoTender относит к числу важнейших качеств дотошность и внимание к деталям </w:t>
      </w:r>
      <w:r>
        <w:rPr>
          <w:rFonts w:hint="default" w:ascii="Times New Roman" w:hAnsi="Times New Roman"/>
          <w:sz w:val="28"/>
          <w:szCs w:val="28"/>
          <w:vertAlign w:val="baseline"/>
          <w:lang w:val="ru-RU"/>
        </w:rPr>
        <w:t xml:space="preserve">– </w:t>
      </w:r>
      <w:r>
        <w:rPr>
          <w:rFonts w:hint="default" w:ascii="Times New Roman" w:hAnsi="Times New Roman"/>
          <w:b w:val="0"/>
          <w:bCs w:val="0"/>
          <w:sz w:val="28"/>
          <w:szCs w:val="28"/>
          <w:vertAlign w:val="baseline"/>
          <w:lang w:val="ru-RU"/>
        </w:rPr>
        <w:t xml:space="preserve">способность глубокого погружения в объёмную документацию в поисках одного слова, которое может повлиять на исход торгов. Высокий уровень стрессоустойчивости, аналитический склад ума и многозадачность также важны, поскольку специалист часто ведёт одновременно несколько тендеров на разных стадиях </w:t>
      </w:r>
      <w:r>
        <w:rPr>
          <w:rFonts w:hint="default" w:ascii="Times New Roman" w:hAnsi="Times New Roman"/>
          <w:b w:val="0"/>
          <w:bCs w:val="0"/>
          <w:sz w:val="28"/>
          <w:szCs w:val="28"/>
          <w:vertAlign w:val="baseline"/>
          <w:lang w:val="en-US"/>
        </w:rPr>
        <w:t>[25]</w:t>
      </w:r>
      <w:r>
        <w:rPr>
          <w:rFonts w:hint="default" w:ascii="Times New Roman" w:hAnsi="Times New Roman"/>
          <w:b w:val="0"/>
          <w:bCs w:val="0"/>
          <w:sz w:val="28"/>
          <w:szCs w:val="28"/>
          <w:vertAlign w:val="baseline"/>
          <w:lang w:val="ru-RU"/>
        </w:rPr>
        <w:t>.</w:t>
      </w:r>
    </w:p>
    <w:p w14:paraId="1C3FCFD5">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Особое значение имеет навык межфункционального взаимодействия. Как отмечается в публикациях РБК, тендерный специалист </w:t>
      </w:r>
      <w:r>
        <w:rPr>
          <w:rFonts w:hint="default" w:ascii="Times New Roman" w:hAnsi="Times New Roman"/>
          <w:sz w:val="28"/>
          <w:szCs w:val="28"/>
          <w:vertAlign w:val="baseline"/>
          <w:lang w:val="ru-RU"/>
        </w:rPr>
        <w:t xml:space="preserve">– связующее звено </w:t>
      </w:r>
      <w:r>
        <w:rPr>
          <w:rFonts w:hint="default" w:ascii="Times New Roman" w:hAnsi="Times New Roman"/>
          <w:b w:val="0"/>
          <w:bCs w:val="0"/>
          <w:sz w:val="28"/>
          <w:szCs w:val="28"/>
          <w:vertAlign w:val="baseline"/>
          <w:lang w:val="ru-RU"/>
        </w:rPr>
        <w:t>между внутренними процессами компании и внешними требованиями. Он  взаимодействует с юристами, отделом закупок, производством, бухгалтерией и коммерческой службой для сбора информации и согласования позиций. От того, насколько быстро и точно он получает данные от коллег, напрямую зависит скорость и качество подготовки успешной заявки</w:t>
      </w:r>
      <w:r>
        <w:rPr>
          <w:rFonts w:hint="default" w:ascii="Times New Roman" w:hAnsi="Times New Roman"/>
          <w:b w:val="0"/>
          <w:bCs w:val="0"/>
          <w:sz w:val="28"/>
          <w:szCs w:val="28"/>
          <w:vertAlign w:val="baseline"/>
          <w:lang w:val="en-US"/>
        </w:rPr>
        <w:t xml:space="preserve"> [27]</w:t>
      </w:r>
      <w:r>
        <w:rPr>
          <w:rFonts w:hint="default" w:ascii="Times New Roman" w:hAnsi="Times New Roman"/>
          <w:b w:val="0"/>
          <w:bCs w:val="0"/>
          <w:sz w:val="28"/>
          <w:szCs w:val="28"/>
          <w:vertAlign w:val="baseline"/>
          <w:lang w:val="ru-RU"/>
        </w:rPr>
        <w:t>.</w:t>
      </w:r>
    </w:p>
    <w:p w14:paraId="3DE7A53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Цифровая трансформация закупок диктует новые стандарты обучения специалистов. Вместо традиционных лекций внедряются комплексные решения, сочетающие теорию с практикой в цифровой среде (см.табл.1.3).</w:t>
      </w:r>
    </w:p>
    <w:p w14:paraId="249C9A0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0C6578F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righ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Таблица 1.3.  Современные подходы к развитию компетенций в сфере закупок</w:t>
      </w:r>
    </w:p>
    <w:tbl>
      <w:tblPr>
        <w:tblStyle w:val="6"/>
        <w:tblW w:w="8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3437"/>
        <w:gridCol w:w="2901"/>
      </w:tblGrid>
      <w:tr w14:paraId="29E4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43085AE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Направление</w:t>
            </w:r>
          </w:p>
        </w:tc>
        <w:tc>
          <w:tcPr>
            <w:tcW w:w="3437" w:type="dxa"/>
          </w:tcPr>
          <w:p w14:paraId="5CEDD70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Образовательные форматы </w:t>
            </w:r>
          </w:p>
        </w:tc>
        <w:tc>
          <w:tcPr>
            <w:tcW w:w="2901" w:type="dxa"/>
          </w:tcPr>
          <w:p w14:paraId="656557A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Примеры реализации</w:t>
            </w:r>
          </w:p>
        </w:tc>
      </w:tr>
      <w:tr w14:paraId="2AB4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4182F4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Системное обучение </w:t>
            </w:r>
          </w:p>
        </w:tc>
        <w:tc>
          <w:tcPr>
            <w:tcW w:w="3437" w:type="dxa"/>
          </w:tcPr>
          <w:p w14:paraId="57660F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Практикумы на учебных ЭТП, тренажёры ЕИС, смешанное обучение, кейсы</w:t>
            </w:r>
          </w:p>
        </w:tc>
        <w:tc>
          <w:tcPr>
            <w:tcW w:w="2901" w:type="dxa"/>
          </w:tcPr>
          <w:p w14:paraId="4D2953C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СФУ (учебная «РТС-тендер») [28]; НИУ ВШЭ (Пермь) (вебинары + практика) [29]</w:t>
            </w:r>
          </w:p>
        </w:tc>
      </w:tr>
      <w:tr w14:paraId="688D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597BD25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Игровые методы и геймификация</w:t>
            </w:r>
          </w:p>
        </w:tc>
        <w:tc>
          <w:tcPr>
            <w:tcW w:w="3437" w:type="dxa"/>
          </w:tcPr>
          <w:p w14:paraId="2E81918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Настольные и онлайн-игры, деловые симуляторы, квесты</w:t>
            </w:r>
          </w:p>
        </w:tc>
        <w:tc>
          <w:tcPr>
            <w:tcW w:w="2901" w:type="dxa"/>
          </w:tcPr>
          <w:p w14:paraId="460282F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ЭТП Аудиториум: «Закупочный детектив» (10 тыс. обученных) [30]; монография Гладилиной, Молокановой [31]</w:t>
            </w:r>
          </w:p>
        </w:tc>
      </w:tr>
      <w:tr w14:paraId="216D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7A2FEF2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Государственные и отраслевые инициативы</w:t>
            </w:r>
          </w:p>
        </w:tc>
        <w:tc>
          <w:tcPr>
            <w:tcW w:w="3437" w:type="dxa"/>
          </w:tcPr>
          <w:p w14:paraId="729FB0C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Программы адаптации, наставничество, бесплатные курсы</w:t>
            </w:r>
          </w:p>
        </w:tc>
        <w:tc>
          <w:tcPr>
            <w:tcW w:w="2901" w:type="dxa"/>
          </w:tcPr>
          <w:p w14:paraId="2CBC15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«Закупщик. Новое поколение» (Госкомитет РТ) [32]; «Школа профессионалов» (ЭТП РЕГИОН, 2500+ участников) [33]</w:t>
            </w:r>
          </w:p>
        </w:tc>
      </w:tr>
    </w:tbl>
    <w:p w14:paraId="2DFB85BE">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1FBCD19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Рассмотрим подробнее каждое направление:</w:t>
      </w:r>
    </w:p>
    <w:p w14:paraId="580171B5">
      <w:pPr>
        <w:keepNext w:val="0"/>
        <w:keepLines w:val="0"/>
        <w:pageBreakBefore w:val="0"/>
        <w:numPr>
          <w:ilvl w:val="0"/>
          <w:numId w:val="5"/>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Системное обучение и работа с цифровыми средами. </w:t>
      </w:r>
    </w:p>
    <w:p w14:paraId="2BF8C9B5">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Ключевым условием является интеграция учебного процесса с реальными электронными торговыми площадками, что способствует развитию практических навыков.В качестве показательного примера можно привести программу профессиональной переподготовки Сибирского федерального университета, которая предоставляет слушателям доступ к учебной ЭТП «РТС-тендер» и тренажёру-иммитатору личного кабинета ЕИС. Аналогичный подход реализуется в программах НИУ ВШЭ, где обучение строится на смешанном формате (очные занятия и вебинары) с отработкой навыков на практических кейсах и анализом документации на предмет рисков. Это даёт возможность освоить все площадки для работы в безопасном варианте, исключая возможность ошибок при реальной работе с закупками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29</w:t>
      </w:r>
      <w:r>
        <w:rPr>
          <w:rFonts w:hint="default" w:ascii="Times New Roman" w:hAnsi="Times New Roman"/>
          <w:b w:val="0"/>
          <w:bCs w:val="0"/>
          <w:sz w:val="28"/>
          <w:szCs w:val="28"/>
          <w:vertAlign w:val="baseline"/>
          <w:lang w:val="en-US"/>
        </w:rPr>
        <w:t>,35]</w:t>
      </w:r>
      <w:r>
        <w:rPr>
          <w:rFonts w:hint="default" w:ascii="Times New Roman" w:hAnsi="Times New Roman"/>
          <w:b w:val="0"/>
          <w:bCs w:val="0"/>
          <w:sz w:val="28"/>
          <w:szCs w:val="28"/>
          <w:vertAlign w:val="baseline"/>
          <w:lang w:val="ru-RU"/>
        </w:rPr>
        <w:t>.</w:t>
      </w:r>
    </w:p>
    <w:p w14:paraId="1F720A78">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Игровые методы и геймификация.</w:t>
      </w:r>
    </w:p>
    <w:p w14:paraId="3FD84A5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 последние годы обучение закупочным процедурам потерпело значительные изменения благодаря внедрению игровых форматов. Проект «Закупочные решения: игровые методы обучения» ЭТП Аудиториум (ЭТП Газпромбанка) предлагает настольные и онлайн-игры, включая «Закупочный детектив» и «Город уже давно спит, а закупщики продолжают работать». Эти игры позволяют безопасно отрабатывать сложные ситуации и анализировать ошибки без негативных последствий для бизнеса. . Проект достиг впечатляющих масштабов: более 10 тысяч специалистов из различных регионов России уже приняли участие в обучении, а сам проект был отмечен премией «Эффективное образование — 2025»</w:t>
      </w:r>
      <w:r>
        <w:rPr>
          <w:rFonts w:hint="default" w:ascii="Times New Roman" w:hAnsi="Times New Roman"/>
          <w:b w:val="0"/>
          <w:bCs w:val="0"/>
          <w:sz w:val="28"/>
          <w:szCs w:val="28"/>
          <w:vertAlign w:val="baseline"/>
          <w:lang w:val="en-US"/>
        </w:rPr>
        <w:t xml:space="preserve"> [3</w:t>
      </w:r>
      <w:r>
        <w:rPr>
          <w:rFonts w:hint="default" w:ascii="Times New Roman" w:hAnsi="Times New Roman"/>
          <w:b w:val="0"/>
          <w:bCs w:val="0"/>
          <w:sz w:val="28"/>
          <w:szCs w:val="28"/>
          <w:vertAlign w:val="baseline"/>
          <w:lang w:val="ru-RU"/>
        </w:rPr>
        <w:t>0</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 xml:space="preserve">. То, что игры полезны для учебы, подтверждают и ученые: в монографии И.П. Гладилиной и Ю.А. Молокановой рассматривается проблема повышения квалификации специалистов в сфере закупок на основе игровых методов и обосновывается необходимость нового образовательного формата для эффективной работы в цифровых системах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31</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62C31532">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Государственные и отраслевые инициативы.</w:t>
      </w:r>
    </w:p>
    <w:p w14:paraId="5C7E95DB">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Региональные власти и ведущие компании активно способствуют обновлению образовательных подходов.  В качестве примера, в Татарстане действует программа «Закупщик. Новое поколение» (Госкомитет РТ по закупкам), эта программа создана для того, чтобы помочь начинающим специалистам успешно адаптироваться. Она объединяет теоретические знания, решение реальных задач и наставничество от опытных экспертов отрасли, а также оказывает помощь выпускникам в трудоустройстве </w:t>
      </w:r>
      <w:r>
        <w:rPr>
          <w:rFonts w:hint="default" w:ascii="Times New Roman" w:hAnsi="Times New Roman"/>
          <w:b w:val="0"/>
          <w:bCs w:val="0"/>
          <w:sz w:val="28"/>
          <w:szCs w:val="28"/>
          <w:vertAlign w:val="baseline"/>
          <w:lang w:val="en-US"/>
        </w:rPr>
        <w:t>[32]</w:t>
      </w:r>
      <w:r>
        <w:rPr>
          <w:rFonts w:hint="default" w:ascii="Times New Roman" w:hAnsi="Times New Roman"/>
          <w:b w:val="0"/>
          <w:bCs w:val="0"/>
          <w:sz w:val="28"/>
          <w:szCs w:val="28"/>
          <w:vertAlign w:val="baseline"/>
          <w:lang w:val="ru-RU"/>
        </w:rPr>
        <w:t>.  Ещё один значимый проект – федеральная «Школа профессионалов» от ЭТП «РЕГИОН». Проект предоставляет бесплатное обучение специалистов по законодательству 223-ФЗ, используя современные цифровые образовательные инструменты, и уже охватил более 2500 участников из 88 регионов страны</w:t>
      </w:r>
      <w:r>
        <w:rPr>
          <w:rFonts w:hint="default" w:ascii="Times New Roman" w:hAnsi="Times New Roman"/>
          <w:b w:val="0"/>
          <w:bCs w:val="0"/>
          <w:sz w:val="28"/>
          <w:szCs w:val="28"/>
          <w:vertAlign w:val="baseline"/>
          <w:lang w:val="en-US"/>
        </w:rPr>
        <w:t xml:space="preserve"> [33]</w:t>
      </w:r>
      <w:r>
        <w:rPr>
          <w:rFonts w:hint="default" w:ascii="Times New Roman" w:hAnsi="Times New Roman"/>
          <w:b w:val="0"/>
          <w:bCs w:val="0"/>
          <w:sz w:val="28"/>
          <w:szCs w:val="28"/>
          <w:vertAlign w:val="baseline"/>
          <w:lang w:val="ru-RU"/>
        </w:rPr>
        <w:t>.</w:t>
      </w:r>
    </w:p>
    <w:p w14:paraId="3574BCB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Итак, тендерный специалист представляет собой гибридного эксперта, объединяющего в себе юридическую подкованность, аналитическое мышление, уверенное владение цифровыми технологиями и мастерство переговорщика. Развитие его компетенций сегодня строится на симбиозе фундаментальных знаний, цифровых инструментов и интерактивных форматов обучения . Это обеспечивает организациям минимизацию потенциальных рисков и существенное повышение результативности их участия в тендерах.</w:t>
      </w:r>
    </w:p>
    <w:p w14:paraId="2436DE1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4C2245F7">
      <w:pPr>
        <w:keepNext w:val="0"/>
        <w:keepLines w:val="0"/>
        <w:pageBreakBefore w:val="0"/>
        <w:numPr>
          <w:ilvl w:val="0"/>
          <w:numId w:val="0"/>
        </w:numPr>
        <w:kinsoku/>
        <w:wordWrap/>
        <w:overflowPunct/>
        <w:topLinePunct w:val="0"/>
        <w:autoSpaceDE/>
        <w:autoSpaceDN/>
        <w:bidi w:val="0"/>
        <w:adjustRightInd/>
        <w:snapToGrid/>
        <w:spacing w:line="360" w:lineRule="auto"/>
        <w:ind w:leftChars="125"/>
        <w:jc w:val="center"/>
        <w:textAlignment w:val="auto"/>
        <w:rPr>
          <w:rFonts w:hint="default" w:ascii="Times New Roman" w:hAnsi="Times New Roman"/>
          <w:b/>
          <w:bCs/>
          <w:sz w:val="28"/>
          <w:szCs w:val="28"/>
        </w:rPr>
      </w:pPr>
      <w:r>
        <w:rPr>
          <w:rFonts w:hint="default" w:ascii="Times New Roman" w:hAnsi="Times New Roman"/>
          <w:b/>
          <w:bCs/>
          <w:sz w:val="28"/>
          <w:szCs w:val="28"/>
          <w:lang w:val="ru-RU"/>
        </w:rPr>
        <w:t xml:space="preserve">1.3. </w:t>
      </w:r>
      <w:r>
        <w:rPr>
          <w:rFonts w:hint="default" w:ascii="Times New Roman" w:hAnsi="Times New Roman"/>
          <w:b/>
          <w:bCs/>
          <w:sz w:val="28"/>
          <w:szCs w:val="28"/>
        </w:rPr>
        <w:t>Методологические подходы к оценке эффективности обучения тендерных специалистов</w:t>
      </w:r>
    </w:p>
    <w:p w14:paraId="1369E272">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 современном HR-менеджменте обучение персонала это не просто затраты, а стратегические инвестиции. Для тендерных специалистов это особенно важно, так как их работа напрямую влияет на финансовые показатели. Согласно РБК, внедрение системного обучения и аналитики значительно могут повысить эффективность тендерного отдела – рост конверсии вырастет с 8% до 25%, а доля госзакупок – с 15% до 42% [35]. Но чтобы эти инвестиции были оправданы, нужна надёжная система оценки эффективности обучения.</w:t>
      </w:r>
    </w:p>
    <w:p w14:paraId="1226645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Эффективность обучения – это соотношение результата и затраченных на его достижение ресурсов. Методология оценки опирается на ряд принципов: объективность, надёжность (стабильность результатов), достоверность (точность отображения реальности), комплексность (всесторонний анализ) и прогнозируемость (способность предвидеть) [36, с.81].</w:t>
      </w:r>
    </w:p>
    <w:p w14:paraId="44BF6F8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Оценить, насколько эффективно обучение в сфере закупок, довольно сложно. Во-первых, влияние внешних обстоятельств (изменение законодательства, рыночная конъюнктура и тд.) сложно отделить от эффекта обучения. Во-вторых, новые знания не дают мгновенного эффекта. В-третьих, тяжело выделить «чистый» вклад обучения в улучшение показателей на фоне других факторов, таких как мотивация или изменения в организации [37].</w:t>
      </w:r>
    </w:p>
    <w:p w14:paraId="1DDFBE16">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С.Келман в своём исследовании показал, что процент выигранных тендеров сильно меняется из-за общей экономической ситуации и сезонности бюджетных расходов [43]. Чтобы получить более точную оценку, западные специалисты предлагают сравнивать тех, кто учился, с теми, кто не учился. Это поможет понять что именно дало обучение, а не внешние обстоятельства [44, с.45].</w:t>
      </w:r>
    </w:p>
    <w:p w14:paraId="509894B9">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Существует несколько классических моделей оценки эффективности обучения. Наиболее распространённая – модель Д.Киркпатрика, разработанная в 1950-х годах.  Она предполагает последовательную оценку на четырёх уровнях: реакция, усвоение, поведение, результаты. Первый уровень измеряет удовлетворённость участников обучением, второй оценивает прирост знаний посредством тестирования, третий выявляет степень применения знаний на работе, четвёртый определяет влияние обучения на бизнес-показатели </w:t>
      </w:r>
      <w:r>
        <w:rPr>
          <w:rFonts w:hint="default" w:ascii="Times New Roman" w:hAnsi="Times New Roman"/>
          <w:b w:val="0"/>
          <w:bCs w:val="0"/>
          <w:sz w:val="28"/>
          <w:szCs w:val="28"/>
          <w:vertAlign w:val="baseline"/>
          <w:lang w:val="en-US"/>
        </w:rPr>
        <w:t>[38]</w:t>
      </w:r>
      <w:r>
        <w:rPr>
          <w:rFonts w:hint="default" w:ascii="Times New Roman" w:hAnsi="Times New Roman"/>
          <w:b w:val="0"/>
          <w:bCs w:val="0"/>
          <w:sz w:val="28"/>
          <w:szCs w:val="28"/>
          <w:vertAlign w:val="baseline"/>
          <w:lang w:val="ru-RU"/>
        </w:rPr>
        <w:t>.</w:t>
      </w:r>
    </w:p>
    <w:p w14:paraId="0C23CE6F">
      <w:pPr>
        <w:keepNext w:val="0"/>
        <w:keepLines w:val="0"/>
        <w:pageBreakBefore w:val="0"/>
        <w:numPr>
          <w:ilvl w:val="0"/>
          <w:numId w:val="6"/>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Модель Дж. Филлипса (ROI) дополняет подход Киркпатрика, добавляя пятый уровень — возврат на инвестиции. Данная модель позволяет рассчитать, сколько единиц прибыли приносит каждая единица валюты, вложенная в обучение [37].</w:t>
      </w:r>
    </w:p>
    <w:p w14:paraId="5C254D78">
      <w:pPr>
        <w:keepNext w:val="0"/>
        <w:keepLines w:val="0"/>
        <w:pageBreakBefore w:val="0"/>
        <w:numPr>
          <w:ilvl w:val="0"/>
          <w:numId w:val="0"/>
        </w:numPr>
        <w:kinsoku/>
        <w:wordWrap/>
        <w:overflowPunct/>
        <w:topLinePunct w:val="0"/>
        <w:autoSpaceDE/>
        <w:autoSpaceDN/>
        <w:bidi w:val="0"/>
        <w:adjustRightInd/>
        <w:snapToGrid/>
        <w:spacing w:line="360" w:lineRule="auto"/>
        <w:ind w:leftChars="125"/>
        <w:jc w:val="both"/>
        <w:textAlignment w:val="auto"/>
        <w:rPr>
          <w:rFonts w:hint="default" w:ascii="Times New Roman" w:hAnsi="Times New Roman"/>
          <w:b w:val="0"/>
          <w:bCs w:val="0"/>
          <w:sz w:val="28"/>
          <w:szCs w:val="28"/>
          <w:lang w:val="ru-RU"/>
        </w:rPr>
      </w:pPr>
    </w:p>
    <w:p w14:paraId="6BD61D9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Расчёт ROI производится по формуле:</w:t>
      </w:r>
    </w:p>
    <w:p w14:paraId="574C3465">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lang w:val="ru-RU"/>
        </w:rPr>
      </w:pPr>
    </w:p>
    <w:p w14:paraId="3EDEFD86">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both"/>
        <w:textAlignment w:val="auto"/>
        <w:rPr>
          <w:rFonts w:hint="default" w:hAnsi="Cambria Math" w:cstheme="minorBidi"/>
          <w:b w:val="0"/>
          <w:i w:val="0"/>
          <w:sz w:val="24"/>
          <w:szCs w:val="24"/>
          <w:lang w:val="ru-RU" w:eastAsia="zh-CN" w:bidi="ar-SA"/>
        </w:rPr>
      </w:pPr>
      <m:oMathPara>
        <m:oMath>
          <m:r>
            <m:rPr>
              <m:sty m:val="p"/>
            </m:rPr>
            <w:rPr>
              <w:rFonts w:hint="default" w:ascii="Cambria Math" w:hAnsi="Cambria Math" w:cstheme="minorBidi"/>
              <w:sz w:val="24"/>
              <w:szCs w:val="24"/>
              <w:lang w:val="en-US" w:eastAsia="zh-CN" w:bidi="ar-SA"/>
            </w:rPr>
            <m:t>ROI=(</m:t>
          </m:r>
          <m:f>
            <m:fPr>
              <m:ctrlPr>
                <w:rPr>
                  <w:rFonts w:hint="default" w:ascii="Cambria Math" w:hAnsi="Cambria Math" w:cstheme="minorBidi"/>
                  <w:b w:val="0"/>
                  <w:bCs w:val="0"/>
                  <w:i w:val="0"/>
                  <w:iCs/>
                  <w:sz w:val="24"/>
                  <w:szCs w:val="24"/>
                  <w:lang w:val="en-US" w:eastAsia="zh-CN" w:bidi="ar-SA"/>
                </w:rPr>
              </m:ctrlPr>
            </m:fPr>
            <m:num>
              <m:r>
                <m:rPr>
                  <m:sty m:val="p"/>
                </m:rPr>
                <w:rPr>
                  <w:rFonts w:hint="default" w:ascii="Cambria Math" w:hAnsi="Cambria Math" w:cstheme="minorBidi"/>
                  <w:sz w:val="24"/>
                  <w:szCs w:val="24"/>
                  <w:lang w:val="ru-RU" w:eastAsia="zh-CN" w:bidi="ar-SA"/>
                </w:rPr>
                <m:t>Доходы от обучения − Затраты</m:t>
              </m:r>
              <m:ctrlPr>
                <w:rPr>
                  <w:rFonts w:hint="default" w:ascii="Cambria Math" w:hAnsi="Cambria Math" w:cstheme="minorBidi"/>
                  <w:b w:val="0"/>
                  <w:bCs w:val="0"/>
                  <w:i w:val="0"/>
                  <w:iCs/>
                  <w:sz w:val="24"/>
                  <w:szCs w:val="24"/>
                  <w:lang w:val="en-US" w:eastAsia="zh-CN" w:bidi="ar-SA"/>
                </w:rPr>
              </m:ctrlPr>
            </m:num>
            <m:den>
              <m:r>
                <m:rPr>
                  <m:sty m:val="p"/>
                </m:rPr>
                <w:rPr>
                  <w:rFonts w:hint="default" w:ascii="Cambria Math" w:hAnsi="Cambria Math" w:cstheme="minorBidi"/>
                  <w:sz w:val="24"/>
                  <w:szCs w:val="24"/>
                  <w:lang w:val="ru-RU" w:eastAsia="zh-CN" w:bidi="ar-SA"/>
                </w:rPr>
                <m:t>Затраты</m:t>
              </m:r>
              <m:ctrlPr>
                <w:rPr>
                  <w:rFonts w:hint="default" w:ascii="Cambria Math" w:hAnsi="Cambria Math" w:cstheme="minorBidi"/>
                  <w:b w:val="0"/>
                  <w:bCs w:val="0"/>
                  <w:i w:val="0"/>
                  <w:iCs/>
                  <w:sz w:val="24"/>
                  <w:szCs w:val="24"/>
                  <w:lang w:val="en-US" w:eastAsia="zh-CN" w:bidi="ar-SA"/>
                </w:rPr>
              </m:ctrlPr>
            </m:den>
          </m:f>
          <m:r>
            <m:rPr>
              <m:sty m:val="p"/>
            </m:rPr>
            <w:rPr>
              <w:rFonts w:hint="default" w:ascii="Cambria Math" w:hAnsi="Cambria Math" w:cstheme="minorBidi"/>
              <w:sz w:val="24"/>
              <w:szCs w:val="24"/>
              <w:lang w:val="en-US" w:eastAsia="zh-CN" w:bidi="ar-SA"/>
            </w:rPr>
            <m:t>)</m:t>
          </m:r>
          <m:r>
            <m:rPr>
              <m:sty m:val="p"/>
            </m:rPr>
            <w:rPr>
              <w:rFonts w:hint="default" w:ascii="Cambria Math" w:hAnsi="Cambria Math" w:cstheme="minorBidi"/>
              <w:sz w:val="24"/>
              <w:szCs w:val="24"/>
              <w:lang w:val="ru-RU" w:eastAsia="zh-CN" w:bidi="ar-SA"/>
            </w:rPr>
            <m:t>∗100%</m:t>
          </m:r>
        </m:oMath>
      </m:oMathPara>
    </w:p>
    <w:p w14:paraId="196E25A9">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both"/>
        <w:textAlignment w:val="auto"/>
        <w:rPr>
          <w:rFonts w:hint="default" w:hAnsi="Cambria Math" w:cstheme="minorBidi"/>
          <w:b w:val="0"/>
          <w:i w:val="0"/>
          <w:sz w:val="24"/>
          <w:szCs w:val="24"/>
          <w:lang w:val="ru-RU" w:eastAsia="zh-CN" w:bidi="ar-SA"/>
        </w:rPr>
      </w:pPr>
    </w:p>
    <w:p w14:paraId="666DC42C">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Использование модели Филлипса сталкивается с рядом трудностей. Во-первых, это процесс, требующий значительных временных затрат. Во-вторых, существует сложность в отделении истинного эффекта обучения от влияния посторонних факторов, что затрудняет точную оценку.</w:t>
      </w:r>
    </w:p>
    <w:p w14:paraId="11651DAC">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Важно понимать, что не все программы требуют оценки по пятому уровню. Согласно рекомендациям Джека Филлипса, оценка по различным уровням должна применяться дифференцированно: 90-100% программ оцениваются по 1-му уровню, 40-60% – по 2-му, 30% – по 3-му, 10-20% – по 4-му, и только 5-10% наиболее стратегически значимых и дорогостоящих программ требуют расчёта ROI [</w:t>
      </w:r>
      <w:r>
        <w:rPr>
          <w:rFonts w:hint="default" w:ascii="Times New Roman" w:hAnsi="Times New Roman"/>
          <w:b w:val="0"/>
          <w:bCs w:val="0"/>
          <w:sz w:val="28"/>
          <w:szCs w:val="28"/>
          <w:vertAlign w:val="baseline"/>
          <w:lang w:val="en-US"/>
        </w:rPr>
        <w:t>39</w:t>
      </w:r>
      <w:r>
        <w:rPr>
          <w:rFonts w:hint="default" w:ascii="Times New Roman" w:hAnsi="Times New Roman"/>
          <w:b w:val="0"/>
          <w:bCs w:val="0"/>
          <w:sz w:val="28"/>
          <w:szCs w:val="28"/>
          <w:vertAlign w:val="baseline"/>
          <w:lang w:val="ru-RU"/>
        </w:rPr>
        <w:t>].</w:t>
      </w:r>
    </w:p>
    <w:p w14:paraId="2F5D51AB">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Чтобы обучение действительно приносило пользу и постоянно совершенствовалось, важно оценивать результативность. Выделяют следующие ключевые этапы:</w:t>
      </w:r>
    </w:p>
    <w:p w14:paraId="2D030DB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1. Предварительная оценка: проводится с целью определения текущего уровня компетенций  и выявления пробелов. Для этого используются тесты по законодательной базе, анализ рабочих показателей, беседы с руководством. </w:t>
      </w:r>
    </w:p>
    <w:p w14:paraId="726DFF7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2. Текущая оценка: направлена на контроль усвоения материала и оперативную корректировку программы. Применяются практические задания, разбор реальных ситуаций и деловые игры.</w:t>
      </w:r>
    </w:p>
    <w:p w14:paraId="7C1C9A40">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3. Итоговая оценка: состоит из двух частей – оценка реакции обучающихся (анкеты удовлетворённости) и оценки усвоения знаний (повторные тесты, экзамены)</w:t>
      </w:r>
    </w:p>
    <w:p w14:paraId="2A06B65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4. Отсроченная оценка (через 3-6 месяцев): наблюдение за поведением на рабочем месте, оценка со стороны руководства, анализ динамики ключевых показателей результативности. На этом этапе можно определить, произошло ли реальное внедрение знаний в практику и как это отразилось на бизнес-процессах [35].</w:t>
      </w:r>
    </w:p>
    <w:p w14:paraId="0A343BA0">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Для полной оценки деятельности тендерного отдела необходима система метрик, которая будет охватывать все ключевые направления его деятельности. Исследование А.Г.Николаевой в сфере закупок показало, что нет единого стандарта показателей для оценки, что требует адаптации существующих подходов к специфике конкретного предприятия [40]. </w:t>
      </w:r>
    </w:p>
    <w:p w14:paraId="4312A51A">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Основываясь на изученных материалах и практическом опыте, предлагается следующая система показателей для оценки эффективности обучения специалистов по закупкам</w:t>
      </w:r>
      <w:r>
        <w:rPr>
          <w:rFonts w:hint="default" w:ascii="Times New Roman" w:hAnsi="Times New Roman"/>
          <w:b w:val="0"/>
          <w:bCs w:val="0"/>
          <w:sz w:val="28"/>
          <w:szCs w:val="28"/>
          <w:vertAlign w:val="baseline"/>
          <w:lang w:val="en-US"/>
        </w:rPr>
        <w:t xml:space="preserve"> (</w:t>
      </w:r>
      <w:r>
        <w:rPr>
          <w:rFonts w:hint="default" w:ascii="Times New Roman" w:hAnsi="Times New Roman"/>
          <w:b w:val="0"/>
          <w:bCs w:val="0"/>
          <w:sz w:val="28"/>
          <w:szCs w:val="28"/>
          <w:vertAlign w:val="baseline"/>
          <w:lang w:val="ru-RU"/>
        </w:rPr>
        <w:t>см.табл.1.4</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5176C871">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25BA0D7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righ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Таблица 1.4.  Система показателей оценки эффективности обучения тендерных специалистов</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3832"/>
        <w:gridCol w:w="2381"/>
      </w:tblGrid>
      <w:tr w14:paraId="297C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67E23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Группа показателей</w:t>
            </w:r>
          </w:p>
        </w:tc>
        <w:tc>
          <w:tcPr>
            <w:tcW w:w="3832" w:type="dxa"/>
          </w:tcPr>
          <w:p w14:paraId="7D7A743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Примеры метрик</w:t>
            </w:r>
          </w:p>
        </w:tc>
        <w:tc>
          <w:tcPr>
            <w:tcW w:w="2381" w:type="dxa"/>
          </w:tcPr>
          <w:p w14:paraId="2845C6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Метод сбора</w:t>
            </w:r>
          </w:p>
        </w:tc>
      </w:tr>
      <w:tr w14:paraId="02E1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3D65411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p w14:paraId="0C54EC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Показатели результативности</w:t>
            </w:r>
          </w:p>
        </w:tc>
        <w:tc>
          <w:tcPr>
            <w:tcW w:w="3832" w:type="dxa"/>
          </w:tcPr>
          <w:p w14:paraId="184C897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Конверсия (соотношение поданных заявок к выигранным); доля госзакупок в общем обороте; доля выигранных НМЦК; средняя рентабельность выигранных контрактов</w:t>
            </w:r>
          </w:p>
        </w:tc>
        <w:tc>
          <w:tcPr>
            <w:tcW w:w="2381" w:type="dxa"/>
          </w:tcPr>
          <w:p w14:paraId="3CEA050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CRM</w:t>
            </w:r>
            <w:r>
              <w:rPr>
                <w:rFonts w:hint="default" w:ascii="Times New Roman" w:hAnsi="Times New Roman"/>
                <w:b w:val="0"/>
                <w:bCs w:val="0"/>
                <w:sz w:val="24"/>
                <w:szCs w:val="24"/>
                <w:vertAlign w:val="baseline"/>
                <w:lang w:val="ru-RU"/>
              </w:rPr>
              <w:t xml:space="preserve">-система,  финансовая отчетность, отчеты тендерного отдела </w:t>
            </w:r>
            <w:r>
              <w:rPr>
                <w:rFonts w:hint="default" w:ascii="Times New Roman" w:hAnsi="Times New Roman"/>
                <w:b w:val="0"/>
                <w:bCs w:val="0"/>
                <w:sz w:val="24"/>
                <w:szCs w:val="24"/>
                <w:vertAlign w:val="baseline"/>
                <w:lang w:val="en-US"/>
              </w:rPr>
              <w:t>[35]</w:t>
            </w:r>
          </w:p>
        </w:tc>
      </w:tr>
      <w:tr w14:paraId="691D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0F7B4C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p w14:paraId="5C58A98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Показатели качества процессов</w:t>
            </w:r>
          </w:p>
        </w:tc>
        <w:tc>
          <w:tcPr>
            <w:tcW w:w="3832" w:type="dxa"/>
          </w:tcPr>
          <w:p w14:paraId="38301B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Количество отклоненных заявок по вине отдела; доля закупок с нарушением дедлайна; количество замечаний внутреннего аудита; количество выигранных жалоб в ФАС</w:t>
            </w:r>
          </w:p>
        </w:tc>
        <w:tc>
          <w:tcPr>
            <w:tcW w:w="2381" w:type="dxa"/>
          </w:tcPr>
          <w:p w14:paraId="731ADFE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Реестры закупок, протоколы ФАС, данные ЭТП</w:t>
            </w:r>
          </w:p>
        </w:tc>
      </w:tr>
      <w:tr w14:paraId="1AC6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7C8FF3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p w14:paraId="0A384FC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Показатели развития персонала </w:t>
            </w:r>
          </w:p>
        </w:tc>
        <w:tc>
          <w:tcPr>
            <w:tcW w:w="3832" w:type="dxa"/>
          </w:tcPr>
          <w:p w14:paraId="0BB177A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Уровень владения компетенциями; доля сотрудников, прошедших обучение и подтвердивших повышение квалификации; индекс удовлетворенности обучением</w:t>
            </w:r>
          </w:p>
        </w:tc>
        <w:tc>
          <w:tcPr>
            <w:tcW w:w="2381" w:type="dxa"/>
          </w:tcPr>
          <w:p w14:paraId="003F20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Результаты тестирования, опросы, кадровая отчётность </w:t>
            </w:r>
            <w:r>
              <w:rPr>
                <w:rFonts w:hint="default" w:ascii="Times New Roman" w:hAnsi="Times New Roman"/>
                <w:b w:val="0"/>
                <w:bCs w:val="0"/>
                <w:sz w:val="24"/>
                <w:szCs w:val="24"/>
                <w:vertAlign w:val="baseline"/>
                <w:lang w:val="en-US"/>
              </w:rPr>
              <w:t>[40]</w:t>
            </w:r>
          </w:p>
        </w:tc>
      </w:tr>
      <w:tr w14:paraId="505F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EAC0E8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en-US"/>
              </w:rPr>
            </w:pPr>
          </w:p>
          <w:p w14:paraId="1D1DDFB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en-US"/>
              </w:rPr>
              <w:t>HR</w:t>
            </w:r>
            <w:r>
              <w:rPr>
                <w:rFonts w:hint="default" w:ascii="Times New Roman" w:hAnsi="Times New Roman"/>
                <w:b w:val="0"/>
                <w:bCs w:val="0"/>
                <w:sz w:val="24"/>
                <w:szCs w:val="24"/>
                <w:vertAlign w:val="baseline"/>
                <w:lang w:val="ru-RU"/>
              </w:rPr>
              <w:t>-показатели процесса обучения</w:t>
            </w:r>
          </w:p>
        </w:tc>
        <w:tc>
          <w:tcPr>
            <w:tcW w:w="3832" w:type="dxa"/>
          </w:tcPr>
          <w:p w14:paraId="49B840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Доля успешно прошедших итоговый контроль; удовлетворённость руководителей программ обучения; стоимость обучения на одного сотрудника; среднее количество часов обучения на одного сотрудника</w:t>
            </w:r>
          </w:p>
        </w:tc>
        <w:tc>
          <w:tcPr>
            <w:tcW w:w="2381" w:type="dxa"/>
          </w:tcPr>
          <w:p w14:paraId="2BAA15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ru-RU"/>
              </w:rPr>
              <w:t xml:space="preserve">Кадровая отчётность, опросы руководителей, бюджетирование </w:t>
            </w:r>
            <w:r>
              <w:rPr>
                <w:rFonts w:hint="default" w:ascii="Times New Roman" w:hAnsi="Times New Roman"/>
                <w:b w:val="0"/>
                <w:bCs w:val="0"/>
                <w:sz w:val="24"/>
                <w:szCs w:val="24"/>
                <w:vertAlign w:val="baseline"/>
                <w:lang w:val="en-US"/>
              </w:rPr>
              <w:t>[41]</w:t>
            </w:r>
          </w:p>
        </w:tc>
      </w:tr>
    </w:tbl>
    <w:p w14:paraId="096DFC4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752A023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Эффективность обучения тендерных специалистов оценивается с помощью различных инструментов сбора данных, выбор которых зависит от поставленных задач. Методы сбора данных и инструменты оценки можно разделить следующим образом:</w:t>
      </w:r>
    </w:p>
    <w:p w14:paraId="6BFCAF7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Количественные методы:</w:t>
      </w:r>
    </w:p>
    <w:p w14:paraId="398A0805">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Статистический анализ: оценка воронки продаж, коэффициента конверсии и процента  успешных сделок до/после обучения;</w:t>
      </w:r>
    </w:p>
    <w:p w14:paraId="72DCF5B9">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Финансовая оценка обучения: расчёт возврата инвестиций (ROI) по методике Д.Филлипса;</w:t>
      </w:r>
    </w:p>
    <w:p w14:paraId="6A380093">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Оценка знаний: проведение тестирования (входное/выходное) для изменения прироста знаний;</w:t>
      </w:r>
    </w:p>
    <w:p w14:paraId="061D26CE">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Сбор обратной связи: изучение подготовленных тендерных заявок, жалоб и законченных договоров с использованием шкал Лайкерта.</w:t>
      </w:r>
    </w:p>
    <w:p w14:paraId="39541E51">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Качественные методы:</w:t>
      </w:r>
    </w:p>
    <w:p w14:paraId="47EE9ECB">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Интервью: беседы по компетенциям с сотрудникам и их руководителями;</w:t>
      </w:r>
    </w:p>
    <w:p w14:paraId="7681D761">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Ассессмент-центр: деловые игры, кейсы для оценки навыков </w:t>
      </w:r>
    </w:p>
    <w:p w14:paraId="7DBCB208">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Оценка «360 градусов»: комплексная оценка со стороны руководства, коллег и подчинённых;</w:t>
      </w:r>
    </w:p>
    <w:p w14:paraId="0C03BFB3">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Анализ результатов работы: изучение подготовленных заявок, жалоб и договоров </w:t>
      </w:r>
      <w:r>
        <w:rPr>
          <w:rFonts w:hint="default" w:ascii="Times New Roman" w:hAnsi="Times New Roman"/>
          <w:b w:val="0"/>
          <w:bCs w:val="0"/>
          <w:sz w:val="28"/>
          <w:szCs w:val="28"/>
          <w:vertAlign w:val="baseline"/>
          <w:lang w:val="en-US"/>
        </w:rPr>
        <w:t>[38</w:t>
      </w:r>
      <w:r>
        <w:rPr>
          <w:rFonts w:hint="default" w:ascii="Times New Roman" w:hAnsi="Times New Roman"/>
          <w:b w:val="0"/>
          <w:bCs w:val="0"/>
          <w:sz w:val="28"/>
          <w:szCs w:val="28"/>
          <w:vertAlign w:val="baseline"/>
          <w:lang w:val="ru-RU"/>
        </w:rPr>
        <w:t>,41,35</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5419B86A">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Комбинированные подходы предполагают использование нескольких методов одновременно для получения более достоверных результатов. Например, можно сопоставить данные тестирования с реальными показателями деятельности или использовать контрольные группы для выделения чистого эффекта обучения </w:t>
      </w:r>
      <w:r>
        <w:rPr>
          <w:rFonts w:hint="default" w:ascii="Times New Roman" w:hAnsi="Times New Roman"/>
          <w:b w:val="0"/>
          <w:bCs w:val="0"/>
          <w:sz w:val="28"/>
          <w:szCs w:val="28"/>
          <w:vertAlign w:val="baseline"/>
          <w:lang w:val="en-US"/>
        </w:rPr>
        <w:t>[41]</w:t>
      </w:r>
      <w:r>
        <w:rPr>
          <w:rFonts w:hint="default" w:ascii="Times New Roman" w:hAnsi="Times New Roman"/>
          <w:b w:val="0"/>
          <w:bCs w:val="0"/>
          <w:sz w:val="28"/>
          <w:szCs w:val="28"/>
          <w:vertAlign w:val="baseline"/>
          <w:lang w:val="ru-RU"/>
        </w:rPr>
        <w:t>.</w:t>
      </w:r>
    </w:p>
    <w:p w14:paraId="7CC237AA">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Внедрение системы оценки эффективности обучения на практике сталкивается с рядом трудностей:</w:t>
      </w:r>
    </w:p>
    <w:p w14:paraId="5BEC4F23">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1. Методологические проблемы: отсутствие единого стандарта показателей, задержка во времени между обучением и проявлением его результатов, трудность в определении вклада обучения в общий успех (т.к. влияют многочисленные факторы) </w:t>
      </w:r>
    </w:p>
    <w:p w14:paraId="67E6409B">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2. Организационные проблемы: существенные временные и финансовые затраты на проведение всесторонней оценки, сопротивление сотрудников (страх перед оценкой, непонимание целей), отсутствие единой системы хранения данных </w:t>
      </w:r>
    </w:p>
    <w:p w14:paraId="20B169B3">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3. Проблема изоляции эффектов обучения</w:t>
      </w:r>
    </w:p>
    <w:p w14:paraId="751896AF">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Для преодоления этих ограничений рекомендуется использовать комбинацию различных методов оценки, поэтапно внедрять оценочные процедуры, объяснять сотрудникам цели и автоматизировать сбор и анализ данных (например, с помощью CRM-систем).</w:t>
      </w:r>
    </w:p>
    <w:p w14:paraId="3F823CE5">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Анализ показал, что оценка эффективности обучения специалистов по тендерам должна быть комплексной и многогранной. Она должна охватывать реакцию участников, усвоение знаний, изменения в поведении и, главное, бизнес-результаты. В основе лежит модель Киркпатрика из четырёх уровней, а для наиболее важных программ добавляется расчёт ROI по методике Филлипса. Важно проводить отложенную оценку (через 3-6 месяцев) для выявления реальных изменений в работе. Система показателей должна быть сбалансированной, учитывая не только бизнес-результаты, но и качество процессов и развитие сотрудников. Цель – создать непрерывный цикл «диагностика - обучение - оценка - корректировка», чтобы обучение стало инвестицией, повышающей конкурентоспособность компании в закупках.</w:t>
      </w:r>
    </w:p>
    <w:p w14:paraId="54FBE68D">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p>
    <w:p w14:paraId="6DFE3CA9">
      <w:pPr>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br w:type="page"/>
      </w:r>
    </w:p>
    <w:p w14:paraId="38A2800C">
      <w:pPr>
        <w:keepNext w:val="0"/>
        <w:keepLines w:val="0"/>
        <w:pageBreakBefore w:val="0"/>
        <w:numPr>
          <w:ilvl w:val="0"/>
          <w:numId w:val="0"/>
        </w:numPr>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sz w:val="28"/>
          <w:szCs w:val="28"/>
          <w:vertAlign w:val="baseline"/>
          <w:lang w:val="ru-RU"/>
        </w:rPr>
      </w:pPr>
      <w:r>
        <w:rPr>
          <w:rFonts w:hint="default" w:ascii="Times New Roman" w:hAnsi="Times New Roman"/>
          <w:b/>
          <w:bCs/>
          <w:sz w:val="28"/>
          <w:szCs w:val="28"/>
          <w:vertAlign w:val="baseline"/>
          <w:lang w:val="ru-RU"/>
        </w:rPr>
        <w:t>Выводы по первой главе</w:t>
      </w:r>
    </w:p>
    <w:p w14:paraId="140424C4">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Теоретическое исследование показало, что подготовка тендерных специалистов выступает важным элементом, определяющим успешность деятельности компании. Это обусловлено тем, что уровень профессионализма данных сотрудников прямо сказывается на эффективности всей системы закупок. Ошибки в подготовке документации или нарушение установленных законодательством норм могут повлечь за собой не только срыв контрактов, но репутационные потери. Следовательно, совершенствование системы обучения данной категории персонала становится актуальной задачей.</w:t>
      </w:r>
    </w:p>
    <w:p w14:paraId="3580E5C7">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sz w:val="28"/>
          <w:szCs w:val="28"/>
          <w:vertAlign w:val="baseline"/>
          <w:lang w:val="ru-RU"/>
        </w:rPr>
        <w:t xml:space="preserve">Анализ профессиональных компетенций тендерных специалистов выявил их комплексный характер. Навыки включают в себя знание законодательства (в частности, 44-ФЗ и 223-ФЗ), экономические аспекты (определение НМЦК, анализ прибыльности), владение цифровыми инструментами и торговыми площадками. Учитывая такую структуру требуемых компетенций, необходимо сместить акцент с устаревших методов обучения на программы, ориентированные на практику и формирующие </w:t>
      </w:r>
      <w:r>
        <w:rPr>
          <w:rFonts w:hint="default" w:ascii="Times New Roman" w:hAnsi="Times New Roman"/>
          <w:b w:val="0"/>
          <w:bCs w:val="0"/>
          <w:color w:val="000000" w:themeColor="text1"/>
          <w:sz w:val="28"/>
          <w:szCs w:val="28"/>
          <w:vertAlign w:val="baseline"/>
          <w:lang w:val="ru-RU"/>
          <w14:textFill>
            <w14:solidFill>
              <w14:schemeClr w14:val="tx1"/>
            </w14:solidFill>
          </w14:textFill>
        </w:rPr>
        <w:t xml:space="preserve"> навыки применения знаний в реальных закупочных процедурах.</w:t>
      </w:r>
    </w:p>
    <w:p w14:paraId="7197E103">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color w:val="000000" w:themeColor="text1"/>
          <w:sz w:val="28"/>
          <w:szCs w:val="28"/>
          <w:vertAlign w:val="baseline"/>
          <w:lang w:val="ru-RU"/>
          <w14:textFill>
            <w14:solidFill>
              <w14:schemeClr w14:val="tx1"/>
            </w14:solidFill>
          </w14:textFill>
        </w:rPr>
        <w:t>Анализ существующих методик оценки эффективности обучения выявил необходимость корректировки традиционных моделей Д.Киркпатрика и Филлипса в контексте профессиональной подготовки. Ключевые трудности обусловлены воздействием обстоятельств, независящих от учебного процесса (рыночная конъюнктура, изменения законодательства) и сложностью выделения «чистого» эффекта обучения. Исследование международного опыта позволило определить актуальность направления: анализ активности сотрудников на электронных цифровых площадках и использование сравнительных групп для оценки.</w:t>
      </w:r>
    </w:p>
    <w:p w14:paraId="295395D2">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color w:val="000000" w:themeColor="text1"/>
          <w:sz w:val="28"/>
          <w:szCs w:val="28"/>
          <w:vertAlign w:val="baseline"/>
          <w:lang w:val="ru-RU"/>
          <w14:textFill>
            <w14:solidFill>
              <w14:schemeClr w14:val="tx1"/>
            </w14:solidFill>
          </w14:textFill>
        </w:rPr>
        <w:t>В результате синтеза существующих подходов была создана система критериев, определяющих эффективность обучения. Она включает в себя количественные показатели, качественные  характеристики и бизнес-критерии. Такой подход обеспечивает комплексный анализ влияния обучения на профессиональные компетенции  сотрудников и конечные результаты закупочной деятельности.</w:t>
      </w:r>
    </w:p>
    <w:p w14:paraId="03507A2F">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color w:val="000000" w:themeColor="text1"/>
          <w:sz w:val="28"/>
          <w:szCs w:val="28"/>
          <w:vertAlign w:val="baseline"/>
          <w:lang w:val="ru-RU"/>
          <w14:textFill>
            <w14:solidFill>
              <w14:schemeClr w14:val="tx1"/>
            </w14:solidFill>
          </w14:textFill>
        </w:rPr>
        <w:t>Поставленные в первой главе задачи выполнены, что создает теоретическую базу для последующего анализа существующей системы обучения в ООО «Лайф Медиа» и разработки практических рекомендаций по её совершенствованию.</w:t>
      </w:r>
    </w:p>
    <w:p w14:paraId="72A5300B">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C00000"/>
          <w:sz w:val="28"/>
          <w:szCs w:val="28"/>
          <w:vertAlign w:val="baseline"/>
          <w:lang w:val="ru-RU"/>
        </w:rPr>
      </w:pPr>
    </w:p>
    <w:p w14:paraId="752C9CE6">
      <w:pPr>
        <w:rPr>
          <w:rFonts w:hint="default" w:ascii="Times New Roman" w:hAnsi="Times New Roman"/>
          <w:b w:val="0"/>
          <w:bCs w:val="0"/>
          <w:color w:val="C00000"/>
          <w:sz w:val="28"/>
          <w:szCs w:val="28"/>
          <w:vertAlign w:val="baseline"/>
          <w:lang w:val="ru-RU"/>
        </w:rPr>
      </w:pPr>
      <w:r>
        <w:rPr>
          <w:rFonts w:hint="default" w:ascii="Times New Roman" w:hAnsi="Times New Roman"/>
          <w:b w:val="0"/>
          <w:bCs w:val="0"/>
          <w:color w:val="C00000"/>
          <w:sz w:val="28"/>
          <w:szCs w:val="28"/>
          <w:vertAlign w:val="baseline"/>
          <w:lang w:val="ru-RU"/>
        </w:rPr>
        <w:br w:type="page"/>
      </w:r>
    </w:p>
    <w:p w14:paraId="3D6A801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360" w:lineRule="auto"/>
        <w:ind w:left="200" w:leftChars="0" w:right="200" w:rightChars="100" w:hanging="200" w:hangingChars="71"/>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ГЛАВА 2. АНАЛИЗ СИСТЕМЫ ОБУЧЕНИЯ И РАЗВИТИЯ ТЕНДЕРНЫХ СПЕЦИАЛИСТОВ ООО «ЛАЙФ МЕДИА»</w:t>
      </w:r>
    </w:p>
    <w:p w14:paraId="798E5449">
      <w:pPr>
        <w:keepNext w:val="0"/>
        <w:keepLines w:val="0"/>
        <w:pageBreakBefore w:val="0"/>
        <w:numPr>
          <w:ilvl w:val="1"/>
          <w:numId w:val="2"/>
        </w:numPr>
        <w:kinsoku/>
        <w:wordWrap/>
        <w:overflowPunct/>
        <w:topLinePunct w:val="0"/>
        <w:autoSpaceDE/>
        <w:autoSpaceDN/>
        <w:bidi w:val="0"/>
        <w:adjustRightInd/>
        <w:snapToGrid/>
        <w:spacing w:line="360" w:lineRule="auto"/>
        <w:ind w:left="49" w:leftChars="0" w:firstLine="351"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 xml:space="preserve">Общая характеристика ООО «Лайф Медиа» и структуры закупочной деятельности </w:t>
      </w:r>
    </w:p>
    <w:p w14:paraId="60F809C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Общество с ограниченной ответственностью «Лайф Медиа» является активно развивающимся предприятием, специализирующимся на оптовых поставках техники и оборудования. Его успех и динамичное развитие обусловлены активным участием в государственных и корпоративных закупках. Компания была зарегистрирована 16 февраля 2016 года в г.Нижнем Новгороде, и с тех пор успешно работает на рынках B2B и B2G.</w:t>
      </w:r>
    </w:p>
    <w:p w14:paraId="353BE1D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Основная миссия ООО «Лайф Медиа» заключается в предоставлении коммерческим и государственным организациям надёжной техники и оборудования по оптимальным ценам посредством проведения честных конкурентных закупок.   Стратегическая цель компании на среднесрочную перспективу — увеличение доли выигранных тендеров до 25% от общего числа поданных заявок и расширение географии поставок за пределы Приволжского федерального округа.</w:t>
      </w:r>
    </w:p>
    <w:p w14:paraId="485A55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Основные реквизиты и структура управления:</w:t>
      </w:r>
    </w:p>
    <w:p w14:paraId="02D307C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Юридический адрес: 603122, Нижегородская область, г. о. город Нижний Новгород, г. Нижний Новгород, ул. Богородского, д. 7, к. 1, кв. 81.</w:t>
      </w:r>
    </w:p>
    <w:p w14:paraId="227AF6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ОГРН: 1165261050790</w:t>
      </w:r>
    </w:p>
    <w:p w14:paraId="6EEF8E2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ИНН: 5261103730</w:t>
      </w:r>
    </w:p>
    <w:p w14:paraId="1A762FE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Организационно-правовая форма: общество с ограниченной ответственностью</w:t>
      </w:r>
    </w:p>
    <w:p w14:paraId="01B9B7F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Руководитель и учредитель: генеральный директор — Бакаев Кирилл Владимирович</w:t>
      </w:r>
    </w:p>
    <w:p w14:paraId="3A31778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Основным видом деятельности в соответствии с Общероссийским классификатором видов экономической деятельности (ОКВЭД) является 46.14.1 — деятельность агентов по оптовой торговле компьютерной техникой, телекоммуникационным оборудованием и прочим офисным оборудованием. Компания также имеет более 37 дополнительных направлений деятельности, включая онлайн–торговлю офисной мебелью, медицинским оборудованием и автозапчастями, что позволяет ей участвовать в самых разнообразных тендерных процедурах —  от поставок офисного оборудования в школы до оснащения медицинских учреждений.</w:t>
      </w:r>
    </w:p>
    <w:p w14:paraId="593B63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Организационная структура компании является линейно-функциональной, типичной для контрактов малого бизнеса и обеспечивающей высокую эффективность принятия решений. Организацию возглавляет генеральный директор, который обеспечивает общее стратегическое управление и контроль за финансовыми результатами. Следующие ключевые подразделения подчиняются непосредственно генеральному директору:</w:t>
      </w:r>
    </w:p>
    <w:p w14:paraId="19649373">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Тендерный отдел ( 8 специалистов)</w:t>
      </w:r>
    </w:p>
    <w:p w14:paraId="056AD28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Сотрудники отдела занимаются мониторингом электронных торговых площадок (ЭТП) и единой информационной системы (ЕИС) в поисказ подходящего тендера, анализом конкурсной документации, подготовкой пакета документов для участия в торгах, расчётом начальной минимальной цены контракта (НМЦК), подачей заявок, участие в аукционах, сопровождением заключения контрактов по выигранным торгам.</w:t>
      </w:r>
    </w:p>
    <w:p w14:paraId="61882B55">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логистики и снабжения (3 специалиста)</w:t>
      </w:r>
    </w:p>
    <w:p w14:paraId="4F191019">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задачи отдела входит доставка товаров клиентам, поиск оптимальных логистических решений, контроль сроков поставки, взаимодействие с транспортными компаниями.</w:t>
      </w:r>
    </w:p>
    <w:p w14:paraId="28A8FC3F">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Бухгалтерия (1 специалист);</w:t>
      </w:r>
    </w:p>
    <w:p w14:paraId="26434F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Занимается ведением налогового и бухгалтерского учёта, расчётом заработной платы и страховых взносов, оформлением кадровых документов, сдачей отчётов в контролирующие органы (ФНС, СФР).</w:t>
      </w:r>
    </w:p>
    <w:p w14:paraId="32E34DBA">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продаж и взаимодействия с клиентами (4 сотрудника)</w:t>
      </w:r>
    </w:p>
    <w:p w14:paraId="35B55F5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занимается частными (нетендерными) заказами, консультирует клиентов по ассортименту и условиям поставки, обрабатывает входящие заявки, сопровождает сделки от выставления счёта до отгрузки товара</w:t>
      </w:r>
    </w:p>
    <w:p w14:paraId="0DEAD148">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Юрисконсульт (специалист по аутсорсингу на контрактной основе);</w:t>
      </w:r>
    </w:p>
    <w:p w14:paraId="23E58F00">
      <w:pPr>
        <w:keepNext w:val="0"/>
        <w:keepLines w:val="0"/>
        <w:pageBreakBefore w:val="0"/>
        <w:widowControl/>
        <w:numPr>
          <w:ilvl w:val="-2"/>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en-US"/>
        </w:rPr>
        <w:t>Консультирует</w:t>
      </w:r>
      <w:r>
        <w:rPr>
          <w:rFonts w:hint="default" w:ascii="Times New Roman" w:hAnsi="Times New Roman"/>
          <w:b w:val="0"/>
          <w:bCs w:val="0"/>
          <w:sz w:val="28"/>
          <w:szCs w:val="28"/>
          <w:lang w:val="ru-RU"/>
        </w:rPr>
        <w:t xml:space="preserve"> по вопросам заключения контрактов, проверяет договорную документацию, участвует в разрешении спорных ситуаций с заказчиками</w:t>
      </w:r>
    </w:p>
    <w:p w14:paraId="303B0BF2">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Системный администратор (1 сотрудник, обеспечивающий работу </w:t>
      </w:r>
      <w:r>
        <w:rPr>
          <w:rFonts w:hint="default" w:ascii="Times New Roman" w:hAnsi="Times New Roman"/>
          <w:b w:val="0"/>
          <w:bCs w:val="0"/>
          <w:sz w:val="28"/>
          <w:szCs w:val="28"/>
          <w:lang w:val="en-US"/>
        </w:rPr>
        <w:t>IT</w:t>
      </w:r>
      <w:r>
        <w:rPr>
          <w:rFonts w:hint="default" w:ascii="Times New Roman" w:hAnsi="Times New Roman"/>
          <w:b w:val="0"/>
          <w:bCs w:val="0"/>
          <w:sz w:val="28"/>
          <w:szCs w:val="28"/>
          <w:lang w:val="ru-RU"/>
        </w:rPr>
        <w:t>-инфраструктуры).</w:t>
      </w:r>
    </w:p>
    <w:p w14:paraId="25582F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каждом из перечисленных отделов сотрудники подписывают должностную инструкцию, регламентирующую их права, обязанности и ответственность (Приложение 1). Тендерный отдел, являясь центральным подразделением, имеет неформальную внутреннюю специализацию: одни специалисты специализируются на поиске закупок по 44-ФЗ (государственные нужды), другие — по 223-ФЗ (закупки государственных корпораций и естественных монополий), а также есть сотрудники, ответственные за подготовку ценовых предложений и рецензирование контрактов.</w:t>
      </w:r>
    </w:p>
    <w:p w14:paraId="4E2ACB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Закупочная деятельность ООО «Лайф Медиа» основана на постоянном мониторинге электронных торговых площадок (ЕТП), таких как СберАСТ, РТС-Тендер, ЭТП ГПБ, и Единой информационной системы в сфере закупок (ЕИС). Бизнес-модель компании предполагает поиск лотов, начальная максимальная цена контракта (НМЦК) которых позволяет приобрести оборудование у производителя или дистрибьютора со скидкой, обеспечивающей маржу не менее 10-15%. Процесс участия в тендере включает следующие этапы:</w:t>
      </w:r>
    </w:p>
    <w:p w14:paraId="6FAF3025">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Поиск и анализ закупки (проверка требований заказчика, изучение технического задания);</w:t>
      </w:r>
    </w:p>
    <w:p w14:paraId="3DE80CB5">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Подготовка тендерного предложения (сбор коммерческих предложений от поставщиков, расчёт стоимости, формирование ценового предложения);</w:t>
      </w:r>
    </w:p>
    <w:p w14:paraId="23F4946C">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Подача и обеспечение тендерного предложения (при необходимости —  внесение обеспечения тендерного предложения);</w:t>
      </w:r>
    </w:p>
    <w:p w14:paraId="188C00DA">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Отслеживание результатов тендера и защита интересов компании в случае их обжалования (с привлечением юристконсульта);</w:t>
      </w:r>
    </w:p>
    <w:p w14:paraId="4185D177">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Сопровождение контракта в случае победы (взаимодействие с отделом логистики при отгрузке товара).</w:t>
      </w:r>
    </w:p>
    <w:p w14:paraId="5952E1F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Фундаментальной особенностью деятельности ООО «Лайф Медиа» является полностью удалённый формат работы для большинства сотрудников, и в первую очередь для ключевого тендерного отдела. Такой подход сложился исторически и обусловлен несколькими факторами:</w:t>
      </w:r>
    </w:p>
    <w:p w14:paraId="32B7172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Характер деятельности: работа на электронных торговых площадках  и в ЕИС не требует физического присутствия в офисе и может осуществляться из любой точки мира при стабильном подключении к Интернету.</w:t>
      </w:r>
    </w:p>
    <w:p w14:paraId="7348967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Экономическая эффективность: отсутствие затрат на аренду большого офиса и организацию рабочих мест позволяет компании направлять ресурсы на развитие и мотивацию сотрудников.</w:t>
      </w:r>
    </w:p>
    <w:p w14:paraId="6FB0DF7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Расширение географии поиска персонала: возможность нанимать лучших специалистов из любого региона, а не только из Нижнего Новгорода.</w:t>
      </w:r>
    </w:p>
    <w:p w14:paraId="5B507E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Цифровая инфраструктура компании включает в себя следующие элементы:</w:t>
      </w:r>
    </w:p>
    <w:p w14:paraId="3B419E18">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Корпоративный портал и система управления задачами: Битрикс24 используется для координации работы, где распределяются задачи, отслеживаются сроки выполнения,  документооборот;</w:t>
      </w:r>
    </w:p>
    <w:p w14:paraId="47422891">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Средства коммуникации: основным каналом оперативной коммуникации является корпоративный мессенджер Битрикс24 со структурированными чатами, Zoom используется для официальных видеоконференций, совещаний по планированию и собеседований.</w:t>
      </w:r>
    </w:p>
    <w:p w14:paraId="1FF094F1">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Облачное хранилище: все рабочие документы, шаблоны приложений, регламенты и отчеты хранятся в облаке (Google Workspace/Яндекс.Диск), обеспечивая круглосуточный доступ к актуальной информации для всех сотрудников.</w:t>
      </w:r>
    </w:p>
    <w:p w14:paraId="01401180">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Электронный документооборот (ЭДО): кадровые документы и контракты с контрагентами подписываются с использованием электронной подписи, что полностью исключает необходимость личного присутствия.</w:t>
      </w:r>
    </w:p>
    <w:p w14:paraId="70BCF4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Проведём анализ основных финансово-экономических показателей за последние 3 года (2022-2025 гг.), чтобы выявить основные тенденции развития компании и функционирование тендерного отдела (см.табл.1.1.)</w:t>
      </w:r>
    </w:p>
    <w:p w14:paraId="7A965C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p>
    <w:p w14:paraId="5F9C099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b w:val="0"/>
          <w:bCs w:val="0"/>
          <w:sz w:val="24"/>
          <w:szCs w:val="24"/>
          <w:lang w:val="ru-RU"/>
        </w:rPr>
      </w:pPr>
      <w:r>
        <w:rPr>
          <w:rFonts w:hint="default" w:ascii="Times New Roman" w:hAnsi="Times New Roman"/>
          <w:b w:val="0"/>
          <w:bCs w:val="0"/>
          <w:sz w:val="24"/>
          <w:szCs w:val="24"/>
          <w:lang w:val="ru-RU"/>
        </w:rPr>
        <w:t>Таблица 1.1. Основные финансовые показатели ООО «Лайф Медиа» за 2022-2025 гг.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1517"/>
        <w:gridCol w:w="1121"/>
        <w:gridCol w:w="1192"/>
        <w:gridCol w:w="1552"/>
        <w:gridCol w:w="1570"/>
      </w:tblGrid>
      <w:tr w14:paraId="4A3A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4A0AD29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Показатель</w:t>
            </w:r>
          </w:p>
        </w:tc>
        <w:tc>
          <w:tcPr>
            <w:tcW w:w="1517" w:type="dxa"/>
            <w:vAlign w:val="center"/>
          </w:tcPr>
          <w:p w14:paraId="0858C37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2023</w:t>
            </w:r>
          </w:p>
        </w:tc>
        <w:tc>
          <w:tcPr>
            <w:tcW w:w="1121" w:type="dxa"/>
            <w:vAlign w:val="center"/>
          </w:tcPr>
          <w:p w14:paraId="6F83072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2024</w:t>
            </w:r>
          </w:p>
        </w:tc>
        <w:tc>
          <w:tcPr>
            <w:tcW w:w="1192" w:type="dxa"/>
            <w:vAlign w:val="center"/>
          </w:tcPr>
          <w:p w14:paraId="5E9B630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2025</w:t>
            </w:r>
          </w:p>
        </w:tc>
        <w:tc>
          <w:tcPr>
            <w:tcW w:w="1552" w:type="dxa"/>
            <w:vAlign w:val="center"/>
          </w:tcPr>
          <w:p w14:paraId="33411C6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Абсолютное отклонение (2025 к 2024)</w:t>
            </w:r>
          </w:p>
        </w:tc>
        <w:tc>
          <w:tcPr>
            <w:tcW w:w="1570" w:type="dxa"/>
            <w:vAlign w:val="center"/>
          </w:tcPr>
          <w:p w14:paraId="47455DD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Темп роста 2025/2024, %</w:t>
            </w:r>
          </w:p>
        </w:tc>
      </w:tr>
      <w:tr w14:paraId="2636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011DE2F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Общая выручка, тыс.руб.</w:t>
            </w:r>
          </w:p>
        </w:tc>
        <w:tc>
          <w:tcPr>
            <w:tcW w:w="1517" w:type="dxa"/>
            <w:vAlign w:val="center"/>
          </w:tcPr>
          <w:p w14:paraId="40A039F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42 680</w:t>
            </w:r>
          </w:p>
        </w:tc>
        <w:tc>
          <w:tcPr>
            <w:tcW w:w="1121" w:type="dxa"/>
            <w:vAlign w:val="center"/>
          </w:tcPr>
          <w:p w14:paraId="7DEFC6C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44 520</w:t>
            </w:r>
          </w:p>
        </w:tc>
        <w:tc>
          <w:tcPr>
            <w:tcW w:w="1192" w:type="dxa"/>
            <w:vAlign w:val="center"/>
          </w:tcPr>
          <w:p w14:paraId="2E65255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41 350</w:t>
            </w:r>
          </w:p>
        </w:tc>
        <w:tc>
          <w:tcPr>
            <w:tcW w:w="1552" w:type="dxa"/>
            <w:vAlign w:val="center"/>
          </w:tcPr>
          <w:p w14:paraId="0CA0E9D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- 3 170</w:t>
            </w:r>
          </w:p>
        </w:tc>
        <w:tc>
          <w:tcPr>
            <w:tcW w:w="1570" w:type="dxa"/>
            <w:vAlign w:val="center"/>
          </w:tcPr>
          <w:p w14:paraId="394797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92,9</w:t>
            </w:r>
          </w:p>
        </w:tc>
      </w:tr>
      <w:tr w14:paraId="6BD4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46EDD1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Выручка от тендерной деятельности, тыс.руб.</w:t>
            </w:r>
          </w:p>
        </w:tc>
        <w:tc>
          <w:tcPr>
            <w:tcW w:w="1517" w:type="dxa"/>
            <w:vAlign w:val="center"/>
          </w:tcPr>
          <w:p w14:paraId="6F01C2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34 120</w:t>
            </w:r>
          </w:p>
        </w:tc>
        <w:tc>
          <w:tcPr>
            <w:tcW w:w="1121" w:type="dxa"/>
            <w:vAlign w:val="center"/>
          </w:tcPr>
          <w:p w14:paraId="1C69CA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35 860</w:t>
            </w:r>
          </w:p>
        </w:tc>
        <w:tc>
          <w:tcPr>
            <w:tcW w:w="1192" w:type="dxa"/>
            <w:vAlign w:val="center"/>
          </w:tcPr>
          <w:p w14:paraId="0F904AF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30 840</w:t>
            </w:r>
          </w:p>
        </w:tc>
        <w:tc>
          <w:tcPr>
            <w:tcW w:w="1552" w:type="dxa"/>
            <w:vAlign w:val="center"/>
          </w:tcPr>
          <w:p w14:paraId="08A9864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- 5 020</w:t>
            </w:r>
          </w:p>
        </w:tc>
        <w:tc>
          <w:tcPr>
            <w:tcW w:w="1570" w:type="dxa"/>
            <w:vAlign w:val="center"/>
          </w:tcPr>
          <w:p w14:paraId="4359E66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86,0</w:t>
            </w:r>
          </w:p>
        </w:tc>
      </w:tr>
      <w:tr w14:paraId="0904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7898079B">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Доля тендерной выручки в общей, %</w:t>
            </w:r>
          </w:p>
        </w:tc>
        <w:tc>
          <w:tcPr>
            <w:tcW w:w="1517" w:type="dxa"/>
            <w:vAlign w:val="center"/>
          </w:tcPr>
          <w:p w14:paraId="669608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79,9</w:t>
            </w:r>
          </w:p>
        </w:tc>
        <w:tc>
          <w:tcPr>
            <w:tcW w:w="1121" w:type="dxa"/>
            <w:vAlign w:val="center"/>
          </w:tcPr>
          <w:p w14:paraId="4DB24FB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80,5</w:t>
            </w:r>
          </w:p>
        </w:tc>
        <w:tc>
          <w:tcPr>
            <w:tcW w:w="1192" w:type="dxa"/>
            <w:vAlign w:val="center"/>
          </w:tcPr>
          <w:p w14:paraId="15A236A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74,6</w:t>
            </w:r>
          </w:p>
        </w:tc>
        <w:tc>
          <w:tcPr>
            <w:tcW w:w="1552" w:type="dxa"/>
            <w:vAlign w:val="center"/>
          </w:tcPr>
          <w:p w14:paraId="4AC73B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- 5,9 п.п.</w:t>
            </w:r>
          </w:p>
        </w:tc>
        <w:tc>
          <w:tcPr>
            <w:tcW w:w="1570" w:type="dxa"/>
            <w:vAlign w:val="center"/>
          </w:tcPr>
          <w:p w14:paraId="1EADE6B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w:t>
            </w:r>
          </w:p>
        </w:tc>
      </w:tr>
      <w:tr w14:paraId="70F7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11751732">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Себестоимость продаж, тыс.руб.</w:t>
            </w:r>
          </w:p>
        </w:tc>
        <w:tc>
          <w:tcPr>
            <w:tcW w:w="1517" w:type="dxa"/>
            <w:vAlign w:val="center"/>
          </w:tcPr>
          <w:p w14:paraId="0798241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31 450</w:t>
            </w:r>
          </w:p>
        </w:tc>
        <w:tc>
          <w:tcPr>
            <w:tcW w:w="1121" w:type="dxa"/>
            <w:vAlign w:val="center"/>
          </w:tcPr>
          <w:p w14:paraId="7F98015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33 620</w:t>
            </w:r>
          </w:p>
        </w:tc>
        <w:tc>
          <w:tcPr>
            <w:tcW w:w="1192" w:type="dxa"/>
            <w:vAlign w:val="center"/>
          </w:tcPr>
          <w:p w14:paraId="68FC3D7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32 180</w:t>
            </w:r>
          </w:p>
        </w:tc>
        <w:tc>
          <w:tcPr>
            <w:tcW w:w="1552" w:type="dxa"/>
            <w:vAlign w:val="center"/>
          </w:tcPr>
          <w:p w14:paraId="78EC1CF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- 1 440</w:t>
            </w:r>
          </w:p>
        </w:tc>
        <w:tc>
          <w:tcPr>
            <w:tcW w:w="1570" w:type="dxa"/>
            <w:vAlign w:val="center"/>
          </w:tcPr>
          <w:p w14:paraId="056B5B0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95,7</w:t>
            </w:r>
          </w:p>
        </w:tc>
      </w:tr>
      <w:tr w14:paraId="3668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5806BAAE">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Валовая прибыль, тыс.руб.</w:t>
            </w:r>
          </w:p>
        </w:tc>
        <w:tc>
          <w:tcPr>
            <w:tcW w:w="1517" w:type="dxa"/>
            <w:vAlign w:val="center"/>
          </w:tcPr>
          <w:p w14:paraId="1E8099F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11 230</w:t>
            </w:r>
          </w:p>
        </w:tc>
        <w:tc>
          <w:tcPr>
            <w:tcW w:w="1121" w:type="dxa"/>
            <w:vAlign w:val="center"/>
          </w:tcPr>
          <w:p w14:paraId="2617C63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10 900</w:t>
            </w:r>
          </w:p>
        </w:tc>
        <w:tc>
          <w:tcPr>
            <w:tcW w:w="1192" w:type="dxa"/>
            <w:vAlign w:val="center"/>
          </w:tcPr>
          <w:p w14:paraId="71E29F3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9 170</w:t>
            </w:r>
          </w:p>
        </w:tc>
        <w:tc>
          <w:tcPr>
            <w:tcW w:w="1552" w:type="dxa"/>
            <w:vAlign w:val="center"/>
          </w:tcPr>
          <w:p w14:paraId="4E2B974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- 1 730</w:t>
            </w:r>
          </w:p>
        </w:tc>
        <w:tc>
          <w:tcPr>
            <w:tcW w:w="1570" w:type="dxa"/>
            <w:vAlign w:val="center"/>
          </w:tcPr>
          <w:p w14:paraId="314AC88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84.1</w:t>
            </w:r>
          </w:p>
        </w:tc>
      </w:tr>
      <w:tr w14:paraId="1A4A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75B18C19">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Коммерческие расходы, тыс.руб.</w:t>
            </w:r>
          </w:p>
        </w:tc>
        <w:tc>
          <w:tcPr>
            <w:tcW w:w="1517" w:type="dxa"/>
            <w:vAlign w:val="center"/>
          </w:tcPr>
          <w:p w14:paraId="7F0A6C3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360" w:firstLineChars="150"/>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 3 080</w:t>
            </w:r>
          </w:p>
        </w:tc>
        <w:tc>
          <w:tcPr>
            <w:tcW w:w="1121" w:type="dxa"/>
            <w:vAlign w:val="center"/>
          </w:tcPr>
          <w:p w14:paraId="5B29A7F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3 260</w:t>
            </w:r>
          </w:p>
        </w:tc>
        <w:tc>
          <w:tcPr>
            <w:tcW w:w="1192" w:type="dxa"/>
            <w:vAlign w:val="center"/>
          </w:tcPr>
          <w:p w14:paraId="59BC0CF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3 190</w:t>
            </w:r>
          </w:p>
        </w:tc>
        <w:tc>
          <w:tcPr>
            <w:tcW w:w="1552" w:type="dxa"/>
            <w:vAlign w:val="center"/>
          </w:tcPr>
          <w:p w14:paraId="11ECACC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- 70</w:t>
            </w:r>
          </w:p>
        </w:tc>
        <w:tc>
          <w:tcPr>
            <w:tcW w:w="1570" w:type="dxa"/>
            <w:vAlign w:val="center"/>
          </w:tcPr>
          <w:p w14:paraId="456C461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97,9</w:t>
            </w:r>
          </w:p>
        </w:tc>
      </w:tr>
      <w:tr w14:paraId="17B5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4E37D8AB">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Управленские расходы, тыс.руб.</w:t>
            </w:r>
          </w:p>
        </w:tc>
        <w:tc>
          <w:tcPr>
            <w:tcW w:w="1517" w:type="dxa"/>
            <w:vAlign w:val="center"/>
          </w:tcPr>
          <w:p w14:paraId="0A0C1B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3 150</w:t>
            </w:r>
          </w:p>
        </w:tc>
        <w:tc>
          <w:tcPr>
            <w:tcW w:w="1121" w:type="dxa"/>
            <w:vAlign w:val="center"/>
          </w:tcPr>
          <w:p w14:paraId="24E851A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3 240</w:t>
            </w:r>
          </w:p>
        </w:tc>
        <w:tc>
          <w:tcPr>
            <w:tcW w:w="1192" w:type="dxa"/>
            <w:vAlign w:val="center"/>
          </w:tcPr>
          <w:p w14:paraId="11A75F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3 210</w:t>
            </w:r>
          </w:p>
        </w:tc>
        <w:tc>
          <w:tcPr>
            <w:tcW w:w="1552" w:type="dxa"/>
            <w:vAlign w:val="center"/>
          </w:tcPr>
          <w:p w14:paraId="2B97388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- 30</w:t>
            </w:r>
          </w:p>
        </w:tc>
        <w:tc>
          <w:tcPr>
            <w:tcW w:w="1570" w:type="dxa"/>
            <w:vAlign w:val="center"/>
          </w:tcPr>
          <w:p w14:paraId="642DA7C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99,1</w:t>
            </w:r>
          </w:p>
        </w:tc>
      </w:tr>
      <w:tr w14:paraId="5A24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A98C1CA">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Прибыль от продаж, тыс.руб.</w:t>
            </w:r>
          </w:p>
        </w:tc>
        <w:tc>
          <w:tcPr>
            <w:tcW w:w="1517" w:type="dxa"/>
            <w:vAlign w:val="center"/>
          </w:tcPr>
          <w:p w14:paraId="34164DF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5 000</w:t>
            </w:r>
          </w:p>
        </w:tc>
        <w:tc>
          <w:tcPr>
            <w:tcW w:w="1121" w:type="dxa"/>
            <w:vAlign w:val="center"/>
          </w:tcPr>
          <w:p w14:paraId="5333155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4 400</w:t>
            </w:r>
          </w:p>
        </w:tc>
        <w:tc>
          <w:tcPr>
            <w:tcW w:w="1192" w:type="dxa"/>
            <w:vAlign w:val="center"/>
          </w:tcPr>
          <w:p w14:paraId="1CAE9EE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2 770</w:t>
            </w:r>
          </w:p>
        </w:tc>
        <w:tc>
          <w:tcPr>
            <w:tcW w:w="1552" w:type="dxa"/>
            <w:vAlign w:val="center"/>
          </w:tcPr>
          <w:p w14:paraId="0562407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- 1 630</w:t>
            </w:r>
          </w:p>
        </w:tc>
        <w:tc>
          <w:tcPr>
            <w:tcW w:w="1570" w:type="dxa"/>
            <w:vAlign w:val="center"/>
          </w:tcPr>
          <w:p w14:paraId="43530A7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63,0</w:t>
            </w:r>
          </w:p>
        </w:tc>
      </w:tr>
      <w:tr w14:paraId="5C6B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2B850D9">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Чистая прибыль, тыс.руб.</w:t>
            </w:r>
          </w:p>
        </w:tc>
        <w:tc>
          <w:tcPr>
            <w:tcW w:w="1517" w:type="dxa"/>
            <w:vAlign w:val="center"/>
          </w:tcPr>
          <w:p w14:paraId="5261B96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4 000</w:t>
            </w:r>
          </w:p>
        </w:tc>
        <w:tc>
          <w:tcPr>
            <w:tcW w:w="1121" w:type="dxa"/>
            <w:vAlign w:val="center"/>
          </w:tcPr>
          <w:p w14:paraId="5C64289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3 520</w:t>
            </w:r>
          </w:p>
        </w:tc>
        <w:tc>
          <w:tcPr>
            <w:tcW w:w="1192" w:type="dxa"/>
            <w:vAlign w:val="center"/>
          </w:tcPr>
          <w:p w14:paraId="71D2B3A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2 216</w:t>
            </w:r>
          </w:p>
        </w:tc>
        <w:tc>
          <w:tcPr>
            <w:tcW w:w="1552" w:type="dxa"/>
            <w:vAlign w:val="center"/>
          </w:tcPr>
          <w:p w14:paraId="2F35F2D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- 1 304</w:t>
            </w:r>
          </w:p>
        </w:tc>
        <w:tc>
          <w:tcPr>
            <w:tcW w:w="1570" w:type="dxa"/>
            <w:vAlign w:val="center"/>
          </w:tcPr>
          <w:p w14:paraId="595B584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63,0</w:t>
            </w:r>
          </w:p>
        </w:tc>
      </w:tr>
    </w:tbl>
    <w:p w14:paraId="0330813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lang w:val="ru-RU"/>
        </w:rPr>
      </w:pPr>
    </w:p>
    <w:p w14:paraId="2C71D4F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Из таблицы 1.1. видно, что за анализируемый период общая выручка ООО «Лайф Медиа» сократилась на 7,9% и составила в 2025 году 41,3 млн.руб. При этом выручка от тендерной деятельности снизилась ощутимее —  на 14% и составила 30,8 млн.руб. Валовая прибыль снизилась на 15,9% и составила 9,1 млн.руб. Управленческие и коммерческие расходы практически не изменились и остались на том же уровне, не сокращаясь вслед за падением доходов. В итоге прибыль от продаж и чистая прибыль упали на 37%, составив 2,7 млн.руб. и 2,2 млн.руб. соответственно. Компания сохраняет положительную прибыль, однако ухудшение показателей требует анализа эффективности работы ключевого подразделения — тендерного отдела.</w:t>
      </w:r>
    </w:p>
    <w:p w14:paraId="2142D3B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p>
    <w:p w14:paraId="199DC2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1" w:firstLineChars="125"/>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2.2. Анализ системы управления персоналом ООО «Лайф Медиа»</w:t>
      </w:r>
    </w:p>
    <w:p w14:paraId="74509818">
      <w:pPr>
        <w:spacing w:after="120" w:line="360" w:lineRule="auto"/>
        <w:ind w:firstLine="700"/>
        <w:jc w:val="both"/>
      </w:pPr>
      <w:r>
        <w:rPr>
          <w:rFonts w:ascii="Times New Roman" w:hAnsi="Times New Roman"/>
          <w:b w:val="0"/>
          <w:sz w:val="28"/>
        </w:rPr>
        <w:t>Система управления персоналом ООО «Лайф Медиа» формируется с уч</w:t>
      </w:r>
      <w:r>
        <w:rPr>
          <w:rFonts w:ascii="Times New Roman" w:hAnsi="Times New Roman"/>
          <w:b w:val="0"/>
          <w:sz w:val="28"/>
          <w:lang w:val="ru-RU"/>
        </w:rPr>
        <w:t>ё</w:t>
      </w:r>
      <w:r>
        <w:rPr>
          <w:rFonts w:ascii="Times New Roman" w:hAnsi="Times New Roman"/>
          <w:b w:val="0"/>
          <w:sz w:val="28"/>
        </w:rPr>
        <w:t>том двух особенностей предприятия: малого масштаба бизнеса и полностью удал</w:t>
      </w:r>
      <w:r>
        <w:rPr>
          <w:rFonts w:ascii="Times New Roman" w:hAnsi="Times New Roman"/>
          <w:b w:val="0"/>
          <w:sz w:val="28"/>
          <w:lang w:val="ru-RU"/>
        </w:rPr>
        <w:t>ё</w:t>
      </w:r>
      <w:r>
        <w:rPr>
          <w:rFonts w:ascii="Times New Roman" w:hAnsi="Times New Roman"/>
          <w:b w:val="0"/>
          <w:sz w:val="28"/>
        </w:rPr>
        <w:t>нного формата работы большинства сотрудников. В компании отсутствует самостоятельная HR-служба, поэтому кадровые функции распределены между несколькими участниками управления. Генеральный директор принимает ключевые кадровые решения и определяет требования к персоналу, руководитель тендерного отдела участвует в подборе, оценке и текущей координации специалистов, бухгалтерия обеспечивает кадровое делопроизводство, расч</w:t>
      </w:r>
      <w:r>
        <w:rPr>
          <w:rFonts w:ascii="Times New Roman" w:hAnsi="Times New Roman"/>
          <w:b w:val="0"/>
          <w:sz w:val="28"/>
          <w:lang w:val="ru-RU"/>
        </w:rPr>
        <w:t>ё</w:t>
      </w:r>
      <w:r>
        <w:rPr>
          <w:rFonts w:ascii="Times New Roman" w:hAnsi="Times New Roman"/>
          <w:b w:val="0"/>
          <w:sz w:val="28"/>
        </w:rPr>
        <w:t>т заработной платы и оформление обязательных документов.</w:t>
      </w:r>
    </w:p>
    <w:p w14:paraId="4EB788E4">
      <w:pPr>
        <w:spacing w:after="120" w:line="360" w:lineRule="auto"/>
        <w:ind w:firstLine="700"/>
        <w:jc w:val="both"/>
      </w:pPr>
      <w:r>
        <w:rPr>
          <w:rFonts w:ascii="Times New Roman" w:hAnsi="Times New Roman"/>
          <w:b w:val="0"/>
          <w:sz w:val="28"/>
        </w:rPr>
        <w:t>Такое распределение функций типично для малого предприятия, однако оно делает систему управления персоналом зависимой от текущей загрузки руководителей. Отдельные кадровые процессы выполняются, но не всегда оформлены как единая последовательность: подбор запускается под конкретную вакансию, адаптация проходит преимущественно в рабочем процессе, а развитие сотрудников не выделено в самостоятельное направление управления.</w:t>
      </w:r>
    </w:p>
    <w:p w14:paraId="75978D2A">
      <w:pPr>
        <w:spacing w:after="120" w:line="360" w:lineRule="auto"/>
        <w:ind w:firstLine="700"/>
        <w:jc w:val="both"/>
      </w:pPr>
      <w:r>
        <w:rPr>
          <w:rFonts w:ascii="Times New Roman" w:hAnsi="Times New Roman"/>
          <w:b w:val="0"/>
          <w:sz w:val="28"/>
        </w:rPr>
        <w:t>Поиск персонала носит проектный характер и чаще всего связан с потребностями тендерного отдела. Основными каналами привлечения выступают hh.ru, Авито, Работа.ru и профессиональные рекомендации. Важным преимуществом работодателя является удал</w:t>
      </w:r>
      <w:r>
        <w:rPr>
          <w:rFonts w:ascii="Times New Roman" w:hAnsi="Times New Roman"/>
          <w:b w:val="0"/>
          <w:sz w:val="28"/>
          <w:lang w:val="ru-RU"/>
        </w:rPr>
        <w:t>ё</w:t>
      </w:r>
      <w:r>
        <w:rPr>
          <w:rFonts w:ascii="Times New Roman" w:hAnsi="Times New Roman"/>
          <w:b w:val="0"/>
          <w:sz w:val="28"/>
        </w:rPr>
        <w:t>нный формат, позволяющий привлекать кандидатов не только из Нижнего Новгорода, но и из других регионов. При этом удал</w:t>
      </w:r>
      <w:r>
        <w:rPr>
          <w:rFonts w:ascii="Times New Roman" w:hAnsi="Times New Roman"/>
          <w:b w:val="0"/>
          <w:sz w:val="28"/>
          <w:lang w:val="ru-RU"/>
        </w:rPr>
        <w:t>ё</w:t>
      </w:r>
      <w:r>
        <w:rPr>
          <w:rFonts w:ascii="Times New Roman" w:hAnsi="Times New Roman"/>
          <w:b w:val="0"/>
          <w:sz w:val="28"/>
        </w:rPr>
        <w:t>нная занятость повышает требования к самостоятельности, цифровой дисциплине и умению работать с электронными документами.</w:t>
      </w:r>
    </w:p>
    <w:p w14:paraId="359267C0">
      <w:pPr>
        <w:spacing w:after="120" w:line="360" w:lineRule="auto"/>
        <w:ind w:firstLine="700"/>
        <w:jc w:val="both"/>
      </w:pPr>
      <w:r>
        <w:rPr>
          <w:rFonts w:ascii="Times New Roman" w:hAnsi="Times New Roman"/>
          <w:b w:val="0"/>
          <w:sz w:val="28"/>
        </w:rPr>
        <w:t>Отбор кандидатов построен по классической воронке. Сначала проводится скрининг резюме с уч</w:t>
      </w:r>
      <w:r>
        <w:rPr>
          <w:rFonts w:ascii="Times New Roman" w:hAnsi="Times New Roman"/>
          <w:b w:val="0"/>
          <w:sz w:val="28"/>
          <w:lang w:val="ru-RU"/>
        </w:rPr>
        <w:t>ё</w:t>
      </w:r>
      <w:r>
        <w:rPr>
          <w:rFonts w:ascii="Times New Roman" w:hAnsi="Times New Roman"/>
          <w:b w:val="0"/>
          <w:sz w:val="28"/>
        </w:rPr>
        <w:t>том опыта работы с 44-ФЗ и 223-ФЗ, затем телефонное интервью с руководителем отдела, после чего кандидат выполняет тестовое задание на основе реальных рабочих ситуаций: анализ документации, расчет НМЦК, выявление ошибок в заявке. Финальный этап включает видеоинтервью с генеральным директором и оформление через электронный документооборот. При</w:t>
      </w:r>
      <w:r>
        <w:rPr>
          <w:rFonts w:ascii="Times New Roman" w:hAnsi="Times New Roman"/>
          <w:b w:val="0"/>
          <w:sz w:val="28"/>
          <w:lang w:val="ru-RU"/>
        </w:rPr>
        <w:t>ё</w:t>
      </w:r>
      <w:r>
        <w:rPr>
          <w:rFonts w:ascii="Times New Roman" w:hAnsi="Times New Roman"/>
          <w:b w:val="0"/>
          <w:sz w:val="28"/>
        </w:rPr>
        <w:t>м на работу сопровождается получением электронных копий документов, подготовкой трудового договора, приказа о пр</w:t>
      </w:r>
      <w:r>
        <w:rPr>
          <w:rFonts w:ascii="Times New Roman" w:hAnsi="Times New Roman"/>
          <w:b w:val="0"/>
          <w:sz w:val="28"/>
          <w:lang w:val="ru-RU"/>
        </w:rPr>
        <w:t>иё</w:t>
      </w:r>
      <w:r>
        <w:rPr>
          <w:rFonts w:ascii="Times New Roman" w:hAnsi="Times New Roman"/>
          <w:b w:val="0"/>
          <w:sz w:val="28"/>
        </w:rPr>
        <w:t>ме, ознакомлением с должностной инструкцией и внесением сведений в электронную трудовую книжку.</w:t>
      </w:r>
    </w:p>
    <w:p w14:paraId="4A0AA29F">
      <w:pPr>
        <w:spacing w:after="120" w:line="360" w:lineRule="auto"/>
        <w:ind w:firstLine="700"/>
        <w:jc w:val="both"/>
        <w:rPr>
          <w:rFonts w:hint="default"/>
          <w:lang w:val="ru-RU"/>
        </w:rPr>
      </w:pPr>
      <w:r>
        <w:rPr>
          <w:rFonts w:ascii="Times New Roman" w:hAnsi="Times New Roman"/>
          <w:b w:val="0"/>
          <w:sz w:val="28"/>
        </w:rPr>
        <w:t>Кадровый потенциал компании во многом определяется тендерным отделом, так как он обеспечивает основную часть выручки. Поэтому анализ структуры персонала целесообразно начинать с оценки численности и роли подразделений</w:t>
      </w:r>
      <w:r>
        <w:rPr>
          <w:rFonts w:hint="default" w:ascii="Times New Roman" w:hAnsi="Times New Roman"/>
          <w:b w:val="0"/>
          <w:sz w:val="28"/>
          <w:lang w:val="ru-RU"/>
        </w:rPr>
        <w:t xml:space="preserve"> (см.табл.2.1.).</w:t>
      </w:r>
    </w:p>
    <w:p w14:paraId="3BC8CF81">
      <w:pPr>
        <w:spacing w:after="120" w:line="360" w:lineRule="auto"/>
        <w:jc w:val="right"/>
        <w:rPr>
          <w:sz w:val="24"/>
          <w:szCs w:val="24"/>
        </w:rPr>
      </w:pPr>
      <w:r>
        <w:rPr>
          <w:rFonts w:ascii="Times New Roman" w:hAnsi="Times New Roman"/>
          <w:b w:val="0"/>
          <w:sz w:val="24"/>
          <w:szCs w:val="24"/>
        </w:rPr>
        <w:t>Таблица 2.1. Структура персонала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B71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8" w:type="dxa"/>
          </w:tcPr>
          <w:p w14:paraId="68BB0900">
            <w:pPr>
              <w:widowControl w:val="0"/>
              <w:jc w:val="center"/>
              <w:rPr>
                <w:b w:val="0"/>
                <w:bCs/>
              </w:rPr>
            </w:pPr>
            <w:r>
              <w:rPr>
                <w:rFonts w:ascii="Times New Roman" w:hAnsi="Times New Roman"/>
                <w:b w:val="0"/>
                <w:bCs/>
                <w:sz w:val="24"/>
              </w:rPr>
              <w:t>Категория персонала</w:t>
            </w:r>
          </w:p>
        </w:tc>
        <w:tc>
          <w:tcPr>
            <w:tcW w:w="3118" w:type="dxa"/>
          </w:tcPr>
          <w:p w14:paraId="1A1521E5">
            <w:pPr>
              <w:widowControl w:val="0"/>
              <w:jc w:val="center"/>
              <w:rPr>
                <w:b w:val="0"/>
                <w:bCs/>
              </w:rPr>
            </w:pPr>
            <w:r>
              <w:rPr>
                <w:rFonts w:ascii="Times New Roman" w:hAnsi="Times New Roman"/>
                <w:b w:val="0"/>
                <w:bCs/>
                <w:sz w:val="24"/>
              </w:rPr>
              <w:t>Подразделение</w:t>
            </w:r>
          </w:p>
        </w:tc>
        <w:tc>
          <w:tcPr>
            <w:tcW w:w="3118" w:type="dxa"/>
          </w:tcPr>
          <w:p w14:paraId="1134C011">
            <w:pPr>
              <w:widowControl w:val="0"/>
              <w:jc w:val="center"/>
              <w:rPr>
                <w:b w:val="0"/>
                <w:bCs/>
              </w:rPr>
            </w:pPr>
            <w:r>
              <w:rPr>
                <w:rFonts w:ascii="Times New Roman" w:hAnsi="Times New Roman"/>
                <w:b w:val="0"/>
                <w:bCs/>
                <w:sz w:val="24"/>
              </w:rPr>
              <w:t>Количество, чел.</w:t>
            </w:r>
          </w:p>
        </w:tc>
      </w:tr>
      <w:tr w14:paraId="3773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360BD09">
            <w:pPr>
              <w:widowControl w:val="0"/>
              <w:jc w:val="both"/>
            </w:pPr>
            <w:r>
              <w:rPr>
                <w:rFonts w:ascii="Times New Roman" w:hAnsi="Times New Roman"/>
                <w:sz w:val="24"/>
              </w:rPr>
              <w:t>Основной персонал</w:t>
            </w:r>
          </w:p>
        </w:tc>
        <w:tc>
          <w:tcPr>
            <w:tcW w:w="3118" w:type="dxa"/>
          </w:tcPr>
          <w:p w14:paraId="4912AF8E">
            <w:pPr>
              <w:widowControl w:val="0"/>
              <w:jc w:val="both"/>
            </w:pPr>
            <w:r>
              <w:rPr>
                <w:rFonts w:ascii="Times New Roman" w:hAnsi="Times New Roman"/>
                <w:sz w:val="24"/>
              </w:rPr>
              <w:t>Тендерный отдел</w:t>
            </w:r>
          </w:p>
        </w:tc>
        <w:tc>
          <w:tcPr>
            <w:tcW w:w="3118" w:type="dxa"/>
          </w:tcPr>
          <w:p w14:paraId="2933C2D0">
            <w:pPr>
              <w:widowControl w:val="0"/>
              <w:jc w:val="center"/>
            </w:pPr>
            <w:r>
              <w:rPr>
                <w:rFonts w:ascii="Times New Roman" w:hAnsi="Times New Roman"/>
                <w:sz w:val="24"/>
              </w:rPr>
              <w:t>8</w:t>
            </w:r>
          </w:p>
        </w:tc>
      </w:tr>
      <w:tr w14:paraId="0483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C99569A">
            <w:pPr>
              <w:widowControl w:val="0"/>
              <w:jc w:val="both"/>
            </w:pPr>
            <w:r>
              <w:rPr>
                <w:rFonts w:ascii="Times New Roman" w:hAnsi="Times New Roman"/>
                <w:sz w:val="24"/>
              </w:rPr>
              <w:t>Вспомогательный персонал</w:t>
            </w:r>
          </w:p>
        </w:tc>
        <w:tc>
          <w:tcPr>
            <w:tcW w:w="3118" w:type="dxa"/>
          </w:tcPr>
          <w:p w14:paraId="6EB1435D">
            <w:pPr>
              <w:widowControl w:val="0"/>
              <w:jc w:val="both"/>
            </w:pPr>
            <w:r>
              <w:rPr>
                <w:rFonts w:ascii="Times New Roman" w:hAnsi="Times New Roman"/>
                <w:sz w:val="24"/>
              </w:rPr>
              <w:t>Отдел логистики и поставок</w:t>
            </w:r>
          </w:p>
        </w:tc>
        <w:tc>
          <w:tcPr>
            <w:tcW w:w="3118" w:type="dxa"/>
          </w:tcPr>
          <w:p w14:paraId="7A394153">
            <w:pPr>
              <w:widowControl w:val="0"/>
              <w:jc w:val="center"/>
            </w:pPr>
            <w:r>
              <w:rPr>
                <w:rFonts w:ascii="Times New Roman" w:hAnsi="Times New Roman"/>
                <w:sz w:val="24"/>
              </w:rPr>
              <w:t>3</w:t>
            </w:r>
          </w:p>
        </w:tc>
      </w:tr>
      <w:tr w14:paraId="7B48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BB9EA01">
            <w:pPr>
              <w:widowControl w:val="0"/>
              <w:jc w:val="both"/>
            </w:pPr>
            <w:r>
              <w:rPr>
                <w:rFonts w:ascii="Times New Roman" w:hAnsi="Times New Roman"/>
                <w:sz w:val="24"/>
              </w:rPr>
              <w:t>Коммерческий персонал</w:t>
            </w:r>
          </w:p>
        </w:tc>
        <w:tc>
          <w:tcPr>
            <w:tcW w:w="3118" w:type="dxa"/>
          </w:tcPr>
          <w:p w14:paraId="02027662">
            <w:pPr>
              <w:widowControl w:val="0"/>
              <w:jc w:val="both"/>
            </w:pPr>
            <w:r>
              <w:rPr>
                <w:rFonts w:ascii="Times New Roman" w:hAnsi="Times New Roman"/>
                <w:sz w:val="24"/>
              </w:rPr>
              <w:t>Отдел продаж</w:t>
            </w:r>
          </w:p>
        </w:tc>
        <w:tc>
          <w:tcPr>
            <w:tcW w:w="3118" w:type="dxa"/>
          </w:tcPr>
          <w:p w14:paraId="4567988D">
            <w:pPr>
              <w:widowControl w:val="0"/>
              <w:jc w:val="center"/>
            </w:pPr>
            <w:r>
              <w:rPr>
                <w:rFonts w:ascii="Times New Roman" w:hAnsi="Times New Roman"/>
                <w:sz w:val="24"/>
              </w:rPr>
              <w:t>4</w:t>
            </w:r>
          </w:p>
        </w:tc>
      </w:tr>
      <w:tr w14:paraId="59FD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6CF844">
            <w:pPr>
              <w:widowControl w:val="0"/>
              <w:jc w:val="both"/>
            </w:pPr>
            <w:r>
              <w:rPr>
                <w:rFonts w:ascii="Times New Roman" w:hAnsi="Times New Roman"/>
                <w:sz w:val="24"/>
              </w:rPr>
              <w:t>Административно-управленческий персонал</w:t>
            </w:r>
          </w:p>
        </w:tc>
        <w:tc>
          <w:tcPr>
            <w:tcW w:w="3118" w:type="dxa"/>
          </w:tcPr>
          <w:p w14:paraId="496399DD">
            <w:pPr>
              <w:widowControl w:val="0"/>
              <w:jc w:val="both"/>
            </w:pPr>
            <w:r>
              <w:rPr>
                <w:rFonts w:ascii="Times New Roman" w:hAnsi="Times New Roman"/>
                <w:sz w:val="24"/>
              </w:rPr>
              <w:t>Бухгалтерия, системный администратор</w:t>
            </w:r>
          </w:p>
        </w:tc>
        <w:tc>
          <w:tcPr>
            <w:tcW w:w="3118" w:type="dxa"/>
          </w:tcPr>
          <w:p w14:paraId="2AA95519">
            <w:pPr>
              <w:widowControl w:val="0"/>
              <w:jc w:val="center"/>
            </w:pPr>
            <w:r>
              <w:rPr>
                <w:rFonts w:ascii="Times New Roman" w:hAnsi="Times New Roman"/>
                <w:sz w:val="24"/>
              </w:rPr>
              <w:t>2</w:t>
            </w:r>
          </w:p>
        </w:tc>
      </w:tr>
      <w:tr w14:paraId="796E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37294DD">
            <w:pPr>
              <w:widowControl w:val="0"/>
              <w:jc w:val="both"/>
            </w:pPr>
            <w:r>
              <w:rPr>
                <w:rFonts w:ascii="Times New Roman" w:hAnsi="Times New Roman"/>
                <w:sz w:val="24"/>
              </w:rPr>
              <w:t>Итого</w:t>
            </w:r>
          </w:p>
        </w:tc>
        <w:tc>
          <w:tcPr>
            <w:tcW w:w="3118" w:type="dxa"/>
          </w:tcPr>
          <w:p w14:paraId="4EF3A9EC">
            <w:pPr>
              <w:widowControl w:val="0"/>
              <w:jc w:val="both"/>
            </w:pPr>
          </w:p>
        </w:tc>
        <w:tc>
          <w:tcPr>
            <w:tcW w:w="3118" w:type="dxa"/>
          </w:tcPr>
          <w:p w14:paraId="0430D3EC">
            <w:pPr>
              <w:widowControl w:val="0"/>
              <w:jc w:val="center"/>
            </w:pPr>
            <w:r>
              <w:rPr>
                <w:rFonts w:ascii="Times New Roman" w:hAnsi="Times New Roman"/>
                <w:sz w:val="24"/>
              </w:rPr>
              <w:t>17</w:t>
            </w:r>
          </w:p>
        </w:tc>
      </w:tr>
    </w:tbl>
    <w:p w14:paraId="6197A2F8">
      <w:pPr>
        <w:spacing w:after="120" w:line="360" w:lineRule="auto"/>
        <w:ind w:firstLine="700"/>
        <w:jc w:val="both"/>
      </w:pPr>
    </w:p>
    <w:p w14:paraId="2FD6C8A9">
      <w:pPr>
        <w:spacing w:after="120" w:line="360" w:lineRule="auto"/>
        <w:ind w:firstLine="700"/>
        <w:jc w:val="both"/>
      </w:pPr>
      <w:r>
        <w:rPr>
          <w:rFonts w:ascii="Times New Roman" w:hAnsi="Times New Roman"/>
          <w:b w:val="0"/>
          <w:sz w:val="28"/>
        </w:rPr>
        <w:t>Из таблицы видно, что тендерные специалисты составляют крупнейшую группу персонала — 8 человек из 17. Это подтверждает приоритетность данного подразделения для бизнес-модели предприятия. Логистика и продажи обеспечивают сопровождение контрактов и работу с частными заказами, а административно-управленческий блок представлен минимальным составом, что соответствует масштабу малого бизнеса.</w:t>
      </w:r>
    </w:p>
    <w:p w14:paraId="399828B9">
      <w:pPr>
        <w:spacing w:after="120" w:line="360" w:lineRule="auto"/>
        <w:ind w:firstLine="700"/>
        <w:jc w:val="both"/>
        <w:rPr>
          <w:rFonts w:ascii="Times New Roman" w:hAnsi="Times New Roman"/>
          <w:b w:val="0"/>
          <w:sz w:val="28"/>
        </w:rPr>
      </w:pPr>
      <w:r>
        <w:rPr>
          <w:rFonts w:ascii="Times New Roman" w:hAnsi="Times New Roman"/>
          <w:b w:val="0"/>
          <w:sz w:val="28"/>
        </w:rPr>
        <w:t>Для оценки устойчивости кадрового состава были рассмотрены возраст, стаж работы и уровень образования сотрудников тендерного отдел</w:t>
      </w:r>
      <w:r>
        <w:rPr>
          <w:rFonts w:ascii="Times New Roman" w:hAnsi="Times New Roman"/>
          <w:b w:val="0"/>
          <w:sz w:val="28"/>
          <w:lang w:val="ru-RU"/>
        </w:rPr>
        <w:t>а</w:t>
      </w:r>
      <w:r>
        <w:rPr>
          <w:rFonts w:hint="default" w:ascii="Times New Roman" w:hAnsi="Times New Roman"/>
          <w:b w:val="0"/>
          <w:sz w:val="28"/>
          <w:lang w:val="ru-RU"/>
        </w:rPr>
        <w:t xml:space="preserve"> (см.табл.2.2-2.4.)</w:t>
      </w:r>
      <w:r>
        <w:rPr>
          <w:rFonts w:ascii="Times New Roman" w:hAnsi="Times New Roman"/>
          <w:b w:val="0"/>
          <w:sz w:val="28"/>
        </w:rPr>
        <w:t>.</w:t>
      </w:r>
    </w:p>
    <w:p w14:paraId="24096CEC">
      <w:pPr>
        <w:spacing w:after="120" w:line="360" w:lineRule="auto"/>
        <w:ind w:firstLine="700"/>
        <w:jc w:val="both"/>
        <w:rPr>
          <w:rFonts w:ascii="Times New Roman" w:hAnsi="Times New Roman"/>
          <w:b w:val="0"/>
          <w:sz w:val="28"/>
        </w:rPr>
      </w:pPr>
    </w:p>
    <w:p w14:paraId="087BFED9">
      <w:pPr>
        <w:spacing w:after="120" w:line="360" w:lineRule="auto"/>
        <w:ind w:firstLine="700"/>
        <w:jc w:val="both"/>
        <w:rPr>
          <w:rFonts w:ascii="Times New Roman" w:hAnsi="Times New Roman"/>
          <w:b w:val="0"/>
          <w:sz w:val="28"/>
        </w:rPr>
      </w:pPr>
    </w:p>
    <w:p w14:paraId="13E9017C">
      <w:pPr>
        <w:spacing w:after="120" w:line="360" w:lineRule="auto"/>
        <w:jc w:val="right"/>
        <w:rPr>
          <w:sz w:val="18"/>
          <w:szCs w:val="18"/>
        </w:rPr>
      </w:pPr>
      <w:r>
        <w:rPr>
          <w:rFonts w:ascii="Times New Roman" w:hAnsi="Times New Roman"/>
          <w:b w:val="0"/>
          <w:sz w:val="24"/>
          <w:szCs w:val="18"/>
        </w:rPr>
        <w:t>Таблица 2.2. Возрастная структура тендерных специалистов ООО «Лайф Медиа»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AEE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9D1A175">
            <w:pPr>
              <w:widowControl w:val="0"/>
              <w:jc w:val="both"/>
              <w:rPr>
                <w:b w:val="0"/>
                <w:bCs/>
              </w:rPr>
            </w:pPr>
            <w:r>
              <w:rPr>
                <w:rFonts w:ascii="Times New Roman" w:hAnsi="Times New Roman"/>
                <w:b w:val="0"/>
                <w:bCs/>
                <w:sz w:val="24"/>
              </w:rPr>
              <w:t>Возрастная группа</w:t>
            </w:r>
          </w:p>
        </w:tc>
        <w:tc>
          <w:tcPr>
            <w:tcW w:w="3118" w:type="dxa"/>
          </w:tcPr>
          <w:p w14:paraId="09C407A7">
            <w:pPr>
              <w:widowControl w:val="0"/>
              <w:jc w:val="both"/>
              <w:rPr>
                <w:b w:val="0"/>
                <w:bCs/>
              </w:rPr>
            </w:pPr>
            <w:r>
              <w:rPr>
                <w:rFonts w:ascii="Times New Roman" w:hAnsi="Times New Roman"/>
                <w:b w:val="0"/>
                <w:bCs/>
                <w:sz w:val="24"/>
              </w:rPr>
              <w:t>Количество, чел.</w:t>
            </w:r>
          </w:p>
        </w:tc>
        <w:tc>
          <w:tcPr>
            <w:tcW w:w="3118" w:type="dxa"/>
          </w:tcPr>
          <w:p w14:paraId="2D587BFE">
            <w:pPr>
              <w:widowControl w:val="0"/>
              <w:jc w:val="both"/>
              <w:rPr>
                <w:b w:val="0"/>
                <w:bCs/>
              </w:rPr>
            </w:pPr>
            <w:r>
              <w:rPr>
                <w:rFonts w:ascii="Times New Roman" w:hAnsi="Times New Roman"/>
                <w:b w:val="0"/>
                <w:bCs/>
                <w:sz w:val="24"/>
              </w:rPr>
              <w:t>Доля, %</w:t>
            </w:r>
          </w:p>
        </w:tc>
      </w:tr>
      <w:tr w14:paraId="3A8C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116144F">
            <w:pPr>
              <w:widowControl w:val="0"/>
              <w:jc w:val="both"/>
            </w:pPr>
            <w:r>
              <w:rPr>
                <w:rFonts w:ascii="Times New Roman" w:hAnsi="Times New Roman"/>
                <w:sz w:val="24"/>
              </w:rPr>
              <w:t>До 25 лет</w:t>
            </w:r>
          </w:p>
        </w:tc>
        <w:tc>
          <w:tcPr>
            <w:tcW w:w="3118" w:type="dxa"/>
          </w:tcPr>
          <w:p w14:paraId="4A452016">
            <w:pPr>
              <w:widowControl w:val="0"/>
              <w:jc w:val="center"/>
            </w:pPr>
            <w:r>
              <w:rPr>
                <w:rFonts w:ascii="Times New Roman" w:hAnsi="Times New Roman"/>
                <w:sz w:val="24"/>
              </w:rPr>
              <w:t>2</w:t>
            </w:r>
          </w:p>
        </w:tc>
        <w:tc>
          <w:tcPr>
            <w:tcW w:w="3118" w:type="dxa"/>
          </w:tcPr>
          <w:p w14:paraId="1EB2975B">
            <w:pPr>
              <w:widowControl w:val="0"/>
              <w:jc w:val="center"/>
            </w:pPr>
            <w:r>
              <w:rPr>
                <w:rFonts w:ascii="Times New Roman" w:hAnsi="Times New Roman"/>
                <w:sz w:val="24"/>
              </w:rPr>
              <w:t>25,0</w:t>
            </w:r>
          </w:p>
        </w:tc>
      </w:tr>
      <w:tr w14:paraId="0EC9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E2C7B74">
            <w:pPr>
              <w:widowControl w:val="0"/>
              <w:jc w:val="both"/>
            </w:pPr>
            <w:r>
              <w:rPr>
                <w:rFonts w:ascii="Times New Roman" w:hAnsi="Times New Roman"/>
                <w:sz w:val="24"/>
              </w:rPr>
              <w:t>25-35 лет</w:t>
            </w:r>
          </w:p>
        </w:tc>
        <w:tc>
          <w:tcPr>
            <w:tcW w:w="3118" w:type="dxa"/>
          </w:tcPr>
          <w:p w14:paraId="2FCADC3E">
            <w:pPr>
              <w:widowControl w:val="0"/>
              <w:jc w:val="center"/>
            </w:pPr>
            <w:r>
              <w:rPr>
                <w:rFonts w:ascii="Times New Roman" w:hAnsi="Times New Roman"/>
                <w:sz w:val="24"/>
              </w:rPr>
              <w:t>5</w:t>
            </w:r>
          </w:p>
        </w:tc>
        <w:tc>
          <w:tcPr>
            <w:tcW w:w="3118" w:type="dxa"/>
          </w:tcPr>
          <w:p w14:paraId="19E29200">
            <w:pPr>
              <w:widowControl w:val="0"/>
              <w:jc w:val="center"/>
            </w:pPr>
            <w:r>
              <w:rPr>
                <w:rFonts w:ascii="Times New Roman" w:hAnsi="Times New Roman"/>
                <w:sz w:val="24"/>
              </w:rPr>
              <w:t>62,5</w:t>
            </w:r>
          </w:p>
        </w:tc>
      </w:tr>
      <w:tr w14:paraId="1802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E6C907D">
            <w:pPr>
              <w:widowControl w:val="0"/>
              <w:jc w:val="both"/>
            </w:pPr>
            <w:r>
              <w:rPr>
                <w:rFonts w:ascii="Times New Roman" w:hAnsi="Times New Roman"/>
                <w:sz w:val="24"/>
              </w:rPr>
              <w:t>36-45 лет</w:t>
            </w:r>
          </w:p>
        </w:tc>
        <w:tc>
          <w:tcPr>
            <w:tcW w:w="3118" w:type="dxa"/>
          </w:tcPr>
          <w:p w14:paraId="19E5DDAF">
            <w:pPr>
              <w:widowControl w:val="0"/>
              <w:jc w:val="center"/>
            </w:pPr>
            <w:r>
              <w:rPr>
                <w:rFonts w:ascii="Times New Roman" w:hAnsi="Times New Roman"/>
                <w:sz w:val="24"/>
              </w:rPr>
              <w:t>1</w:t>
            </w:r>
          </w:p>
        </w:tc>
        <w:tc>
          <w:tcPr>
            <w:tcW w:w="3118" w:type="dxa"/>
          </w:tcPr>
          <w:p w14:paraId="112DC88D">
            <w:pPr>
              <w:widowControl w:val="0"/>
              <w:jc w:val="center"/>
            </w:pPr>
            <w:r>
              <w:rPr>
                <w:rFonts w:ascii="Times New Roman" w:hAnsi="Times New Roman"/>
                <w:sz w:val="24"/>
              </w:rPr>
              <w:t>12,5</w:t>
            </w:r>
          </w:p>
        </w:tc>
      </w:tr>
      <w:tr w14:paraId="7E9D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4A656F0">
            <w:pPr>
              <w:widowControl w:val="0"/>
              <w:jc w:val="both"/>
            </w:pPr>
            <w:r>
              <w:rPr>
                <w:rFonts w:ascii="Times New Roman" w:hAnsi="Times New Roman"/>
                <w:sz w:val="24"/>
              </w:rPr>
              <w:t>Старше 45 лет</w:t>
            </w:r>
          </w:p>
        </w:tc>
        <w:tc>
          <w:tcPr>
            <w:tcW w:w="3118" w:type="dxa"/>
          </w:tcPr>
          <w:p w14:paraId="6C8B4B02">
            <w:pPr>
              <w:widowControl w:val="0"/>
              <w:jc w:val="center"/>
            </w:pPr>
            <w:r>
              <w:rPr>
                <w:rFonts w:ascii="Times New Roman" w:hAnsi="Times New Roman"/>
                <w:sz w:val="24"/>
              </w:rPr>
              <w:t>0</w:t>
            </w:r>
          </w:p>
        </w:tc>
        <w:tc>
          <w:tcPr>
            <w:tcW w:w="3118" w:type="dxa"/>
          </w:tcPr>
          <w:p w14:paraId="59B36ECC">
            <w:pPr>
              <w:widowControl w:val="0"/>
              <w:jc w:val="center"/>
            </w:pPr>
            <w:r>
              <w:rPr>
                <w:rFonts w:ascii="Times New Roman" w:hAnsi="Times New Roman"/>
                <w:sz w:val="24"/>
              </w:rPr>
              <w:t>0</w:t>
            </w:r>
          </w:p>
        </w:tc>
      </w:tr>
    </w:tbl>
    <w:p w14:paraId="59BFA3A7">
      <w:pPr>
        <w:spacing w:after="120" w:line="360" w:lineRule="auto"/>
        <w:ind w:firstLine="700"/>
        <w:jc w:val="both"/>
      </w:pPr>
    </w:p>
    <w:p w14:paraId="6B87EC72">
      <w:pPr>
        <w:spacing w:after="120" w:line="360" w:lineRule="auto"/>
        <w:jc w:val="right"/>
        <w:rPr>
          <w:sz w:val="18"/>
          <w:szCs w:val="18"/>
        </w:rPr>
      </w:pPr>
      <w:r>
        <w:rPr>
          <w:rFonts w:ascii="Times New Roman" w:hAnsi="Times New Roman"/>
          <w:b w:val="0"/>
          <w:sz w:val="24"/>
          <w:szCs w:val="18"/>
        </w:rPr>
        <w:t>Таблица 2.3. Структура тендерных специалистов по продолжительности работы в ООО «Лайф Медиа»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4C24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B728FF">
            <w:pPr>
              <w:widowControl w:val="0"/>
              <w:jc w:val="center"/>
              <w:rPr>
                <w:b w:val="0"/>
                <w:bCs/>
              </w:rPr>
            </w:pPr>
            <w:r>
              <w:rPr>
                <w:rFonts w:ascii="Times New Roman" w:hAnsi="Times New Roman"/>
                <w:b w:val="0"/>
                <w:bCs/>
                <w:sz w:val="24"/>
              </w:rPr>
              <w:t>Стаж в компании</w:t>
            </w:r>
          </w:p>
        </w:tc>
        <w:tc>
          <w:tcPr>
            <w:tcW w:w="3118" w:type="dxa"/>
          </w:tcPr>
          <w:p w14:paraId="286DFCB9">
            <w:pPr>
              <w:widowControl w:val="0"/>
              <w:jc w:val="center"/>
              <w:rPr>
                <w:b w:val="0"/>
                <w:bCs/>
              </w:rPr>
            </w:pPr>
            <w:r>
              <w:rPr>
                <w:rFonts w:ascii="Times New Roman" w:hAnsi="Times New Roman"/>
                <w:b w:val="0"/>
                <w:bCs/>
                <w:sz w:val="24"/>
              </w:rPr>
              <w:t>Количество, чел.</w:t>
            </w:r>
          </w:p>
        </w:tc>
        <w:tc>
          <w:tcPr>
            <w:tcW w:w="3118" w:type="dxa"/>
          </w:tcPr>
          <w:p w14:paraId="7C663C3B">
            <w:pPr>
              <w:widowControl w:val="0"/>
              <w:jc w:val="center"/>
              <w:rPr>
                <w:b w:val="0"/>
                <w:bCs/>
              </w:rPr>
            </w:pPr>
            <w:r>
              <w:rPr>
                <w:rFonts w:ascii="Times New Roman" w:hAnsi="Times New Roman"/>
                <w:b w:val="0"/>
                <w:bCs/>
                <w:sz w:val="24"/>
              </w:rPr>
              <w:t>Доля, %</w:t>
            </w:r>
          </w:p>
        </w:tc>
      </w:tr>
      <w:tr w14:paraId="4F8A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5EF0FC">
            <w:pPr>
              <w:widowControl w:val="0"/>
              <w:jc w:val="left"/>
            </w:pPr>
            <w:r>
              <w:rPr>
                <w:rFonts w:ascii="Times New Roman" w:hAnsi="Times New Roman"/>
                <w:sz w:val="24"/>
              </w:rPr>
              <w:t>Менее 3 месяцев</w:t>
            </w:r>
          </w:p>
        </w:tc>
        <w:tc>
          <w:tcPr>
            <w:tcW w:w="3118" w:type="dxa"/>
          </w:tcPr>
          <w:p w14:paraId="78CBC6F4">
            <w:pPr>
              <w:widowControl w:val="0"/>
              <w:jc w:val="center"/>
            </w:pPr>
            <w:r>
              <w:rPr>
                <w:rFonts w:ascii="Times New Roman" w:hAnsi="Times New Roman"/>
                <w:sz w:val="24"/>
              </w:rPr>
              <w:t>2</w:t>
            </w:r>
          </w:p>
        </w:tc>
        <w:tc>
          <w:tcPr>
            <w:tcW w:w="3118" w:type="dxa"/>
          </w:tcPr>
          <w:p w14:paraId="78CB4B68">
            <w:pPr>
              <w:widowControl w:val="0"/>
              <w:jc w:val="center"/>
            </w:pPr>
            <w:r>
              <w:rPr>
                <w:rFonts w:ascii="Times New Roman" w:hAnsi="Times New Roman"/>
                <w:sz w:val="24"/>
              </w:rPr>
              <w:t>25,0</w:t>
            </w:r>
          </w:p>
        </w:tc>
      </w:tr>
      <w:tr w14:paraId="3253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D094033">
            <w:pPr>
              <w:widowControl w:val="0"/>
              <w:jc w:val="left"/>
            </w:pPr>
            <w:r>
              <w:rPr>
                <w:rFonts w:ascii="Times New Roman" w:hAnsi="Times New Roman"/>
                <w:sz w:val="24"/>
              </w:rPr>
              <w:t>От 3 до 6 месяцев</w:t>
            </w:r>
          </w:p>
        </w:tc>
        <w:tc>
          <w:tcPr>
            <w:tcW w:w="3118" w:type="dxa"/>
          </w:tcPr>
          <w:p w14:paraId="59244FEB">
            <w:pPr>
              <w:widowControl w:val="0"/>
              <w:jc w:val="center"/>
            </w:pPr>
            <w:r>
              <w:rPr>
                <w:rFonts w:ascii="Times New Roman" w:hAnsi="Times New Roman"/>
                <w:sz w:val="24"/>
              </w:rPr>
              <w:t>1</w:t>
            </w:r>
          </w:p>
        </w:tc>
        <w:tc>
          <w:tcPr>
            <w:tcW w:w="3118" w:type="dxa"/>
          </w:tcPr>
          <w:p w14:paraId="0BAEBF85">
            <w:pPr>
              <w:widowControl w:val="0"/>
              <w:jc w:val="center"/>
            </w:pPr>
            <w:r>
              <w:rPr>
                <w:rFonts w:ascii="Times New Roman" w:hAnsi="Times New Roman"/>
                <w:sz w:val="24"/>
              </w:rPr>
              <w:t>12,5</w:t>
            </w:r>
          </w:p>
        </w:tc>
      </w:tr>
      <w:tr w14:paraId="24ED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6A6954">
            <w:pPr>
              <w:widowControl w:val="0"/>
              <w:jc w:val="left"/>
            </w:pPr>
            <w:r>
              <w:rPr>
                <w:rFonts w:ascii="Times New Roman" w:hAnsi="Times New Roman"/>
                <w:sz w:val="24"/>
              </w:rPr>
              <w:t>От 6 до 12 месяцев</w:t>
            </w:r>
          </w:p>
        </w:tc>
        <w:tc>
          <w:tcPr>
            <w:tcW w:w="3118" w:type="dxa"/>
          </w:tcPr>
          <w:p w14:paraId="3CC08993">
            <w:pPr>
              <w:widowControl w:val="0"/>
              <w:jc w:val="center"/>
            </w:pPr>
            <w:r>
              <w:rPr>
                <w:rFonts w:ascii="Times New Roman" w:hAnsi="Times New Roman"/>
                <w:sz w:val="24"/>
              </w:rPr>
              <w:t>2</w:t>
            </w:r>
          </w:p>
        </w:tc>
        <w:tc>
          <w:tcPr>
            <w:tcW w:w="3118" w:type="dxa"/>
          </w:tcPr>
          <w:p w14:paraId="638982D7">
            <w:pPr>
              <w:widowControl w:val="0"/>
              <w:jc w:val="center"/>
            </w:pPr>
            <w:r>
              <w:rPr>
                <w:rFonts w:ascii="Times New Roman" w:hAnsi="Times New Roman"/>
                <w:sz w:val="24"/>
              </w:rPr>
              <w:t>25,0</w:t>
            </w:r>
          </w:p>
        </w:tc>
      </w:tr>
      <w:tr w14:paraId="55F5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7380A37">
            <w:pPr>
              <w:widowControl w:val="0"/>
              <w:jc w:val="left"/>
            </w:pPr>
            <w:r>
              <w:rPr>
                <w:rFonts w:ascii="Times New Roman" w:hAnsi="Times New Roman"/>
                <w:sz w:val="24"/>
              </w:rPr>
              <w:t>От 1 до 2 лет</w:t>
            </w:r>
          </w:p>
        </w:tc>
        <w:tc>
          <w:tcPr>
            <w:tcW w:w="3118" w:type="dxa"/>
          </w:tcPr>
          <w:p w14:paraId="35B6596D">
            <w:pPr>
              <w:widowControl w:val="0"/>
              <w:jc w:val="center"/>
            </w:pPr>
            <w:r>
              <w:rPr>
                <w:rFonts w:ascii="Times New Roman" w:hAnsi="Times New Roman"/>
                <w:sz w:val="24"/>
              </w:rPr>
              <w:t>1</w:t>
            </w:r>
          </w:p>
        </w:tc>
        <w:tc>
          <w:tcPr>
            <w:tcW w:w="3118" w:type="dxa"/>
          </w:tcPr>
          <w:p w14:paraId="2F390803">
            <w:pPr>
              <w:widowControl w:val="0"/>
              <w:jc w:val="center"/>
            </w:pPr>
            <w:r>
              <w:rPr>
                <w:rFonts w:ascii="Times New Roman" w:hAnsi="Times New Roman"/>
                <w:sz w:val="24"/>
              </w:rPr>
              <w:t>12,5</w:t>
            </w:r>
          </w:p>
        </w:tc>
      </w:tr>
      <w:tr w14:paraId="17E6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949EC51">
            <w:pPr>
              <w:widowControl w:val="0"/>
              <w:jc w:val="left"/>
            </w:pPr>
            <w:r>
              <w:rPr>
                <w:rFonts w:ascii="Times New Roman" w:hAnsi="Times New Roman"/>
                <w:sz w:val="24"/>
              </w:rPr>
              <w:t>Более 2 лет</w:t>
            </w:r>
          </w:p>
        </w:tc>
        <w:tc>
          <w:tcPr>
            <w:tcW w:w="3118" w:type="dxa"/>
          </w:tcPr>
          <w:p w14:paraId="1D792DF9">
            <w:pPr>
              <w:widowControl w:val="0"/>
              <w:jc w:val="center"/>
            </w:pPr>
            <w:r>
              <w:rPr>
                <w:rFonts w:ascii="Times New Roman" w:hAnsi="Times New Roman"/>
                <w:sz w:val="24"/>
              </w:rPr>
              <w:t>2</w:t>
            </w:r>
          </w:p>
        </w:tc>
        <w:tc>
          <w:tcPr>
            <w:tcW w:w="3118" w:type="dxa"/>
          </w:tcPr>
          <w:p w14:paraId="1C6C86AE">
            <w:pPr>
              <w:widowControl w:val="0"/>
              <w:jc w:val="center"/>
            </w:pPr>
            <w:r>
              <w:rPr>
                <w:rFonts w:ascii="Times New Roman" w:hAnsi="Times New Roman"/>
                <w:sz w:val="24"/>
              </w:rPr>
              <w:t>25,0</w:t>
            </w:r>
          </w:p>
        </w:tc>
      </w:tr>
    </w:tbl>
    <w:p w14:paraId="0EE41526">
      <w:pPr>
        <w:spacing w:after="120" w:line="360" w:lineRule="auto"/>
        <w:ind w:firstLine="700"/>
        <w:jc w:val="center"/>
      </w:pPr>
    </w:p>
    <w:p w14:paraId="28E04785">
      <w:pPr>
        <w:spacing w:after="120" w:line="360" w:lineRule="auto"/>
        <w:jc w:val="right"/>
        <w:rPr>
          <w:sz w:val="24"/>
          <w:szCs w:val="24"/>
        </w:rPr>
      </w:pPr>
      <w:r>
        <w:rPr>
          <w:rFonts w:ascii="Times New Roman" w:hAnsi="Times New Roman"/>
          <w:b w:val="0"/>
          <w:sz w:val="24"/>
          <w:szCs w:val="24"/>
        </w:rPr>
        <w:t>Таблица 2.4. Уровень образования специалистов тендерного отдела ООО «Лайф Медиа»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F49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23903AE">
            <w:pPr>
              <w:widowControl w:val="0"/>
              <w:jc w:val="center"/>
              <w:rPr>
                <w:b w:val="0"/>
                <w:bCs/>
              </w:rPr>
            </w:pPr>
            <w:r>
              <w:rPr>
                <w:rFonts w:ascii="Times New Roman" w:hAnsi="Times New Roman"/>
                <w:b w:val="0"/>
                <w:bCs/>
                <w:sz w:val="24"/>
              </w:rPr>
              <w:t>Уровень образования</w:t>
            </w:r>
          </w:p>
        </w:tc>
        <w:tc>
          <w:tcPr>
            <w:tcW w:w="3118" w:type="dxa"/>
          </w:tcPr>
          <w:p w14:paraId="46F7DD53">
            <w:pPr>
              <w:widowControl w:val="0"/>
              <w:jc w:val="center"/>
              <w:rPr>
                <w:b w:val="0"/>
                <w:bCs/>
              </w:rPr>
            </w:pPr>
            <w:r>
              <w:rPr>
                <w:rFonts w:ascii="Times New Roman" w:hAnsi="Times New Roman"/>
                <w:b w:val="0"/>
                <w:bCs/>
                <w:sz w:val="24"/>
              </w:rPr>
              <w:t>Количество, чел.</w:t>
            </w:r>
          </w:p>
        </w:tc>
        <w:tc>
          <w:tcPr>
            <w:tcW w:w="3118" w:type="dxa"/>
          </w:tcPr>
          <w:p w14:paraId="6CA0CFBA">
            <w:pPr>
              <w:widowControl w:val="0"/>
              <w:jc w:val="center"/>
              <w:rPr>
                <w:b w:val="0"/>
                <w:bCs/>
              </w:rPr>
            </w:pPr>
            <w:r>
              <w:rPr>
                <w:rFonts w:ascii="Times New Roman" w:hAnsi="Times New Roman"/>
                <w:b w:val="0"/>
                <w:bCs/>
                <w:sz w:val="24"/>
              </w:rPr>
              <w:t>Доля, %</w:t>
            </w:r>
          </w:p>
        </w:tc>
      </w:tr>
      <w:tr w14:paraId="45DF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A32696C">
            <w:pPr>
              <w:widowControl w:val="0"/>
              <w:jc w:val="both"/>
            </w:pPr>
            <w:r>
              <w:rPr>
                <w:rFonts w:ascii="Times New Roman" w:hAnsi="Times New Roman"/>
                <w:sz w:val="24"/>
              </w:rPr>
              <w:t>Высшее профильное (экономика/менеджмент)</w:t>
            </w:r>
          </w:p>
        </w:tc>
        <w:tc>
          <w:tcPr>
            <w:tcW w:w="3118" w:type="dxa"/>
          </w:tcPr>
          <w:p w14:paraId="09200554">
            <w:pPr>
              <w:widowControl w:val="0"/>
              <w:jc w:val="center"/>
            </w:pPr>
            <w:r>
              <w:rPr>
                <w:rFonts w:ascii="Times New Roman" w:hAnsi="Times New Roman"/>
                <w:sz w:val="24"/>
              </w:rPr>
              <w:t>3</w:t>
            </w:r>
          </w:p>
        </w:tc>
        <w:tc>
          <w:tcPr>
            <w:tcW w:w="3118" w:type="dxa"/>
          </w:tcPr>
          <w:p w14:paraId="3F6C2D04">
            <w:pPr>
              <w:widowControl w:val="0"/>
              <w:jc w:val="center"/>
            </w:pPr>
            <w:r>
              <w:rPr>
                <w:rFonts w:ascii="Times New Roman" w:hAnsi="Times New Roman"/>
                <w:sz w:val="24"/>
              </w:rPr>
              <w:t>37,5</w:t>
            </w:r>
          </w:p>
        </w:tc>
      </w:tr>
      <w:tr w14:paraId="714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642C008">
            <w:pPr>
              <w:widowControl w:val="0"/>
              <w:jc w:val="both"/>
            </w:pPr>
            <w:r>
              <w:rPr>
                <w:rFonts w:ascii="Times New Roman" w:hAnsi="Times New Roman"/>
                <w:sz w:val="24"/>
              </w:rPr>
              <w:t>Высшее непрофильное</w:t>
            </w:r>
          </w:p>
        </w:tc>
        <w:tc>
          <w:tcPr>
            <w:tcW w:w="3118" w:type="dxa"/>
          </w:tcPr>
          <w:p w14:paraId="382FF2B7">
            <w:pPr>
              <w:widowControl w:val="0"/>
              <w:jc w:val="center"/>
            </w:pPr>
            <w:r>
              <w:rPr>
                <w:rFonts w:ascii="Times New Roman" w:hAnsi="Times New Roman"/>
                <w:sz w:val="24"/>
              </w:rPr>
              <w:t>4</w:t>
            </w:r>
          </w:p>
        </w:tc>
        <w:tc>
          <w:tcPr>
            <w:tcW w:w="3118" w:type="dxa"/>
          </w:tcPr>
          <w:p w14:paraId="7FABE1C5">
            <w:pPr>
              <w:widowControl w:val="0"/>
              <w:jc w:val="center"/>
            </w:pPr>
            <w:r>
              <w:rPr>
                <w:rFonts w:ascii="Times New Roman" w:hAnsi="Times New Roman"/>
                <w:sz w:val="24"/>
              </w:rPr>
              <w:t>50,0</w:t>
            </w:r>
          </w:p>
        </w:tc>
      </w:tr>
      <w:tr w14:paraId="7C67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74B734">
            <w:pPr>
              <w:widowControl w:val="0"/>
              <w:jc w:val="both"/>
            </w:pPr>
            <w:r>
              <w:rPr>
                <w:rFonts w:ascii="Times New Roman" w:hAnsi="Times New Roman"/>
                <w:sz w:val="24"/>
              </w:rPr>
              <w:t>Среднее профессиональное</w:t>
            </w:r>
          </w:p>
        </w:tc>
        <w:tc>
          <w:tcPr>
            <w:tcW w:w="3118" w:type="dxa"/>
          </w:tcPr>
          <w:p w14:paraId="16E51624">
            <w:pPr>
              <w:widowControl w:val="0"/>
              <w:jc w:val="center"/>
            </w:pPr>
            <w:r>
              <w:rPr>
                <w:rFonts w:ascii="Times New Roman" w:hAnsi="Times New Roman"/>
                <w:sz w:val="24"/>
              </w:rPr>
              <w:t>1</w:t>
            </w:r>
          </w:p>
        </w:tc>
        <w:tc>
          <w:tcPr>
            <w:tcW w:w="3118" w:type="dxa"/>
          </w:tcPr>
          <w:p w14:paraId="3E870898">
            <w:pPr>
              <w:widowControl w:val="0"/>
              <w:jc w:val="center"/>
            </w:pPr>
            <w:r>
              <w:rPr>
                <w:rFonts w:ascii="Times New Roman" w:hAnsi="Times New Roman"/>
                <w:sz w:val="24"/>
              </w:rPr>
              <w:t>12,5</w:t>
            </w:r>
          </w:p>
        </w:tc>
      </w:tr>
    </w:tbl>
    <w:p w14:paraId="7BA5A4D2">
      <w:pPr>
        <w:spacing w:after="120" w:line="360" w:lineRule="auto"/>
        <w:ind w:firstLine="700"/>
        <w:jc w:val="both"/>
      </w:pPr>
    </w:p>
    <w:p w14:paraId="4E6557BD">
      <w:pPr>
        <w:spacing w:after="120" w:line="360" w:lineRule="auto"/>
        <w:ind w:firstLine="700"/>
        <w:jc w:val="both"/>
      </w:pPr>
      <w:r>
        <w:rPr>
          <w:rFonts w:ascii="Times New Roman" w:hAnsi="Times New Roman"/>
          <w:b w:val="0"/>
          <w:sz w:val="28"/>
        </w:rPr>
        <w:t>Представленные данные показывают, что тендерный отдел состоит преимущественно из молодых сотрудников: 7 из 8 специалистов находятся в возрасте до 35 лет. Это созда</w:t>
      </w:r>
      <w:r>
        <w:rPr>
          <w:rFonts w:ascii="Times New Roman" w:hAnsi="Times New Roman"/>
          <w:b w:val="0"/>
          <w:sz w:val="28"/>
          <w:lang w:val="ru-RU"/>
        </w:rPr>
        <w:t>ё</w:t>
      </w:r>
      <w:r>
        <w:rPr>
          <w:rFonts w:ascii="Times New Roman" w:hAnsi="Times New Roman"/>
          <w:b w:val="0"/>
          <w:sz w:val="28"/>
        </w:rPr>
        <w:t>т потенциал для освоения цифровых инструментов и профессионального роста. Одновременно структура стажа указывает на недостаточную устойчивость кадрового состава: 5 сотрудников, или 62,5%, работают в компании менее одного года, а стаж более двух лет имеют только 2 человека. Следовательно, в отделе ограничена доля работников, которые могут выступать носителями устойчивого опыта.</w:t>
      </w:r>
    </w:p>
    <w:p w14:paraId="540C0331">
      <w:pPr>
        <w:spacing w:after="120" w:line="360" w:lineRule="auto"/>
        <w:ind w:firstLine="700"/>
        <w:jc w:val="both"/>
      </w:pPr>
      <w:r>
        <w:rPr>
          <w:rFonts w:ascii="Times New Roman" w:hAnsi="Times New Roman"/>
          <w:b w:val="0"/>
          <w:sz w:val="28"/>
        </w:rPr>
        <w:t>Образовательная структура также неоднородна. Профильное высшее образование имеют 3 специалиста, тогда как 5 сотрудников обладают непрофильным или средним профессиональным образованием. Это не означает невозможность эффективной работы, но повышает значение внутренней адаптации, передачи практических знаний и регулярного обновления компетенций, особенно с уч</w:t>
      </w:r>
      <w:r>
        <w:rPr>
          <w:rFonts w:ascii="Times New Roman" w:hAnsi="Times New Roman"/>
          <w:b w:val="0"/>
          <w:sz w:val="28"/>
          <w:lang w:val="ru-RU"/>
        </w:rPr>
        <w:t>ё</w:t>
      </w:r>
      <w:r>
        <w:rPr>
          <w:rFonts w:ascii="Times New Roman" w:hAnsi="Times New Roman"/>
          <w:b w:val="0"/>
          <w:sz w:val="28"/>
        </w:rPr>
        <w:t>том изменений законодательства о закупках.</w:t>
      </w:r>
    </w:p>
    <w:p w14:paraId="166A653E">
      <w:pPr>
        <w:spacing w:after="120" w:line="360" w:lineRule="auto"/>
        <w:ind w:firstLine="700"/>
        <w:jc w:val="both"/>
        <w:rPr>
          <w:rFonts w:hint="default"/>
          <w:lang w:val="ru-RU"/>
        </w:rPr>
      </w:pPr>
      <w:r>
        <w:rPr>
          <w:rFonts w:ascii="Times New Roman" w:hAnsi="Times New Roman"/>
          <w:b w:val="0"/>
          <w:sz w:val="28"/>
        </w:rPr>
        <w:t>Стабильность персонала является важным условием качества работы тендерного отдела. Подготовка заявки требует знания законодательства, опыта работы с электронными площадками, понимания требований заказчиков и внутренних правил компании. При высокой сменяемости сотрудников часть опыта теряется, а новые работники вынуждены осваивать сложные операции в ускоренном режиме.</w:t>
      </w:r>
      <w:r>
        <w:rPr>
          <w:rFonts w:hint="default" w:ascii="Times New Roman" w:hAnsi="Times New Roman"/>
          <w:b w:val="0"/>
          <w:sz w:val="28"/>
          <w:lang w:val="ru-RU"/>
        </w:rPr>
        <w:t xml:space="preserve"> Анализ движения персонала компании за последние два года отражён в таблице 2.5.</w:t>
      </w:r>
    </w:p>
    <w:p w14:paraId="019826D2">
      <w:pPr>
        <w:spacing w:after="120" w:line="360" w:lineRule="auto"/>
        <w:jc w:val="right"/>
        <w:rPr>
          <w:sz w:val="24"/>
          <w:szCs w:val="24"/>
        </w:rPr>
      </w:pPr>
      <w:r>
        <w:rPr>
          <w:rFonts w:ascii="Times New Roman" w:hAnsi="Times New Roman"/>
          <w:b w:val="0"/>
          <w:sz w:val="24"/>
          <w:szCs w:val="24"/>
        </w:rPr>
        <w:t>Таблица 2.5. Анализ движения персонала тендерного отдела ООО «Лайф Медиа» за 2024-2025 гг.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0862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F03AD6F">
            <w:pPr>
              <w:widowControl w:val="0"/>
              <w:jc w:val="center"/>
              <w:rPr>
                <w:b w:val="0"/>
                <w:bCs/>
              </w:rPr>
            </w:pPr>
            <w:r>
              <w:rPr>
                <w:rFonts w:ascii="Times New Roman" w:hAnsi="Times New Roman"/>
                <w:b w:val="0"/>
                <w:bCs/>
                <w:sz w:val="24"/>
              </w:rPr>
              <w:t>Показатель</w:t>
            </w:r>
          </w:p>
        </w:tc>
        <w:tc>
          <w:tcPr>
            <w:tcW w:w="3118" w:type="dxa"/>
          </w:tcPr>
          <w:p w14:paraId="7480F63C">
            <w:pPr>
              <w:widowControl w:val="0"/>
              <w:jc w:val="center"/>
              <w:rPr>
                <w:b w:val="0"/>
                <w:bCs/>
              </w:rPr>
            </w:pPr>
            <w:r>
              <w:rPr>
                <w:rFonts w:ascii="Times New Roman" w:hAnsi="Times New Roman"/>
                <w:b w:val="0"/>
                <w:bCs/>
                <w:sz w:val="24"/>
              </w:rPr>
              <w:t>2024</w:t>
            </w:r>
          </w:p>
        </w:tc>
        <w:tc>
          <w:tcPr>
            <w:tcW w:w="3118" w:type="dxa"/>
          </w:tcPr>
          <w:p w14:paraId="39974636">
            <w:pPr>
              <w:widowControl w:val="0"/>
              <w:jc w:val="center"/>
              <w:rPr>
                <w:b w:val="0"/>
                <w:bCs/>
              </w:rPr>
            </w:pPr>
            <w:r>
              <w:rPr>
                <w:rFonts w:ascii="Times New Roman" w:hAnsi="Times New Roman"/>
                <w:b w:val="0"/>
                <w:bCs/>
                <w:sz w:val="24"/>
              </w:rPr>
              <w:t>2025</w:t>
            </w:r>
          </w:p>
        </w:tc>
      </w:tr>
      <w:tr w14:paraId="1525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08844B9">
            <w:pPr>
              <w:widowControl w:val="0"/>
              <w:jc w:val="both"/>
            </w:pPr>
            <w:r>
              <w:rPr>
                <w:rFonts w:ascii="Times New Roman" w:hAnsi="Times New Roman"/>
                <w:sz w:val="24"/>
              </w:rPr>
              <w:t>Численность на начало года, чел.</w:t>
            </w:r>
          </w:p>
        </w:tc>
        <w:tc>
          <w:tcPr>
            <w:tcW w:w="3118" w:type="dxa"/>
          </w:tcPr>
          <w:p w14:paraId="36ACDEDC">
            <w:pPr>
              <w:widowControl w:val="0"/>
              <w:jc w:val="center"/>
            </w:pPr>
            <w:r>
              <w:rPr>
                <w:rFonts w:ascii="Times New Roman" w:hAnsi="Times New Roman"/>
                <w:sz w:val="24"/>
              </w:rPr>
              <w:t>7</w:t>
            </w:r>
          </w:p>
        </w:tc>
        <w:tc>
          <w:tcPr>
            <w:tcW w:w="3118" w:type="dxa"/>
          </w:tcPr>
          <w:p w14:paraId="5B0615E3">
            <w:pPr>
              <w:widowControl w:val="0"/>
              <w:jc w:val="center"/>
            </w:pPr>
            <w:r>
              <w:rPr>
                <w:rFonts w:ascii="Times New Roman" w:hAnsi="Times New Roman"/>
                <w:sz w:val="24"/>
              </w:rPr>
              <w:t>8</w:t>
            </w:r>
          </w:p>
        </w:tc>
      </w:tr>
      <w:tr w14:paraId="6152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4C53297">
            <w:pPr>
              <w:widowControl w:val="0"/>
              <w:jc w:val="both"/>
            </w:pPr>
            <w:r>
              <w:rPr>
                <w:rFonts w:ascii="Times New Roman" w:hAnsi="Times New Roman"/>
                <w:sz w:val="24"/>
              </w:rPr>
              <w:t>Принято, чел.</w:t>
            </w:r>
          </w:p>
        </w:tc>
        <w:tc>
          <w:tcPr>
            <w:tcW w:w="3118" w:type="dxa"/>
          </w:tcPr>
          <w:p w14:paraId="4B758032">
            <w:pPr>
              <w:widowControl w:val="0"/>
              <w:jc w:val="center"/>
            </w:pPr>
            <w:r>
              <w:rPr>
                <w:rFonts w:ascii="Times New Roman" w:hAnsi="Times New Roman"/>
                <w:sz w:val="24"/>
              </w:rPr>
              <w:t>4</w:t>
            </w:r>
          </w:p>
        </w:tc>
        <w:tc>
          <w:tcPr>
            <w:tcW w:w="3118" w:type="dxa"/>
          </w:tcPr>
          <w:p w14:paraId="5BAA0035">
            <w:pPr>
              <w:widowControl w:val="0"/>
              <w:jc w:val="center"/>
            </w:pPr>
            <w:r>
              <w:rPr>
                <w:rFonts w:ascii="Times New Roman" w:hAnsi="Times New Roman"/>
                <w:sz w:val="24"/>
              </w:rPr>
              <w:t>3</w:t>
            </w:r>
          </w:p>
        </w:tc>
      </w:tr>
      <w:tr w14:paraId="0B61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4BB7AA2">
            <w:pPr>
              <w:widowControl w:val="0"/>
              <w:jc w:val="both"/>
            </w:pPr>
            <w:r>
              <w:rPr>
                <w:rFonts w:ascii="Times New Roman" w:hAnsi="Times New Roman"/>
                <w:sz w:val="24"/>
              </w:rPr>
              <w:t>Уволено, чел.</w:t>
            </w:r>
          </w:p>
        </w:tc>
        <w:tc>
          <w:tcPr>
            <w:tcW w:w="3118" w:type="dxa"/>
          </w:tcPr>
          <w:p w14:paraId="50B279E2">
            <w:pPr>
              <w:widowControl w:val="0"/>
              <w:jc w:val="center"/>
            </w:pPr>
            <w:r>
              <w:rPr>
                <w:rFonts w:ascii="Times New Roman" w:hAnsi="Times New Roman"/>
                <w:sz w:val="24"/>
              </w:rPr>
              <w:t>3</w:t>
            </w:r>
          </w:p>
        </w:tc>
        <w:tc>
          <w:tcPr>
            <w:tcW w:w="3118" w:type="dxa"/>
          </w:tcPr>
          <w:p w14:paraId="46494AAA">
            <w:pPr>
              <w:widowControl w:val="0"/>
              <w:jc w:val="center"/>
            </w:pPr>
            <w:r>
              <w:rPr>
                <w:rFonts w:ascii="Times New Roman" w:hAnsi="Times New Roman"/>
                <w:sz w:val="24"/>
              </w:rPr>
              <w:t>3</w:t>
            </w:r>
          </w:p>
        </w:tc>
      </w:tr>
      <w:tr w14:paraId="4392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957B353">
            <w:pPr>
              <w:widowControl w:val="0"/>
              <w:jc w:val="both"/>
            </w:pPr>
            <w:r>
              <w:rPr>
                <w:rFonts w:ascii="Times New Roman" w:hAnsi="Times New Roman"/>
                <w:sz w:val="24"/>
              </w:rPr>
              <w:t>Численность на конец года, чел.</w:t>
            </w:r>
          </w:p>
        </w:tc>
        <w:tc>
          <w:tcPr>
            <w:tcW w:w="3118" w:type="dxa"/>
          </w:tcPr>
          <w:p w14:paraId="78290EB3">
            <w:pPr>
              <w:widowControl w:val="0"/>
              <w:jc w:val="center"/>
            </w:pPr>
            <w:r>
              <w:rPr>
                <w:rFonts w:ascii="Times New Roman" w:hAnsi="Times New Roman"/>
                <w:sz w:val="24"/>
              </w:rPr>
              <w:t>8</w:t>
            </w:r>
          </w:p>
        </w:tc>
        <w:tc>
          <w:tcPr>
            <w:tcW w:w="3118" w:type="dxa"/>
          </w:tcPr>
          <w:p w14:paraId="025F9952">
            <w:pPr>
              <w:widowControl w:val="0"/>
              <w:jc w:val="center"/>
            </w:pPr>
            <w:r>
              <w:rPr>
                <w:rFonts w:ascii="Times New Roman" w:hAnsi="Times New Roman"/>
                <w:sz w:val="24"/>
              </w:rPr>
              <w:t>8</w:t>
            </w:r>
          </w:p>
        </w:tc>
      </w:tr>
      <w:tr w14:paraId="7A63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CCA4327">
            <w:pPr>
              <w:widowControl w:val="0"/>
              <w:jc w:val="both"/>
            </w:pPr>
            <w:r>
              <w:rPr>
                <w:rFonts w:ascii="Times New Roman" w:hAnsi="Times New Roman"/>
                <w:sz w:val="24"/>
              </w:rPr>
              <w:t>Коэф. оборота по приему, %</w:t>
            </w:r>
          </w:p>
        </w:tc>
        <w:tc>
          <w:tcPr>
            <w:tcW w:w="3118" w:type="dxa"/>
          </w:tcPr>
          <w:p w14:paraId="3E95B414">
            <w:pPr>
              <w:widowControl w:val="0"/>
              <w:jc w:val="center"/>
            </w:pPr>
            <w:r>
              <w:rPr>
                <w:rFonts w:ascii="Times New Roman" w:hAnsi="Times New Roman"/>
                <w:sz w:val="24"/>
              </w:rPr>
              <w:t>55,3</w:t>
            </w:r>
          </w:p>
        </w:tc>
        <w:tc>
          <w:tcPr>
            <w:tcW w:w="3118" w:type="dxa"/>
          </w:tcPr>
          <w:p w14:paraId="05C7454D">
            <w:pPr>
              <w:widowControl w:val="0"/>
              <w:jc w:val="center"/>
            </w:pPr>
            <w:r>
              <w:rPr>
                <w:rFonts w:ascii="Times New Roman" w:hAnsi="Times New Roman"/>
                <w:sz w:val="24"/>
              </w:rPr>
              <w:t>37,5</w:t>
            </w:r>
          </w:p>
        </w:tc>
      </w:tr>
      <w:tr w14:paraId="093D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9DC2DA">
            <w:pPr>
              <w:widowControl w:val="0"/>
              <w:jc w:val="both"/>
            </w:pPr>
            <w:r>
              <w:rPr>
                <w:rFonts w:ascii="Times New Roman" w:hAnsi="Times New Roman"/>
                <w:sz w:val="24"/>
              </w:rPr>
              <w:t>Коэф. оборота по выбытию, %</w:t>
            </w:r>
          </w:p>
        </w:tc>
        <w:tc>
          <w:tcPr>
            <w:tcW w:w="3118" w:type="dxa"/>
          </w:tcPr>
          <w:p w14:paraId="763FADB3">
            <w:pPr>
              <w:widowControl w:val="0"/>
              <w:jc w:val="center"/>
            </w:pPr>
            <w:r>
              <w:rPr>
                <w:rFonts w:ascii="Times New Roman" w:hAnsi="Times New Roman"/>
                <w:sz w:val="24"/>
              </w:rPr>
              <w:t>40,0</w:t>
            </w:r>
          </w:p>
        </w:tc>
        <w:tc>
          <w:tcPr>
            <w:tcW w:w="3118" w:type="dxa"/>
          </w:tcPr>
          <w:p w14:paraId="2ABE88BF">
            <w:pPr>
              <w:widowControl w:val="0"/>
              <w:jc w:val="center"/>
            </w:pPr>
            <w:r>
              <w:rPr>
                <w:rFonts w:ascii="Times New Roman" w:hAnsi="Times New Roman"/>
                <w:sz w:val="24"/>
              </w:rPr>
              <w:t>37,5</w:t>
            </w:r>
          </w:p>
        </w:tc>
      </w:tr>
      <w:tr w14:paraId="3014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481E912">
            <w:pPr>
              <w:widowControl w:val="0"/>
              <w:jc w:val="both"/>
            </w:pPr>
            <w:r>
              <w:rPr>
                <w:rFonts w:ascii="Times New Roman" w:hAnsi="Times New Roman"/>
                <w:sz w:val="24"/>
              </w:rPr>
              <w:t>Коэф. текучести кадров, %</w:t>
            </w:r>
          </w:p>
        </w:tc>
        <w:tc>
          <w:tcPr>
            <w:tcW w:w="3118" w:type="dxa"/>
          </w:tcPr>
          <w:p w14:paraId="37F014FA">
            <w:pPr>
              <w:widowControl w:val="0"/>
              <w:jc w:val="center"/>
            </w:pPr>
            <w:r>
              <w:rPr>
                <w:rFonts w:ascii="Times New Roman" w:hAnsi="Times New Roman"/>
                <w:sz w:val="24"/>
              </w:rPr>
              <w:t>37,5</w:t>
            </w:r>
          </w:p>
        </w:tc>
        <w:tc>
          <w:tcPr>
            <w:tcW w:w="3118" w:type="dxa"/>
          </w:tcPr>
          <w:p w14:paraId="7F33AA49">
            <w:pPr>
              <w:widowControl w:val="0"/>
              <w:jc w:val="center"/>
            </w:pPr>
            <w:r>
              <w:rPr>
                <w:rFonts w:ascii="Times New Roman" w:hAnsi="Times New Roman"/>
                <w:sz w:val="24"/>
              </w:rPr>
              <w:t>37,5</w:t>
            </w:r>
          </w:p>
        </w:tc>
      </w:tr>
    </w:tbl>
    <w:p w14:paraId="75883488">
      <w:pPr>
        <w:spacing w:after="120" w:line="360" w:lineRule="auto"/>
        <w:ind w:firstLine="700"/>
        <w:jc w:val="both"/>
      </w:pPr>
    </w:p>
    <w:p w14:paraId="3BCED1CD">
      <w:pPr>
        <w:spacing w:after="120" w:line="360" w:lineRule="auto"/>
        <w:ind w:firstLine="700"/>
        <w:jc w:val="both"/>
      </w:pPr>
      <w:r>
        <w:rPr>
          <w:rFonts w:ascii="Times New Roman" w:hAnsi="Times New Roman"/>
          <w:b w:val="0"/>
          <w:sz w:val="28"/>
        </w:rPr>
        <w:t>По данным таблицы коэффициент текучести в 2024-2025 гг. сохраняется на уровне 37,5%. Ежегодно отдел теряет 3 специалиста и одновременно принимает новых сотрудников. Формально численность подразделения оста</w:t>
      </w:r>
      <w:r>
        <w:rPr>
          <w:rFonts w:ascii="Times New Roman" w:hAnsi="Times New Roman"/>
          <w:b w:val="0"/>
          <w:sz w:val="28"/>
          <w:lang w:val="ru-RU"/>
        </w:rPr>
        <w:t>ё</w:t>
      </w:r>
      <w:r>
        <w:rPr>
          <w:rFonts w:ascii="Times New Roman" w:hAnsi="Times New Roman"/>
          <w:b w:val="0"/>
          <w:sz w:val="28"/>
        </w:rPr>
        <w:t>тся стабильной, но состав команды постоянно обновляется. Для тендерного отдела это является существенным риском, поскольку качество работы зависит не только от количества сотрудников, но и от накопленного опыта подготовки заявок.</w:t>
      </w:r>
    </w:p>
    <w:p w14:paraId="0452E638">
      <w:pPr>
        <w:spacing w:after="120" w:line="360" w:lineRule="auto"/>
        <w:ind w:firstLine="700"/>
        <w:jc w:val="both"/>
        <w:rPr>
          <w:rFonts w:hint="default" w:ascii="Times New Roman" w:hAnsi="Times New Roman"/>
          <w:b w:val="0"/>
          <w:sz w:val="28"/>
          <w:lang w:val="ru-RU"/>
        </w:rPr>
      </w:pPr>
      <w:r>
        <w:rPr>
          <w:rFonts w:ascii="Times New Roman" w:hAnsi="Times New Roman"/>
          <w:b w:val="0"/>
          <w:sz w:val="28"/>
        </w:rPr>
        <w:t>Мотивация персонала в ООО «Лайф Медиа» построена на сочетании материальных и нематериальных факторов. Материальная часть закреплена в системе оплаты труда и премирования</w:t>
      </w:r>
      <w:r>
        <w:rPr>
          <w:rFonts w:hint="default" w:ascii="Times New Roman" w:hAnsi="Times New Roman"/>
          <w:b w:val="0"/>
          <w:sz w:val="28"/>
          <w:lang w:val="ru-RU"/>
        </w:rPr>
        <w:t xml:space="preserve"> (см.табл.2.6-2.7.).</w:t>
      </w:r>
    </w:p>
    <w:p w14:paraId="5398B0E5">
      <w:pPr>
        <w:spacing w:after="120" w:line="360" w:lineRule="auto"/>
        <w:ind w:firstLine="700"/>
        <w:jc w:val="both"/>
        <w:rPr>
          <w:rFonts w:hint="default" w:ascii="Times New Roman" w:hAnsi="Times New Roman"/>
          <w:b w:val="0"/>
          <w:sz w:val="28"/>
          <w:lang w:val="ru-RU"/>
        </w:rPr>
      </w:pPr>
    </w:p>
    <w:p w14:paraId="4CC77079">
      <w:pPr>
        <w:spacing w:after="120" w:line="360" w:lineRule="auto"/>
        <w:jc w:val="right"/>
        <w:rPr>
          <w:sz w:val="24"/>
          <w:szCs w:val="24"/>
        </w:rPr>
      </w:pPr>
      <w:r>
        <w:rPr>
          <w:rFonts w:ascii="Times New Roman" w:hAnsi="Times New Roman"/>
          <w:b w:val="0"/>
          <w:sz w:val="24"/>
          <w:szCs w:val="24"/>
        </w:rPr>
        <w:t>Таблица 2.6. Структура дохода тендерного специалиста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A2D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C6BBCB6">
            <w:pPr>
              <w:widowControl w:val="0"/>
              <w:jc w:val="center"/>
              <w:rPr>
                <w:b w:val="0"/>
                <w:bCs/>
              </w:rPr>
            </w:pPr>
            <w:r>
              <w:rPr>
                <w:rFonts w:ascii="Times New Roman" w:hAnsi="Times New Roman"/>
                <w:b w:val="0"/>
                <w:bCs/>
                <w:sz w:val="24"/>
              </w:rPr>
              <w:t>Компонент</w:t>
            </w:r>
          </w:p>
        </w:tc>
        <w:tc>
          <w:tcPr>
            <w:tcW w:w="3118" w:type="dxa"/>
          </w:tcPr>
          <w:p w14:paraId="2E09B422">
            <w:pPr>
              <w:widowControl w:val="0"/>
              <w:jc w:val="center"/>
              <w:rPr>
                <w:b w:val="0"/>
                <w:bCs/>
              </w:rPr>
            </w:pPr>
            <w:r>
              <w:rPr>
                <w:rFonts w:ascii="Times New Roman" w:hAnsi="Times New Roman"/>
                <w:b w:val="0"/>
                <w:bCs/>
                <w:sz w:val="24"/>
              </w:rPr>
              <w:t>Размер</w:t>
            </w:r>
          </w:p>
        </w:tc>
        <w:tc>
          <w:tcPr>
            <w:tcW w:w="3118" w:type="dxa"/>
          </w:tcPr>
          <w:p w14:paraId="2BCEC7AF">
            <w:pPr>
              <w:widowControl w:val="0"/>
              <w:jc w:val="center"/>
              <w:rPr>
                <w:b w:val="0"/>
                <w:bCs/>
              </w:rPr>
            </w:pPr>
            <w:r>
              <w:rPr>
                <w:rFonts w:ascii="Times New Roman" w:hAnsi="Times New Roman"/>
                <w:b w:val="0"/>
                <w:bCs/>
                <w:sz w:val="24"/>
              </w:rPr>
              <w:t>Условия получения</w:t>
            </w:r>
          </w:p>
        </w:tc>
      </w:tr>
      <w:tr w14:paraId="12E4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1BD07CB">
            <w:pPr>
              <w:widowControl w:val="0"/>
              <w:jc w:val="both"/>
            </w:pPr>
            <w:r>
              <w:rPr>
                <w:rFonts w:ascii="Times New Roman" w:hAnsi="Times New Roman"/>
                <w:sz w:val="24"/>
              </w:rPr>
              <w:t>Должностной оклад</w:t>
            </w:r>
          </w:p>
        </w:tc>
        <w:tc>
          <w:tcPr>
            <w:tcW w:w="3118" w:type="dxa"/>
          </w:tcPr>
          <w:p w14:paraId="0FEC234A">
            <w:pPr>
              <w:widowControl w:val="0"/>
              <w:jc w:val="both"/>
            </w:pPr>
            <w:r>
              <w:rPr>
                <w:rFonts w:ascii="Times New Roman" w:hAnsi="Times New Roman"/>
                <w:sz w:val="24"/>
              </w:rPr>
              <w:t>57 000 руб. в месяц</w:t>
            </w:r>
          </w:p>
        </w:tc>
        <w:tc>
          <w:tcPr>
            <w:tcW w:w="3118" w:type="dxa"/>
          </w:tcPr>
          <w:p w14:paraId="1C06CE7A">
            <w:pPr>
              <w:widowControl w:val="0"/>
              <w:jc w:val="both"/>
            </w:pPr>
            <w:r>
              <w:rPr>
                <w:rFonts w:ascii="Times New Roman" w:hAnsi="Times New Roman"/>
                <w:sz w:val="24"/>
              </w:rPr>
              <w:t>Гарантированно и независимо от результатов</w:t>
            </w:r>
          </w:p>
        </w:tc>
      </w:tr>
      <w:tr w14:paraId="1849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F64E2A">
            <w:pPr>
              <w:widowControl w:val="0"/>
              <w:jc w:val="both"/>
            </w:pPr>
            <w:r>
              <w:rPr>
                <w:rFonts w:ascii="Times New Roman" w:hAnsi="Times New Roman"/>
                <w:sz w:val="24"/>
              </w:rPr>
              <w:t>Квартальная премия</w:t>
            </w:r>
          </w:p>
        </w:tc>
        <w:tc>
          <w:tcPr>
            <w:tcW w:w="3118" w:type="dxa"/>
          </w:tcPr>
          <w:p w14:paraId="11959D3F">
            <w:pPr>
              <w:widowControl w:val="0"/>
              <w:jc w:val="both"/>
            </w:pPr>
            <w:r>
              <w:rPr>
                <w:rFonts w:ascii="Times New Roman" w:hAnsi="Times New Roman"/>
                <w:sz w:val="24"/>
              </w:rPr>
              <w:t>До 30% от оклада (до 17 000 руб.)</w:t>
            </w:r>
          </w:p>
        </w:tc>
        <w:tc>
          <w:tcPr>
            <w:tcW w:w="3118" w:type="dxa"/>
          </w:tcPr>
          <w:p w14:paraId="6288267B">
            <w:pPr>
              <w:widowControl w:val="0"/>
              <w:jc w:val="both"/>
            </w:pPr>
            <w:r>
              <w:rPr>
                <w:rFonts w:ascii="Times New Roman" w:hAnsi="Times New Roman"/>
                <w:sz w:val="24"/>
              </w:rPr>
              <w:t>Зависит от выполнения KPI</w:t>
            </w:r>
          </w:p>
        </w:tc>
      </w:tr>
      <w:tr w14:paraId="1B74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7ABD6B8">
            <w:pPr>
              <w:widowControl w:val="0"/>
              <w:jc w:val="both"/>
            </w:pPr>
            <w:r>
              <w:rPr>
                <w:rFonts w:ascii="Times New Roman" w:hAnsi="Times New Roman"/>
                <w:sz w:val="24"/>
              </w:rPr>
              <w:t>Годовая премия</w:t>
            </w:r>
          </w:p>
        </w:tc>
        <w:tc>
          <w:tcPr>
            <w:tcW w:w="3118" w:type="dxa"/>
          </w:tcPr>
          <w:p w14:paraId="1DD9253F">
            <w:pPr>
              <w:widowControl w:val="0"/>
              <w:jc w:val="both"/>
            </w:pPr>
            <w:r>
              <w:rPr>
                <w:rFonts w:ascii="Times New Roman" w:hAnsi="Times New Roman"/>
                <w:sz w:val="24"/>
              </w:rPr>
              <w:t>Переменная (обычно 50% от оклада)</w:t>
            </w:r>
          </w:p>
        </w:tc>
        <w:tc>
          <w:tcPr>
            <w:tcW w:w="3118" w:type="dxa"/>
          </w:tcPr>
          <w:p w14:paraId="0BE70916">
            <w:pPr>
              <w:widowControl w:val="0"/>
              <w:jc w:val="both"/>
            </w:pPr>
            <w:r>
              <w:rPr>
                <w:rFonts w:ascii="Times New Roman" w:hAnsi="Times New Roman"/>
                <w:sz w:val="24"/>
              </w:rPr>
              <w:t>По итогам работы за год, решение генерального директора</w:t>
            </w:r>
          </w:p>
        </w:tc>
      </w:tr>
    </w:tbl>
    <w:p w14:paraId="68EA81E4">
      <w:pPr>
        <w:spacing w:after="120" w:line="360" w:lineRule="auto"/>
        <w:ind w:firstLine="700"/>
        <w:jc w:val="both"/>
      </w:pPr>
    </w:p>
    <w:p w14:paraId="39B3CD35">
      <w:pPr>
        <w:spacing w:after="120" w:line="360" w:lineRule="auto"/>
        <w:jc w:val="right"/>
      </w:pPr>
      <w:r>
        <w:rPr>
          <w:rFonts w:ascii="Times New Roman" w:hAnsi="Times New Roman"/>
          <w:b w:val="0"/>
          <w:sz w:val="24"/>
          <w:szCs w:val="24"/>
        </w:rPr>
        <w:t>Таблица 2.7. Инструменты нематериальной мотивации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CE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D0079F">
            <w:pPr>
              <w:widowControl w:val="0"/>
              <w:jc w:val="center"/>
              <w:rPr>
                <w:b w:val="0"/>
                <w:bCs/>
              </w:rPr>
            </w:pPr>
            <w:r>
              <w:rPr>
                <w:rFonts w:ascii="Times New Roman" w:hAnsi="Times New Roman"/>
                <w:b w:val="0"/>
                <w:bCs/>
                <w:sz w:val="24"/>
              </w:rPr>
              <w:t>Инструмент</w:t>
            </w:r>
          </w:p>
        </w:tc>
        <w:tc>
          <w:tcPr>
            <w:tcW w:w="3118" w:type="dxa"/>
          </w:tcPr>
          <w:p w14:paraId="52F3C22F">
            <w:pPr>
              <w:widowControl w:val="0"/>
              <w:jc w:val="center"/>
              <w:rPr>
                <w:b w:val="0"/>
                <w:bCs/>
              </w:rPr>
            </w:pPr>
            <w:r>
              <w:rPr>
                <w:rFonts w:ascii="Times New Roman" w:hAnsi="Times New Roman"/>
                <w:b w:val="0"/>
                <w:bCs/>
                <w:sz w:val="24"/>
              </w:rPr>
              <w:t>Как работает</w:t>
            </w:r>
          </w:p>
        </w:tc>
        <w:tc>
          <w:tcPr>
            <w:tcW w:w="3118" w:type="dxa"/>
          </w:tcPr>
          <w:p w14:paraId="347627B0">
            <w:pPr>
              <w:widowControl w:val="0"/>
              <w:jc w:val="center"/>
              <w:rPr>
                <w:b w:val="0"/>
                <w:bCs/>
              </w:rPr>
            </w:pPr>
            <w:r>
              <w:rPr>
                <w:rFonts w:ascii="Times New Roman" w:hAnsi="Times New Roman"/>
                <w:b w:val="0"/>
                <w:bCs/>
                <w:sz w:val="24"/>
              </w:rPr>
              <w:t>Почему мотивирует</w:t>
            </w:r>
          </w:p>
        </w:tc>
      </w:tr>
      <w:tr w14:paraId="02D4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5EA0104">
            <w:pPr>
              <w:widowControl w:val="0"/>
              <w:jc w:val="both"/>
            </w:pPr>
            <w:r>
              <w:rPr>
                <w:rFonts w:ascii="Times New Roman" w:hAnsi="Times New Roman"/>
                <w:sz w:val="24"/>
              </w:rPr>
              <w:t>Полностью удаленный формат</w:t>
            </w:r>
          </w:p>
        </w:tc>
        <w:tc>
          <w:tcPr>
            <w:tcW w:w="3118" w:type="dxa"/>
          </w:tcPr>
          <w:p w14:paraId="5C4DDA16">
            <w:pPr>
              <w:widowControl w:val="0"/>
              <w:jc w:val="both"/>
            </w:pPr>
            <w:r>
              <w:rPr>
                <w:rFonts w:ascii="Times New Roman" w:hAnsi="Times New Roman"/>
                <w:sz w:val="24"/>
              </w:rPr>
              <w:t>Сотрудник может жить в любом городе и не тратить время и средства на дорогу</w:t>
            </w:r>
          </w:p>
        </w:tc>
        <w:tc>
          <w:tcPr>
            <w:tcW w:w="3118" w:type="dxa"/>
          </w:tcPr>
          <w:p w14:paraId="3FDAB2EA">
            <w:pPr>
              <w:widowControl w:val="0"/>
              <w:jc w:val="both"/>
            </w:pPr>
            <w:r>
              <w:rPr>
                <w:rFonts w:ascii="Times New Roman" w:hAnsi="Times New Roman"/>
                <w:sz w:val="24"/>
              </w:rPr>
              <w:t>Свобода и экономия ресурсов</w:t>
            </w:r>
          </w:p>
        </w:tc>
      </w:tr>
      <w:tr w14:paraId="1A4F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A3C1684">
            <w:pPr>
              <w:widowControl w:val="0"/>
              <w:jc w:val="both"/>
            </w:pPr>
            <w:r>
              <w:rPr>
                <w:rFonts w:ascii="Times New Roman" w:hAnsi="Times New Roman"/>
                <w:sz w:val="24"/>
              </w:rPr>
              <w:t>Гибкое начало рабочего дня</w:t>
            </w:r>
          </w:p>
        </w:tc>
        <w:tc>
          <w:tcPr>
            <w:tcW w:w="3118" w:type="dxa"/>
          </w:tcPr>
          <w:p w14:paraId="46BF678B">
            <w:pPr>
              <w:widowControl w:val="0"/>
              <w:jc w:val="both"/>
            </w:pPr>
            <w:r>
              <w:rPr>
                <w:rFonts w:ascii="Times New Roman" w:hAnsi="Times New Roman"/>
                <w:sz w:val="24"/>
              </w:rPr>
              <w:t>Можно начать рабочий день с 8:00 до 11:00 при условии выполнения нормы времени и участия в созвоне</w:t>
            </w:r>
          </w:p>
        </w:tc>
        <w:tc>
          <w:tcPr>
            <w:tcW w:w="3118" w:type="dxa"/>
          </w:tcPr>
          <w:p w14:paraId="2752534B">
            <w:pPr>
              <w:widowControl w:val="0"/>
              <w:jc w:val="both"/>
            </w:pPr>
            <w:r>
              <w:rPr>
                <w:rFonts w:ascii="Times New Roman" w:hAnsi="Times New Roman"/>
                <w:sz w:val="24"/>
              </w:rPr>
              <w:t>Возможность подстроить график под личные обстоятельства</w:t>
            </w:r>
          </w:p>
        </w:tc>
      </w:tr>
      <w:tr w14:paraId="3D41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664D8F8">
            <w:pPr>
              <w:widowControl w:val="0"/>
              <w:jc w:val="both"/>
            </w:pPr>
            <w:r>
              <w:rPr>
                <w:rFonts w:ascii="Times New Roman" w:hAnsi="Times New Roman"/>
                <w:sz w:val="24"/>
              </w:rPr>
              <w:t>Прозрачная система премирования</w:t>
            </w:r>
          </w:p>
        </w:tc>
        <w:tc>
          <w:tcPr>
            <w:tcW w:w="3118" w:type="dxa"/>
          </w:tcPr>
          <w:p w14:paraId="63254F53">
            <w:pPr>
              <w:widowControl w:val="0"/>
              <w:jc w:val="both"/>
            </w:pPr>
            <w:r>
              <w:rPr>
                <w:rFonts w:ascii="Times New Roman" w:hAnsi="Times New Roman"/>
                <w:sz w:val="24"/>
              </w:rPr>
              <w:t>В Битрикс24 отражаются KPI и текущий прогресс</w:t>
            </w:r>
          </w:p>
        </w:tc>
        <w:tc>
          <w:tcPr>
            <w:tcW w:w="3118" w:type="dxa"/>
          </w:tcPr>
          <w:p w14:paraId="37561B86">
            <w:pPr>
              <w:widowControl w:val="0"/>
              <w:jc w:val="both"/>
            </w:pPr>
            <w:r>
              <w:rPr>
                <w:rFonts w:ascii="Times New Roman" w:hAnsi="Times New Roman"/>
                <w:sz w:val="24"/>
              </w:rPr>
              <w:t>Понятность критериев оценки</w:t>
            </w:r>
          </w:p>
        </w:tc>
      </w:tr>
    </w:tbl>
    <w:p w14:paraId="3E986660">
      <w:pPr>
        <w:spacing w:after="120" w:line="360" w:lineRule="auto"/>
        <w:ind w:firstLine="700"/>
        <w:jc w:val="both"/>
      </w:pPr>
    </w:p>
    <w:p w14:paraId="294D7F7F">
      <w:pPr>
        <w:spacing w:after="120" w:line="360" w:lineRule="auto"/>
        <w:ind w:firstLine="700"/>
        <w:jc w:val="both"/>
      </w:pPr>
      <w:r>
        <w:rPr>
          <w:rFonts w:ascii="Times New Roman" w:hAnsi="Times New Roman"/>
          <w:b w:val="0"/>
          <w:sz w:val="28"/>
        </w:rPr>
        <w:t>Сильными сторонами мотивации являются прозрачность KPI, удал</w:t>
      </w:r>
      <w:r>
        <w:rPr>
          <w:rFonts w:ascii="Times New Roman" w:hAnsi="Times New Roman"/>
          <w:b w:val="0"/>
          <w:sz w:val="28"/>
          <w:lang w:val="ru-RU"/>
        </w:rPr>
        <w:t>ё</w:t>
      </w:r>
      <w:r>
        <w:rPr>
          <w:rFonts w:ascii="Times New Roman" w:hAnsi="Times New Roman"/>
          <w:b w:val="0"/>
          <w:sz w:val="28"/>
        </w:rPr>
        <w:t>нный формат и гибкость рабочего графика. Однако действующая система почти не связана с профессиональным развитием. Премирование ориентировано на результат работы, но не выделяет обучение, наставничество или передачу опыта как самостоятельные ценности. В условиях высокой текучести это снижает заинтересованность опытных сотрудников в системной помощи новичкам и не созда</w:t>
      </w:r>
      <w:r>
        <w:rPr>
          <w:rFonts w:ascii="Times New Roman" w:hAnsi="Times New Roman"/>
          <w:b w:val="0"/>
          <w:sz w:val="28"/>
          <w:lang w:val="ru-RU"/>
        </w:rPr>
        <w:t>ё</w:t>
      </w:r>
      <w:r>
        <w:rPr>
          <w:rFonts w:ascii="Times New Roman" w:hAnsi="Times New Roman"/>
          <w:b w:val="0"/>
          <w:sz w:val="28"/>
        </w:rPr>
        <w:t>т устойчивого механизма накопления знаний внутри отдела.</w:t>
      </w:r>
    </w:p>
    <w:p w14:paraId="26222376">
      <w:pPr>
        <w:spacing w:after="120" w:line="360" w:lineRule="auto"/>
        <w:ind w:firstLine="700"/>
        <w:jc w:val="both"/>
      </w:pPr>
      <w:r>
        <w:rPr>
          <w:rFonts w:ascii="Times New Roman" w:hAnsi="Times New Roman"/>
          <w:b w:val="0"/>
          <w:sz w:val="28"/>
        </w:rPr>
        <w:t>Финансовые результаты предприятия напрямую зависят от эффективности использования персонала. Структура среднемесячных выплат представлена в таблице 2.8.</w:t>
      </w:r>
    </w:p>
    <w:p w14:paraId="10257DF1">
      <w:pPr>
        <w:spacing w:after="120" w:line="360" w:lineRule="auto"/>
        <w:jc w:val="both"/>
      </w:pPr>
      <w:r>
        <w:rPr>
          <w:rFonts w:ascii="Times New Roman" w:hAnsi="Times New Roman"/>
          <w:b w:val="0"/>
          <w:sz w:val="28"/>
        </w:rPr>
        <w:t>Таблица 2.8. Структура персонала и среднемесячные выплаты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667D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8831161">
            <w:pPr>
              <w:widowControl w:val="0"/>
              <w:jc w:val="center"/>
              <w:rPr>
                <w:b w:val="0"/>
                <w:bCs/>
              </w:rPr>
            </w:pPr>
            <w:r>
              <w:rPr>
                <w:rFonts w:ascii="Times New Roman" w:hAnsi="Times New Roman"/>
                <w:b w:val="0"/>
                <w:bCs/>
                <w:sz w:val="24"/>
              </w:rPr>
              <w:t>Категория</w:t>
            </w:r>
          </w:p>
        </w:tc>
        <w:tc>
          <w:tcPr>
            <w:tcW w:w="2339" w:type="dxa"/>
          </w:tcPr>
          <w:p w14:paraId="2B3B9210">
            <w:pPr>
              <w:widowControl w:val="0"/>
              <w:jc w:val="center"/>
              <w:rPr>
                <w:b w:val="0"/>
                <w:bCs/>
              </w:rPr>
            </w:pPr>
            <w:r>
              <w:rPr>
                <w:rFonts w:ascii="Times New Roman" w:hAnsi="Times New Roman"/>
                <w:b w:val="0"/>
                <w:bCs/>
                <w:sz w:val="24"/>
              </w:rPr>
              <w:t>Кол-во</w:t>
            </w:r>
          </w:p>
        </w:tc>
        <w:tc>
          <w:tcPr>
            <w:tcW w:w="2339" w:type="dxa"/>
          </w:tcPr>
          <w:p w14:paraId="54E75134">
            <w:pPr>
              <w:widowControl w:val="0"/>
              <w:jc w:val="center"/>
              <w:rPr>
                <w:b w:val="0"/>
                <w:bCs/>
              </w:rPr>
            </w:pPr>
            <w:r>
              <w:rPr>
                <w:rFonts w:ascii="Times New Roman" w:hAnsi="Times New Roman"/>
                <w:b w:val="0"/>
                <w:bCs/>
                <w:sz w:val="24"/>
              </w:rPr>
              <w:t>Среднемесячная выплата, руб.</w:t>
            </w:r>
          </w:p>
        </w:tc>
        <w:tc>
          <w:tcPr>
            <w:tcW w:w="2339" w:type="dxa"/>
          </w:tcPr>
          <w:p w14:paraId="4FDFE93B">
            <w:pPr>
              <w:widowControl w:val="0"/>
              <w:jc w:val="center"/>
              <w:rPr>
                <w:b w:val="0"/>
                <w:bCs/>
              </w:rPr>
            </w:pPr>
            <w:r>
              <w:rPr>
                <w:rFonts w:ascii="Times New Roman" w:hAnsi="Times New Roman"/>
                <w:b w:val="0"/>
                <w:bCs/>
                <w:sz w:val="24"/>
              </w:rPr>
              <w:t>Всего в месяц на категорию, руб.</w:t>
            </w:r>
          </w:p>
        </w:tc>
      </w:tr>
      <w:tr w14:paraId="49D7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35F8194">
            <w:pPr>
              <w:widowControl w:val="0"/>
              <w:jc w:val="both"/>
            </w:pPr>
            <w:r>
              <w:rPr>
                <w:rFonts w:ascii="Times New Roman" w:hAnsi="Times New Roman"/>
                <w:sz w:val="24"/>
              </w:rPr>
              <w:t>Тендерные специалисты</w:t>
            </w:r>
          </w:p>
        </w:tc>
        <w:tc>
          <w:tcPr>
            <w:tcW w:w="2339" w:type="dxa"/>
            <w:vAlign w:val="center"/>
          </w:tcPr>
          <w:p w14:paraId="67D102AC">
            <w:pPr>
              <w:widowControl w:val="0"/>
              <w:jc w:val="center"/>
            </w:pPr>
            <w:r>
              <w:rPr>
                <w:rFonts w:ascii="Times New Roman" w:hAnsi="Times New Roman"/>
                <w:sz w:val="24"/>
              </w:rPr>
              <w:t>8</w:t>
            </w:r>
          </w:p>
        </w:tc>
        <w:tc>
          <w:tcPr>
            <w:tcW w:w="2339" w:type="dxa"/>
            <w:vAlign w:val="center"/>
          </w:tcPr>
          <w:p w14:paraId="31C69C79">
            <w:pPr>
              <w:widowControl w:val="0"/>
              <w:jc w:val="center"/>
            </w:pPr>
            <w:r>
              <w:rPr>
                <w:rFonts w:ascii="Times New Roman" w:hAnsi="Times New Roman"/>
                <w:sz w:val="24"/>
              </w:rPr>
              <w:t>63 175</w:t>
            </w:r>
          </w:p>
        </w:tc>
        <w:tc>
          <w:tcPr>
            <w:tcW w:w="2339" w:type="dxa"/>
            <w:vAlign w:val="center"/>
          </w:tcPr>
          <w:p w14:paraId="44A2F499">
            <w:pPr>
              <w:widowControl w:val="0"/>
              <w:jc w:val="center"/>
            </w:pPr>
            <w:r>
              <w:rPr>
                <w:rFonts w:ascii="Times New Roman" w:hAnsi="Times New Roman"/>
                <w:sz w:val="24"/>
              </w:rPr>
              <w:t>505 400</w:t>
            </w:r>
          </w:p>
        </w:tc>
      </w:tr>
      <w:tr w14:paraId="60E5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BC5F66D">
            <w:pPr>
              <w:widowControl w:val="0"/>
              <w:jc w:val="both"/>
            </w:pPr>
            <w:r>
              <w:rPr>
                <w:rFonts w:ascii="Times New Roman" w:hAnsi="Times New Roman"/>
                <w:sz w:val="24"/>
              </w:rPr>
              <w:t>Отдел продаж</w:t>
            </w:r>
          </w:p>
        </w:tc>
        <w:tc>
          <w:tcPr>
            <w:tcW w:w="2339" w:type="dxa"/>
            <w:vAlign w:val="center"/>
          </w:tcPr>
          <w:p w14:paraId="60588DD2">
            <w:pPr>
              <w:widowControl w:val="0"/>
              <w:jc w:val="center"/>
            </w:pPr>
            <w:r>
              <w:rPr>
                <w:rFonts w:ascii="Times New Roman" w:hAnsi="Times New Roman"/>
                <w:sz w:val="24"/>
              </w:rPr>
              <w:t>4</w:t>
            </w:r>
          </w:p>
        </w:tc>
        <w:tc>
          <w:tcPr>
            <w:tcW w:w="2339" w:type="dxa"/>
            <w:vAlign w:val="center"/>
          </w:tcPr>
          <w:p w14:paraId="5EEA2851">
            <w:pPr>
              <w:widowControl w:val="0"/>
              <w:jc w:val="center"/>
            </w:pPr>
            <w:r>
              <w:rPr>
                <w:rFonts w:ascii="Times New Roman" w:hAnsi="Times New Roman"/>
                <w:sz w:val="24"/>
              </w:rPr>
              <w:t>48 000</w:t>
            </w:r>
          </w:p>
        </w:tc>
        <w:tc>
          <w:tcPr>
            <w:tcW w:w="2339" w:type="dxa"/>
            <w:vAlign w:val="center"/>
          </w:tcPr>
          <w:p w14:paraId="226C7ADA">
            <w:pPr>
              <w:widowControl w:val="0"/>
              <w:jc w:val="center"/>
            </w:pPr>
            <w:r>
              <w:rPr>
                <w:rFonts w:ascii="Times New Roman" w:hAnsi="Times New Roman"/>
                <w:sz w:val="24"/>
              </w:rPr>
              <w:t>192 000</w:t>
            </w:r>
          </w:p>
        </w:tc>
      </w:tr>
      <w:tr w14:paraId="0366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14DB289">
            <w:pPr>
              <w:widowControl w:val="0"/>
              <w:jc w:val="both"/>
            </w:pPr>
            <w:r>
              <w:rPr>
                <w:rFonts w:ascii="Times New Roman" w:hAnsi="Times New Roman"/>
                <w:sz w:val="24"/>
              </w:rPr>
              <w:t>Отдел логистики</w:t>
            </w:r>
          </w:p>
        </w:tc>
        <w:tc>
          <w:tcPr>
            <w:tcW w:w="2339" w:type="dxa"/>
            <w:vAlign w:val="center"/>
          </w:tcPr>
          <w:p w14:paraId="6B809240">
            <w:pPr>
              <w:widowControl w:val="0"/>
              <w:jc w:val="center"/>
            </w:pPr>
            <w:r>
              <w:rPr>
                <w:rFonts w:ascii="Times New Roman" w:hAnsi="Times New Roman"/>
                <w:sz w:val="24"/>
              </w:rPr>
              <w:t>3</w:t>
            </w:r>
          </w:p>
        </w:tc>
        <w:tc>
          <w:tcPr>
            <w:tcW w:w="2339" w:type="dxa"/>
            <w:vAlign w:val="center"/>
          </w:tcPr>
          <w:p w14:paraId="356D5ACA">
            <w:pPr>
              <w:widowControl w:val="0"/>
              <w:jc w:val="center"/>
            </w:pPr>
            <w:r>
              <w:rPr>
                <w:rFonts w:ascii="Times New Roman" w:hAnsi="Times New Roman"/>
                <w:sz w:val="24"/>
              </w:rPr>
              <w:t>45 000</w:t>
            </w:r>
          </w:p>
        </w:tc>
        <w:tc>
          <w:tcPr>
            <w:tcW w:w="2339" w:type="dxa"/>
            <w:vAlign w:val="center"/>
          </w:tcPr>
          <w:p w14:paraId="3DB7FFB3">
            <w:pPr>
              <w:widowControl w:val="0"/>
              <w:jc w:val="center"/>
            </w:pPr>
            <w:r>
              <w:rPr>
                <w:rFonts w:ascii="Times New Roman" w:hAnsi="Times New Roman"/>
                <w:sz w:val="24"/>
              </w:rPr>
              <w:t>135 000</w:t>
            </w:r>
          </w:p>
        </w:tc>
      </w:tr>
      <w:tr w14:paraId="7BAE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0CB819">
            <w:pPr>
              <w:widowControl w:val="0"/>
              <w:jc w:val="both"/>
            </w:pPr>
            <w:r>
              <w:rPr>
                <w:rFonts w:ascii="Times New Roman" w:hAnsi="Times New Roman"/>
                <w:sz w:val="24"/>
              </w:rPr>
              <w:t>Генеральный директор</w:t>
            </w:r>
          </w:p>
        </w:tc>
        <w:tc>
          <w:tcPr>
            <w:tcW w:w="2339" w:type="dxa"/>
            <w:vAlign w:val="center"/>
          </w:tcPr>
          <w:p w14:paraId="2DDB6C16">
            <w:pPr>
              <w:widowControl w:val="0"/>
              <w:jc w:val="center"/>
            </w:pPr>
            <w:r>
              <w:rPr>
                <w:rFonts w:ascii="Times New Roman" w:hAnsi="Times New Roman"/>
                <w:sz w:val="24"/>
              </w:rPr>
              <w:t>1</w:t>
            </w:r>
          </w:p>
        </w:tc>
        <w:tc>
          <w:tcPr>
            <w:tcW w:w="2339" w:type="dxa"/>
            <w:vAlign w:val="center"/>
          </w:tcPr>
          <w:p w14:paraId="66C3F969">
            <w:pPr>
              <w:widowControl w:val="0"/>
              <w:jc w:val="center"/>
            </w:pPr>
            <w:r>
              <w:rPr>
                <w:rFonts w:ascii="Times New Roman" w:hAnsi="Times New Roman"/>
                <w:sz w:val="24"/>
              </w:rPr>
              <w:t>60 000</w:t>
            </w:r>
          </w:p>
        </w:tc>
        <w:tc>
          <w:tcPr>
            <w:tcW w:w="2339" w:type="dxa"/>
            <w:vAlign w:val="center"/>
          </w:tcPr>
          <w:p w14:paraId="414B5514">
            <w:pPr>
              <w:widowControl w:val="0"/>
              <w:jc w:val="center"/>
            </w:pPr>
            <w:r>
              <w:rPr>
                <w:rFonts w:ascii="Times New Roman" w:hAnsi="Times New Roman"/>
                <w:sz w:val="24"/>
              </w:rPr>
              <w:t>60 000</w:t>
            </w:r>
          </w:p>
        </w:tc>
      </w:tr>
      <w:tr w14:paraId="0AE8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6478607">
            <w:pPr>
              <w:widowControl w:val="0"/>
              <w:jc w:val="both"/>
            </w:pPr>
            <w:r>
              <w:rPr>
                <w:rFonts w:ascii="Times New Roman" w:hAnsi="Times New Roman"/>
                <w:sz w:val="24"/>
              </w:rPr>
              <w:t>Бухгалтер</w:t>
            </w:r>
          </w:p>
        </w:tc>
        <w:tc>
          <w:tcPr>
            <w:tcW w:w="2339" w:type="dxa"/>
            <w:vAlign w:val="center"/>
          </w:tcPr>
          <w:p w14:paraId="5F56ED29">
            <w:pPr>
              <w:widowControl w:val="0"/>
              <w:jc w:val="center"/>
            </w:pPr>
            <w:r>
              <w:rPr>
                <w:rFonts w:ascii="Times New Roman" w:hAnsi="Times New Roman"/>
                <w:sz w:val="24"/>
              </w:rPr>
              <w:t>1</w:t>
            </w:r>
          </w:p>
        </w:tc>
        <w:tc>
          <w:tcPr>
            <w:tcW w:w="2339" w:type="dxa"/>
            <w:vAlign w:val="center"/>
          </w:tcPr>
          <w:p w14:paraId="5183B69F">
            <w:pPr>
              <w:widowControl w:val="0"/>
              <w:jc w:val="center"/>
            </w:pPr>
            <w:r>
              <w:rPr>
                <w:rFonts w:ascii="Times New Roman" w:hAnsi="Times New Roman"/>
                <w:sz w:val="24"/>
              </w:rPr>
              <w:t>57 292</w:t>
            </w:r>
          </w:p>
        </w:tc>
        <w:tc>
          <w:tcPr>
            <w:tcW w:w="2339" w:type="dxa"/>
            <w:vAlign w:val="center"/>
          </w:tcPr>
          <w:p w14:paraId="41E2161A">
            <w:pPr>
              <w:widowControl w:val="0"/>
              <w:jc w:val="center"/>
            </w:pPr>
            <w:r>
              <w:rPr>
                <w:rFonts w:ascii="Times New Roman" w:hAnsi="Times New Roman"/>
                <w:sz w:val="24"/>
              </w:rPr>
              <w:t>57 292</w:t>
            </w:r>
          </w:p>
        </w:tc>
      </w:tr>
      <w:tr w14:paraId="3559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079E675">
            <w:pPr>
              <w:widowControl w:val="0"/>
              <w:jc w:val="both"/>
            </w:pPr>
            <w:r>
              <w:rPr>
                <w:rFonts w:ascii="Times New Roman" w:hAnsi="Times New Roman"/>
                <w:sz w:val="24"/>
              </w:rPr>
              <w:t>Системный администратор</w:t>
            </w:r>
          </w:p>
        </w:tc>
        <w:tc>
          <w:tcPr>
            <w:tcW w:w="2339" w:type="dxa"/>
            <w:vAlign w:val="center"/>
          </w:tcPr>
          <w:p w14:paraId="479F09BC">
            <w:pPr>
              <w:widowControl w:val="0"/>
              <w:jc w:val="center"/>
            </w:pPr>
            <w:r>
              <w:rPr>
                <w:rFonts w:ascii="Times New Roman" w:hAnsi="Times New Roman"/>
                <w:sz w:val="24"/>
              </w:rPr>
              <w:t>0,5</w:t>
            </w:r>
          </w:p>
        </w:tc>
        <w:tc>
          <w:tcPr>
            <w:tcW w:w="2339" w:type="dxa"/>
            <w:vAlign w:val="center"/>
          </w:tcPr>
          <w:p w14:paraId="6D63671B">
            <w:pPr>
              <w:widowControl w:val="0"/>
              <w:jc w:val="center"/>
            </w:pPr>
            <w:r>
              <w:rPr>
                <w:rFonts w:ascii="Times New Roman" w:hAnsi="Times New Roman"/>
                <w:sz w:val="24"/>
              </w:rPr>
              <w:t>60 000</w:t>
            </w:r>
          </w:p>
        </w:tc>
        <w:tc>
          <w:tcPr>
            <w:tcW w:w="2339" w:type="dxa"/>
            <w:vAlign w:val="center"/>
          </w:tcPr>
          <w:p w14:paraId="375B3328">
            <w:pPr>
              <w:widowControl w:val="0"/>
              <w:jc w:val="center"/>
            </w:pPr>
            <w:r>
              <w:rPr>
                <w:rFonts w:ascii="Times New Roman" w:hAnsi="Times New Roman"/>
                <w:sz w:val="24"/>
              </w:rPr>
              <w:t>30 000</w:t>
            </w:r>
          </w:p>
        </w:tc>
      </w:tr>
      <w:tr w14:paraId="746D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FA8F0B5">
            <w:pPr>
              <w:widowControl w:val="0"/>
              <w:jc w:val="both"/>
            </w:pPr>
            <w:r>
              <w:rPr>
                <w:rFonts w:ascii="Times New Roman" w:hAnsi="Times New Roman"/>
                <w:sz w:val="24"/>
              </w:rPr>
              <w:t>Юрист (аутсорсинг)</w:t>
            </w:r>
          </w:p>
        </w:tc>
        <w:tc>
          <w:tcPr>
            <w:tcW w:w="2339" w:type="dxa"/>
            <w:vAlign w:val="center"/>
          </w:tcPr>
          <w:p w14:paraId="416038C0">
            <w:pPr>
              <w:widowControl w:val="0"/>
              <w:jc w:val="center"/>
            </w:pPr>
            <w:r>
              <w:rPr>
                <w:rFonts w:ascii="Times New Roman" w:hAnsi="Times New Roman"/>
                <w:sz w:val="24"/>
              </w:rPr>
              <w:t>-</w:t>
            </w:r>
          </w:p>
        </w:tc>
        <w:tc>
          <w:tcPr>
            <w:tcW w:w="2339" w:type="dxa"/>
            <w:vAlign w:val="center"/>
          </w:tcPr>
          <w:p w14:paraId="5DCF617A">
            <w:pPr>
              <w:widowControl w:val="0"/>
              <w:jc w:val="center"/>
            </w:pPr>
            <w:r>
              <w:rPr>
                <w:rFonts w:ascii="Times New Roman" w:hAnsi="Times New Roman"/>
                <w:sz w:val="24"/>
              </w:rPr>
              <w:t>12 500</w:t>
            </w:r>
          </w:p>
        </w:tc>
        <w:tc>
          <w:tcPr>
            <w:tcW w:w="2339" w:type="dxa"/>
            <w:vAlign w:val="center"/>
          </w:tcPr>
          <w:p w14:paraId="04BA7BD8">
            <w:pPr>
              <w:widowControl w:val="0"/>
              <w:jc w:val="center"/>
            </w:pPr>
            <w:r>
              <w:rPr>
                <w:rFonts w:ascii="Times New Roman" w:hAnsi="Times New Roman"/>
                <w:sz w:val="24"/>
              </w:rPr>
              <w:t>12 500</w:t>
            </w:r>
          </w:p>
        </w:tc>
      </w:tr>
      <w:tr w14:paraId="3CB7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6B7828">
            <w:pPr>
              <w:widowControl w:val="0"/>
              <w:jc w:val="both"/>
            </w:pPr>
            <w:r>
              <w:rPr>
                <w:rFonts w:ascii="Times New Roman" w:hAnsi="Times New Roman"/>
                <w:sz w:val="24"/>
              </w:rPr>
              <w:t>Итого</w:t>
            </w:r>
          </w:p>
        </w:tc>
        <w:tc>
          <w:tcPr>
            <w:tcW w:w="2339" w:type="dxa"/>
            <w:vAlign w:val="center"/>
          </w:tcPr>
          <w:p w14:paraId="4047E21E">
            <w:pPr>
              <w:widowControl w:val="0"/>
              <w:jc w:val="center"/>
            </w:pPr>
            <w:r>
              <w:rPr>
                <w:rFonts w:ascii="Times New Roman" w:hAnsi="Times New Roman"/>
                <w:sz w:val="24"/>
              </w:rPr>
              <w:t>-</w:t>
            </w:r>
          </w:p>
        </w:tc>
        <w:tc>
          <w:tcPr>
            <w:tcW w:w="2339" w:type="dxa"/>
            <w:vAlign w:val="center"/>
          </w:tcPr>
          <w:p w14:paraId="44626848">
            <w:pPr>
              <w:widowControl w:val="0"/>
              <w:jc w:val="center"/>
            </w:pPr>
            <w:r>
              <w:rPr>
                <w:rFonts w:ascii="Times New Roman" w:hAnsi="Times New Roman"/>
                <w:sz w:val="24"/>
              </w:rPr>
              <w:t>-</w:t>
            </w:r>
          </w:p>
        </w:tc>
        <w:tc>
          <w:tcPr>
            <w:tcW w:w="2339" w:type="dxa"/>
            <w:vAlign w:val="center"/>
          </w:tcPr>
          <w:p w14:paraId="3D0E97B3">
            <w:pPr>
              <w:widowControl w:val="0"/>
              <w:jc w:val="center"/>
            </w:pPr>
            <w:r>
              <w:rPr>
                <w:rFonts w:ascii="Times New Roman" w:hAnsi="Times New Roman"/>
                <w:sz w:val="24"/>
              </w:rPr>
              <w:t>979 692</w:t>
            </w:r>
          </w:p>
        </w:tc>
      </w:tr>
    </w:tbl>
    <w:p w14:paraId="7B5DCDD0">
      <w:pPr>
        <w:spacing w:after="120" w:line="360" w:lineRule="auto"/>
        <w:ind w:firstLine="700"/>
        <w:jc w:val="both"/>
      </w:pPr>
    </w:p>
    <w:p w14:paraId="39DAD71D">
      <w:pPr>
        <w:spacing w:after="120" w:line="360" w:lineRule="auto"/>
        <w:ind w:firstLine="700"/>
        <w:jc w:val="both"/>
      </w:pPr>
      <w:r>
        <w:rPr>
          <w:rFonts w:ascii="Times New Roman" w:hAnsi="Times New Roman"/>
          <w:b w:val="0"/>
          <w:sz w:val="28"/>
        </w:rPr>
        <w:t>Тендерные специалисты имеют наиболее высокий совокупный фонд ежемесячных выплат среди подразделений. Это объясняется их вкладом в выручку компании и сложностью выполняемых функций. При этом высокая стоимость персонала требует сопоставления затрат с качеством работы и результативностью участия в тендерах.</w:t>
      </w:r>
    </w:p>
    <w:p w14:paraId="7D97751B">
      <w:pPr>
        <w:spacing w:after="120" w:line="360" w:lineRule="auto"/>
        <w:ind w:firstLine="700"/>
        <w:jc w:val="both"/>
        <w:rPr>
          <w:rFonts w:ascii="Times New Roman" w:hAnsi="Times New Roman"/>
          <w:b w:val="0"/>
          <w:sz w:val="28"/>
        </w:rPr>
      </w:pPr>
      <w:r>
        <w:rPr>
          <w:rFonts w:ascii="Times New Roman" w:hAnsi="Times New Roman"/>
          <w:b w:val="0"/>
          <w:sz w:val="28"/>
          <w:lang w:val="ru-RU"/>
        </w:rPr>
        <w:t>Из</w:t>
      </w:r>
      <w:r>
        <w:rPr>
          <w:rFonts w:hint="default" w:ascii="Times New Roman" w:hAnsi="Times New Roman"/>
          <w:b w:val="0"/>
          <w:sz w:val="28"/>
          <w:lang w:val="ru-RU"/>
        </w:rPr>
        <w:t xml:space="preserve"> таблицы 2.9. видно, что о</w:t>
      </w:r>
      <w:r>
        <w:rPr>
          <w:rFonts w:ascii="Times New Roman" w:hAnsi="Times New Roman"/>
          <w:b w:val="0"/>
          <w:sz w:val="28"/>
        </w:rPr>
        <w:t>бщие затраты на персонал в 2025 году составляют 15,445 млн руб., или около 37,3% от выручки. Для торговой компании такая доля является высокой по сравнению с ориентиром 20-30%. При этом расходы на обучение составляют всего 45 тыс. руб., то есть около 0,37% от ФОТ и 0,29% от общих затрат на персонал. Следовательно, основная часть кадровых расходов направлена на оплату труда и обязательные начисления, тогда как развитие компетенций финансируется минимально.</w:t>
      </w:r>
    </w:p>
    <w:p w14:paraId="0C4331B3">
      <w:pPr>
        <w:spacing w:after="120" w:line="360" w:lineRule="auto"/>
        <w:jc w:val="right"/>
        <w:rPr>
          <w:sz w:val="24"/>
          <w:szCs w:val="24"/>
        </w:rPr>
      </w:pPr>
      <w:r>
        <w:rPr>
          <w:rFonts w:ascii="Times New Roman" w:hAnsi="Times New Roman"/>
          <w:b w:val="0"/>
          <w:sz w:val="24"/>
          <w:szCs w:val="24"/>
        </w:rPr>
        <w:t>Таблица 2.9. Расходы на оплату труда и затраты на персонал ООО «Лайф Медиа» в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36CA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7" w:type="dxa"/>
            <w:vAlign w:val="center"/>
          </w:tcPr>
          <w:p w14:paraId="0FF7CA8A">
            <w:pPr>
              <w:widowControl w:val="0"/>
              <w:jc w:val="center"/>
              <w:rPr>
                <w:b w:val="0"/>
                <w:bCs/>
              </w:rPr>
            </w:pPr>
            <w:r>
              <w:rPr>
                <w:rFonts w:ascii="Times New Roman" w:hAnsi="Times New Roman"/>
                <w:b w:val="0"/>
                <w:bCs/>
                <w:sz w:val="24"/>
              </w:rPr>
              <w:t>Показатель</w:t>
            </w:r>
          </w:p>
        </w:tc>
        <w:tc>
          <w:tcPr>
            <w:tcW w:w="4677" w:type="dxa"/>
            <w:vAlign w:val="center"/>
          </w:tcPr>
          <w:p w14:paraId="05986340">
            <w:pPr>
              <w:widowControl w:val="0"/>
              <w:jc w:val="center"/>
              <w:rPr>
                <w:b w:val="0"/>
                <w:bCs/>
              </w:rPr>
            </w:pPr>
            <w:r>
              <w:rPr>
                <w:rFonts w:ascii="Times New Roman" w:hAnsi="Times New Roman"/>
                <w:b w:val="0"/>
                <w:bCs/>
                <w:sz w:val="24"/>
              </w:rPr>
              <w:t>Сумма, тыс. руб.</w:t>
            </w:r>
          </w:p>
        </w:tc>
      </w:tr>
      <w:tr w14:paraId="4FA8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FB8D5F4">
            <w:pPr>
              <w:widowControl w:val="0"/>
              <w:jc w:val="both"/>
            </w:pPr>
            <w:r>
              <w:rPr>
                <w:rFonts w:ascii="Times New Roman" w:hAnsi="Times New Roman"/>
                <w:sz w:val="24"/>
              </w:rPr>
              <w:t>ФОТ тендерного отдела (8 чел.)</w:t>
            </w:r>
          </w:p>
        </w:tc>
        <w:tc>
          <w:tcPr>
            <w:tcW w:w="4677" w:type="dxa"/>
            <w:vAlign w:val="top"/>
          </w:tcPr>
          <w:p w14:paraId="0BEED842">
            <w:pPr>
              <w:widowControl w:val="0"/>
              <w:jc w:val="center"/>
            </w:pPr>
            <w:r>
              <w:rPr>
                <w:rFonts w:ascii="Times New Roman" w:hAnsi="Times New Roman"/>
                <w:sz w:val="24"/>
              </w:rPr>
              <w:t>6 100</w:t>
            </w:r>
          </w:p>
        </w:tc>
      </w:tr>
      <w:tr w14:paraId="356A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3CF6D12">
            <w:pPr>
              <w:widowControl w:val="0"/>
              <w:jc w:val="both"/>
            </w:pPr>
            <w:r>
              <w:rPr>
                <w:rFonts w:ascii="Times New Roman" w:hAnsi="Times New Roman"/>
                <w:sz w:val="24"/>
              </w:rPr>
              <w:t>ФОТ отдела продаж (4 чел.)</w:t>
            </w:r>
          </w:p>
        </w:tc>
        <w:tc>
          <w:tcPr>
            <w:tcW w:w="4677" w:type="dxa"/>
            <w:vAlign w:val="top"/>
          </w:tcPr>
          <w:p w14:paraId="0112CB19">
            <w:pPr>
              <w:widowControl w:val="0"/>
              <w:jc w:val="center"/>
            </w:pPr>
            <w:r>
              <w:rPr>
                <w:rFonts w:ascii="Times New Roman" w:hAnsi="Times New Roman"/>
                <w:sz w:val="24"/>
              </w:rPr>
              <w:t>2 400</w:t>
            </w:r>
          </w:p>
        </w:tc>
      </w:tr>
      <w:tr w14:paraId="660B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803EACA">
            <w:pPr>
              <w:widowControl w:val="0"/>
              <w:jc w:val="both"/>
            </w:pPr>
            <w:r>
              <w:rPr>
                <w:rFonts w:ascii="Times New Roman" w:hAnsi="Times New Roman"/>
                <w:sz w:val="24"/>
              </w:rPr>
              <w:t>ФОТ отдела логистики (3 чел.)</w:t>
            </w:r>
          </w:p>
        </w:tc>
        <w:tc>
          <w:tcPr>
            <w:tcW w:w="4677" w:type="dxa"/>
            <w:vAlign w:val="top"/>
          </w:tcPr>
          <w:p w14:paraId="36D7D4E9">
            <w:pPr>
              <w:widowControl w:val="0"/>
              <w:jc w:val="center"/>
            </w:pPr>
            <w:r>
              <w:rPr>
                <w:rFonts w:ascii="Times New Roman" w:hAnsi="Times New Roman"/>
                <w:sz w:val="24"/>
              </w:rPr>
              <w:t>1 600</w:t>
            </w:r>
          </w:p>
        </w:tc>
      </w:tr>
    </w:tbl>
    <w:p w14:paraId="7F0B1EF4">
      <w:pPr>
        <w:spacing w:after="120" w:line="360" w:lineRule="auto"/>
        <w:jc w:val="right"/>
        <w:rPr>
          <w:rFonts w:hint="default" w:ascii="Times New Roman" w:hAnsi="Times New Roman"/>
          <w:b w:val="0"/>
          <w:sz w:val="24"/>
          <w:szCs w:val="18"/>
          <w:lang w:val="ru-RU"/>
        </w:rPr>
      </w:pPr>
      <w:r>
        <w:rPr>
          <w:rFonts w:ascii="Times New Roman" w:hAnsi="Times New Roman"/>
          <w:b w:val="0"/>
          <w:sz w:val="24"/>
          <w:szCs w:val="18"/>
          <w:lang w:val="ru-RU"/>
        </w:rPr>
        <w:t>Продолжение</w:t>
      </w:r>
      <w:r>
        <w:rPr>
          <w:rFonts w:hint="default" w:ascii="Times New Roman" w:hAnsi="Times New Roman"/>
          <w:b w:val="0"/>
          <w:sz w:val="24"/>
          <w:szCs w:val="18"/>
          <w:lang w:val="ru-RU"/>
        </w:rPr>
        <w:t xml:space="preserve"> таблицы 2.9.</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6AB3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677" w:type="dxa"/>
          </w:tcPr>
          <w:p w14:paraId="3E484F33">
            <w:pPr>
              <w:widowControl w:val="0"/>
              <w:jc w:val="both"/>
            </w:pPr>
            <w:r>
              <w:rPr>
                <w:rFonts w:ascii="Times New Roman" w:hAnsi="Times New Roman"/>
                <w:sz w:val="24"/>
              </w:rPr>
              <w:t>ФОТ административно-управленческого блока (2,5 ставки)</w:t>
            </w:r>
          </w:p>
        </w:tc>
        <w:tc>
          <w:tcPr>
            <w:tcW w:w="4677" w:type="dxa"/>
            <w:vAlign w:val="top"/>
          </w:tcPr>
          <w:p w14:paraId="3A80E2C8">
            <w:pPr>
              <w:widowControl w:val="0"/>
              <w:jc w:val="center"/>
            </w:pPr>
            <w:r>
              <w:rPr>
                <w:rFonts w:ascii="Times New Roman" w:hAnsi="Times New Roman"/>
                <w:sz w:val="24"/>
              </w:rPr>
              <w:t>1 500</w:t>
            </w:r>
          </w:p>
        </w:tc>
      </w:tr>
      <w:tr w14:paraId="425E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A6933B0">
            <w:pPr>
              <w:widowControl w:val="0"/>
              <w:jc w:val="both"/>
            </w:pPr>
            <w:r>
              <w:rPr>
                <w:rFonts w:ascii="Times New Roman" w:hAnsi="Times New Roman"/>
                <w:sz w:val="24"/>
              </w:rPr>
              <w:t>Итого ФОТ</w:t>
            </w:r>
          </w:p>
        </w:tc>
        <w:tc>
          <w:tcPr>
            <w:tcW w:w="4677" w:type="dxa"/>
            <w:vAlign w:val="top"/>
          </w:tcPr>
          <w:p w14:paraId="7395689D">
            <w:pPr>
              <w:widowControl w:val="0"/>
              <w:jc w:val="center"/>
            </w:pPr>
            <w:r>
              <w:rPr>
                <w:rFonts w:ascii="Times New Roman" w:hAnsi="Times New Roman"/>
                <w:sz w:val="24"/>
              </w:rPr>
              <w:t>11 600</w:t>
            </w:r>
          </w:p>
        </w:tc>
      </w:tr>
      <w:tr w14:paraId="628A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765B56D">
            <w:pPr>
              <w:widowControl w:val="0"/>
              <w:jc w:val="both"/>
            </w:pPr>
            <w:r>
              <w:rPr>
                <w:rFonts w:ascii="Times New Roman" w:hAnsi="Times New Roman"/>
                <w:sz w:val="24"/>
              </w:rPr>
              <w:t>Страховые взносы (30%)</w:t>
            </w:r>
          </w:p>
        </w:tc>
        <w:tc>
          <w:tcPr>
            <w:tcW w:w="4677" w:type="dxa"/>
            <w:vAlign w:val="top"/>
          </w:tcPr>
          <w:p w14:paraId="41861602">
            <w:pPr>
              <w:widowControl w:val="0"/>
              <w:jc w:val="center"/>
            </w:pPr>
            <w:r>
              <w:rPr>
                <w:rFonts w:ascii="Times New Roman" w:hAnsi="Times New Roman"/>
                <w:sz w:val="24"/>
              </w:rPr>
              <w:t>3 480</w:t>
            </w:r>
          </w:p>
        </w:tc>
      </w:tr>
      <w:tr w14:paraId="484B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49876556">
            <w:pPr>
              <w:widowControl w:val="0"/>
              <w:jc w:val="both"/>
            </w:pPr>
            <w:r>
              <w:rPr>
                <w:rFonts w:ascii="Times New Roman" w:hAnsi="Times New Roman"/>
                <w:sz w:val="24"/>
              </w:rPr>
              <w:t>Подбор персонала</w:t>
            </w:r>
          </w:p>
        </w:tc>
        <w:tc>
          <w:tcPr>
            <w:tcW w:w="4677" w:type="dxa"/>
            <w:vAlign w:val="top"/>
          </w:tcPr>
          <w:p w14:paraId="5D110CBF">
            <w:pPr>
              <w:widowControl w:val="0"/>
              <w:jc w:val="center"/>
            </w:pPr>
            <w:r>
              <w:rPr>
                <w:rFonts w:ascii="Times New Roman" w:hAnsi="Times New Roman"/>
                <w:sz w:val="24"/>
              </w:rPr>
              <w:t>170</w:t>
            </w:r>
          </w:p>
        </w:tc>
      </w:tr>
      <w:tr w14:paraId="5862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4A0F40E">
            <w:pPr>
              <w:widowControl w:val="0"/>
              <w:jc w:val="both"/>
            </w:pPr>
            <w:r>
              <w:rPr>
                <w:rFonts w:ascii="Times New Roman" w:hAnsi="Times New Roman"/>
                <w:sz w:val="24"/>
              </w:rPr>
              <w:t>Обучение</w:t>
            </w:r>
          </w:p>
        </w:tc>
        <w:tc>
          <w:tcPr>
            <w:tcW w:w="4677" w:type="dxa"/>
            <w:vAlign w:val="top"/>
          </w:tcPr>
          <w:p w14:paraId="0C7C3BF2">
            <w:pPr>
              <w:widowControl w:val="0"/>
              <w:jc w:val="center"/>
            </w:pPr>
            <w:r>
              <w:rPr>
                <w:rFonts w:ascii="Times New Roman" w:hAnsi="Times New Roman"/>
                <w:sz w:val="24"/>
              </w:rPr>
              <w:t>45</w:t>
            </w:r>
          </w:p>
        </w:tc>
      </w:tr>
      <w:tr w14:paraId="4E58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037E628">
            <w:pPr>
              <w:widowControl w:val="0"/>
              <w:jc w:val="both"/>
            </w:pPr>
            <w:r>
              <w:rPr>
                <w:rFonts w:ascii="Times New Roman" w:hAnsi="Times New Roman"/>
                <w:sz w:val="24"/>
              </w:rPr>
              <w:t>Юрист (аутсорсинг)</w:t>
            </w:r>
          </w:p>
        </w:tc>
        <w:tc>
          <w:tcPr>
            <w:tcW w:w="4677" w:type="dxa"/>
            <w:vAlign w:val="top"/>
          </w:tcPr>
          <w:p w14:paraId="192B4D6D">
            <w:pPr>
              <w:widowControl w:val="0"/>
              <w:jc w:val="center"/>
            </w:pPr>
            <w:r>
              <w:rPr>
                <w:rFonts w:ascii="Times New Roman" w:hAnsi="Times New Roman"/>
                <w:sz w:val="24"/>
              </w:rPr>
              <w:t>150</w:t>
            </w:r>
          </w:p>
        </w:tc>
      </w:tr>
      <w:tr w14:paraId="17D9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52FD57E">
            <w:pPr>
              <w:widowControl w:val="0"/>
              <w:jc w:val="both"/>
            </w:pPr>
            <w:r>
              <w:rPr>
                <w:rFonts w:ascii="Times New Roman" w:hAnsi="Times New Roman"/>
                <w:sz w:val="24"/>
              </w:rPr>
              <w:t>Общие затраты на персонал</w:t>
            </w:r>
          </w:p>
        </w:tc>
        <w:tc>
          <w:tcPr>
            <w:tcW w:w="4677" w:type="dxa"/>
            <w:vAlign w:val="top"/>
          </w:tcPr>
          <w:p w14:paraId="3F75D601">
            <w:pPr>
              <w:widowControl w:val="0"/>
              <w:jc w:val="center"/>
            </w:pPr>
            <w:r>
              <w:rPr>
                <w:rFonts w:ascii="Times New Roman" w:hAnsi="Times New Roman"/>
                <w:sz w:val="24"/>
              </w:rPr>
              <w:t>15 445</w:t>
            </w:r>
          </w:p>
        </w:tc>
      </w:tr>
    </w:tbl>
    <w:p w14:paraId="7DD47675">
      <w:pPr>
        <w:spacing w:after="120" w:line="360" w:lineRule="auto"/>
        <w:jc w:val="both"/>
        <w:rPr>
          <w:rFonts w:hint="default" w:ascii="Times New Roman" w:hAnsi="Times New Roman"/>
          <w:b w:val="0"/>
          <w:sz w:val="28"/>
          <w:lang w:val="ru-RU"/>
        </w:rPr>
      </w:pPr>
    </w:p>
    <w:p w14:paraId="692A4A99">
      <w:pPr>
        <w:spacing w:after="120" w:line="360" w:lineRule="auto"/>
        <w:ind w:firstLine="700"/>
        <w:jc w:val="both"/>
        <w:rPr>
          <w:rFonts w:ascii="Times New Roman" w:hAnsi="Times New Roman"/>
          <w:b w:val="0"/>
          <w:sz w:val="28"/>
        </w:rPr>
      </w:pPr>
      <w:r>
        <w:rPr>
          <w:rFonts w:ascii="Times New Roman" w:hAnsi="Times New Roman"/>
          <w:b w:val="0"/>
          <w:sz w:val="28"/>
        </w:rPr>
        <w:t>Формальное наличие статьи «обучение» не означает существования полноценной системы развития. По имеющимся данным, средства используются эпизодически: чаще всего приобретаются доступы к записям вебинаров по изменениям 44-ФЗ и 223-ФЗ. При этом отсутствуют единая программа обучения, регулярное тестирование, внутренняя база знаний и оценка того, как обучение влияет на качество подготовки заявок.</w:t>
      </w:r>
    </w:p>
    <w:p w14:paraId="27A4EE6D">
      <w:pPr>
        <w:spacing w:after="120" w:line="360" w:lineRule="auto"/>
        <w:ind w:firstLine="700"/>
        <w:jc w:val="center"/>
        <w:rPr>
          <w:rFonts w:ascii="Times New Roman" w:hAnsi="Times New Roman"/>
          <w:b/>
          <w:bCs/>
          <w:sz w:val="28"/>
        </w:rPr>
      </w:pPr>
    </w:p>
    <w:p w14:paraId="45F1CF0B">
      <w:pPr>
        <w:numPr>
          <w:ilvl w:val="1"/>
          <w:numId w:val="2"/>
        </w:numPr>
        <w:spacing w:after="120" w:line="360" w:lineRule="auto"/>
        <w:ind w:left="49" w:leftChars="0" w:firstLine="351" w:firstLineChars="0"/>
        <w:jc w:val="center"/>
        <w:rPr>
          <w:rFonts w:hint="default" w:ascii="Times New Roman" w:hAnsi="Times New Roman"/>
          <w:b/>
          <w:bCs/>
          <w:sz w:val="28"/>
          <w:lang w:val="ru-RU"/>
        </w:rPr>
      </w:pPr>
      <w:r>
        <w:rPr>
          <w:rFonts w:hint="default" w:ascii="Times New Roman" w:hAnsi="Times New Roman"/>
          <w:b/>
          <w:bCs/>
          <w:sz w:val="28"/>
          <w:szCs w:val="28"/>
          <w:lang w:val="ru-RU"/>
        </w:rPr>
        <w:t>Оценка эффективности текущей системы обучения и выявление проблем</w:t>
      </w:r>
    </w:p>
    <w:p>
      <w:pPr>
        <w:spacing w:line="360" w:lineRule="auto" w:after="120"/>
        <w:ind w:firstLine="700"/>
      </w:pPr>
      <w:r>
        <w:rPr>
          <w:rFonts w:ascii="Times New Roman" w:hAnsi="Times New Roman"/>
          <w:b w:val="0"/>
          <w:sz w:val="28"/>
        </w:rPr>
        <w:t>Для повышения обоснованности анализа в параграфе 2.3 использована методика экспертно-анкетной оценки с применением шкалы Лайкерта и последующим анализом разрывов. Данная методика позволяет не только зафиксировать мнения сотрудников, но и сопоставить фактическое состояние системы обучения с желаемым уровнем ее развития. В качестве экспертов выступили все 8 сотрудников тендерного отдела, поскольку именно они ежедневно работают с закупочной документацией, электронными торговыми площадками, шаблонами заявок и изменениями законодательства.</w:t>
      </w:r>
    </w:p>
    <w:p>
      <w:pPr>
        <w:spacing w:line="360" w:lineRule="auto" w:after="120"/>
        <w:ind w:firstLine="700"/>
      </w:pPr>
      <w:r>
        <w:rPr>
          <w:rFonts w:ascii="Times New Roman" w:hAnsi="Times New Roman"/>
          <w:b w:val="0"/>
          <w:sz w:val="28"/>
        </w:rPr>
        <w:t>Оценка проводилась по пятибалльной шкале, где 1 балл означает полное отсутствие признака или крайне низкую удовлетворенность, а 5 баллов — высокий уровень сформированности элемента системы обучения. Для анализа были выбраны критерии, соответствующие проблемам, выявленным во второй главе: наличие программы адаптации, актуальность шаблонов, доступность базы знаний, регулярность проверки знаний, качество разбора ошибок, доступность наставничества и связь обучения с результатами работы.</w:t>
      </w:r>
    </w:p>
    <w:p>
      <w:pPr>
        <w:spacing w:line="360" w:lineRule="auto" w:after="120"/>
        <w:jc w:val="center"/>
      </w:pPr>
      <w:r>
        <w:rPr>
          <w:rFonts w:ascii="Times New Roman" w:hAnsi="Times New Roman"/>
          <w:b w:val="0"/>
          <w:sz w:val="28"/>
        </w:rPr>
        <w:t>Таблица 2.10. Критерии экспертно-анкетной оценки системы обучения тендерных специалистов</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Критерий оценки</w:t>
            </w:r>
          </w:p>
        </w:tc>
        <w:tc>
          <w:tcPr>
            <w:tcW w:type="dxa" w:w="2300"/>
          </w:tcPr>
          <w:p>
            <w:r>
              <w:rPr>
                <w:rFonts w:ascii="Times New Roman" w:hAnsi="Times New Roman"/>
                <w:b/>
                <w:sz w:val="22"/>
              </w:rPr>
              <w:t>Фактический уровень, балл</w:t>
            </w:r>
          </w:p>
        </w:tc>
        <w:tc>
          <w:tcPr>
            <w:tcW w:type="dxa" w:w="2300"/>
          </w:tcPr>
          <w:p>
            <w:r>
              <w:rPr>
                <w:rFonts w:ascii="Times New Roman" w:hAnsi="Times New Roman"/>
                <w:b/>
                <w:sz w:val="22"/>
              </w:rPr>
              <w:t>Желаемый уровень, балл</w:t>
            </w:r>
          </w:p>
        </w:tc>
        <w:tc>
          <w:tcPr>
            <w:tcW w:type="dxa" w:w="2300"/>
          </w:tcPr>
          <w:p>
            <w:r>
              <w:rPr>
                <w:rFonts w:ascii="Times New Roman" w:hAnsi="Times New Roman"/>
                <w:b/>
                <w:sz w:val="22"/>
              </w:rPr>
              <w:t>Разрыв</w:t>
            </w:r>
          </w:p>
        </w:tc>
      </w:tr>
      <w:tr>
        <w:tc>
          <w:tcPr>
            <w:tcW w:type="dxa" w:w="2300"/>
          </w:tcPr>
          <w:p>
            <w:r>
              <w:rPr>
                <w:rFonts w:ascii="Times New Roman" w:hAnsi="Times New Roman"/>
                <w:b w:val="0"/>
                <w:sz w:val="22"/>
              </w:rPr>
              <w:t>Программа адаптации новых сотрудников</w:t>
            </w:r>
          </w:p>
        </w:tc>
        <w:tc>
          <w:tcPr>
            <w:tcW w:type="dxa" w:w="2300"/>
          </w:tcPr>
          <w:p>
            <w:r>
              <w:rPr>
                <w:rFonts w:ascii="Times New Roman" w:hAnsi="Times New Roman"/>
                <w:b w:val="0"/>
                <w:sz w:val="22"/>
              </w:rPr>
              <w:t>1,5</w:t>
            </w:r>
          </w:p>
        </w:tc>
        <w:tc>
          <w:tcPr>
            <w:tcW w:type="dxa" w:w="2300"/>
          </w:tcPr>
          <w:p>
            <w:r>
              <w:rPr>
                <w:rFonts w:ascii="Times New Roman" w:hAnsi="Times New Roman"/>
                <w:b w:val="0"/>
                <w:sz w:val="22"/>
              </w:rPr>
              <w:t>4,5</w:t>
            </w:r>
          </w:p>
        </w:tc>
        <w:tc>
          <w:tcPr>
            <w:tcW w:type="dxa" w:w="2300"/>
          </w:tcPr>
          <w:p>
            <w:r>
              <w:rPr>
                <w:rFonts w:ascii="Times New Roman" w:hAnsi="Times New Roman"/>
                <w:b w:val="0"/>
                <w:sz w:val="22"/>
              </w:rPr>
              <w:t>3,0</w:t>
            </w:r>
          </w:p>
        </w:tc>
      </w:tr>
      <w:tr>
        <w:tc>
          <w:tcPr>
            <w:tcW w:type="dxa" w:w="2300"/>
          </w:tcPr>
          <w:p>
            <w:r>
              <w:rPr>
                <w:rFonts w:ascii="Times New Roman" w:hAnsi="Times New Roman"/>
                <w:b w:val="0"/>
                <w:sz w:val="22"/>
              </w:rPr>
              <w:t>Актуальность шаблонов и инструкций</w:t>
            </w:r>
          </w:p>
        </w:tc>
        <w:tc>
          <w:tcPr>
            <w:tcW w:type="dxa" w:w="2300"/>
          </w:tcPr>
          <w:p>
            <w:r>
              <w:rPr>
                <w:rFonts w:ascii="Times New Roman" w:hAnsi="Times New Roman"/>
                <w:b w:val="0"/>
                <w:sz w:val="22"/>
              </w:rPr>
              <w:t>2,0</w:t>
            </w:r>
          </w:p>
        </w:tc>
        <w:tc>
          <w:tcPr>
            <w:tcW w:type="dxa" w:w="2300"/>
          </w:tcPr>
          <w:p>
            <w:r>
              <w:rPr>
                <w:rFonts w:ascii="Times New Roman" w:hAnsi="Times New Roman"/>
                <w:b w:val="0"/>
                <w:sz w:val="22"/>
              </w:rPr>
              <w:t>4,6</w:t>
            </w:r>
          </w:p>
        </w:tc>
        <w:tc>
          <w:tcPr>
            <w:tcW w:type="dxa" w:w="2300"/>
          </w:tcPr>
          <w:p>
            <w:r>
              <w:rPr>
                <w:rFonts w:ascii="Times New Roman" w:hAnsi="Times New Roman"/>
                <w:b w:val="0"/>
                <w:sz w:val="22"/>
              </w:rPr>
              <w:t>2,6</w:t>
            </w:r>
          </w:p>
        </w:tc>
      </w:tr>
      <w:tr>
        <w:tc>
          <w:tcPr>
            <w:tcW w:type="dxa" w:w="2300"/>
          </w:tcPr>
          <w:p>
            <w:r>
              <w:rPr>
                <w:rFonts w:ascii="Times New Roman" w:hAnsi="Times New Roman"/>
                <w:b w:val="0"/>
                <w:sz w:val="22"/>
              </w:rPr>
              <w:t>Доступность базы знаний</w:t>
            </w:r>
          </w:p>
        </w:tc>
        <w:tc>
          <w:tcPr>
            <w:tcW w:type="dxa" w:w="2300"/>
          </w:tcPr>
          <w:p>
            <w:r>
              <w:rPr>
                <w:rFonts w:ascii="Times New Roman" w:hAnsi="Times New Roman"/>
                <w:b w:val="0"/>
                <w:sz w:val="22"/>
              </w:rPr>
              <w:t>1,8</w:t>
            </w:r>
          </w:p>
        </w:tc>
        <w:tc>
          <w:tcPr>
            <w:tcW w:type="dxa" w:w="2300"/>
          </w:tcPr>
          <w:p>
            <w:r>
              <w:rPr>
                <w:rFonts w:ascii="Times New Roman" w:hAnsi="Times New Roman"/>
                <w:b w:val="0"/>
                <w:sz w:val="22"/>
              </w:rPr>
              <w:t>4,5</w:t>
            </w:r>
          </w:p>
        </w:tc>
        <w:tc>
          <w:tcPr>
            <w:tcW w:type="dxa" w:w="2300"/>
          </w:tcPr>
          <w:p>
            <w:r>
              <w:rPr>
                <w:rFonts w:ascii="Times New Roman" w:hAnsi="Times New Roman"/>
                <w:b w:val="0"/>
                <w:sz w:val="22"/>
              </w:rPr>
              <w:t>2,7</w:t>
            </w:r>
          </w:p>
        </w:tc>
      </w:tr>
      <w:tr>
        <w:tc>
          <w:tcPr>
            <w:tcW w:type="dxa" w:w="2300"/>
          </w:tcPr>
          <w:p>
            <w:r>
              <w:rPr>
                <w:rFonts w:ascii="Times New Roman" w:hAnsi="Times New Roman"/>
                <w:b w:val="0"/>
                <w:sz w:val="22"/>
              </w:rPr>
              <w:t>Регулярность проверки знаний</w:t>
            </w:r>
          </w:p>
        </w:tc>
        <w:tc>
          <w:tcPr>
            <w:tcW w:type="dxa" w:w="2300"/>
          </w:tcPr>
          <w:p>
            <w:r>
              <w:rPr>
                <w:rFonts w:ascii="Times New Roman" w:hAnsi="Times New Roman"/>
                <w:b w:val="0"/>
                <w:sz w:val="22"/>
              </w:rPr>
              <w:t>1,6</w:t>
            </w:r>
          </w:p>
        </w:tc>
        <w:tc>
          <w:tcPr>
            <w:tcW w:type="dxa" w:w="2300"/>
          </w:tcPr>
          <w:p>
            <w:r>
              <w:rPr>
                <w:rFonts w:ascii="Times New Roman" w:hAnsi="Times New Roman"/>
                <w:b w:val="0"/>
                <w:sz w:val="22"/>
              </w:rPr>
              <w:t>4,4</w:t>
            </w:r>
          </w:p>
        </w:tc>
        <w:tc>
          <w:tcPr>
            <w:tcW w:type="dxa" w:w="2300"/>
          </w:tcPr>
          <w:p>
            <w:r>
              <w:rPr>
                <w:rFonts w:ascii="Times New Roman" w:hAnsi="Times New Roman"/>
                <w:b w:val="0"/>
                <w:sz w:val="22"/>
              </w:rPr>
              <w:t>2,8</w:t>
            </w:r>
          </w:p>
        </w:tc>
      </w:tr>
      <w:tr>
        <w:tc>
          <w:tcPr>
            <w:tcW w:type="dxa" w:w="2300"/>
          </w:tcPr>
          <w:p>
            <w:r>
              <w:rPr>
                <w:rFonts w:ascii="Times New Roman" w:hAnsi="Times New Roman"/>
                <w:b w:val="0"/>
                <w:sz w:val="22"/>
              </w:rPr>
              <w:t>Разбор ошибок и обратная связь</w:t>
            </w:r>
          </w:p>
        </w:tc>
        <w:tc>
          <w:tcPr>
            <w:tcW w:type="dxa" w:w="2300"/>
          </w:tcPr>
          <w:p>
            <w:r>
              <w:rPr>
                <w:rFonts w:ascii="Times New Roman" w:hAnsi="Times New Roman"/>
                <w:b w:val="0"/>
                <w:sz w:val="22"/>
              </w:rPr>
              <w:t>1,9</w:t>
            </w:r>
          </w:p>
        </w:tc>
        <w:tc>
          <w:tcPr>
            <w:tcW w:type="dxa" w:w="2300"/>
          </w:tcPr>
          <w:p>
            <w:r>
              <w:rPr>
                <w:rFonts w:ascii="Times New Roman" w:hAnsi="Times New Roman"/>
                <w:b w:val="0"/>
                <w:sz w:val="22"/>
              </w:rPr>
              <w:t>4,7</w:t>
            </w:r>
          </w:p>
        </w:tc>
        <w:tc>
          <w:tcPr>
            <w:tcW w:type="dxa" w:w="2300"/>
          </w:tcPr>
          <w:p>
            <w:r>
              <w:rPr>
                <w:rFonts w:ascii="Times New Roman" w:hAnsi="Times New Roman"/>
                <w:b w:val="0"/>
                <w:sz w:val="22"/>
              </w:rPr>
              <w:t>2,8</w:t>
            </w:r>
          </w:p>
        </w:tc>
      </w:tr>
      <w:tr>
        <w:tc>
          <w:tcPr>
            <w:tcW w:type="dxa" w:w="2300"/>
          </w:tcPr>
          <w:p>
            <w:r>
              <w:rPr>
                <w:rFonts w:ascii="Times New Roman" w:hAnsi="Times New Roman"/>
                <w:b w:val="0"/>
                <w:sz w:val="22"/>
              </w:rPr>
              <w:t>Наставничество и передача опыта</w:t>
            </w:r>
          </w:p>
        </w:tc>
        <w:tc>
          <w:tcPr>
            <w:tcW w:type="dxa" w:w="2300"/>
          </w:tcPr>
          <w:p>
            <w:r>
              <w:rPr>
                <w:rFonts w:ascii="Times New Roman" w:hAnsi="Times New Roman"/>
                <w:b w:val="0"/>
                <w:sz w:val="22"/>
              </w:rPr>
              <w:t>2,4</w:t>
            </w:r>
          </w:p>
        </w:tc>
        <w:tc>
          <w:tcPr>
            <w:tcW w:type="dxa" w:w="2300"/>
          </w:tcPr>
          <w:p>
            <w:r>
              <w:rPr>
                <w:rFonts w:ascii="Times New Roman" w:hAnsi="Times New Roman"/>
                <w:b w:val="0"/>
                <w:sz w:val="22"/>
              </w:rPr>
              <w:t>4,3</w:t>
            </w:r>
          </w:p>
        </w:tc>
        <w:tc>
          <w:tcPr>
            <w:tcW w:type="dxa" w:w="2300"/>
          </w:tcPr>
          <w:p>
            <w:r>
              <w:rPr>
                <w:rFonts w:ascii="Times New Roman" w:hAnsi="Times New Roman"/>
                <w:b w:val="0"/>
                <w:sz w:val="22"/>
              </w:rPr>
              <w:t>1,9</w:t>
            </w:r>
          </w:p>
        </w:tc>
      </w:tr>
      <w:tr>
        <w:tc>
          <w:tcPr>
            <w:tcW w:type="dxa" w:w="2300"/>
          </w:tcPr>
          <w:p>
            <w:r>
              <w:rPr>
                <w:rFonts w:ascii="Times New Roman" w:hAnsi="Times New Roman"/>
                <w:b w:val="0"/>
                <w:sz w:val="22"/>
              </w:rPr>
              <w:t>Связь обучения с KPI</w:t>
            </w:r>
          </w:p>
        </w:tc>
        <w:tc>
          <w:tcPr>
            <w:tcW w:type="dxa" w:w="2300"/>
          </w:tcPr>
          <w:p>
            <w:r>
              <w:rPr>
                <w:rFonts w:ascii="Times New Roman" w:hAnsi="Times New Roman"/>
                <w:b w:val="0"/>
                <w:sz w:val="22"/>
              </w:rPr>
              <w:t>1,7</w:t>
            </w:r>
          </w:p>
        </w:tc>
        <w:tc>
          <w:tcPr>
            <w:tcW w:type="dxa" w:w="2300"/>
          </w:tcPr>
          <w:p>
            <w:r>
              <w:rPr>
                <w:rFonts w:ascii="Times New Roman" w:hAnsi="Times New Roman"/>
                <w:b w:val="0"/>
                <w:sz w:val="22"/>
              </w:rPr>
              <w:t>4,3</w:t>
            </w:r>
          </w:p>
        </w:tc>
        <w:tc>
          <w:tcPr>
            <w:tcW w:type="dxa" w:w="2300"/>
          </w:tcPr>
          <w:p>
            <w:r>
              <w:rPr>
                <w:rFonts w:ascii="Times New Roman" w:hAnsi="Times New Roman"/>
                <w:b w:val="0"/>
                <w:sz w:val="22"/>
              </w:rPr>
              <w:t>2,6</w:t>
            </w:r>
          </w:p>
        </w:tc>
      </w:tr>
      <w:tr>
        <w:tc>
          <w:tcPr>
            <w:tcW w:type="dxa" w:w="2300"/>
          </w:tcPr>
          <w:p>
            <w:r>
              <w:rPr>
                <w:rFonts w:ascii="Times New Roman" w:hAnsi="Times New Roman"/>
                <w:b w:val="0"/>
                <w:sz w:val="22"/>
              </w:rPr>
              <w:t>Среднее значение</w:t>
            </w:r>
          </w:p>
        </w:tc>
        <w:tc>
          <w:tcPr>
            <w:tcW w:type="dxa" w:w="2300"/>
          </w:tcPr>
          <w:p>
            <w:r>
              <w:rPr>
                <w:rFonts w:ascii="Times New Roman" w:hAnsi="Times New Roman"/>
                <w:b w:val="0"/>
                <w:sz w:val="22"/>
              </w:rPr>
              <w:t>2,0</w:t>
            </w:r>
          </w:p>
        </w:tc>
        <w:tc>
          <w:tcPr>
            <w:tcW w:type="dxa" w:w="2300"/>
          </w:tcPr>
          <w:p>
            <w:r>
              <w:rPr>
                <w:rFonts w:ascii="Times New Roman" w:hAnsi="Times New Roman"/>
                <w:b w:val="0"/>
                <w:sz w:val="22"/>
              </w:rPr>
              <w:t>4,5</w:t>
            </w:r>
          </w:p>
        </w:tc>
        <w:tc>
          <w:tcPr>
            <w:tcW w:type="dxa" w:w="2300"/>
          </w:tcPr>
          <w:p>
            <w:r>
              <w:rPr>
                <w:rFonts w:ascii="Times New Roman" w:hAnsi="Times New Roman"/>
                <w:b w:val="0"/>
                <w:sz w:val="22"/>
              </w:rPr>
              <w:t>2,5</w:t>
            </w:r>
          </w:p>
        </w:tc>
      </w:tr>
    </w:tbl>
    <w:p>
      <w:pPr>
        <w:spacing w:line="360" w:lineRule="auto" w:after="120"/>
        <w:ind w:firstLine="700"/>
      </w:pPr>
      <w:r>
        <w:rPr>
          <w:rFonts w:ascii="Times New Roman" w:hAnsi="Times New Roman"/>
          <w:b w:val="0"/>
          <w:sz w:val="28"/>
        </w:rPr>
        <w:t>Результаты экспертно-анкетной оценки показывают, что наибольший разрыв наблюдается по критериям «программа адаптации», «разбор ошибок», «база знаний» и «связь обучения с результатами работы». Среднее значение фактического состояния по всем критериям составило 2,0 балла, тогда как желаемый уровень — 4,5 балла. Средний разрыв равен 2,5 балла, что подтверждает системный характер проблемы. Следовательно, дальнейшие рекомендации должны быть направлены не только на проведение внешних курсов, но и на создание внутреннего механизма накопления, обновления и проверки профессиональных знаний.</w:t>
      </w:r>
    </w:p>
    <w:p>
      <w:pPr>
        <w:spacing w:line="360" w:lineRule="auto" w:after="120"/>
        <w:ind w:firstLine="700"/>
      </w:pPr>
    </w:p>
    <w:p w14:paraId="61DC43F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sz w:val="28"/>
          <w:szCs w:val="28"/>
          <w:lang w:val="ru-RU"/>
        </w:rPr>
        <w:br w:type="page"/>
      </w:r>
      <w:r>
        <w:rPr>
          <w:rFonts w:hint="default" w:ascii="Times New Roman" w:hAnsi="Times New Roman"/>
          <w:b w:val="0"/>
          <w:bCs w:val="0"/>
          <w:color w:val="auto"/>
          <w:sz w:val="28"/>
          <w:szCs w:val="28"/>
          <w:lang w:val="ru-RU"/>
        </w:rPr>
        <w:t>Тендерный отдел ООО «Лайф Медиа» является ключевым подразделением компании, так как именно через участие в государственных корпоративных закупках формируется основная часть выручки. Работа специалистов отдела связана с постоянным анализом документации заказчиков, отслеживанием изменений в законодательстве, расчётом ценовых предложений, подготовкой комплектов документов и технической</w:t>
      </w:r>
      <w:r>
        <w:rPr>
          <w:rFonts w:hint="default" w:ascii="Times New Roman" w:hAnsi="Times New Roman"/>
          <w:b w:val="0"/>
          <w:bCs w:val="0"/>
          <w:color w:val="auto"/>
          <w:sz w:val="28"/>
          <w:szCs w:val="28"/>
          <w:lang w:val="ru-RU"/>
        </w:rPr>
        <w:tab/>
      </w:r>
      <w:r>
        <w:rPr>
          <w:rFonts w:hint="default" w:ascii="Times New Roman" w:hAnsi="Times New Roman"/>
          <w:b w:val="0"/>
          <w:bCs w:val="0"/>
          <w:color w:val="auto"/>
          <w:sz w:val="28"/>
          <w:szCs w:val="28"/>
          <w:lang w:val="ru-RU"/>
        </w:rPr>
        <w:t xml:space="preserve"> подачей заявок на электронных торговых площадках (ЭТП). При таком характере деятельности квалификация сотрудников напрямую влияет не только на качество выполнения отдельных операций, но и на финансовый результат компании.</w:t>
      </w:r>
    </w:p>
    <w:p w14:paraId="75A9EB3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ascii="Times New Roman" w:hAnsi="Times New Roman"/>
          <w:sz w:val="28"/>
        </w:rPr>
        <w:t>Несмотря на высокую значимость тендерного отдела, в компании отсутствует целостная система обучения и развития персонала. Под системой обучения в данном случае понимается не разовое направление сотрудников на курс или самостоятельное изучение материалов, а совокупность взаимосвязанных элементов: вводная адаптация новых работников, регулярное обновление знаний, разбор ошибок, единая база знаний, наставничество и оценка влияния обучения на рабочие показатели. В ООО «Лайф Медиа» такие элементы либо полностью отсутствуют, либо существуют фрагментарно и не связаны между собой.</w:t>
      </w:r>
    </w:p>
    <w:p w14:paraId="7CAABE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ascii="Times New Roman" w:hAnsi="Times New Roman"/>
          <w:sz w:val="28"/>
        </w:rPr>
        <w:t>Фактически обучение тендерных специалистов строится преимущественно на самостоятельном поиске информации и передаче знаний от более опытных сотрудников в процессе работы. Такой формат нельзя считать устойчивой системой, поскольку он зависит от личной инициативы конкретных сотрудников, загруженности руководителя отдела и наличия свободного времени и желания коллег. Если новый специалист сталкивается с нестандартной закупкой, изменением формы документа или особенностями электронной торговой площадки (ЭТП), то чаще всего он получает информацию ситуативно, то есть через устное пояснение, поиск в открытых источниках или просмотр ранее поданных заявок.</w:t>
      </w:r>
    </w:p>
    <w:p w14:paraId="33FADA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b w:val="0"/>
          <w:bCs w:val="0"/>
          <w:color w:val="auto"/>
          <w:sz w:val="28"/>
          <w:szCs w:val="28"/>
          <w:lang w:val="ru-RU"/>
        </w:rPr>
        <w:t>Отсутствие системности проявляется прежде всего в том, что в компании нет утверждённой программы адаптации тендерного специалиста. Новый сотрудник не проходит введение в должность через путь, где были бы закреплены темы, сроки освоения, ответственные лица. В результате скорость включения в работу зависит от первоначального уровня подготовки человека.</w:t>
      </w:r>
    </w:p>
    <w:p w14:paraId="11CA3F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ascii="Times New Roman" w:hAnsi="Times New Roman"/>
          <w:sz w:val="28"/>
        </w:rPr>
        <w:t>Второй важный признак отсутствия системы обучения связан с тем, что в компании нет единой базы актуальных учебных и рабочих материалов. Документы, шаблоны, образцы заполнения форм и инструкций хранятся разрозненно. Часть материалов находится в общих папках, часть — у отдельных сотрудников, часть —  в переписках или задачах Битрикс24. При этом не закреплён порядок регулярного обновления таких материалов после изменений в 44-ФЗ и 223-ФЗ, требованиях заказчиков или правилах электронных площадок. Это создаёт риск использования устаревших форм и неодинакового подхода к подготовке заявок.</w:t>
      </w:r>
    </w:p>
    <w:p w14:paraId="149C1A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Третья проблема заключается в отсутствии регулярной проверки знаний. В компании не проводится тестирование по изменениям законодательства, не фиксируются результаты изучения обучающих материалов, не оценивается готовность специалиста к самостоятельной работе с отдельными типами закупок. Поэтому руководитель не получает объективной информации о том, какие направления имеют проблемы.</w:t>
      </w:r>
    </w:p>
    <w:p w14:paraId="31E03C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 xml:space="preserve">Четвёртая проблема </w:t>
      </w:r>
      <w:r>
        <w:rPr>
          <w:rFonts w:ascii="Times New Roman" w:hAnsi="Times New Roman"/>
          <w:b w:val="0"/>
          <w:i w:val="0"/>
          <w:sz w:val="28"/>
        </w:rPr>
        <w:t xml:space="preserve">— </w:t>
      </w:r>
      <w:r>
        <w:rPr>
          <w:rFonts w:hint="default" w:ascii="Times New Roman" w:hAnsi="Times New Roman"/>
          <w:b w:val="0"/>
          <w:i w:val="0"/>
          <w:sz w:val="28"/>
          <w:lang w:val="ru-RU"/>
        </w:rPr>
        <w:t xml:space="preserve"> отсутствие системного разбора ошибок. Если заявка отклоняется, ошибка обсуждается устно и, как правило, в привязке к конкретному случаю. Такая информация не превращается в общую базу знаний отдела: не фиксируется причина отклонения, не формируется перечень типовых ошибок, не анализируется повторяемость нарушений по сотрудникам и по видам закупки. В результате один и тот же тип ошибки может повторяться у разных специалистов, потому что отдельный опыт не становится общим знанием подразделения.</w:t>
      </w:r>
    </w:p>
    <w:p w14:paraId="76FD2ED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ascii="Times New Roman" w:hAnsi="Times New Roman"/>
          <w:sz w:val="28"/>
        </w:rPr>
        <w:t>В таблице 3.1. отражено фактическое состояние системы обучения тендерных специалистов компании.</w:t>
      </w:r>
    </w:p>
    <w:p w14:paraId="563248EF">
      <w:pPr>
        <w:spacing w:after="120" w:line="360" w:lineRule="auto"/>
        <w:ind w:firstLine="700"/>
      </w:pPr>
    </w:p>
    <w:p w14:paraId="7D471671">
      <w:pPr>
        <w:spacing w:after="120" w:line="360" w:lineRule="auto"/>
        <w:ind w:firstLine="700"/>
        <w:jc w:val="right"/>
        <w:rPr>
          <w:sz w:val="24"/>
          <w:szCs w:val="24"/>
        </w:rPr>
      </w:pPr>
      <w:r>
        <w:rPr>
          <w:rFonts w:ascii="Times New Roman" w:hAnsi="Times New Roman"/>
          <w:b w:val="0"/>
          <w:i w:val="0"/>
          <w:sz w:val="24"/>
          <w:szCs w:val="24"/>
        </w:rPr>
        <w:t>Таблица 3.1. Характеристика фактического состояния обучения тендерных специалистов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EB3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BB9F1FC">
            <w:pPr>
              <w:widowControl w:val="0"/>
              <w:spacing w:line="240" w:lineRule="auto"/>
              <w:jc w:val="center"/>
              <w:rPr>
                <w:b w:val="0"/>
                <w:bCs/>
                <w:sz w:val="24"/>
                <w:szCs w:val="24"/>
              </w:rPr>
            </w:pPr>
            <w:r>
              <w:rPr>
                <w:rFonts w:ascii="Times New Roman" w:hAnsi="Times New Roman"/>
                <w:b w:val="0"/>
                <w:bCs/>
                <w:sz w:val="24"/>
                <w:szCs w:val="24"/>
              </w:rPr>
              <w:t>Элемент системы обучения</w:t>
            </w:r>
          </w:p>
        </w:tc>
        <w:tc>
          <w:tcPr>
            <w:tcW w:w="3118" w:type="dxa"/>
          </w:tcPr>
          <w:p w14:paraId="1A45EDE8">
            <w:pPr>
              <w:widowControl w:val="0"/>
              <w:spacing w:line="240" w:lineRule="auto"/>
              <w:jc w:val="center"/>
              <w:rPr>
                <w:b w:val="0"/>
                <w:bCs/>
                <w:sz w:val="24"/>
                <w:szCs w:val="24"/>
              </w:rPr>
            </w:pPr>
            <w:r>
              <w:rPr>
                <w:rFonts w:ascii="Times New Roman" w:hAnsi="Times New Roman"/>
                <w:b w:val="0"/>
                <w:bCs/>
                <w:sz w:val="24"/>
                <w:szCs w:val="24"/>
              </w:rPr>
              <w:t>Фактическое состояние в компании</w:t>
            </w:r>
          </w:p>
        </w:tc>
        <w:tc>
          <w:tcPr>
            <w:tcW w:w="3118" w:type="dxa"/>
          </w:tcPr>
          <w:p w14:paraId="503F45C3">
            <w:pPr>
              <w:widowControl w:val="0"/>
              <w:spacing w:line="240" w:lineRule="auto"/>
              <w:jc w:val="center"/>
              <w:rPr>
                <w:b w:val="0"/>
                <w:bCs/>
                <w:sz w:val="24"/>
                <w:szCs w:val="24"/>
              </w:rPr>
            </w:pPr>
            <w:r>
              <w:rPr>
                <w:rFonts w:ascii="Times New Roman" w:hAnsi="Times New Roman"/>
                <w:b w:val="0"/>
                <w:bCs/>
                <w:sz w:val="24"/>
                <w:szCs w:val="24"/>
              </w:rPr>
              <w:t>Проявление в работе отдела</w:t>
            </w:r>
          </w:p>
        </w:tc>
      </w:tr>
      <w:tr w14:paraId="4FAE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F8257A3">
            <w:pPr>
              <w:widowControl w:val="0"/>
              <w:spacing w:line="240" w:lineRule="auto"/>
              <w:jc w:val="both"/>
              <w:rPr>
                <w:sz w:val="24"/>
                <w:szCs w:val="24"/>
              </w:rPr>
            </w:pPr>
            <w:r>
              <w:rPr>
                <w:rFonts w:ascii="Times New Roman" w:hAnsi="Times New Roman"/>
                <w:sz w:val="24"/>
                <w:szCs w:val="24"/>
              </w:rPr>
              <w:t>Вводная адаптация</w:t>
            </w:r>
          </w:p>
        </w:tc>
        <w:tc>
          <w:tcPr>
            <w:tcW w:w="3118" w:type="dxa"/>
          </w:tcPr>
          <w:p w14:paraId="01E2C35F">
            <w:pPr>
              <w:widowControl w:val="0"/>
              <w:spacing w:line="240" w:lineRule="auto"/>
              <w:jc w:val="both"/>
              <w:rPr>
                <w:sz w:val="24"/>
                <w:szCs w:val="24"/>
              </w:rPr>
            </w:pPr>
            <w:r>
              <w:rPr>
                <w:rFonts w:ascii="Times New Roman" w:hAnsi="Times New Roman"/>
                <w:sz w:val="24"/>
                <w:szCs w:val="24"/>
              </w:rPr>
              <w:t>Единая программа адаптации отсутствует</w:t>
            </w:r>
          </w:p>
        </w:tc>
        <w:tc>
          <w:tcPr>
            <w:tcW w:w="3118" w:type="dxa"/>
          </w:tcPr>
          <w:p w14:paraId="3A2E20D6">
            <w:pPr>
              <w:widowControl w:val="0"/>
              <w:spacing w:line="240" w:lineRule="auto"/>
              <w:jc w:val="both"/>
              <w:rPr>
                <w:sz w:val="24"/>
                <w:szCs w:val="24"/>
              </w:rPr>
            </w:pPr>
            <w:r>
              <w:rPr>
                <w:rFonts w:ascii="Times New Roman" w:hAnsi="Times New Roman"/>
                <w:sz w:val="24"/>
                <w:szCs w:val="24"/>
              </w:rPr>
              <w:t>Новый сотрудник осваивает работу через устные пояснения и текущие задачи</w:t>
            </w:r>
          </w:p>
        </w:tc>
      </w:tr>
      <w:tr w14:paraId="195E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BFC080">
            <w:pPr>
              <w:widowControl w:val="0"/>
              <w:spacing w:line="240" w:lineRule="auto"/>
              <w:jc w:val="both"/>
              <w:rPr>
                <w:sz w:val="24"/>
                <w:szCs w:val="24"/>
              </w:rPr>
            </w:pPr>
            <w:r>
              <w:rPr>
                <w:rFonts w:ascii="Times New Roman" w:hAnsi="Times New Roman"/>
                <w:sz w:val="24"/>
                <w:szCs w:val="24"/>
              </w:rPr>
              <w:t>Учебные материалы</w:t>
            </w:r>
          </w:p>
        </w:tc>
        <w:tc>
          <w:tcPr>
            <w:tcW w:w="3118" w:type="dxa"/>
          </w:tcPr>
          <w:p w14:paraId="1C8877F6">
            <w:pPr>
              <w:widowControl w:val="0"/>
              <w:spacing w:line="240" w:lineRule="auto"/>
              <w:jc w:val="both"/>
              <w:rPr>
                <w:sz w:val="24"/>
                <w:szCs w:val="24"/>
              </w:rPr>
            </w:pPr>
            <w:r>
              <w:rPr>
                <w:rFonts w:ascii="Times New Roman" w:hAnsi="Times New Roman"/>
                <w:sz w:val="24"/>
                <w:szCs w:val="24"/>
              </w:rPr>
              <w:t>Единая база актуальных материалов не сформирована</w:t>
            </w:r>
          </w:p>
        </w:tc>
        <w:tc>
          <w:tcPr>
            <w:tcW w:w="3118" w:type="dxa"/>
          </w:tcPr>
          <w:p w14:paraId="6D5BA582">
            <w:pPr>
              <w:widowControl w:val="0"/>
              <w:spacing w:line="240" w:lineRule="auto"/>
              <w:jc w:val="both"/>
              <w:rPr>
                <w:sz w:val="24"/>
                <w:szCs w:val="24"/>
              </w:rPr>
            </w:pPr>
            <w:r>
              <w:rPr>
                <w:rFonts w:ascii="Times New Roman" w:hAnsi="Times New Roman"/>
                <w:sz w:val="24"/>
                <w:szCs w:val="24"/>
              </w:rPr>
              <w:t>Сотрудники используют разные источники, часть шаблонов может устаревать</w:t>
            </w:r>
          </w:p>
        </w:tc>
      </w:tr>
      <w:tr w14:paraId="51E9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7DE8FAA">
            <w:pPr>
              <w:widowControl w:val="0"/>
              <w:spacing w:line="240" w:lineRule="auto"/>
              <w:jc w:val="both"/>
              <w:rPr>
                <w:sz w:val="24"/>
                <w:szCs w:val="24"/>
              </w:rPr>
            </w:pPr>
            <w:r>
              <w:rPr>
                <w:rFonts w:ascii="Times New Roman" w:hAnsi="Times New Roman"/>
                <w:sz w:val="24"/>
                <w:szCs w:val="24"/>
              </w:rPr>
              <w:t>Обновление знаний</w:t>
            </w:r>
          </w:p>
        </w:tc>
        <w:tc>
          <w:tcPr>
            <w:tcW w:w="3118" w:type="dxa"/>
          </w:tcPr>
          <w:p w14:paraId="4F19315E">
            <w:pPr>
              <w:widowControl w:val="0"/>
              <w:spacing w:line="240" w:lineRule="auto"/>
              <w:jc w:val="both"/>
              <w:rPr>
                <w:sz w:val="24"/>
                <w:szCs w:val="24"/>
              </w:rPr>
            </w:pPr>
            <w:r>
              <w:rPr>
                <w:rFonts w:ascii="Times New Roman" w:hAnsi="Times New Roman"/>
                <w:sz w:val="24"/>
                <w:szCs w:val="24"/>
              </w:rPr>
              <w:t>Происходит эпизодически через вебинары и самостоятельный поиск информации</w:t>
            </w:r>
          </w:p>
        </w:tc>
        <w:tc>
          <w:tcPr>
            <w:tcW w:w="3118" w:type="dxa"/>
          </w:tcPr>
          <w:p w14:paraId="5298CDDD">
            <w:pPr>
              <w:widowControl w:val="0"/>
              <w:spacing w:line="240" w:lineRule="auto"/>
              <w:jc w:val="both"/>
              <w:rPr>
                <w:sz w:val="24"/>
                <w:szCs w:val="24"/>
              </w:rPr>
            </w:pPr>
            <w:r>
              <w:rPr>
                <w:rFonts w:ascii="Times New Roman" w:hAnsi="Times New Roman"/>
                <w:sz w:val="24"/>
                <w:szCs w:val="24"/>
              </w:rPr>
              <w:t>Изменения законодательства не всегда одинаково быстро доходят до всех сотрудников</w:t>
            </w:r>
          </w:p>
        </w:tc>
      </w:tr>
      <w:tr w14:paraId="5705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3FE5A3B">
            <w:pPr>
              <w:widowControl w:val="0"/>
              <w:spacing w:line="240" w:lineRule="auto"/>
              <w:jc w:val="both"/>
              <w:rPr>
                <w:sz w:val="24"/>
                <w:szCs w:val="24"/>
              </w:rPr>
            </w:pPr>
            <w:r>
              <w:rPr>
                <w:rFonts w:ascii="Times New Roman" w:hAnsi="Times New Roman"/>
                <w:sz w:val="24"/>
                <w:szCs w:val="24"/>
              </w:rPr>
              <w:t>Проверка знаний</w:t>
            </w:r>
          </w:p>
        </w:tc>
        <w:tc>
          <w:tcPr>
            <w:tcW w:w="3118" w:type="dxa"/>
          </w:tcPr>
          <w:p w14:paraId="788095DF">
            <w:pPr>
              <w:widowControl w:val="0"/>
              <w:spacing w:line="240" w:lineRule="auto"/>
              <w:jc w:val="both"/>
              <w:rPr>
                <w:sz w:val="24"/>
                <w:szCs w:val="24"/>
              </w:rPr>
            </w:pPr>
            <w:r>
              <w:rPr>
                <w:rFonts w:ascii="Times New Roman" w:hAnsi="Times New Roman"/>
                <w:sz w:val="24"/>
                <w:szCs w:val="24"/>
              </w:rPr>
              <w:t>Регулярное тестирование не проводится</w:t>
            </w:r>
          </w:p>
        </w:tc>
        <w:tc>
          <w:tcPr>
            <w:tcW w:w="3118" w:type="dxa"/>
          </w:tcPr>
          <w:p w14:paraId="15DAA408">
            <w:pPr>
              <w:widowControl w:val="0"/>
              <w:spacing w:line="240" w:lineRule="auto"/>
              <w:jc w:val="both"/>
              <w:rPr>
                <w:sz w:val="24"/>
                <w:szCs w:val="24"/>
              </w:rPr>
            </w:pPr>
            <w:r>
              <w:rPr>
                <w:rFonts w:ascii="Times New Roman" w:hAnsi="Times New Roman"/>
                <w:sz w:val="24"/>
                <w:szCs w:val="24"/>
              </w:rPr>
              <w:t>Руководитель не имеет точной картины по пробелам в знаниях специалистов</w:t>
            </w:r>
          </w:p>
        </w:tc>
      </w:tr>
      <w:tr w14:paraId="6E4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1DCBF6">
            <w:pPr>
              <w:widowControl w:val="0"/>
              <w:spacing w:line="240" w:lineRule="auto"/>
              <w:jc w:val="both"/>
              <w:rPr>
                <w:sz w:val="24"/>
                <w:szCs w:val="24"/>
              </w:rPr>
            </w:pPr>
            <w:r>
              <w:rPr>
                <w:rFonts w:ascii="Times New Roman" w:hAnsi="Times New Roman"/>
                <w:sz w:val="24"/>
                <w:szCs w:val="24"/>
              </w:rPr>
              <w:t>Разбор ошибок</w:t>
            </w:r>
          </w:p>
        </w:tc>
        <w:tc>
          <w:tcPr>
            <w:tcW w:w="3118" w:type="dxa"/>
          </w:tcPr>
          <w:p w14:paraId="648ED9EF">
            <w:pPr>
              <w:widowControl w:val="0"/>
              <w:spacing w:line="240" w:lineRule="auto"/>
              <w:jc w:val="both"/>
              <w:rPr>
                <w:sz w:val="24"/>
                <w:szCs w:val="24"/>
              </w:rPr>
            </w:pPr>
            <w:r>
              <w:rPr>
                <w:rFonts w:ascii="Times New Roman" w:hAnsi="Times New Roman"/>
                <w:sz w:val="24"/>
                <w:szCs w:val="24"/>
              </w:rPr>
              <w:t>Ошибки обсуждаются устно и не фиксируются в единой базе</w:t>
            </w:r>
          </w:p>
        </w:tc>
        <w:tc>
          <w:tcPr>
            <w:tcW w:w="3118" w:type="dxa"/>
          </w:tcPr>
          <w:p w14:paraId="4FE97557">
            <w:pPr>
              <w:widowControl w:val="0"/>
              <w:spacing w:line="240" w:lineRule="auto"/>
              <w:jc w:val="both"/>
              <w:rPr>
                <w:sz w:val="24"/>
                <w:szCs w:val="24"/>
              </w:rPr>
            </w:pPr>
            <w:r>
              <w:rPr>
                <w:rFonts w:ascii="Times New Roman" w:hAnsi="Times New Roman"/>
                <w:sz w:val="24"/>
                <w:szCs w:val="24"/>
              </w:rPr>
              <w:t>Повторяющиеся ошибки не превращаются в общий опыт отдела</w:t>
            </w:r>
          </w:p>
        </w:tc>
      </w:tr>
      <w:tr w14:paraId="5F3F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041087B">
            <w:pPr>
              <w:widowControl w:val="0"/>
              <w:spacing w:line="240" w:lineRule="auto"/>
              <w:jc w:val="both"/>
              <w:rPr>
                <w:sz w:val="24"/>
                <w:szCs w:val="24"/>
              </w:rPr>
            </w:pPr>
            <w:r>
              <w:rPr>
                <w:rFonts w:ascii="Times New Roman" w:hAnsi="Times New Roman"/>
                <w:sz w:val="24"/>
                <w:szCs w:val="24"/>
              </w:rPr>
              <w:t>Наставничество</w:t>
            </w:r>
          </w:p>
        </w:tc>
        <w:tc>
          <w:tcPr>
            <w:tcW w:w="3118" w:type="dxa"/>
          </w:tcPr>
          <w:p w14:paraId="4A3EB0BC">
            <w:pPr>
              <w:widowControl w:val="0"/>
              <w:spacing w:line="240" w:lineRule="auto"/>
              <w:jc w:val="both"/>
              <w:rPr>
                <w:sz w:val="24"/>
                <w:szCs w:val="24"/>
              </w:rPr>
            </w:pPr>
            <w:r>
              <w:rPr>
                <w:rFonts w:ascii="Times New Roman" w:hAnsi="Times New Roman"/>
                <w:sz w:val="24"/>
                <w:szCs w:val="24"/>
              </w:rPr>
              <w:t>Формально не закреплено</w:t>
            </w:r>
          </w:p>
        </w:tc>
        <w:tc>
          <w:tcPr>
            <w:tcW w:w="3118" w:type="dxa"/>
          </w:tcPr>
          <w:p w14:paraId="175D22C0">
            <w:pPr>
              <w:widowControl w:val="0"/>
              <w:spacing w:line="240" w:lineRule="auto"/>
              <w:jc w:val="both"/>
              <w:rPr>
                <w:sz w:val="24"/>
                <w:szCs w:val="24"/>
              </w:rPr>
            </w:pPr>
            <w:r>
              <w:rPr>
                <w:rFonts w:ascii="Times New Roman" w:hAnsi="Times New Roman"/>
                <w:sz w:val="24"/>
                <w:szCs w:val="24"/>
              </w:rPr>
              <w:t>Передача опыта зависит от личной инициативы опытных сотрудников</w:t>
            </w:r>
          </w:p>
        </w:tc>
      </w:tr>
      <w:tr w14:paraId="568F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6FD078C">
            <w:pPr>
              <w:widowControl w:val="0"/>
              <w:spacing w:line="240" w:lineRule="auto"/>
              <w:jc w:val="both"/>
              <w:rPr>
                <w:sz w:val="24"/>
                <w:szCs w:val="24"/>
              </w:rPr>
            </w:pPr>
            <w:r>
              <w:rPr>
                <w:rFonts w:ascii="Times New Roman" w:hAnsi="Times New Roman"/>
                <w:sz w:val="24"/>
                <w:szCs w:val="24"/>
              </w:rPr>
              <w:t>Оценка эффективности обучения</w:t>
            </w:r>
          </w:p>
        </w:tc>
        <w:tc>
          <w:tcPr>
            <w:tcW w:w="3118" w:type="dxa"/>
          </w:tcPr>
          <w:p w14:paraId="038F0B21">
            <w:pPr>
              <w:widowControl w:val="0"/>
              <w:spacing w:line="240" w:lineRule="auto"/>
              <w:jc w:val="both"/>
              <w:rPr>
                <w:sz w:val="24"/>
                <w:szCs w:val="24"/>
              </w:rPr>
            </w:pPr>
            <w:r>
              <w:rPr>
                <w:rFonts w:ascii="Times New Roman" w:hAnsi="Times New Roman"/>
                <w:sz w:val="24"/>
                <w:szCs w:val="24"/>
              </w:rPr>
              <w:t>Не проводится</w:t>
            </w:r>
          </w:p>
        </w:tc>
        <w:tc>
          <w:tcPr>
            <w:tcW w:w="3118" w:type="dxa"/>
          </w:tcPr>
          <w:p w14:paraId="11B3787B">
            <w:pPr>
              <w:widowControl w:val="0"/>
              <w:spacing w:line="240" w:lineRule="auto"/>
              <w:jc w:val="both"/>
              <w:rPr>
                <w:sz w:val="24"/>
                <w:szCs w:val="24"/>
              </w:rPr>
            </w:pPr>
            <w:r>
              <w:rPr>
                <w:rFonts w:ascii="Times New Roman" w:hAnsi="Times New Roman"/>
                <w:sz w:val="24"/>
                <w:szCs w:val="24"/>
              </w:rPr>
              <w:t>Невозможно определить, влияет ли обучение на качество заявок и количество отклонений</w:t>
            </w:r>
          </w:p>
        </w:tc>
      </w:tr>
    </w:tbl>
    <w:p w14:paraId="231D5F22">
      <w:pPr>
        <w:spacing w:after="120" w:line="240" w:lineRule="auto"/>
        <w:ind w:firstLine="700"/>
        <w:rPr>
          <w:sz w:val="24"/>
          <w:szCs w:val="24"/>
        </w:rPr>
      </w:pPr>
    </w:p>
    <w:p w14:paraId="4AD3D4C4">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Таким</w:t>
      </w:r>
      <w:r>
        <w:rPr>
          <w:rFonts w:hint="default" w:ascii="Times New Roman" w:hAnsi="Times New Roman"/>
          <w:b w:val="0"/>
          <w:i w:val="0"/>
          <w:sz w:val="28"/>
          <w:lang w:val="ru-RU"/>
        </w:rPr>
        <w:t xml:space="preserve"> образом, в тендерном отделе ООО «Лайф Медиа» присутствуют отдельные обучающие действия, но они не образуют целостной системы. Компания несёт минимальные и формальные затраты, которые имеют эпизодический характер.</w:t>
      </w:r>
    </w:p>
    <w:p w14:paraId="7FF4D824">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Чтобы оценить насколько отсутствие системного обучения отражается на деятельности тендерного отдела, необходимо рассмотреть показатели участия компании в закупках (см.табл.3.2.). Для ООО «Лайф Медиа» важны не только количество поданных заявок и число выигранных контрактов, но и доля заявок, признанных соответствующими требованиям заказчика. Именно этот показатель отражает, насколько качественно сотрудники выполняют подготовительный этап работы: проверяют документацию, собирают обязательные формы, соблюдают требования к файлам, срокам и электронной подписи. </w:t>
      </w:r>
    </w:p>
    <w:p w14:paraId="7126ACB7">
      <w:pPr>
        <w:spacing w:after="120" w:line="360" w:lineRule="auto"/>
        <w:ind w:firstLine="700"/>
        <w:jc w:val="both"/>
        <w:rPr>
          <w:sz w:val="24"/>
          <w:szCs w:val="24"/>
        </w:rPr>
      </w:pPr>
      <w:r>
        <w:rPr>
          <w:rFonts w:ascii="Times New Roman" w:hAnsi="Times New Roman"/>
          <w:b w:val="0"/>
          <w:i w:val="0"/>
          <w:sz w:val="24"/>
          <w:szCs w:val="24"/>
        </w:rPr>
        <w:t>Таблица 3.2. Результаты участия ООО «Лайф Медиа» в тендерах за 2023-2025 гг.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1071"/>
        <w:gridCol w:w="2240"/>
        <w:gridCol w:w="1414"/>
        <w:gridCol w:w="1425"/>
        <w:gridCol w:w="1367"/>
        <w:gridCol w:w="1277"/>
      </w:tblGrid>
      <w:tr w14:paraId="777D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Align w:val="center"/>
          </w:tcPr>
          <w:p w14:paraId="16D06A5C">
            <w:pPr>
              <w:widowControl w:val="0"/>
              <w:jc w:val="both"/>
              <w:rPr>
                <w:b w:val="0"/>
                <w:bCs/>
              </w:rPr>
            </w:pPr>
            <w:r>
              <w:rPr>
                <w:rFonts w:ascii="Times New Roman" w:hAnsi="Times New Roman"/>
                <w:b w:val="0"/>
                <w:bCs/>
                <w:sz w:val="24"/>
              </w:rPr>
              <w:t>Год</w:t>
            </w:r>
          </w:p>
        </w:tc>
        <w:tc>
          <w:tcPr>
            <w:tcW w:w="1071" w:type="dxa"/>
            <w:vAlign w:val="center"/>
          </w:tcPr>
          <w:p w14:paraId="6FC70E4E">
            <w:pPr>
              <w:widowControl w:val="0"/>
              <w:jc w:val="both"/>
              <w:rPr>
                <w:b w:val="0"/>
                <w:bCs/>
              </w:rPr>
            </w:pPr>
            <w:r>
              <w:rPr>
                <w:rFonts w:ascii="Times New Roman" w:hAnsi="Times New Roman"/>
                <w:b w:val="0"/>
                <w:bCs/>
                <w:sz w:val="24"/>
              </w:rPr>
              <w:t>Подано заявок</w:t>
            </w:r>
          </w:p>
        </w:tc>
        <w:tc>
          <w:tcPr>
            <w:tcW w:w="2240" w:type="dxa"/>
            <w:vAlign w:val="center"/>
          </w:tcPr>
          <w:p w14:paraId="000F2935">
            <w:pPr>
              <w:widowControl w:val="0"/>
              <w:jc w:val="both"/>
              <w:rPr>
                <w:b w:val="0"/>
                <w:bCs/>
              </w:rPr>
            </w:pPr>
            <w:r>
              <w:rPr>
                <w:rFonts w:ascii="Times New Roman" w:hAnsi="Times New Roman"/>
                <w:b w:val="0"/>
                <w:bCs/>
                <w:sz w:val="24"/>
              </w:rPr>
              <w:t>Признано соответствующими</w:t>
            </w:r>
          </w:p>
        </w:tc>
        <w:tc>
          <w:tcPr>
            <w:tcW w:w="1414" w:type="dxa"/>
            <w:vAlign w:val="center"/>
          </w:tcPr>
          <w:p w14:paraId="55C2D6C9">
            <w:pPr>
              <w:widowControl w:val="0"/>
              <w:jc w:val="both"/>
              <w:rPr>
                <w:b w:val="0"/>
                <w:bCs/>
              </w:rPr>
            </w:pPr>
            <w:r>
              <w:rPr>
                <w:rFonts w:ascii="Times New Roman" w:hAnsi="Times New Roman"/>
                <w:b w:val="0"/>
                <w:bCs/>
                <w:sz w:val="24"/>
              </w:rPr>
              <w:t>Отклонено на этапе допуска</w:t>
            </w:r>
          </w:p>
        </w:tc>
        <w:tc>
          <w:tcPr>
            <w:tcW w:w="1425" w:type="dxa"/>
            <w:vAlign w:val="center"/>
          </w:tcPr>
          <w:p w14:paraId="465C3E86">
            <w:pPr>
              <w:widowControl w:val="0"/>
              <w:jc w:val="both"/>
              <w:rPr>
                <w:b w:val="0"/>
                <w:bCs/>
              </w:rPr>
            </w:pPr>
            <w:r>
              <w:rPr>
                <w:rFonts w:ascii="Times New Roman" w:hAnsi="Times New Roman"/>
                <w:b w:val="0"/>
                <w:bCs/>
                <w:sz w:val="24"/>
              </w:rPr>
              <w:t>Выиграно контрактов</w:t>
            </w:r>
          </w:p>
        </w:tc>
        <w:tc>
          <w:tcPr>
            <w:tcW w:w="1367" w:type="dxa"/>
            <w:vAlign w:val="center"/>
          </w:tcPr>
          <w:p w14:paraId="086B7A49">
            <w:pPr>
              <w:widowControl w:val="0"/>
              <w:jc w:val="both"/>
              <w:rPr>
                <w:b w:val="0"/>
                <w:bCs/>
              </w:rPr>
            </w:pPr>
            <w:r>
              <w:rPr>
                <w:rFonts w:ascii="Times New Roman" w:hAnsi="Times New Roman"/>
                <w:b w:val="0"/>
                <w:bCs/>
                <w:sz w:val="24"/>
              </w:rPr>
              <w:t>Конверсия из заявки в победу, %</w:t>
            </w:r>
          </w:p>
        </w:tc>
        <w:tc>
          <w:tcPr>
            <w:tcW w:w="1277" w:type="dxa"/>
            <w:vAlign w:val="center"/>
          </w:tcPr>
          <w:p w14:paraId="0E3245F2">
            <w:pPr>
              <w:widowControl w:val="0"/>
              <w:jc w:val="both"/>
              <w:rPr>
                <w:b w:val="0"/>
                <w:bCs/>
              </w:rPr>
            </w:pPr>
            <w:r>
              <w:rPr>
                <w:rFonts w:ascii="Times New Roman" w:hAnsi="Times New Roman"/>
                <w:b w:val="0"/>
                <w:bCs/>
                <w:sz w:val="24"/>
              </w:rPr>
              <w:t>Доля отклоненных заявок, %</w:t>
            </w:r>
          </w:p>
        </w:tc>
      </w:tr>
      <w:tr w14:paraId="7E7E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46701573">
            <w:pPr>
              <w:widowControl w:val="0"/>
              <w:jc w:val="both"/>
            </w:pPr>
            <w:r>
              <w:rPr>
                <w:rFonts w:ascii="Times New Roman" w:hAnsi="Times New Roman"/>
                <w:sz w:val="24"/>
              </w:rPr>
              <w:t>2023</w:t>
            </w:r>
          </w:p>
        </w:tc>
        <w:tc>
          <w:tcPr>
            <w:tcW w:w="1071" w:type="dxa"/>
          </w:tcPr>
          <w:p w14:paraId="1D9C41A2">
            <w:pPr>
              <w:widowControl w:val="0"/>
              <w:jc w:val="both"/>
            </w:pPr>
            <w:r>
              <w:rPr>
                <w:rFonts w:ascii="Times New Roman" w:hAnsi="Times New Roman"/>
                <w:sz w:val="24"/>
              </w:rPr>
              <w:t>168</w:t>
            </w:r>
          </w:p>
        </w:tc>
        <w:tc>
          <w:tcPr>
            <w:tcW w:w="2240" w:type="dxa"/>
          </w:tcPr>
          <w:p w14:paraId="00AECB0C">
            <w:pPr>
              <w:widowControl w:val="0"/>
              <w:jc w:val="both"/>
            </w:pPr>
            <w:r>
              <w:rPr>
                <w:rFonts w:ascii="Times New Roman" w:hAnsi="Times New Roman"/>
                <w:sz w:val="24"/>
              </w:rPr>
              <w:t>142</w:t>
            </w:r>
          </w:p>
        </w:tc>
        <w:tc>
          <w:tcPr>
            <w:tcW w:w="1414" w:type="dxa"/>
          </w:tcPr>
          <w:p w14:paraId="231D7E6B">
            <w:pPr>
              <w:widowControl w:val="0"/>
              <w:jc w:val="both"/>
            </w:pPr>
            <w:r>
              <w:rPr>
                <w:rFonts w:ascii="Times New Roman" w:hAnsi="Times New Roman"/>
                <w:sz w:val="24"/>
              </w:rPr>
              <w:t>26</w:t>
            </w:r>
          </w:p>
        </w:tc>
        <w:tc>
          <w:tcPr>
            <w:tcW w:w="1425" w:type="dxa"/>
          </w:tcPr>
          <w:p w14:paraId="532762C4">
            <w:pPr>
              <w:widowControl w:val="0"/>
              <w:jc w:val="both"/>
            </w:pPr>
            <w:r>
              <w:rPr>
                <w:rFonts w:ascii="Times New Roman" w:hAnsi="Times New Roman"/>
                <w:sz w:val="24"/>
              </w:rPr>
              <w:t>35</w:t>
            </w:r>
          </w:p>
        </w:tc>
        <w:tc>
          <w:tcPr>
            <w:tcW w:w="1367" w:type="dxa"/>
          </w:tcPr>
          <w:p w14:paraId="17D66410">
            <w:pPr>
              <w:widowControl w:val="0"/>
              <w:jc w:val="both"/>
            </w:pPr>
            <w:r>
              <w:rPr>
                <w:rFonts w:ascii="Times New Roman" w:hAnsi="Times New Roman"/>
                <w:sz w:val="24"/>
              </w:rPr>
              <w:t>20,8</w:t>
            </w:r>
          </w:p>
        </w:tc>
        <w:tc>
          <w:tcPr>
            <w:tcW w:w="1277" w:type="dxa"/>
          </w:tcPr>
          <w:p w14:paraId="63E49711">
            <w:pPr>
              <w:widowControl w:val="0"/>
              <w:jc w:val="both"/>
            </w:pPr>
            <w:r>
              <w:rPr>
                <w:rFonts w:ascii="Times New Roman" w:hAnsi="Times New Roman"/>
                <w:sz w:val="24"/>
              </w:rPr>
              <w:t>15,5</w:t>
            </w:r>
          </w:p>
        </w:tc>
      </w:tr>
      <w:tr w14:paraId="196A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520CBBE0">
            <w:pPr>
              <w:widowControl w:val="0"/>
              <w:jc w:val="both"/>
            </w:pPr>
            <w:r>
              <w:rPr>
                <w:rFonts w:ascii="Times New Roman" w:hAnsi="Times New Roman"/>
                <w:sz w:val="24"/>
              </w:rPr>
              <w:t>2024</w:t>
            </w:r>
          </w:p>
        </w:tc>
        <w:tc>
          <w:tcPr>
            <w:tcW w:w="1071" w:type="dxa"/>
          </w:tcPr>
          <w:p w14:paraId="28AC77C9">
            <w:pPr>
              <w:widowControl w:val="0"/>
              <w:jc w:val="both"/>
            </w:pPr>
            <w:r>
              <w:rPr>
                <w:rFonts w:ascii="Times New Roman" w:hAnsi="Times New Roman"/>
                <w:sz w:val="24"/>
              </w:rPr>
              <w:t>185</w:t>
            </w:r>
          </w:p>
        </w:tc>
        <w:tc>
          <w:tcPr>
            <w:tcW w:w="2240" w:type="dxa"/>
          </w:tcPr>
          <w:p w14:paraId="075B619C">
            <w:pPr>
              <w:widowControl w:val="0"/>
              <w:jc w:val="both"/>
            </w:pPr>
            <w:r>
              <w:rPr>
                <w:rFonts w:ascii="Times New Roman" w:hAnsi="Times New Roman"/>
                <w:sz w:val="24"/>
              </w:rPr>
              <w:t>158</w:t>
            </w:r>
          </w:p>
        </w:tc>
        <w:tc>
          <w:tcPr>
            <w:tcW w:w="1414" w:type="dxa"/>
          </w:tcPr>
          <w:p w14:paraId="7280F81F">
            <w:pPr>
              <w:widowControl w:val="0"/>
              <w:jc w:val="both"/>
            </w:pPr>
            <w:r>
              <w:rPr>
                <w:rFonts w:ascii="Times New Roman" w:hAnsi="Times New Roman"/>
                <w:sz w:val="24"/>
              </w:rPr>
              <w:t>27</w:t>
            </w:r>
          </w:p>
        </w:tc>
        <w:tc>
          <w:tcPr>
            <w:tcW w:w="1425" w:type="dxa"/>
          </w:tcPr>
          <w:p w14:paraId="728268C7">
            <w:pPr>
              <w:widowControl w:val="0"/>
              <w:jc w:val="both"/>
            </w:pPr>
            <w:r>
              <w:rPr>
                <w:rFonts w:ascii="Times New Roman" w:hAnsi="Times New Roman"/>
                <w:sz w:val="24"/>
              </w:rPr>
              <w:t>42</w:t>
            </w:r>
          </w:p>
        </w:tc>
        <w:tc>
          <w:tcPr>
            <w:tcW w:w="1367" w:type="dxa"/>
          </w:tcPr>
          <w:p w14:paraId="5C56E20F">
            <w:pPr>
              <w:widowControl w:val="0"/>
              <w:jc w:val="both"/>
            </w:pPr>
            <w:r>
              <w:rPr>
                <w:rFonts w:ascii="Times New Roman" w:hAnsi="Times New Roman"/>
                <w:sz w:val="24"/>
              </w:rPr>
              <w:t>22,7</w:t>
            </w:r>
          </w:p>
        </w:tc>
        <w:tc>
          <w:tcPr>
            <w:tcW w:w="1277" w:type="dxa"/>
          </w:tcPr>
          <w:p w14:paraId="170A83A1">
            <w:pPr>
              <w:widowControl w:val="0"/>
              <w:jc w:val="both"/>
            </w:pPr>
            <w:r>
              <w:rPr>
                <w:rFonts w:ascii="Times New Roman" w:hAnsi="Times New Roman"/>
                <w:sz w:val="24"/>
              </w:rPr>
              <w:t>14,6</w:t>
            </w:r>
          </w:p>
        </w:tc>
      </w:tr>
      <w:tr w14:paraId="0247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5E2D62DF">
            <w:pPr>
              <w:widowControl w:val="0"/>
              <w:jc w:val="both"/>
            </w:pPr>
            <w:r>
              <w:rPr>
                <w:rFonts w:ascii="Times New Roman" w:hAnsi="Times New Roman"/>
                <w:sz w:val="24"/>
              </w:rPr>
              <w:t>2025</w:t>
            </w:r>
          </w:p>
        </w:tc>
        <w:tc>
          <w:tcPr>
            <w:tcW w:w="1071" w:type="dxa"/>
          </w:tcPr>
          <w:p w14:paraId="5432F0D6">
            <w:pPr>
              <w:widowControl w:val="0"/>
              <w:jc w:val="both"/>
            </w:pPr>
            <w:r>
              <w:rPr>
                <w:rFonts w:ascii="Times New Roman" w:hAnsi="Times New Roman"/>
                <w:sz w:val="24"/>
              </w:rPr>
              <w:t>152</w:t>
            </w:r>
          </w:p>
        </w:tc>
        <w:tc>
          <w:tcPr>
            <w:tcW w:w="2240" w:type="dxa"/>
          </w:tcPr>
          <w:p w14:paraId="41B57518">
            <w:pPr>
              <w:widowControl w:val="0"/>
              <w:jc w:val="both"/>
            </w:pPr>
            <w:r>
              <w:rPr>
                <w:rFonts w:ascii="Times New Roman" w:hAnsi="Times New Roman"/>
                <w:sz w:val="24"/>
              </w:rPr>
              <w:t>128</w:t>
            </w:r>
          </w:p>
        </w:tc>
        <w:tc>
          <w:tcPr>
            <w:tcW w:w="1414" w:type="dxa"/>
          </w:tcPr>
          <w:p w14:paraId="317BF322">
            <w:pPr>
              <w:widowControl w:val="0"/>
              <w:jc w:val="both"/>
            </w:pPr>
            <w:r>
              <w:rPr>
                <w:rFonts w:ascii="Times New Roman" w:hAnsi="Times New Roman"/>
                <w:sz w:val="24"/>
              </w:rPr>
              <w:t>24</w:t>
            </w:r>
          </w:p>
        </w:tc>
        <w:tc>
          <w:tcPr>
            <w:tcW w:w="1425" w:type="dxa"/>
          </w:tcPr>
          <w:p w14:paraId="197F0EA1">
            <w:pPr>
              <w:widowControl w:val="0"/>
              <w:jc w:val="both"/>
            </w:pPr>
            <w:r>
              <w:rPr>
                <w:rFonts w:ascii="Times New Roman" w:hAnsi="Times New Roman"/>
                <w:sz w:val="24"/>
              </w:rPr>
              <w:t>35</w:t>
            </w:r>
          </w:p>
        </w:tc>
        <w:tc>
          <w:tcPr>
            <w:tcW w:w="1367" w:type="dxa"/>
          </w:tcPr>
          <w:p w14:paraId="7C99D8C9">
            <w:pPr>
              <w:widowControl w:val="0"/>
              <w:jc w:val="both"/>
            </w:pPr>
            <w:r>
              <w:rPr>
                <w:rFonts w:ascii="Times New Roman" w:hAnsi="Times New Roman"/>
                <w:sz w:val="24"/>
              </w:rPr>
              <w:t>23,0</w:t>
            </w:r>
          </w:p>
        </w:tc>
        <w:tc>
          <w:tcPr>
            <w:tcW w:w="1277" w:type="dxa"/>
          </w:tcPr>
          <w:p w14:paraId="60EAF8B8">
            <w:pPr>
              <w:widowControl w:val="0"/>
              <w:jc w:val="both"/>
            </w:pPr>
            <w:r>
              <w:rPr>
                <w:rFonts w:ascii="Times New Roman" w:hAnsi="Times New Roman"/>
                <w:sz w:val="24"/>
              </w:rPr>
              <w:t>15,8</w:t>
            </w:r>
          </w:p>
        </w:tc>
      </w:tr>
    </w:tbl>
    <w:p w14:paraId="599B5FF3">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 </w:t>
      </w:r>
    </w:p>
    <w:p w14:paraId="5E124254">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Данные таблицы показывают, что доля выигранных тендеров за анализируемый период находится примерно на одном уровне. Небольшой рост конверсии сам по себе не свидетельствует о качественном развитии системы подготовки персонала, поскольку одновременно сохраняется высокая доля заявок, отклонённых ещё на стадии торгов. В относительном выражении показатель отклонений держится в диапазоне 14,6-15,8%.</w:t>
      </w:r>
    </w:p>
    <w:p w14:paraId="7099CDFF">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Для тендерной деятельности отклонение заявки на этапе допуска является особенно значимым показателем. Если компания проигрывает торги по цене или условиям исполнения, то это может быть связано с рыночной конкуренцией. Но если заявка не допускается до торгов, то причина чаще всего находится внутри процесса подготовки: неправильно выбранная форма документа, отсутствие обязательного файла, некорректная электронная подпись, арифметическая ошибка, неверное толкование требования заказчика. Такие ошибки относятся к управленческим, то есть их можно выявлять, учитывать и снижать за счёт стандартизации работы и накопления знаний внутри отдела.</w:t>
      </w:r>
    </w:p>
    <w:p w14:paraId="02097924">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Для более точного понимания характера проблем были обобщены причины отклонения заявок за 2023-2025 годы. Всего за три года было выявлено 77 случаев отклонения заявок на этапе допуска. Анализ причин показывает, что ошибки распределяются по нескольким группам (см.табл.3.3.).</w:t>
      </w:r>
    </w:p>
    <w:p w14:paraId="798012B3">
      <w:pPr>
        <w:spacing w:after="120" w:line="360" w:lineRule="auto"/>
        <w:ind w:firstLine="700"/>
        <w:jc w:val="both"/>
        <w:rPr>
          <w:rFonts w:hint="default" w:ascii="Times New Roman" w:hAnsi="Times New Roman"/>
          <w:b w:val="0"/>
          <w:i w:val="0"/>
          <w:sz w:val="28"/>
          <w:lang w:val="ru-RU"/>
        </w:rPr>
      </w:pPr>
    </w:p>
    <w:p w14:paraId="1664213F">
      <w:pPr>
        <w:spacing w:after="120" w:line="360" w:lineRule="auto"/>
        <w:ind w:firstLine="700"/>
        <w:jc w:val="center"/>
        <w:rPr>
          <w:rFonts w:hint="default" w:ascii="Times New Roman" w:hAnsi="Times New Roman" w:cs="Times New Roman"/>
          <w:sz w:val="24"/>
          <w:szCs w:val="24"/>
        </w:rPr>
      </w:pPr>
      <w:r>
        <w:rPr>
          <w:rFonts w:ascii="Times New Roman" w:hAnsi="Times New Roman"/>
          <w:b w:val="0"/>
          <w:i w:val="0"/>
          <w:sz w:val="24"/>
          <w:szCs w:val="18"/>
        </w:rPr>
        <w:t>Таблица 3.3. Структура причин отклонения заявок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1995"/>
        <w:gridCol w:w="1930"/>
        <w:gridCol w:w="3092"/>
      </w:tblGrid>
      <w:tr w14:paraId="5DE3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vAlign w:val="center"/>
          </w:tcPr>
          <w:p w14:paraId="68EEF42A">
            <w:pPr>
              <w:widowControl w:val="0"/>
              <w:jc w:val="center"/>
              <w:rPr>
                <w:b w:val="0"/>
                <w:bCs/>
              </w:rPr>
            </w:pPr>
            <w:r>
              <w:rPr>
                <w:rFonts w:ascii="Times New Roman" w:hAnsi="Times New Roman"/>
                <w:b w:val="0"/>
                <w:bCs/>
                <w:sz w:val="24"/>
              </w:rPr>
              <w:t>Группа ошибок</w:t>
            </w:r>
          </w:p>
        </w:tc>
        <w:tc>
          <w:tcPr>
            <w:tcW w:w="1995" w:type="dxa"/>
            <w:vAlign w:val="center"/>
          </w:tcPr>
          <w:p w14:paraId="01B1C3FC">
            <w:pPr>
              <w:widowControl w:val="0"/>
              <w:jc w:val="center"/>
              <w:rPr>
                <w:b w:val="0"/>
                <w:bCs/>
              </w:rPr>
            </w:pPr>
            <w:r>
              <w:rPr>
                <w:rFonts w:ascii="Times New Roman" w:hAnsi="Times New Roman"/>
                <w:b w:val="0"/>
                <w:bCs/>
                <w:sz w:val="24"/>
              </w:rPr>
              <w:t>Количество случаев</w:t>
            </w:r>
          </w:p>
        </w:tc>
        <w:tc>
          <w:tcPr>
            <w:tcW w:w="1930" w:type="dxa"/>
            <w:vAlign w:val="center"/>
          </w:tcPr>
          <w:p w14:paraId="5CC32A61">
            <w:pPr>
              <w:widowControl w:val="0"/>
              <w:jc w:val="center"/>
              <w:rPr>
                <w:b w:val="0"/>
                <w:bCs/>
              </w:rPr>
            </w:pPr>
            <w:r>
              <w:rPr>
                <w:rFonts w:ascii="Times New Roman" w:hAnsi="Times New Roman"/>
                <w:b w:val="0"/>
                <w:bCs/>
                <w:sz w:val="24"/>
              </w:rPr>
              <w:t>Доля, %</w:t>
            </w:r>
          </w:p>
        </w:tc>
        <w:tc>
          <w:tcPr>
            <w:tcW w:w="3092" w:type="dxa"/>
            <w:vAlign w:val="center"/>
          </w:tcPr>
          <w:p w14:paraId="1F7AF956">
            <w:pPr>
              <w:widowControl w:val="0"/>
              <w:jc w:val="center"/>
              <w:rPr>
                <w:b w:val="0"/>
                <w:bCs/>
              </w:rPr>
            </w:pPr>
            <w:r>
              <w:rPr>
                <w:rFonts w:ascii="Times New Roman" w:hAnsi="Times New Roman"/>
                <w:b w:val="0"/>
                <w:bCs/>
                <w:sz w:val="24"/>
              </w:rPr>
              <w:t>Содержание ошибки</w:t>
            </w:r>
          </w:p>
        </w:tc>
      </w:tr>
      <w:tr w14:paraId="63DD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22A2289">
            <w:pPr>
              <w:widowControl w:val="0"/>
              <w:jc w:val="both"/>
            </w:pPr>
            <w:r>
              <w:rPr>
                <w:rFonts w:ascii="Times New Roman" w:hAnsi="Times New Roman"/>
                <w:sz w:val="24"/>
              </w:rPr>
              <w:t>Ошибки, связанные с требованиями законодательства и документации</w:t>
            </w:r>
          </w:p>
        </w:tc>
        <w:tc>
          <w:tcPr>
            <w:tcW w:w="1995" w:type="dxa"/>
            <w:vAlign w:val="center"/>
          </w:tcPr>
          <w:p w14:paraId="36BBEB59">
            <w:pPr>
              <w:widowControl w:val="0"/>
              <w:jc w:val="center"/>
            </w:pPr>
            <w:r>
              <w:rPr>
                <w:rFonts w:ascii="Times New Roman" w:hAnsi="Times New Roman"/>
                <w:sz w:val="24"/>
              </w:rPr>
              <w:t>25</w:t>
            </w:r>
          </w:p>
        </w:tc>
        <w:tc>
          <w:tcPr>
            <w:tcW w:w="1930" w:type="dxa"/>
            <w:vAlign w:val="center"/>
          </w:tcPr>
          <w:p w14:paraId="2EFDEDE3">
            <w:pPr>
              <w:widowControl w:val="0"/>
              <w:jc w:val="center"/>
            </w:pPr>
            <w:r>
              <w:rPr>
                <w:rFonts w:ascii="Times New Roman" w:hAnsi="Times New Roman"/>
                <w:sz w:val="24"/>
              </w:rPr>
              <w:t>32,5</w:t>
            </w:r>
          </w:p>
        </w:tc>
        <w:tc>
          <w:tcPr>
            <w:tcW w:w="3092" w:type="dxa"/>
          </w:tcPr>
          <w:p w14:paraId="4FA6DC42">
            <w:pPr>
              <w:widowControl w:val="0"/>
              <w:jc w:val="both"/>
            </w:pPr>
            <w:r>
              <w:rPr>
                <w:rFonts w:ascii="Times New Roman" w:hAnsi="Times New Roman"/>
                <w:sz w:val="24"/>
              </w:rPr>
              <w:t>Неверное применение требований 44-ФЗ/223-ФЗ, использование устаревших форм, неполное подтверждение опыта</w:t>
            </w:r>
          </w:p>
        </w:tc>
      </w:tr>
      <w:tr w14:paraId="5138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5781F1A">
            <w:pPr>
              <w:widowControl w:val="0"/>
              <w:jc w:val="both"/>
            </w:pPr>
            <w:r>
              <w:rPr>
                <w:rFonts w:ascii="Times New Roman" w:hAnsi="Times New Roman"/>
                <w:sz w:val="24"/>
              </w:rPr>
              <w:t>Технические ошибки при работе с ЭТП</w:t>
            </w:r>
          </w:p>
        </w:tc>
        <w:tc>
          <w:tcPr>
            <w:tcW w:w="1995" w:type="dxa"/>
            <w:vAlign w:val="center"/>
          </w:tcPr>
          <w:p w14:paraId="6EA08246">
            <w:pPr>
              <w:widowControl w:val="0"/>
              <w:jc w:val="center"/>
            </w:pPr>
            <w:r>
              <w:rPr>
                <w:rFonts w:ascii="Times New Roman" w:hAnsi="Times New Roman"/>
                <w:sz w:val="24"/>
              </w:rPr>
              <w:t>28</w:t>
            </w:r>
          </w:p>
        </w:tc>
        <w:tc>
          <w:tcPr>
            <w:tcW w:w="1930" w:type="dxa"/>
            <w:vAlign w:val="center"/>
          </w:tcPr>
          <w:p w14:paraId="5263BEFC">
            <w:pPr>
              <w:widowControl w:val="0"/>
              <w:jc w:val="center"/>
            </w:pPr>
            <w:r>
              <w:rPr>
                <w:rFonts w:ascii="Times New Roman" w:hAnsi="Times New Roman"/>
                <w:sz w:val="24"/>
              </w:rPr>
              <w:t>36,4</w:t>
            </w:r>
          </w:p>
        </w:tc>
        <w:tc>
          <w:tcPr>
            <w:tcW w:w="3092" w:type="dxa"/>
          </w:tcPr>
          <w:p w14:paraId="320777C9">
            <w:pPr>
              <w:widowControl w:val="0"/>
              <w:jc w:val="both"/>
            </w:pPr>
            <w:r>
              <w:rPr>
                <w:rFonts w:ascii="Times New Roman" w:hAnsi="Times New Roman"/>
                <w:sz w:val="24"/>
              </w:rPr>
              <w:t>Неполная загрузка документов, неверный формат файла, ошибки при подписании электронной подписью</w:t>
            </w:r>
          </w:p>
        </w:tc>
      </w:tr>
      <w:tr w14:paraId="003D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B68C6B1">
            <w:pPr>
              <w:widowControl w:val="0"/>
              <w:jc w:val="both"/>
            </w:pPr>
            <w:r>
              <w:rPr>
                <w:rFonts w:ascii="Times New Roman" w:hAnsi="Times New Roman"/>
                <w:sz w:val="24"/>
              </w:rPr>
              <w:t>Ошибки в расчетах и ценовом предложении</w:t>
            </w:r>
          </w:p>
        </w:tc>
        <w:tc>
          <w:tcPr>
            <w:tcW w:w="1995" w:type="dxa"/>
            <w:vAlign w:val="center"/>
          </w:tcPr>
          <w:p w14:paraId="03DA81C6">
            <w:pPr>
              <w:widowControl w:val="0"/>
              <w:jc w:val="center"/>
            </w:pPr>
            <w:r>
              <w:rPr>
                <w:rFonts w:ascii="Times New Roman" w:hAnsi="Times New Roman"/>
                <w:sz w:val="24"/>
              </w:rPr>
              <w:t>14</w:t>
            </w:r>
          </w:p>
        </w:tc>
        <w:tc>
          <w:tcPr>
            <w:tcW w:w="1930" w:type="dxa"/>
            <w:vAlign w:val="center"/>
          </w:tcPr>
          <w:p w14:paraId="098F612C">
            <w:pPr>
              <w:widowControl w:val="0"/>
              <w:jc w:val="center"/>
            </w:pPr>
            <w:r>
              <w:rPr>
                <w:rFonts w:ascii="Times New Roman" w:hAnsi="Times New Roman"/>
                <w:sz w:val="24"/>
              </w:rPr>
              <w:t>18,2</w:t>
            </w:r>
          </w:p>
        </w:tc>
        <w:tc>
          <w:tcPr>
            <w:tcW w:w="3092" w:type="dxa"/>
          </w:tcPr>
          <w:p w14:paraId="361C0E4D">
            <w:pPr>
              <w:widowControl w:val="0"/>
              <w:jc w:val="both"/>
            </w:pPr>
            <w:r>
              <w:rPr>
                <w:rFonts w:ascii="Times New Roman" w:hAnsi="Times New Roman"/>
                <w:sz w:val="24"/>
              </w:rPr>
              <w:t>Несоответствие итоговой суммы, арифметические расхождения, некорректное отражение НДС</w:t>
            </w:r>
          </w:p>
        </w:tc>
      </w:tr>
      <w:tr w14:paraId="2BB1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F2CA0CB">
            <w:pPr>
              <w:widowControl w:val="0"/>
              <w:jc w:val="both"/>
            </w:pPr>
            <w:r>
              <w:rPr>
                <w:rFonts w:ascii="Times New Roman" w:hAnsi="Times New Roman"/>
                <w:sz w:val="24"/>
              </w:rPr>
              <w:t>Организационные ошибки подготовки заявки</w:t>
            </w:r>
          </w:p>
        </w:tc>
        <w:tc>
          <w:tcPr>
            <w:tcW w:w="1995" w:type="dxa"/>
            <w:vAlign w:val="center"/>
          </w:tcPr>
          <w:p w14:paraId="0FF454D7">
            <w:pPr>
              <w:widowControl w:val="0"/>
              <w:jc w:val="center"/>
            </w:pPr>
            <w:r>
              <w:rPr>
                <w:rFonts w:ascii="Times New Roman" w:hAnsi="Times New Roman"/>
                <w:sz w:val="24"/>
              </w:rPr>
              <w:t>10</w:t>
            </w:r>
          </w:p>
        </w:tc>
        <w:tc>
          <w:tcPr>
            <w:tcW w:w="1930" w:type="dxa"/>
            <w:vAlign w:val="center"/>
          </w:tcPr>
          <w:p w14:paraId="6A50DCFC">
            <w:pPr>
              <w:widowControl w:val="0"/>
              <w:jc w:val="center"/>
            </w:pPr>
            <w:r>
              <w:rPr>
                <w:rFonts w:ascii="Times New Roman" w:hAnsi="Times New Roman"/>
                <w:sz w:val="24"/>
              </w:rPr>
              <w:t>12,9</w:t>
            </w:r>
          </w:p>
        </w:tc>
        <w:tc>
          <w:tcPr>
            <w:tcW w:w="3092" w:type="dxa"/>
          </w:tcPr>
          <w:p w14:paraId="594B5375">
            <w:pPr>
              <w:widowControl w:val="0"/>
              <w:jc w:val="both"/>
            </w:pPr>
            <w:r>
              <w:rPr>
                <w:rFonts w:ascii="Times New Roman" w:hAnsi="Times New Roman"/>
                <w:sz w:val="24"/>
              </w:rPr>
              <w:t>Нарушение внутренней последовательности проверки, отсутствие финального контроля перед отправкой</w:t>
            </w:r>
          </w:p>
        </w:tc>
      </w:tr>
      <w:tr w14:paraId="4984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9DFEBCA">
            <w:pPr>
              <w:widowControl w:val="0"/>
              <w:jc w:val="both"/>
            </w:pPr>
            <w:r>
              <w:rPr>
                <w:rFonts w:ascii="Times New Roman" w:hAnsi="Times New Roman"/>
                <w:sz w:val="24"/>
              </w:rPr>
              <w:t>Итого</w:t>
            </w:r>
          </w:p>
        </w:tc>
        <w:tc>
          <w:tcPr>
            <w:tcW w:w="1995" w:type="dxa"/>
            <w:vAlign w:val="center"/>
          </w:tcPr>
          <w:p w14:paraId="5019359C">
            <w:pPr>
              <w:widowControl w:val="0"/>
              <w:jc w:val="center"/>
            </w:pPr>
            <w:r>
              <w:rPr>
                <w:rFonts w:ascii="Times New Roman" w:hAnsi="Times New Roman"/>
                <w:sz w:val="24"/>
              </w:rPr>
              <w:t>77</w:t>
            </w:r>
          </w:p>
        </w:tc>
        <w:tc>
          <w:tcPr>
            <w:tcW w:w="1930" w:type="dxa"/>
            <w:vAlign w:val="center"/>
          </w:tcPr>
          <w:p w14:paraId="1DFFBBFB">
            <w:pPr>
              <w:widowControl w:val="0"/>
              <w:jc w:val="center"/>
            </w:pPr>
            <w:r>
              <w:rPr>
                <w:rFonts w:ascii="Times New Roman" w:hAnsi="Times New Roman"/>
                <w:sz w:val="24"/>
              </w:rPr>
              <w:t>100,0</w:t>
            </w:r>
          </w:p>
        </w:tc>
        <w:tc>
          <w:tcPr>
            <w:tcW w:w="3092" w:type="dxa"/>
          </w:tcPr>
          <w:p w14:paraId="046D532C">
            <w:pPr>
              <w:widowControl w:val="0"/>
              <w:jc w:val="both"/>
            </w:pPr>
            <w:r>
              <w:rPr>
                <w:rFonts w:ascii="Times New Roman" w:hAnsi="Times New Roman"/>
                <w:sz w:val="24"/>
              </w:rPr>
              <w:t>-</w:t>
            </w:r>
          </w:p>
        </w:tc>
      </w:tr>
    </w:tbl>
    <w:p w14:paraId="7DEBC317">
      <w:pPr>
        <w:spacing w:after="120" w:line="360" w:lineRule="auto"/>
        <w:ind w:firstLine="700"/>
        <w:jc w:val="both"/>
        <w:rPr>
          <w:rFonts w:hint="default" w:ascii="Times New Roman" w:hAnsi="Times New Roman"/>
          <w:b w:val="0"/>
          <w:i w:val="0"/>
          <w:sz w:val="28"/>
          <w:lang w:val="ru-RU"/>
        </w:rPr>
      </w:pPr>
    </w:p>
    <w:p w14:paraId="3ACDD3DA">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Наибольшая доля приходится на технические ошибки при работе с электронными торговыми площадками (ЭТП) — 36,4%. Это значит, что значительная часть отклонений связана с процедурными нарушениями при подаче заявки. Второе место занимают ошибки, связанные с законодательством и требованиями документации — 32,5%. Такая структура показывает, что сотрудники сталкиваются с трудностями как в содержательной части подготовки заявки, так и в техническом оформлении документов.</w:t>
      </w:r>
    </w:p>
    <w:p w14:paraId="72156D5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Примером</w:t>
      </w:r>
      <w:r>
        <w:rPr>
          <w:rFonts w:hint="default" w:ascii="Times New Roman" w:hAnsi="Times New Roman"/>
          <w:b w:val="0"/>
          <w:i w:val="0"/>
          <w:sz w:val="28"/>
          <w:lang w:val="ru-RU"/>
        </w:rPr>
        <w:t xml:space="preserve"> ошибки первой группы является ситуация, когда в закупке требовалось подтвердить опыт исполнения контракта на определённую сумму, но специалист приложил договор без корректного учёта НДС. Сотрудник исходил из собственного понимания суммы, тогда как заказчик оценивал документ по фактически указанным условиям. В результате заявка не прошла допуск. Подобные случаи показывают, что проблема находится не только в невнимательности, но и в недостаточном понимании логики проверки документов заказчиком.</w:t>
      </w:r>
    </w:p>
    <w:p w14:paraId="2EEB43CE">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Другой</w:t>
      </w:r>
      <w:r>
        <w:rPr>
          <w:rFonts w:hint="default" w:ascii="Times New Roman" w:hAnsi="Times New Roman"/>
          <w:b w:val="0"/>
          <w:i w:val="0"/>
          <w:sz w:val="28"/>
          <w:lang w:val="ru-RU"/>
        </w:rPr>
        <w:t xml:space="preserve"> пример связан с использованием устаревшей формы декларации. В 2025 году часть заявок была отклонена из-за того, что сотрудник взял шаблон из общей папки, где находилась форма прошлого периода. Так как порядок обновления шаблонов не закреплён, сотрудник использовал доступный документ, но он уже не соответствовал актуальным требованиям. Такая ошибка демонстрирует связь между отсутствием единой базы актуальных материалов и качеством подготовки заявок.</w:t>
      </w:r>
    </w:p>
    <w:p w14:paraId="60A97D0D">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Технические</w:t>
      </w:r>
      <w:r>
        <w:rPr>
          <w:rFonts w:hint="default" w:ascii="Times New Roman" w:hAnsi="Times New Roman"/>
          <w:b w:val="0"/>
          <w:i w:val="0"/>
          <w:sz w:val="28"/>
          <w:lang w:val="ru-RU"/>
        </w:rPr>
        <w:t xml:space="preserve"> ошибки также имеют повторяющийся характер. В отдельных случаях сотрудники загружали не полный пакет документов, выбирали неверный формат файла и подписывали заявку до завершения загрузки всех приложений. Эти нарушения можно обнаружить при финальной проверке. Однако в компании отсутствует единый обязательный порядок проверки, поэтому качество заявки зависит от личной внимательности специалиста, а не от закреплённого алгоритма работы.</w:t>
      </w:r>
    </w:p>
    <w:p w14:paraId="38CCD937">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Ошибки в расчётах составляют меньшую долю, но имеют существенное значение, так как связаны с финальной частью заявки. Арифметические расхождения между суммой позиции и итоговой ценой создают риск признания информации недостоверной. Для компании, которая работает с тендерами и рассчитывает маржу по каждому лоту, такие ошибки затрагивают не только допуск к торгам, но и общую надёжность экономического анализа закупки.</w:t>
      </w:r>
    </w:p>
    <w:p w14:paraId="300BE53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Следовательно</w:t>
      </w:r>
      <w:r>
        <w:rPr>
          <w:rFonts w:hint="default" w:ascii="Times New Roman" w:hAnsi="Times New Roman"/>
          <w:b w:val="0"/>
          <w:i w:val="0"/>
          <w:sz w:val="28"/>
          <w:lang w:val="ru-RU"/>
        </w:rPr>
        <w:t>, результаты тендерной деятельности подтверждают, что отсутствие системы обучения проявляется не абстрактно, а через конкретные рабочие последствия: повторяемость однотипных ошибок, сохранение доли отклонённых заявок на уровне около 15%, зависимость качества подготовки от индивидуального опыта и отсутствие накопления общего знания внутри отдела. При этом сам факт повторения ошибок в течение трёх лет показывает, что устные объяснения и разовые вебинары не обеспечивают устойчивого изменения рабочих практик.</w:t>
      </w:r>
    </w:p>
    <w:p w14:paraId="65A9A4F8">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Для уточнения внутренней оценки ситуации 14 апреля 2026 года был проведён опрос в </w:t>
      </w:r>
      <w:r>
        <w:rPr>
          <w:rFonts w:hint="default" w:ascii="Times New Roman" w:hAnsi="Times New Roman"/>
          <w:b w:val="0"/>
          <w:i w:val="0"/>
          <w:sz w:val="28"/>
          <w:lang w:val="en-US"/>
        </w:rPr>
        <w:t>google</w:t>
      </w:r>
      <w:r>
        <w:rPr>
          <w:rFonts w:hint="default" w:ascii="Times New Roman" w:hAnsi="Times New Roman"/>
          <w:b w:val="0"/>
          <w:i w:val="0"/>
          <w:sz w:val="28"/>
          <w:lang w:val="ru-RU"/>
        </w:rPr>
        <w:t>-форме сотрудников тендерного отдела ООО «Лайф Медиа». в опросе участвовали все 8 специалистов. Цель была в том, чтобы определить как сами сотрудники оценивают действующий порядок обучения, какие источники знаний используют в работе, с какими трудностями сталкиваются и какие профессиональные темы считают наиболее значимыми для дальнейшего освоения. Опрос носит диагностический характер и служит базой для разработки рекомендаций.</w:t>
      </w:r>
    </w:p>
    <w:p w14:paraId="7114F2FE">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Анкета</w:t>
      </w:r>
      <w:r>
        <w:rPr>
          <w:rFonts w:hint="default" w:ascii="Times New Roman" w:hAnsi="Times New Roman"/>
          <w:b w:val="0"/>
          <w:i w:val="0"/>
          <w:sz w:val="28"/>
          <w:lang w:val="ru-RU"/>
        </w:rPr>
        <w:t xml:space="preserve"> включала вопросы закрытого и полузакрытого типа. Сотрудники отвечали на вопросы анонимно, чтобы снизить влияние должностной зависимости и получить более точные ответы. Вопросы были сгруппированы по четырём блокам: наличие системы обучения, источники получения знаний, трудности в работе и профессиональные потребности сотрудников (см.табл.3.4.).</w:t>
      </w:r>
    </w:p>
    <w:p w14:paraId="265C5F8D">
      <w:pPr>
        <w:spacing w:after="120" w:line="360" w:lineRule="auto"/>
        <w:ind w:firstLine="700"/>
        <w:jc w:val="right"/>
        <w:rPr>
          <w:sz w:val="24"/>
          <w:szCs w:val="24"/>
        </w:rPr>
      </w:pPr>
      <w:r>
        <w:rPr>
          <w:rFonts w:ascii="Times New Roman" w:hAnsi="Times New Roman"/>
          <w:b w:val="0"/>
          <w:i w:val="0"/>
          <w:sz w:val="24"/>
          <w:szCs w:val="24"/>
        </w:rPr>
        <w:t>Таблица 3.4. Общая оценка сотрудниками состояния обучения в тендерном отделе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2250"/>
        <w:gridCol w:w="1868"/>
        <w:gridCol w:w="1839"/>
      </w:tblGrid>
      <w:tr w14:paraId="3EDA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99" w:type="dxa"/>
            <w:vAlign w:val="center"/>
          </w:tcPr>
          <w:p w14:paraId="5B786698">
            <w:pPr>
              <w:widowControl w:val="0"/>
              <w:jc w:val="center"/>
              <w:rPr>
                <w:b w:val="0"/>
                <w:bCs/>
              </w:rPr>
            </w:pPr>
            <w:r>
              <w:rPr>
                <w:rFonts w:ascii="Times New Roman" w:hAnsi="Times New Roman"/>
                <w:b w:val="0"/>
                <w:bCs/>
                <w:sz w:val="24"/>
              </w:rPr>
              <w:t>Вопрос анкеты</w:t>
            </w:r>
          </w:p>
        </w:tc>
        <w:tc>
          <w:tcPr>
            <w:tcW w:w="2250" w:type="dxa"/>
            <w:vAlign w:val="center"/>
          </w:tcPr>
          <w:p w14:paraId="0A1F2ED8">
            <w:pPr>
              <w:widowControl w:val="0"/>
              <w:jc w:val="center"/>
              <w:rPr>
                <w:b w:val="0"/>
                <w:bCs/>
              </w:rPr>
            </w:pPr>
            <w:r>
              <w:rPr>
                <w:rFonts w:ascii="Times New Roman" w:hAnsi="Times New Roman"/>
                <w:b w:val="0"/>
                <w:bCs/>
                <w:sz w:val="24"/>
              </w:rPr>
              <w:t>Вариант ответа</w:t>
            </w:r>
          </w:p>
        </w:tc>
        <w:tc>
          <w:tcPr>
            <w:tcW w:w="1868" w:type="dxa"/>
            <w:vAlign w:val="center"/>
          </w:tcPr>
          <w:p w14:paraId="0E21191D">
            <w:pPr>
              <w:widowControl w:val="0"/>
              <w:jc w:val="center"/>
              <w:rPr>
                <w:b w:val="0"/>
                <w:bCs/>
              </w:rPr>
            </w:pPr>
            <w:r>
              <w:rPr>
                <w:rFonts w:ascii="Times New Roman" w:hAnsi="Times New Roman"/>
                <w:b w:val="0"/>
                <w:bCs/>
                <w:sz w:val="24"/>
              </w:rPr>
              <w:t>Количество ответов</w:t>
            </w:r>
          </w:p>
        </w:tc>
        <w:tc>
          <w:tcPr>
            <w:tcW w:w="1839" w:type="dxa"/>
            <w:vAlign w:val="center"/>
          </w:tcPr>
          <w:p w14:paraId="5B9601AF">
            <w:pPr>
              <w:widowControl w:val="0"/>
              <w:jc w:val="center"/>
              <w:rPr>
                <w:b w:val="0"/>
                <w:bCs/>
              </w:rPr>
            </w:pPr>
            <w:r>
              <w:rPr>
                <w:rFonts w:ascii="Times New Roman" w:hAnsi="Times New Roman"/>
                <w:b w:val="0"/>
                <w:bCs/>
                <w:sz w:val="24"/>
              </w:rPr>
              <w:t>Доля, %</w:t>
            </w:r>
          </w:p>
        </w:tc>
      </w:tr>
      <w:tr w14:paraId="56AB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22640FB">
            <w:pPr>
              <w:widowControl w:val="0"/>
              <w:jc w:val="both"/>
            </w:pPr>
            <w:r>
              <w:rPr>
                <w:rFonts w:ascii="Times New Roman" w:hAnsi="Times New Roman"/>
                <w:sz w:val="24"/>
              </w:rPr>
              <w:t>Есть ли в компании утвержденная программа обучения тендерных специалистов?</w:t>
            </w:r>
          </w:p>
        </w:tc>
        <w:tc>
          <w:tcPr>
            <w:tcW w:w="2250" w:type="dxa"/>
            <w:vAlign w:val="center"/>
          </w:tcPr>
          <w:p w14:paraId="6F0830B6">
            <w:pPr>
              <w:widowControl w:val="0"/>
              <w:jc w:val="center"/>
            </w:pPr>
            <w:r>
              <w:rPr>
                <w:rFonts w:ascii="Times New Roman" w:hAnsi="Times New Roman"/>
                <w:sz w:val="24"/>
              </w:rPr>
              <w:t>Да</w:t>
            </w:r>
          </w:p>
        </w:tc>
        <w:tc>
          <w:tcPr>
            <w:tcW w:w="1868" w:type="dxa"/>
            <w:vAlign w:val="center"/>
          </w:tcPr>
          <w:p w14:paraId="359A23D4">
            <w:pPr>
              <w:widowControl w:val="0"/>
              <w:jc w:val="center"/>
            </w:pPr>
            <w:r>
              <w:rPr>
                <w:rFonts w:ascii="Times New Roman" w:hAnsi="Times New Roman"/>
                <w:sz w:val="24"/>
              </w:rPr>
              <w:t>0</w:t>
            </w:r>
          </w:p>
        </w:tc>
        <w:tc>
          <w:tcPr>
            <w:tcW w:w="1839" w:type="dxa"/>
            <w:vAlign w:val="center"/>
          </w:tcPr>
          <w:p w14:paraId="6924CB38">
            <w:pPr>
              <w:widowControl w:val="0"/>
              <w:jc w:val="center"/>
            </w:pPr>
            <w:r>
              <w:rPr>
                <w:rFonts w:ascii="Times New Roman" w:hAnsi="Times New Roman"/>
                <w:sz w:val="24"/>
              </w:rPr>
              <w:t>0,0</w:t>
            </w:r>
          </w:p>
        </w:tc>
      </w:tr>
      <w:tr w14:paraId="4559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2B2A484A">
            <w:pPr>
              <w:widowControl w:val="0"/>
              <w:jc w:val="both"/>
            </w:pPr>
            <w:r>
              <w:rPr>
                <w:rFonts w:ascii="Times New Roman" w:hAnsi="Times New Roman"/>
                <w:sz w:val="24"/>
              </w:rPr>
              <w:t>Есть ли в компании утвержденная программа обучения тендерных специалистов?</w:t>
            </w:r>
          </w:p>
        </w:tc>
        <w:tc>
          <w:tcPr>
            <w:tcW w:w="2250" w:type="dxa"/>
            <w:vAlign w:val="center"/>
          </w:tcPr>
          <w:p w14:paraId="38509CA0">
            <w:pPr>
              <w:widowControl w:val="0"/>
              <w:jc w:val="center"/>
            </w:pPr>
            <w:r>
              <w:rPr>
                <w:rFonts w:ascii="Times New Roman" w:hAnsi="Times New Roman"/>
                <w:sz w:val="24"/>
              </w:rPr>
              <w:t>Нет</w:t>
            </w:r>
          </w:p>
        </w:tc>
        <w:tc>
          <w:tcPr>
            <w:tcW w:w="1868" w:type="dxa"/>
            <w:vAlign w:val="center"/>
          </w:tcPr>
          <w:p w14:paraId="47211DA0">
            <w:pPr>
              <w:widowControl w:val="0"/>
              <w:jc w:val="center"/>
            </w:pPr>
            <w:r>
              <w:rPr>
                <w:rFonts w:ascii="Times New Roman" w:hAnsi="Times New Roman"/>
                <w:sz w:val="24"/>
              </w:rPr>
              <w:t>8</w:t>
            </w:r>
          </w:p>
        </w:tc>
        <w:tc>
          <w:tcPr>
            <w:tcW w:w="1839" w:type="dxa"/>
            <w:vAlign w:val="center"/>
          </w:tcPr>
          <w:p w14:paraId="6CBFB5EF">
            <w:pPr>
              <w:widowControl w:val="0"/>
              <w:jc w:val="center"/>
            </w:pPr>
            <w:r>
              <w:rPr>
                <w:rFonts w:ascii="Times New Roman" w:hAnsi="Times New Roman"/>
                <w:sz w:val="24"/>
              </w:rPr>
              <w:t>100,0</w:t>
            </w:r>
          </w:p>
        </w:tc>
      </w:tr>
    </w:tbl>
    <w:p w14:paraId="1AF1289D">
      <w:pPr>
        <w:spacing w:after="120" w:line="360" w:lineRule="auto"/>
        <w:jc w:val="both"/>
      </w:pPr>
    </w:p>
    <w:p w14:paraId="4CE9D6DC">
      <w:pPr>
        <w:spacing w:after="120" w:line="360" w:lineRule="auto"/>
        <w:jc w:val="right"/>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Продолжение таблицы 3.4.</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2250"/>
        <w:gridCol w:w="1868"/>
        <w:gridCol w:w="1839"/>
      </w:tblGrid>
      <w:tr w14:paraId="0C43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205B3369">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3634AC45">
            <w:pPr>
              <w:widowControl w:val="0"/>
              <w:jc w:val="center"/>
            </w:pPr>
            <w:r>
              <w:rPr>
                <w:rFonts w:ascii="Times New Roman" w:hAnsi="Times New Roman"/>
                <w:sz w:val="24"/>
              </w:rPr>
              <w:t>Да, полностью</w:t>
            </w:r>
          </w:p>
        </w:tc>
        <w:tc>
          <w:tcPr>
            <w:tcW w:w="1868" w:type="dxa"/>
            <w:vAlign w:val="center"/>
          </w:tcPr>
          <w:p w14:paraId="47C40D36">
            <w:pPr>
              <w:widowControl w:val="0"/>
              <w:jc w:val="center"/>
            </w:pPr>
            <w:r>
              <w:rPr>
                <w:rFonts w:ascii="Times New Roman" w:hAnsi="Times New Roman"/>
                <w:sz w:val="24"/>
              </w:rPr>
              <w:t>0</w:t>
            </w:r>
          </w:p>
        </w:tc>
        <w:tc>
          <w:tcPr>
            <w:tcW w:w="1839" w:type="dxa"/>
            <w:vAlign w:val="center"/>
          </w:tcPr>
          <w:p w14:paraId="33FD3682">
            <w:pPr>
              <w:widowControl w:val="0"/>
              <w:jc w:val="center"/>
            </w:pPr>
            <w:r>
              <w:rPr>
                <w:rFonts w:ascii="Times New Roman" w:hAnsi="Times New Roman"/>
                <w:sz w:val="24"/>
              </w:rPr>
              <w:t>0,0</w:t>
            </w:r>
          </w:p>
        </w:tc>
      </w:tr>
      <w:tr w14:paraId="657A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9379350">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5EB2F2B9">
            <w:pPr>
              <w:widowControl w:val="0"/>
              <w:jc w:val="center"/>
            </w:pPr>
            <w:r>
              <w:rPr>
                <w:rFonts w:ascii="Times New Roman" w:hAnsi="Times New Roman"/>
                <w:sz w:val="24"/>
              </w:rPr>
              <w:t>Частично</w:t>
            </w:r>
          </w:p>
        </w:tc>
        <w:tc>
          <w:tcPr>
            <w:tcW w:w="1868" w:type="dxa"/>
            <w:vAlign w:val="center"/>
          </w:tcPr>
          <w:p w14:paraId="2D48A761">
            <w:pPr>
              <w:widowControl w:val="0"/>
              <w:jc w:val="center"/>
            </w:pPr>
            <w:r>
              <w:rPr>
                <w:rFonts w:ascii="Times New Roman" w:hAnsi="Times New Roman"/>
                <w:sz w:val="24"/>
              </w:rPr>
              <w:t>2</w:t>
            </w:r>
          </w:p>
        </w:tc>
        <w:tc>
          <w:tcPr>
            <w:tcW w:w="1839" w:type="dxa"/>
            <w:vAlign w:val="center"/>
          </w:tcPr>
          <w:p w14:paraId="439D0546">
            <w:pPr>
              <w:widowControl w:val="0"/>
              <w:jc w:val="center"/>
            </w:pPr>
            <w:r>
              <w:rPr>
                <w:rFonts w:ascii="Times New Roman" w:hAnsi="Times New Roman"/>
                <w:sz w:val="24"/>
              </w:rPr>
              <w:t>25,0</w:t>
            </w:r>
          </w:p>
        </w:tc>
      </w:tr>
      <w:tr w14:paraId="4FF4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04E2A845">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508F6EC1">
            <w:pPr>
              <w:widowControl w:val="0"/>
              <w:jc w:val="center"/>
            </w:pPr>
            <w:r>
              <w:rPr>
                <w:rFonts w:ascii="Times New Roman" w:hAnsi="Times New Roman"/>
                <w:sz w:val="24"/>
              </w:rPr>
              <w:t>Нет</w:t>
            </w:r>
          </w:p>
        </w:tc>
        <w:tc>
          <w:tcPr>
            <w:tcW w:w="1868" w:type="dxa"/>
            <w:vAlign w:val="center"/>
          </w:tcPr>
          <w:p w14:paraId="207F1191">
            <w:pPr>
              <w:widowControl w:val="0"/>
              <w:jc w:val="center"/>
            </w:pPr>
            <w:r>
              <w:rPr>
                <w:rFonts w:ascii="Times New Roman" w:hAnsi="Times New Roman"/>
                <w:sz w:val="24"/>
              </w:rPr>
              <w:t>6</w:t>
            </w:r>
          </w:p>
        </w:tc>
        <w:tc>
          <w:tcPr>
            <w:tcW w:w="1839" w:type="dxa"/>
            <w:vAlign w:val="center"/>
          </w:tcPr>
          <w:p w14:paraId="35E785F9">
            <w:pPr>
              <w:widowControl w:val="0"/>
              <w:jc w:val="center"/>
            </w:pPr>
            <w:r>
              <w:rPr>
                <w:rFonts w:ascii="Times New Roman" w:hAnsi="Times New Roman"/>
                <w:sz w:val="24"/>
              </w:rPr>
              <w:t>75,0</w:t>
            </w:r>
          </w:p>
        </w:tc>
      </w:tr>
      <w:tr w14:paraId="0E4A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1B4FAF49">
            <w:pPr>
              <w:widowControl w:val="0"/>
              <w:jc w:val="both"/>
            </w:pPr>
            <w:r>
              <w:rPr>
                <w:rFonts w:ascii="Times New Roman" w:hAnsi="Times New Roman"/>
                <w:sz w:val="24"/>
              </w:rPr>
              <w:t>Проводится ли регулярная проверка знаний по 44-ФЗ/223-ФЗ и ЭТП?</w:t>
            </w:r>
          </w:p>
        </w:tc>
        <w:tc>
          <w:tcPr>
            <w:tcW w:w="2250" w:type="dxa"/>
            <w:vAlign w:val="center"/>
          </w:tcPr>
          <w:p w14:paraId="27AD96CD">
            <w:pPr>
              <w:widowControl w:val="0"/>
              <w:jc w:val="center"/>
            </w:pPr>
            <w:r>
              <w:rPr>
                <w:rFonts w:ascii="Times New Roman" w:hAnsi="Times New Roman"/>
                <w:sz w:val="24"/>
              </w:rPr>
              <w:t>Да</w:t>
            </w:r>
          </w:p>
        </w:tc>
        <w:tc>
          <w:tcPr>
            <w:tcW w:w="1868" w:type="dxa"/>
            <w:vAlign w:val="center"/>
          </w:tcPr>
          <w:p w14:paraId="4F4AA7A2">
            <w:pPr>
              <w:widowControl w:val="0"/>
              <w:jc w:val="center"/>
            </w:pPr>
            <w:r>
              <w:rPr>
                <w:rFonts w:ascii="Times New Roman" w:hAnsi="Times New Roman"/>
                <w:sz w:val="24"/>
              </w:rPr>
              <w:t>0</w:t>
            </w:r>
          </w:p>
        </w:tc>
        <w:tc>
          <w:tcPr>
            <w:tcW w:w="1839" w:type="dxa"/>
            <w:vAlign w:val="center"/>
          </w:tcPr>
          <w:p w14:paraId="3673F7CE">
            <w:pPr>
              <w:widowControl w:val="0"/>
              <w:jc w:val="center"/>
            </w:pPr>
            <w:r>
              <w:rPr>
                <w:rFonts w:ascii="Times New Roman" w:hAnsi="Times New Roman"/>
                <w:sz w:val="24"/>
              </w:rPr>
              <w:t>0,0</w:t>
            </w:r>
          </w:p>
        </w:tc>
      </w:tr>
      <w:tr w14:paraId="2D43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5E65411">
            <w:pPr>
              <w:widowControl w:val="0"/>
              <w:jc w:val="both"/>
            </w:pPr>
            <w:r>
              <w:rPr>
                <w:rFonts w:ascii="Times New Roman" w:hAnsi="Times New Roman"/>
                <w:sz w:val="24"/>
              </w:rPr>
              <w:t>Проводится ли регулярная проверка знаний по 44-ФЗ/223-ФЗ и ЭТП?</w:t>
            </w:r>
          </w:p>
        </w:tc>
        <w:tc>
          <w:tcPr>
            <w:tcW w:w="2250" w:type="dxa"/>
            <w:vAlign w:val="center"/>
          </w:tcPr>
          <w:p w14:paraId="0CD31B59">
            <w:pPr>
              <w:widowControl w:val="0"/>
              <w:jc w:val="center"/>
            </w:pPr>
            <w:r>
              <w:rPr>
                <w:rFonts w:ascii="Times New Roman" w:hAnsi="Times New Roman"/>
                <w:sz w:val="24"/>
              </w:rPr>
              <w:t>Нет</w:t>
            </w:r>
          </w:p>
        </w:tc>
        <w:tc>
          <w:tcPr>
            <w:tcW w:w="1868" w:type="dxa"/>
            <w:vAlign w:val="center"/>
          </w:tcPr>
          <w:p w14:paraId="2C04BA2F">
            <w:pPr>
              <w:widowControl w:val="0"/>
              <w:jc w:val="center"/>
            </w:pPr>
            <w:r>
              <w:rPr>
                <w:rFonts w:ascii="Times New Roman" w:hAnsi="Times New Roman"/>
                <w:sz w:val="24"/>
              </w:rPr>
              <w:t>8</w:t>
            </w:r>
          </w:p>
        </w:tc>
        <w:tc>
          <w:tcPr>
            <w:tcW w:w="1839" w:type="dxa"/>
            <w:vAlign w:val="center"/>
          </w:tcPr>
          <w:p w14:paraId="0F02E646">
            <w:pPr>
              <w:widowControl w:val="0"/>
              <w:jc w:val="center"/>
            </w:pPr>
            <w:r>
              <w:rPr>
                <w:rFonts w:ascii="Times New Roman" w:hAnsi="Times New Roman"/>
                <w:sz w:val="24"/>
              </w:rPr>
              <w:t>100,0</w:t>
            </w:r>
          </w:p>
        </w:tc>
      </w:tr>
      <w:tr w14:paraId="45CF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B98276C">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72ABEE5C">
            <w:pPr>
              <w:widowControl w:val="0"/>
              <w:jc w:val="center"/>
            </w:pPr>
            <w:r>
              <w:rPr>
                <w:rFonts w:ascii="Times New Roman" w:hAnsi="Times New Roman"/>
                <w:sz w:val="24"/>
              </w:rPr>
              <w:t>Да, удобная и актуальная</w:t>
            </w:r>
          </w:p>
        </w:tc>
        <w:tc>
          <w:tcPr>
            <w:tcW w:w="1868" w:type="dxa"/>
            <w:vAlign w:val="center"/>
          </w:tcPr>
          <w:p w14:paraId="7E030DF5">
            <w:pPr>
              <w:widowControl w:val="0"/>
              <w:jc w:val="center"/>
            </w:pPr>
            <w:r>
              <w:rPr>
                <w:rFonts w:ascii="Times New Roman" w:hAnsi="Times New Roman"/>
                <w:sz w:val="24"/>
              </w:rPr>
              <w:t>0</w:t>
            </w:r>
          </w:p>
        </w:tc>
        <w:tc>
          <w:tcPr>
            <w:tcW w:w="1839" w:type="dxa"/>
            <w:vAlign w:val="center"/>
          </w:tcPr>
          <w:p w14:paraId="117E6730">
            <w:pPr>
              <w:widowControl w:val="0"/>
              <w:jc w:val="center"/>
            </w:pPr>
            <w:r>
              <w:rPr>
                <w:rFonts w:ascii="Times New Roman" w:hAnsi="Times New Roman"/>
                <w:sz w:val="24"/>
              </w:rPr>
              <w:t>0,0</w:t>
            </w:r>
          </w:p>
        </w:tc>
      </w:tr>
      <w:tr w14:paraId="3E1F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0F2B3ACF">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49E8BC37">
            <w:pPr>
              <w:widowControl w:val="0"/>
              <w:jc w:val="center"/>
            </w:pPr>
            <w:r>
              <w:rPr>
                <w:rFonts w:ascii="Times New Roman" w:hAnsi="Times New Roman"/>
                <w:sz w:val="24"/>
              </w:rPr>
              <w:t>Есть отдельные материалы, но они разрознены</w:t>
            </w:r>
          </w:p>
        </w:tc>
        <w:tc>
          <w:tcPr>
            <w:tcW w:w="1868" w:type="dxa"/>
            <w:vAlign w:val="center"/>
          </w:tcPr>
          <w:p w14:paraId="6252F159">
            <w:pPr>
              <w:widowControl w:val="0"/>
              <w:jc w:val="center"/>
            </w:pPr>
            <w:r>
              <w:rPr>
                <w:rFonts w:ascii="Times New Roman" w:hAnsi="Times New Roman"/>
                <w:sz w:val="24"/>
              </w:rPr>
              <w:t>6</w:t>
            </w:r>
          </w:p>
        </w:tc>
        <w:tc>
          <w:tcPr>
            <w:tcW w:w="1839" w:type="dxa"/>
            <w:vAlign w:val="center"/>
          </w:tcPr>
          <w:p w14:paraId="6FFBBA3D">
            <w:pPr>
              <w:widowControl w:val="0"/>
              <w:jc w:val="center"/>
            </w:pPr>
            <w:r>
              <w:rPr>
                <w:rFonts w:ascii="Times New Roman" w:hAnsi="Times New Roman"/>
                <w:sz w:val="24"/>
              </w:rPr>
              <w:t>75,0</w:t>
            </w:r>
          </w:p>
        </w:tc>
      </w:tr>
      <w:tr w14:paraId="5FAB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90AB36F">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63823F0F">
            <w:pPr>
              <w:widowControl w:val="0"/>
              <w:jc w:val="center"/>
            </w:pPr>
            <w:r>
              <w:rPr>
                <w:rFonts w:ascii="Times New Roman" w:hAnsi="Times New Roman"/>
                <w:sz w:val="24"/>
              </w:rPr>
              <w:t>Нет</w:t>
            </w:r>
          </w:p>
        </w:tc>
        <w:tc>
          <w:tcPr>
            <w:tcW w:w="1868" w:type="dxa"/>
            <w:vAlign w:val="center"/>
          </w:tcPr>
          <w:p w14:paraId="4F9D39ED">
            <w:pPr>
              <w:widowControl w:val="0"/>
              <w:jc w:val="center"/>
            </w:pPr>
            <w:r>
              <w:rPr>
                <w:rFonts w:ascii="Times New Roman" w:hAnsi="Times New Roman"/>
                <w:sz w:val="24"/>
              </w:rPr>
              <w:t>2</w:t>
            </w:r>
          </w:p>
        </w:tc>
        <w:tc>
          <w:tcPr>
            <w:tcW w:w="1839" w:type="dxa"/>
            <w:vAlign w:val="center"/>
          </w:tcPr>
          <w:p w14:paraId="74A53E8F">
            <w:pPr>
              <w:widowControl w:val="0"/>
              <w:jc w:val="center"/>
            </w:pPr>
            <w:r>
              <w:rPr>
                <w:rFonts w:ascii="Times New Roman" w:hAnsi="Times New Roman"/>
                <w:sz w:val="24"/>
              </w:rPr>
              <w:t>25,0</w:t>
            </w:r>
          </w:p>
        </w:tc>
      </w:tr>
    </w:tbl>
    <w:p w14:paraId="420ACCC2">
      <w:pPr>
        <w:spacing w:after="120" w:line="360" w:lineRule="auto"/>
        <w:jc w:val="both"/>
        <w:rPr>
          <w:rFonts w:hint="default"/>
          <w:lang w:val="ru-RU"/>
        </w:rPr>
      </w:pPr>
    </w:p>
    <w:p w14:paraId="4ABC9D0B">
      <w:pPr>
        <w:spacing w:after="120" w:line="360" w:lineRule="auto"/>
        <w:ind w:firstLine="700"/>
        <w:jc w:val="both"/>
      </w:pPr>
      <w:r>
        <w:rPr>
          <w:rFonts w:ascii="Times New Roman" w:hAnsi="Times New Roman"/>
          <w:sz w:val="28"/>
        </w:rPr>
        <w:t>Ответы сотрудников подтверждают вывод о том, что обучение в отделе не оформлено как система. Все 8 опрошенных указали, что утверждённой программы обучения нет. При этом 6 сотрудников из 8 сообщили, что не проходили вводное обучение при приёме на работу. Ещё 2 сотрудника отметили, что обучение было частичным и выражалось в объяснении отдельных задач, а не в последовательном освоении должности. Также все респонденты указали, что регулярная проверка знаний по законодательству и работе с электронными площадками не проводится.</w:t>
      </w:r>
    </w:p>
    <w:p w14:paraId="46471012">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Особое значение имеет оценка базы материалов. Ни один сотрудник не выбрал вариант, что в компании существует удобная и актуальная база шаблонов и инструкций. Большинство отметили наличие отдельных материалов, но подчеркнули их разрозненность. Это соответствует ранее выявленной проблеме: информация в отделе существует, но она не структурирована и не воспринимается работниками как надёжный инструмент.</w:t>
      </w:r>
    </w:p>
    <w:p w14:paraId="363D82DE">
      <w:pPr>
        <w:spacing w:after="120" w:line="360" w:lineRule="auto"/>
        <w:ind w:firstLine="700"/>
        <w:jc w:val="right"/>
        <w:rPr>
          <w:sz w:val="24"/>
          <w:szCs w:val="24"/>
        </w:rPr>
      </w:pPr>
      <w:r>
        <w:rPr>
          <w:rFonts w:ascii="Times New Roman" w:hAnsi="Times New Roman"/>
          <w:b w:val="0"/>
          <w:i w:val="0"/>
          <w:sz w:val="24"/>
          <w:szCs w:val="24"/>
        </w:rPr>
        <w:t>Таблица 3.5. Источники получения профессиональных знаний сотрудниками тендерного отдела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0533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19619C8">
            <w:pPr>
              <w:widowControl w:val="0"/>
              <w:jc w:val="both"/>
              <w:rPr>
                <w:b w:val="0"/>
                <w:bCs/>
              </w:rPr>
            </w:pPr>
            <w:r>
              <w:rPr>
                <w:rFonts w:ascii="Times New Roman" w:hAnsi="Times New Roman"/>
                <w:b w:val="0"/>
                <w:bCs/>
                <w:sz w:val="24"/>
              </w:rPr>
              <w:t>Источник информации</w:t>
            </w:r>
          </w:p>
        </w:tc>
        <w:tc>
          <w:tcPr>
            <w:tcW w:w="3118" w:type="dxa"/>
          </w:tcPr>
          <w:p w14:paraId="653761BA">
            <w:pPr>
              <w:widowControl w:val="0"/>
              <w:jc w:val="both"/>
              <w:rPr>
                <w:b w:val="0"/>
                <w:bCs/>
              </w:rPr>
            </w:pPr>
            <w:r>
              <w:rPr>
                <w:rFonts w:ascii="Times New Roman" w:hAnsi="Times New Roman"/>
                <w:b w:val="0"/>
                <w:bCs/>
                <w:sz w:val="24"/>
              </w:rPr>
              <w:t>Количество сотрудников, отметивших источник</w:t>
            </w:r>
          </w:p>
        </w:tc>
        <w:tc>
          <w:tcPr>
            <w:tcW w:w="3118" w:type="dxa"/>
          </w:tcPr>
          <w:p w14:paraId="24B56EE5">
            <w:pPr>
              <w:widowControl w:val="0"/>
              <w:jc w:val="both"/>
              <w:rPr>
                <w:b w:val="0"/>
                <w:bCs/>
              </w:rPr>
            </w:pPr>
            <w:r>
              <w:rPr>
                <w:rFonts w:ascii="Times New Roman" w:hAnsi="Times New Roman"/>
                <w:b w:val="0"/>
                <w:bCs/>
                <w:sz w:val="24"/>
              </w:rPr>
              <w:t>Доля от численности отдела, %</w:t>
            </w:r>
          </w:p>
        </w:tc>
      </w:tr>
      <w:tr w14:paraId="10C0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FE109EB">
            <w:pPr>
              <w:widowControl w:val="0"/>
              <w:jc w:val="both"/>
            </w:pPr>
            <w:r>
              <w:rPr>
                <w:rFonts w:ascii="Times New Roman" w:hAnsi="Times New Roman"/>
                <w:sz w:val="24"/>
              </w:rPr>
              <w:t>Самостоятельный поиск информации в интернете и справочных системах</w:t>
            </w:r>
          </w:p>
        </w:tc>
        <w:tc>
          <w:tcPr>
            <w:tcW w:w="3118" w:type="dxa"/>
          </w:tcPr>
          <w:p w14:paraId="09798C97">
            <w:pPr>
              <w:widowControl w:val="0"/>
              <w:jc w:val="center"/>
            </w:pPr>
            <w:r>
              <w:rPr>
                <w:rFonts w:ascii="Times New Roman" w:hAnsi="Times New Roman"/>
                <w:sz w:val="24"/>
              </w:rPr>
              <w:t>7</w:t>
            </w:r>
          </w:p>
        </w:tc>
        <w:tc>
          <w:tcPr>
            <w:tcW w:w="3118" w:type="dxa"/>
          </w:tcPr>
          <w:p w14:paraId="08F87C31">
            <w:pPr>
              <w:widowControl w:val="0"/>
              <w:jc w:val="center"/>
            </w:pPr>
            <w:r>
              <w:rPr>
                <w:rFonts w:ascii="Times New Roman" w:hAnsi="Times New Roman"/>
                <w:sz w:val="24"/>
              </w:rPr>
              <w:t>87,5</w:t>
            </w:r>
          </w:p>
        </w:tc>
      </w:tr>
      <w:tr w14:paraId="6CA2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D63E522">
            <w:pPr>
              <w:widowControl w:val="0"/>
              <w:jc w:val="both"/>
            </w:pPr>
            <w:r>
              <w:rPr>
                <w:rFonts w:ascii="Times New Roman" w:hAnsi="Times New Roman"/>
                <w:sz w:val="24"/>
              </w:rPr>
              <w:t>Обращение к более опытным коллегам</w:t>
            </w:r>
          </w:p>
        </w:tc>
        <w:tc>
          <w:tcPr>
            <w:tcW w:w="3118" w:type="dxa"/>
          </w:tcPr>
          <w:p w14:paraId="0E2B0DB3">
            <w:pPr>
              <w:widowControl w:val="0"/>
              <w:jc w:val="center"/>
            </w:pPr>
            <w:r>
              <w:rPr>
                <w:rFonts w:ascii="Times New Roman" w:hAnsi="Times New Roman"/>
                <w:sz w:val="24"/>
              </w:rPr>
              <w:t>7</w:t>
            </w:r>
          </w:p>
        </w:tc>
        <w:tc>
          <w:tcPr>
            <w:tcW w:w="3118" w:type="dxa"/>
          </w:tcPr>
          <w:p w14:paraId="035D3F64">
            <w:pPr>
              <w:widowControl w:val="0"/>
              <w:jc w:val="center"/>
            </w:pPr>
            <w:r>
              <w:rPr>
                <w:rFonts w:ascii="Times New Roman" w:hAnsi="Times New Roman"/>
                <w:sz w:val="24"/>
              </w:rPr>
              <w:t>87,5</w:t>
            </w:r>
          </w:p>
        </w:tc>
      </w:tr>
      <w:tr w14:paraId="4D3F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8D9DC3F">
            <w:pPr>
              <w:widowControl w:val="0"/>
              <w:jc w:val="both"/>
            </w:pPr>
            <w:r>
              <w:rPr>
                <w:rFonts w:ascii="Times New Roman" w:hAnsi="Times New Roman"/>
                <w:sz w:val="24"/>
              </w:rPr>
              <w:t>Устные пояснения руководителя отдела</w:t>
            </w:r>
          </w:p>
        </w:tc>
        <w:tc>
          <w:tcPr>
            <w:tcW w:w="3118" w:type="dxa"/>
          </w:tcPr>
          <w:p w14:paraId="399C283D">
            <w:pPr>
              <w:widowControl w:val="0"/>
              <w:jc w:val="center"/>
            </w:pPr>
            <w:r>
              <w:rPr>
                <w:rFonts w:ascii="Times New Roman" w:hAnsi="Times New Roman"/>
                <w:sz w:val="24"/>
              </w:rPr>
              <w:t>5</w:t>
            </w:r>
          </w:p>
        </w:tc>
        <w:tc>
          <w:tcPr>
            <w:tcW w:w="3118" w:type="dxa"/>
          </w:tcPr>
          <w:p w14:paraId="51017E04">
            <w:pPr>
              <w:widowControl w:val="0"/>
              <w:jc w:val="center"/>
            </w:pPr>
            <w:r>
              <w:rPr>
                <w:rFonts w:ascii="Times New Roman" w:hAnsi="Times New Roman"/>
                <w:sz w:val="24"/>
              </w:rPr>
              <w:t>62,5</w:t>
            </w:r>
          </w:p>
        </w:tc>
      </w:tr>
      <w:tr w14:paraId="79B2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8777E5C">
            <w:pPr>
              <w:widowControl w:val="0"/>
              <w:jc w:val="both"/>
            </w:pPr>
            <w:r>
              <w:rPr>
                <w:rFonts w:ascii="Times New Roman" w:hAnsi="Times New Roman"/>
                <w:sz w:val="24"/>
              </w:rPr>
              <w:t>Просмотр ранее поданных заявок</w:t>
            </w:r>
          </w:p>
        </w:tc>
        <w:tc>
          <w:tcPr>
            <w:tcW w:w="3118" w:type="dxa"/>
          </w:tcPr>
          <w:p w14:paraId="5E274DBB">
            <w:pPr>
              <w:widowControl w:val="0"/>
              <w:jc w:val="center"/>
            </w:pPr>
            <w:r>
              <w:rPr>
                <w:rFonts w:ascii="Times New Roman" w:hAnsi="Times New Roman"/>
                <w:sz w:val="24"/>
              </w:rPr>
              <w:t>6</w:t>
            </w:r>
          </w:p>
        </w:tc>
        <w:tc>
          <w:tcPr>
            <w:tcW w:w="3118" w:type="dxa"/>
          </w:tcPr>
          <w:p w14:paraId="5394AEFF">
            <w:pPr>
              <w:widowControl w:val="0"/>
              <w:jc w:val="center"/>
            </w:pPr>
            <w:r>
              <w:rPr>
                <w:rFonts w:ascii="Times New Roman" w:hAnsi="Times New Roman"/>
                <w:sz w:val="24"/>
              </w:rPr>
              <w:t>75,0</w:t>
            </w:r>
          </w:p>
        </w:tc>
      </w:tr>
      <w:tr w14:paraId="6004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51AC6A9">
            <w:pPr>
              <w:widowControl w:val="0"/>
              <w:jc w:val="both"/>
            </w:pPr>
            <w:r>
              <w:rPr>
                <w:rFonts w:ascii="Times New Roman" w:hAnsi="Times New Roman"/>
                <w:sz w:val="24"/>
              </w:rPr>
              <w:t>Записи вебинаров по 44-ФЗ/223-ФЗ</w:t>
            </w:r>
          </w:p>
        </w:tc>
        <w:tc>
          <w:tcPr>
            <w:tcW w:w="3118" w:type="dxa"/>
          </w:tcPr>
          <w:p w14:paraId="2F83FD26">
            <w:pPr>
              <w:widowControl w:val="0"/>
              <w:jc w:val="center"/>
            </w:pPr>
            <w:r>
              <w:rPr>
                <w:rFonts w:ascii="Times New Roman" w:hAnsi="Times New Roman"/>
                <w:sz w:val="24"/>
              </w:rPr>
              <w:t>4</w:t>
            </w:r>
          </w:p>
        </w:tc>
        <w:tc>
          <w:tcPr>
            <w:tcW w:w="3118" w:type="dxa"/>
          </w:tcPr>
          <w:p w14:paraId="51E600D5">
            <w:pPr>
              <w:widowControl w:val="0"/>
              <w:jc w:val="center"/>
            </w:pPr>
            <w:r>
              <w:rPr>
                <w:rFonts w:ascii="Times New Roman" w:hAnsi="Times New Roman"/>
                <w:sz w:val="24"/>
              </w:rPr>
              <w:t>50,0</w:t>
            </w:r>
          </w:p>
        </w:tc>
      </w:tr>
      <w:tr w14:paraId="1294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327DD2B">
            <w:pPr>
              <w:widowControl w:val="0"/>
              <w:jc w:val="both"/>
            </w:pPr>
            <w:r>
              <w:rPr>
                <w:rFonts w:ascii="Times New Roman" w:hAnsi="Times New Roman"/>
                <w:sz w:val="24"/>
              </w:rPr>
              <w:t>Внутренние инструкции компании</w:t>
            </w:r>
          </w:p>
        </w:tc>
        <w:tc>
          <w:tcPr>
            <w:tcW w:w="3118" w:type="dxa"/>
          </w:tcPr>
          <w:p w14:paraId="2D58E7E8">
            <w:pPr>
              <w:widowControl w:val="0"/>
              <w:jc w:val="center"/>
            </w:pPr>
            <w:r>
              <w:rPr>
                <w:rFonts w:ascii="Times New Roman" w:hAnsi="Times New Roman"/>
                <w:sz w:val="24"/>
              </w:rPr>
              <w:t>1</w:t>
            </w:r>
          </w:p>
        </w:tc>
        <w:tc>
          <w:tcPr>
            <w:tcW w:w="3118" w:type="dxa"/>
          </w:tcPr>
          <w:p w14:paraId="291F8464">
            <w:pPr>
              <w:widowControl w:val="0"/>
              <w:jc w:val="center"/>
            </w:pPr>
            <w:r>
              <w:rPr>
                <w:rFonts w:ascii="Times New Roman" w:hAnsi="Times New Roman"/>
                <w:sz w:val="24"/>
              </w:rPr>
              <w:t>12,5</w:t>
            </w:r>
          </w:p>
        </w:tc>
      </w:tr>
      <w:tr w14:paraId="71EB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7AD0D6B">
            <w:pPr>
              <w:widowControl w:val="0"/>
              <w:jc w:val="both"/>
            </w:pPr>
            <w:r>
              <w:rPr>
                <w:rFonts w:ascii="Times New Roman" w:hAnsi="Times New Roman"/>
                <w:sz w:val="24"/>
              </w:rPr>
              <w:t>Единый обучающий курс компании</w:t>
            </w:r>
          </w:p>
        </w:tc>
        <w:tc>
          <w:tcPr>
            <w:tcW w:w="3118" w:type="dxa"/>
          </w:tcPr>
          <w:p w14:paraId="4F07DD65">
            <w:pPr>
              <w:widowControl w:val="0"/>
              <w:jc w:val="center"/>
            </w:pPr>
            <w:r>
              <w:rPr>
                <w:rFonts w:ascii="Times New Roman" w:hAnsi="Times New Roman"/>
                <w:sz w:val="24"/>
              </w:rPr>
              <w:t>0</w:t>
            </w:r>
          </w:p>
        </w:tc>
        <w:tc>
          <w:tcPr>
            <w:tcW w:w="3118" w:type="dxa"/>
          </w:tcPr>
          <w:p w14:paraId="52693347">
            <w:pPr>
              <w:widowControl w:val="0"/>
              <w:jc w:val="center"/>
            </w:pPr>
            <w:r>
              <w:rPr>
                <w:rFonts w:ascii="Times New Roman" w:hAnsi="Times New Roman"/>
                <w:sz w:val="24"/>
              </w:rPr>
              <w:t>0,0</w:t>
            </w:r>
          </w:p>
        </w:tc>
      </w:tr>
    </w:tbl>
    <w:p w14:paraId="459C0E44">
      <w:pPr>
        <w:spacing w:after="120" w:line="360" w:lineRule="auto"/>
        <w:jc w:val="both"/>
      </w:pPr>
    </w:p>
    <w:p w14:paraId="6902B2A1">
      <w:pPr>
        <w:spacing w:after="120" w:line="360" w:lineRule="auto"/>
        <w:ind w:firstLine="700"/>
        <w:jc w:val="both"/>
        <w:rPr>
          <w:rFonts w:ascii="Times New Roman" w:hAnsi="Times New Roman"/>
          <w:b w:val="0"/>
          <w:i w:val="0"/>
          <w:sz w:val="28"/>
        </w:rPr>
      </w:pPr>
      <w:r>
        <w:rPr>
          <w:rFonts w:ascii="Times New Roman" w:hAnsi="Times New Roman"/>
          <w:b w:val="0"/>
          <w:i w:val="0"/>
          <w:sz w:val="28"/>
          <w:lang w:val="ru-RU"/>
        </w:rPr>
        <w:t>Результаты</w:t>
      </w:r>
      <w:r>
        <w:rPr>
          <w:rFonts w:hint="default" w:ascii="Times New Roman" w:hAnsi="Times New Roman"/>
          <w:b w:val="0"/>
          <w:i w:val="0"/>
          <w:sz w:val="28"/>
          <w:lang w:val="ru-RU"/>
        </w:rPr>
        <w:t xml:space="preserve"> таблицы 3.5 показывают, что основными источниками знаний являются самостоятельный поиск информации и обращение к коллегам. Это означает, что обучение в отделе фактически встроено в текущую работу. </w:t>
      </w:r>
      <w:r>
        <w:rPr>
          <w:rFonts w:ascii="Times New Roman" w:hAnsi="Times New Roman"/>
          <w:b w:val="0"/>
          <w:i w:val="0"/>
          <w:sz w:val="28"/>
        </w:rPr>
        <w:t xml:space="preserve"> С одной стороны, сотрудники проявляют самостоятельность и используют профессиональные контакты внутри отдела. С другой стороны, такой способ получения знаний не гарантирует единообразия: разные специалисты могут получать разные ответы, использовать разные источники и по-разному трактовать требования закупочной документации. Отсутствие единого обучающего курса отметили все участники опроса.</w:t>
      </w:r>
    </w:p>
    <w:p w14:paraId="19108AFC">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Трудности, которые возникают  при подготовке заявок отражены в таблице 3.6.</w:t>
      </w:r>
    </w:p>
    <w:p w14:paraId="54ED461A">
      <w:pPr>
        <w:spacing w:after="120" w:line="360" w:lineRule="auto"/>
        <w:ind w:firstLine="700"/>
        <w:jc w:val="both"/>
        <w:rPr>
          <w:rFonts w:hint="default" w:ascii="Times New Roman" w:hAnsi="Times New Roman"/>
          <w:b w:val="0"/>
          <w:i w:val="0"/>
          <w:sz w:val="28"/>
          <w:lang w:val="ru-RU"/>
        </w:rPr>
      </w:pPr>
    </w:p>
    <w:p w14:paraId="054D67CE">
      <w:pPr>
        <w:spacing w:after="120" w:line="360" w:lineRule="auto"/>
        <w:ind w:firstLine="700"/>
        <w:jc w:val="right"/>
        <w:rPr>
          <w:sz w:val="24"/>
          <w:szCs w:val="24"/>
        </w:rPr>
      </w:pPr>
      <w:r>
        <w:rPr>
          <w:rFonts w:ascii="Times New Roman" w:hAnsi="Times New Roman"/>
          <w:b w:val="0"/>
          <w:i w:val="0"/>
          <w:sz w:val="24"/>
          <w:szCs w:val="24"/>
        </w:rPr>
        <w:t>Таблица 3.6. Трудности, с которыми сотрудники сталкиваются при подготовке заявок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9"/>
        <w:gridCol w:w="2257"/>
        <w:gridCol w:w="2388"/>
      </w:tblGrid>
      <w:tr w14:paraId="1A59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F01A0B4">
            <w:pPr>
              <w:widowControl w:val="0"/>
              <w:jc w:val="center"/>
              <w:rPr>
                <w:b w:val="0"/>
                <w:bCs/>
              </w:rPr>
            </w:pPr>
            <w:r>
              <w:rPr>
                <w:rFonts w:ascii="Times New Roman" w:hAnsi="Times New Roman"/>
                <w:b w:val="0"/>
                <w:bCs/>
                <w:sz w:val="24"/>
              </w:rPr>
              <w:t>Трудность</w:t>
            </w:r>
          </w:p>
        </w:tc>
        <w:tc>
          <w:tcPr>
            <w:tcW w:w="2257" w:type="dxa"/>
          </w:tcPr>
          <w:p w14:paraId="6385A8FB">
            <w:pPr>
              <w:widowControl w:val="0"/>
              <w:jc w:val="center"/>
              <w:rPr>
                <w:b w:val="0"/>
                <w:bCs/>
              </w:rPr>
            </w:pPr>
            <w:r>
              <w:rPr>
                <w:rFonts w:ascii="Times New Roman" w:hAnsi="Times New Roman"/>
                <w:b w:val="0"/>
                <w:bCs/>
                <w:sz w:val="24"/>
              </w:rPr>
              <w:t>Количество ответов</w:t>
            </w:r>
          </w:p>
        </w:tc>
        <w:tc>
          <w:tcPr>
            <w:tcW w:w="2388" w:type="dxa"/>
          </w:tcPr>
          <w:p w14:paraId="5D5F7948">
            <w:pPr>
              <w:widowControl w:val="0"/>
              <w:jc w:val="center"/>
              <w:rPr>
                <w:b w:val="0"/>
                <w:bCs/>
              </w:rPr>
            </w:pPr>
            <w:r>
              <w:rPr>
                <w:rFonts w:ascii="Times New Roman" w:hAnsi="Times New Roman"/>
                <w:b w:val="0"/>
                <w:bCs/>
                <w:sz w:val="24"/>
              </w:rPr>
              <w:t>Доля, %</w:t>
            </w:r>
          </w:p>
        </w:tc>
      </w:tr>
      <w:tr w14:paraId="6381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6D03CEF6">
            <w:pPr>
              <w:widowControl w:val="0"/>
              <w:jc w:val="both"/>
              <w:rPr>
                <w:b w:val="0"/>
                <w:bCs/>
              </w:rPr>
            </w:pPr>
            <w:r>
              <w:rPr>
                <w:rFonts w:ascii="Times New Roman" w:hAnsi="Times New Roman"/>
                <w:b w:val="0"/>
                <w:bCs/>
                <w:sz w:val="24"/>
              </w:rPr>
              <w:t>Сложность отслеживания изменений в 44-ФЗ/223-ФЗ</w:t>
            </w:r>
          </w:p>
        </w:tc>
        <w:tc>
          <w:tcPr>
            <w:tcW w:w="2257" w:type="dxa"/>
          </w:tcPr>
          <w:p w14:paraId="3C9DB36B">
            <w:pPr>
              <w:widowControl w:val="0"/>
              <w:jc w:val="center"/>
              <w:rPr>
                <w:b w:val="0"/>
                <w:bCs/>
              </w:rPr>
            </w:pPr>
            <w:r>
              <w:rPr>
                <w:rFonts w:ascii="Times New Roman" w:hAnsi="Times New Roman"/>
                <w:b w:val="0"/>
                <w:bCs/>
                <w:sz w:val="24"/>
              </w:rPr>
              <w:t>6</w:t>
            </w:r>
          </w:p>
        </w:tc>
        <w:tc>
          <w:tcPr>
            <w:tcW w:w="2388" w:type="dxa"/>
          </w:tcPr>
          <w:p w14:paraId="43FFBF36">
            <w:pPr>
              <w:widowControl w:val="0"/>
              <w:jc w:val="center"/>
              <w:rPr>
                <w:b w:val="0"/>
                <w:bCs/>
              </w:rPr>
            </w:pPr>
            <w:r>
              <w:rPr>
                <w:rFonts w:ascii="Times New Roman" w:hAnsi="Times New Roman"/>
                <w:b w:val="0"/>
                <w:bCs/>
                <w:sz w:val="24"/>
              </w:rPr>
              <w:t>75,0</w:t>
            </w:r>
          </w:p>
        </w:tc>
      </w:tr>
      <w:tr w14:paraId="2DDA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1248C999">
            <w:pPr>
              <w:widowControl w:val="0"/>
              <w:jc w:val="both"/>
              <w:rPr>
                <w:b w:val="0"/>
                <w:bCs/>
              </w:rPr>
            </w:pPr>
            <w:r>
              <w:rPr>
                <w:rFonts w:ascii="Times New Roman" w:hAnsi="Times New Roman"/>
                <w:b w:val="0"/>
                <w:bCs/>
                <w:sz w:val="24"/>
              </w:rPr>
              <w:t>Неуверенность в актуальности используемых шаблонов</w:t>
            </w:r>
          </w:p>
        </w:tc>
        <w:tc>
          <w:tcPr>
            <w:tcW w:w="2257" w:type="dxa"/>
          </w:tcPr>
          <w:p w14:paraId="4C8F0D8C">
            <w:pPr>
              <w:widowControl w:val="0"/>
              <w:jc w:val="center"/>
              <w:rPr>
                <w:b w:val="0"/>
                <w:bCs/>
              </w:rPr>
            </w:pPr>
            <w:r>
              <w:rPr>
                <w:rFonts w:ascii="Times New Roman" w:hAnsi="Times New Roman"/>
                <w:b w:val="0"/>
                <w:bCs/>
                <w:sz w:val="24"/>
              </w:rPr>
              <w:t>7</w:t>
            </w:r>
          </w:p>
        </w:tc>
        <w:tc>
          <w:tcPr>
            <w:tcW w:w="2388" w:type="dxa"/>
          </w:tcPr>
          <w:p w14:paraId="47B52BB1">
            <w:pPr>
              <w:widowControl w:val="0"/>
              <w:jc w:val="center"/>
              <w:rPr>
                <w:b w:val="0"/>
                <w:bCs/>
              </w:rPr>
            </w:pPr>
            <w:r>
              <w:rPr>
                <w:rFonts w:ascii="Times New Roman" w:hAnsi="Times New Roman"/>
                <w:b w:val="0"/>
                <w:bCs/>
                <w:sz w:val="24"/>
              </w:rPr>
              <w:t>87,5</w:t>
            </w:r>
          </w:p>
        </w:tc>
      </w:tr>
      <w:tr w14:paraId="7F0C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78507ED8">
            <w:pPr>
              <w:widowControl w:val="0"/>
              <w:jc w:val="both"/>
              <w:rPr>
                <w:b w:val="0"/>
                <w:bCs/>
              </w:rPr>
            </w:pPr>
            <w:r>
              <w:rPr>
                <w:rFonts w:ascii="Times New Roman" w:hAnsi="Times New Roman"/>
                <w:b w:val="0"/>
                <w:bCs/>
                <w:sz w:val="24"/>
              </w:rPr>
              <w:t>Отсутствие единого чек-листа перед отправкой заявки</w:t>
            </w:r>
          </w:p>
        </w:tc>
        <w:tc>
          <w:tcPr>
            <w:tcW w:w="2257" w:type="dxa"/>
          </w:tcPr>
          <w:p w14:paraId="624CF970">
            <w:pPr>
              <w:widowControl w:val="0"/>
              <w:jc w:val="center"/>
              <w:rPr>
                <w:b w:val="0"/>
                <w:bCs/>
              </w:rPr>
            </w:pPr>
            <w:r>
              <w:rPr>
                <w:rFonts w:ascii="Times New Roman" w:hAnsi="Times New Roman"/>
                <w:b w:val="0"/>
                <w:bCs/>
                <w:sz w:val="24"/>
              </w:rPr>
              <w:t>7</w:t>
            </w:r>
          </w:p>
        </w:tc>
        <w:tc>
          <w:tcPr>
            <w:tcW w:w="2388" w:type="dxa"/>
          </w:tcPr>
          <w:p w14:paraId="1A5412D2">
            <w:pPr>
              <w:widowControl w:val="0"/>
              <w:jc w:val="center"/>
              <w:rPr>
                <w:b w:val="0"/>
                <w:bCs/>
              </w:rPr>
            </w:pPr>
            <w:r>
              <w:rPr>
                <w:rFonts w:ascii="Times New Roman" w:hAnsi="Times New Roman"/>
                <w:b w:val="0"/>
                <w:bCs/>
                <w:sz w:val="24"/>
              </w:rPr>
              <w:t>87,5</w:t>
            </w:r>
          </w:p>
        </w:tc>
      </w:tr>
      <w:tr w14:paraId="55B3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3CD1D7A3">
            <w:pPr>
              <w:widowControl w:val="0"/>
              <w:jc w:val="both"/>
              <w:rPr>
                <w:b w:val="0"/>
                <w:bCs/>
              </w:rPr>
            </w:pPr>
            <w:r>
              <w:rPr>
                <w:rFonts w:ascii="Times New Roman" w:hAnsi="Times New Roman"/>
                <w:b w:val="0"/>
                <w:bCs/>
                <w:sz w:val="24"/>
              </w:rPr>
              <w:t>Разные требования электронных торговых площадок</w:t>
            </w:r>
          </w:p>
        </w:tc>
        <w:tc>
          <w:tcPr>
            <w:tcW w:w="2257" w:type="dxa"/>
          </w:tcPr>
          <w:p w14:paraId="4DB90DBF">
            <w:pPr>
              <w:widowControl w:val="0"/>
              <w:jc w:val="center"/>
              <w:rPr>
                <w:b w:val="0"/>
                <w:bCs/>
              </w:rPr>
            </w:pPr>
            <w:r>
              <w:rPr>
                <w:rFonts w:ascii="Times New Roman" w:hAnsi="Times New Roman"/>
                <w:b w:val="0"/>
                <w:bCs/>
                <w:sz w:val="24"/>
              </w:rPr>
              <w:t>5</w:t>
            </w:r>
          </w:p>
        </w:tc>
        <w:tc>
          <w:tcPr>
            <w:tcW w:w="2388" w:type="dxa"/>
          </w:tcPr>
          <w:p w14:paraId="1E3D440B">
            <w:pPr>
              <w:widowControl w:val="0"/>
              <w:jc w:val="center"/>
              <w:rPr>
                <w:b w:val="0"/>
                <w:bCs/>
              </w:rPr>
            </w:pPr>
            <w:r>
              <w:rPr>
                <w:rFonts w:ascii="Times New Roman" w:hAnsi="Times New Roman"/>
                <w:b w:val="0"/>
                <w:bCs/>
                <w:sz w:val="24"/>
              </w:rPr>
              <w:t>62,5</w:t>
            </w:r>
          </w:p>
        </w:tc>
      </w:tr>
      <w:tr w14:paraId="1523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206A065D">
            <w:pPr>
              <w:widowControl w:val="0"/>
              <w:jc w:val="both"/>
              <w:rPr>
                <w:b w:val="0"/>
                <w:bCs/>
              </w:rPr>
            </w:pPr>
            <w:r>
              <w:rPr>
                <w:rFonts w:ascii="Times New Roman" w:hAnsi="Times New Roman"/>
                <w:b w:val="0"/>
                <w:bCs/>
                <w:sz w:val="24"/>
              </w:rPr>
              <w:t>Недостаток разбора реальных ошибок отдела</w:t>
            </w:r>
          </w:p>
        </w:tc>
        <w:tc>
          <w:tcPr>
            <w:tcW w:w="2257" w:type="dxa"/>
          </w:tcPr>
          <w:p w14:paraId="67F45973">
            <w:pPr>
              <w:widowControl w:val="0"/>
              <w:jc w:val="center"/>
              <w:rPr>
                <w:b w:val="0"/>
                <w:bCs/>
              </w:rPr>
            </w:pPr>
            <w:r>
              <w:rPr>
                <w:rFonts w:ascii="Times New Roman" w:hAnsi="Times New Roman"/>
                <w:b w:val="0"/>
                <w:bCs/>
                <w:sz w:val="24"/>
              </w:rPr>
              <w:t>6</w:t>
            </w:r>
          </w:p>
        </w:tc>
        <w:tc>
          <w:tcPr>
            <w:tcW w:w="2388" w:type="dxa"/>
          </w:tcPr>
          <w:p w14:paraId="1C9C8A71">
            <w:pPr>
              <w:widowControl w:val="0"/>
              <w:jc w:val="center"/>
              <w:rPr>
                <w:b w:val="0"/>
                <w:bCs/>
              </w:rPr>
            </w:pPr>
            <w:r>
              <w:rPr>
                <w:rFonts w:ascii="Times New Roman" w:hAnsi="Times New Roman"/>
                <w:b w:val="0"/>
                <w:bCs/>
                <w:sz w:val="24"/>
              </w:rPr>
              <w:t>75,0</w:t>
            </w:r>
          </w:p>
        </w:tc>
      </w:tr>
      <w:tr w14:paraId="1533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53978A28">
            <w:pPr>
              <w:widowControl w:val="0"/>
              <w:jc w:val="both"/>
              <w:rPr>
                <w:b w:val="0"/>
                <w:bCs/>
              </w:rPr>
            </w:pPr>
            <w:r>
              <w:rPr>
                <w:rFonts w:ascii="Times New Roman" w:hAnsi="Times New Roman"/>
                <w:b w:val="0"/>
                <w:bCs/>
                <w:sz w:val="24"/>
              </w:rPr>
              <w:t>Нехватка времени на самостоятельное изучение изменений</w:t>
            </w:r>
          </w:p>
        </w:tc>
        <w:tc>
          <w:tcPr>
            <w:tcW w:w="2257" w:type="dxa"/>
          </w:tcPr>
          <w:p w14:paraId="203EA1A3">
            <w:pPr>
              <w:widowControl w:val="0"/>
              <w:jc w:val="center"/>
              <w:rPr>
                <w:b w:val="0"/>
                <w:bCs/>
              </w:rPr>
            </w:pPr>
            <w:r>
              <w:rPr>
                <w:rFonts w:ascii="Times New Roman" w:hAnsi="Times New Roman"/>
                <w:b w:val="0"/>
                <w:bCs/>
                <w:sz w:val="24"/>
              </w:rPr>
              <w:t>5</w:t>
            </w:r>
          </w:p>
        </w:tc>
        <w:tc>
          <w:tcPr>
            <w:tcW w:w="2388" w:type="dxa"/>
          </w:tcPr>
          <w:p w14:paraId="2A770CDA">
            <w:pPr>
              <w:widowControl w:val="0"/>
              <w:jc w:val="center"/>
              <w:rPr>
                <w:b w:val="0"/>
                <w:bCs/>
              </w:rPr>
            </w:pPr>
            <w:r>
              <w:rPr>
                <w:rFonts w:ascii="Times New Roman" w:hAnsi="Times New Roman"/>
                <w:b w:val="0"/>
                <w:bCs/>
                <w:sz w:val="24"/>
              </w:rPr>
              <w:t>62,5</w:t>
            </w:r>
          </w:p>
        </w:tc>
      </w:tr>
      <w:tr w14:paraId="4123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221DD96">
            <w:pPr>
              <w:widowControl w:val="0"/>
              <w:jc w:val="both"/>
              <w:rPr>
                <w:b w:val="0"/>
                <w:bCs/>
              </w:rPr>
            </w:pPr>
            <w:r>
              <w:rPr>
                <w:rFonts w:ascii="Times New Roman" w:hAnsi="Times New Roman"/>
                <w:b w:val="0"/>
                <w:bCs/>
                <w:sz w:val="24"/>
              </w:rPr>
              <w:t>Сложности в расчетах НМЦК и итоговой цены</w:t>
            </w:r>
          </w:p>
        </w:tc>
        <w:tc>
          <w:tcPr>
            <w:tcW w:w="2257" w:type="dxa"/>
          </w:tcPr>
          <w:p w14:paraId="280079AF">
            <w:pPr>
              <w:widowControl w:val="0"/>
              <w:jc w:val="center"/>
              <w:rPr>
                <w:b w:val="0"/>
                <w:bCs/>
              </w:rPr>
            </w:pPr>
            <w:r>
              <w:rPr>
                <w:rFonts w:ascii="Times New Roman" w:hAnsi="Times New Roman"/>
                <w:b w:val="0"/>
                <w:bCs/>
                <w:sz w:val="24"/>
              </w:rPr>
              <w:t>3</w:t>
            </w:r>
          </w:p>
        </w:tc>
        <w:tc>
          <w:tcPr>
            <w:tcW w:w="2388" w:type="dxa"/>
          </w:tcPr>
          <w:p w14:paraId="4425FDEB">
            <w:pPr>
              <w:widowControl w:val="0"/>
              <w:jc w:val="center"/>
              <w:rPr>
                <w:b w:val="0"/>
                <w:bCs/>
              </w:rPr>
            </w:pPr>
            <w:r>
              <w:rPr>
                <w:rFonts w:ascii="Times New Roman" w:hAnsi="Times New Roman"/>
                <w:b w:val="0"/>
                <w:bCs/>
                <w:sz w:val="24"/>
              </w:rPr>
              <w:t>37,5</w:t>
            </w:r>
          </w:p>
        </w:tc>
      </w:tr>
    </w:tbl>
    <w:p w14:paraId="1DC26EB6">
      <w:pPr>
        <w:spacing w:after="120" w:line="360" w:lineRule="auto"/>
        <w:jc w:val="both"/>
      </w:pPr>
    </w:p>
    <w:p w14:paraId="1C900075">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Наиболее часто сотрудники отмечают неуверенность в актуальности шаблонов и отсутствие единого чек-листа перед отправкой (7 ответов из 8). Эти результаты напрямую связаны с выявленными причинами отклонения заявок. Если сотрудник не уверен, что форма документа является актуальной, то риск использования устаревшего шаблона возрастает. Если перед отправкой нет единой контрольной процедуры, увеличивается вероятность пропуска обязательного файла, неверного формата или технической ошибки на ЭТП.</w:t>
      </w:r>
    </w:p>
    <w:p w14:paraId="5CD95512">
      <w:pPr>
        <w:spacing w:after="120" w:line="360" w:lineRule="auto"/>
        <w:ind w:firstLine="700"/>
        <w:jc w:val="both"/>
      </w:pPr>
      <w:r>
        <w:rPr>
          <w:rFonts w:ascii="Times New Roman" w:hAnsi="Times New Roman"/>
          <w:sz w:val="28"/>
        </w:rPr>
        <w:t>Шесть сотрудников указали на сложность отслеживания изменений в 44-ФЗ/223-ФЗ и недостаток разбора реальных ошибок отдела. Это показывает, что проблема обучения воспринимается работниками как нехватка регулярной профессиональной обратной связи. Сотрудникам важно понимать, какие ошибки уже возникали в отделе, почему они произошли и как они связаны с требованиями заказчиков.</w:t>
      </w:r>
    </w:p>
    <w:p w14:paraId="744A11E1">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Из</w:t>
      </w:r>
      <w:r>
        <w:rPr>
          <w:rFonts w:hint="default" w:ascii="Times New Roman" w:hAnsi="Times New Roman"/>
          <w:b w:val="0"/>
          <w:i w:val="0"/>
          <w:sz w:val="28"/>
          <w:lang w:val="ru-RU"/>
        </w:rPr>
        <w:t xml:space="preserve"> таблицы 3.7 видно, что сотрудники осознают связь между обучением и качеством подготовки заявок. Все 8 человек отметили актуальные изменения законодательства и типовые ошибки при подготовке заявок. Семь сотрудников выделили подготовку комплекта документов и внутренние стандарты оформления. Это означает, что потребность работников сосредоточена не в общем повышении квалификации, а в конкретных рабочих знаниях, которые ежедневно используются при анализе закупки и подаче заявки.</w:t>
      </w:r>
    </w:p>
    <w:p w14:paraId="4B30A6C1">
      <w:pPr>
        <w:spacing w:after="120" w:line="360" w:lineRule="auto"/>
        <w:ind w:firstLine="700"/>
        <w:jc w:val="both"/>
        <w:rPr>
          <w:rFonts w:hint="default" w:ascii="Times New Roman" w:hAnsi="Times New Roman"/>
          <w:b w:val="0"/>
          <w:i w:val="0"/>
          <w:sz w:val="28"/>
          <w:lang w:val="ru-RU"/>
        </w:rPr>
      </w:pPr>
    </w:p>
    <w:p w14:paraId="409E26B0">
      <w:pPr>
        <w:spacing w:after="120" w:line="360" w:lineRule="auto"/>
        <w:ind w:firstLine="700"/>
        <w:jc w:val="right"/>
        <w:rPr>
          <w:sz w:val="18"/>
          <w:szCs w:val="18"/>
        </w:rPr>
      </w:pPr>
      <w:r>
        <w:rPr>
          <w:rFonts w:ascii="Times New Roman" w:hAnsi="Times New Roman"/>
          <w:b w:val="0"/>
          <w:i w:val="0"/>
          <w:sz w:val="24"/>
          <w:szCs w:val="18"/>
        </w:rPr>
        <w:t>Таблица 3.7. Профессиональные темы, которые сотрудники считают наиболее значимыми для освоения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7"/>
        <w:gridCol w:w="2496"/>
        <w:gridCol w:w="2741"/>
      </w:tblGrid>
      <w:tr w14:paraId="7BEE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00FA166C">
            <w:pPr>
              <w:widowControl w:val="0"/>
              <w:jc w:val="center"/>
              <w:rPr>
                <w:b w:val="0"/>
                <w:bCs/>
              </w:rPr>
            </w:pPr>
            <w:r>
              <w:rPr>
                <w:rFonts w:ascii="Times New Roman" w:hAnsi="Times New Roman"/>
                <w:b w:val="0"/>
                <w:bCs/>
                <w:sz w:val="24"/>
              </w:rPr>
              <w:t>Тема</w:t>
            </w:r>
          </w:p>
        </w:tc>
        <w:tc>
          <w:tcPr>
            <w:tcW w:w="2496" w:type="dxa"/>
          </w:tcPr>
          <w:p w14:paraId="28CFD599">
            <w:pPr>
              <w:widowControl w:val="0"/>
              <w:jc w:val="center"/>
              <w:rPr>
                <w:b w:val="0"/>
                <w:bCs/>
              </w:rPr>
            </w:pPr>
            <w:r>
              <w:rPr>
                <w:rFonts w:ascii="Times New Roman" w:hAnsi="Times New Roman"/>
                <w:b w:val="0"/>
                <w:bCs/>
                <w:sz w:val="24"/>
              </w:rPr>
              <w:t>Количество ответов</w:t>
            </w:r>
          </w:p>
        </w:tc>
        <w:tc>
          <w:tcPr>
            <w:tcW w:w="2741" w:type="dxa"/>
          </w:tcPr>
          <w:p w14:paraId="532C3F9A">
            <w:pPr>
              <w:widowControl w:val="0"/>
              <w:jc w:val="center"/>
              <w:rPr>
                <w:b w:val="0"/>
                <w:bCs/>
              </w:rPr>
            </w:pPr>
            <w:r>
              <w:rPr>
                <w:rFonts w:ascii="Times New Roman" w:hAnsi="Times New Roman"/>
                <w:b w:val="0"/>
                <w:bCs/>
                <w:sz w:val="24"/>
              </w:rPr>
              <w:t>Доля, %</w:t>
            </w:r>
          </w:p>
        </w:tc>
      </w:tr>
      <w:tr w14:paraId="2C96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69840CEF">
            <w:pPr>
              <w:widowControl w:val="0"/>
              <w:jc w:val="both"/>
            </w:pPr>
            <w:r>
              <w:rPr>
                <w:rFonts w:ascii="Times New Roman" w:hAnsi="Times New Roman"/>
                <w:sz w:val="24"/>
              </w:rPr>
              <w:t>Актуальные изменения 44-ФЗ и 223-ФЗ</w:t>
            </w:r>
          </w:p>
        </w:tc>
        <w:tc>
          <w:tcPr>
            <w:tcW w:w="2496" w:type="dxa"/>
          </w:tcPr>
          <w:p w14:paraId="68AF3ADB">
            <w:pPr>
              <w:widowControl w:val="0"/>
              <w:jc w:val="center"/>
            </w:pPr>
            <w:r>
              <w:rPr>
                <w:rFonts w:ascii="Times New Roman" w:hAnsi="Times New Roman"/>
                <w:sz w:val="24"/>
              </w:rPr>
              <w:t>8</w:t>
            </w:r>
          </w:p>
        </w:tc>
        <w:tc>
          <w:tcPr>
            <w:tcW w:w="2741" w:type="dxa"/>
          </w:tcPr>
          <w:p w14:paraId="34455DFC">
            <w:pPr>
              <w:widowControl w:val="0"/>
              <w:jc w:val="center"/>
            </w:pPr>
            <w:r>
              <w:rPr>
                <w:rFonts w:ascii="Times New Roman" w:hAnsi="Times New Roman"/>
                <w:sz w:val="24"/>
              </w:rPr>
              <w:t>100,0</w:t>
            </w:r>
          </w:p>
        </w:tc>
      </w:tr>
      <w:tr w14:paraId="079F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3C59C411">
            <w:pPr>
              <w:widowControl w:val="0"/>
              <w:jc w:val="both"/>
            </w:pPr>
            <w:r>
              <w:rPr>
                <w:rFonts w:ascii="Times New Roman" w:hAnsi="Times New Roman"/>
                <w:sz w:val="24"/>
              </w:rPr>
              <w:t>Типовые ошибки при подготовке заявок и причины отклонений</w:t>
            </w:r>
          </w:p>
        </w:tc>
        <w:tc>
          <w:tcPr>
            <w:tcW w:w="2496" w:type="dxa"/>
          </w:tcPr>
          <w:p w14:paraId="132BC371">
            <w:pPr>
              <w:widowControl w:val="0"/>
              <w:jc w:val="center"/>
            </w:pPr>
            <w:r>
              <w:rPr>
                <w:rFonts w:ascii="Times New Roman" w:hAnsi="Times New Roman"/>
                <w:sz w:val="24"/>
              </w:rPr>
              <w:t>8</w:t>
            </w:r>
          </w:p>
        </w:tc>
        <w:tc>
          <w:tcPr>
            <w:tcW w:w="2741" w:type="dxa"/>
          </w:tcPr>
          <w:p w14:paraId="558146AD">
            <w:pPr>
              <w:widowControl w:val="0"/>
              <w:jc w:val="center"/>
            </w:pPr>
            <w:r>
              <w:rPr>
                <w:rFonts w:ascii="Times New Roman" w:hAnsi="Times New Roman"/>
                <w:sz w:val="24"/>
              </w:rPr>
              <w:t>100,0</w:t>
            </w:r>
          </w:p>
        </w:tc>
      </w:tr>
      <w:tr w14:paraId="4991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47F8FB5A">
            <w:pPr>
              <w:widowControl w:val="0"/>
              <w:jc w:val="both"/>
            </w:pPr>
            <w:r>
              <w:rPr>
                <w:rFonts w:ascii="Times New Roman" w:hAnsi="Times New Roman"/>
                <w:sz w:val="24"/>
              </w:rPr>
              <w:t>Работа с разными электронными торговыми площадками</w:t>
            </w:r>
          </w:p>
        </w:tc>
        <w:tc>
          <w:tcPr>
            <w:tcW w:w="2496" w:type="dxa"/>
          </w:tcPr>
          <w:p w14:paraId="2D3EB2FD">
            <w:pPr>
              <w:widowControl w:val="0"/>
              <w:jc w:val="center"/>
            </w:pPr>
            <w:r>
              <w:rPr>
                <w:rFonts w:ascii="Times New Roman" w:hAnsi="Times New Roman"/>
                <w:sz w:val="24"/>
              </w:rPr>
              <w:t>6</w:t>
            </w:r>
          </w:p>
        </w:tc>
        <w:tc>
          <w:tcPr>
            <w:tcW w:w="2741" w:type="dxa"/>
          </w:tcPr>
          <w:p w14:paraId="01EAC874">
            <w:pPr>
              <w:widowControl w:val="0"/>
              <w:jc w:val="center"/>
            </w:pPr>
            <w:r>
              <w:rPr>
                <w:rFonts w:ascii="Times New Roman" w:hAnsi="Times New Roman"/>
                <w:sz w:val="24"/>
              </w:rPr>
              <w:t>75,0</w:t>
            </w:r>
          </w:p>
        </w:tc>
      </w:tr>
      <w:tr w14:paraId="2391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33C5AFE8">
            <w:pPr>
              <w:widowControl w:val="0"/>
              <w:jc w:val="both"/>
            </w:pPr>
            <w:r>
              <w:rPr>
                <w:rFonts w:ascii="Times New Roman" w:hAnsi="Times New Roman"/>
                <w:sz w:val="24"/>
              </w:rPr>
              <w:t>Подготовка и проверка комплекта документов</w:t>
            </w:r>
          </w:p>
        </w:tc>
        <w:tc>
          <w:tcPr>
            <w:tcW w:w="2496" w:type="dxa"/>
          </w:tcPr>
          <w:p w14:paraId="1D0BB797">
            <w:pPr>
              <w:widowControl w:val="0"/>
              <w:jc w:val="center"/>
            </w:pPr>
            <w:r>
              <w:rPr>
                <w:rFonts w:ascii="Times New Roman" w:hAnsi="Times New Roman"/>
                <w:sz w:val="24"/>
              </w:rPr>
              <w:t>7</w:t>
            </w:r>
          </w:p>
        </w:tc>
        <w:tc>
          <w:tcPr>
            <w:tcW w:w="2741" w:type="dxa"/>
          </w:tcPr>
          <w:p w14:paraId="77CA2645">
            <w:pPr>
              <w:widowControl w:val="0"/>
              <w:jc w:val="center"/>
            </w:pPr>
            <w:r>
              <w:rPr>
                <w:rFonts w:ascii="Times New Roman" w:hAnsi="Times New Roman"/>
                <w:sz w:val="24"/>
              </w:rPr>
              <w:t>87,5</w:t>
            </w:r>
          </w:p>
        </w:tc>
      </w:tr>
      <w:tr w14:paraId="482C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2FC9318A">
            <w:pPr>
              <w:widowControl w:val="0"/>
              <w:jc w:val="both"/>
            </w:pPr>
            <w:r>
              <w:rPr>
                <w:rFonts w:ascii="Times New Roman" w:hAnsi="Times New Roman"/>
                <w:sz w:val="24"/>
              </w:rPr>
              <w:t>Расчет НМЦК, цены контракта и учет НДС</w:t>
            </w:r>
          </w:p>
        </w:tc>
        <w:tc>
          <w:tcPr>
            <w:tcW w:w="2496" w:type="dxa"/>
          </w:tcPr>
          <w:p w14:paraId="4F8B11F3">
            <w:pPr>
              <w:widowControl w:val="0"/>
              <w:jc w:val="center"/>
            </w:pPr>
            <w:r>
              <w:rPr>
                <w:rFonts w:ascii="Times New Roman" w:hAnsi="Times New Roman"/>
                <w:sz w:val="24"/>
              </w:rPr>
              <w:t>5</w:t>
            </w:r>
          </w:p>
        </w:tc>
        <w:tc>
          <w:tcPr>
            <w:tcW w:w="2741" w:type="dxa"/>
          </w:tcPr>
          <w:p w14:paraId="38341A96">
            <w:pPr>
              <w:widowControl w:val="0"/>
              <w:jc w:val="center"/>
            </w:pPr>
            <w:r>
              <w:rPr>
                <w:rFonts w:ascii="Times New Roman" w:hAnsi="Times New Roman"/>
                <w:sz w:val="24"/>
              </w:rPr>
              <w:t>62,5</w:t>
            </w:r>
          </w:p>
        </w:tc>
      </w:tr>
      <w:tr w14:paraId="1B5F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7154BD8D">
            <w:pPr>
              <w:widowControl w:val="0"/>
              <w:jc w:val="both"/>
            </w:pPr>
            <w:r>
              <w:rPr>
                <w:rFonts w:ascii="Times New Roman" w:hAnsi="Times New Roman"/>
                <w:sz w:val="24"/>
              </w:rPr>
              <w:t>Подтверждение опыта и квалификационных требований</w:t>
            </w:r>
          </w:p>
        </w:tc>
        <w:tc>
          <w:tcPr>
            <w:tcW w:w="2496" w:type="dxa"/>
          </w:tcPr>
          <w:p w14:paraId="14E73046">
            <w:pPr>
              <w:widowControl w:val="0"/>
              <w:jc w:val="center"/>
            </w:pPr>
            <w:r>
              <w:rPr>
                <w:rFonts w:ascii="Times New Roman" w:hAnsi="Times New Roman"/>
                <w:sz w:val="24"/>
              </w:rPr>
              <w:t>6</w:t>
            </w:r>
          </w:p>
        </w:tc>
        <w:tc>
          <w:tcPr>
            <w:tcW w:w="2741" w:type="dxa"/>
          </w:tcPr>
          <w:p w14:paraId="46F8DDBB">
            <w:pPr>
              <w:widowControl w:val="0"/>
              <w:jc w:val="center"/>
            </w:pPr>
            <w:r>
              <w:rPr>
                <w:rFonts w:ascii="Times New Roman" w:hAnsi="Times New Roman"/>
                <w:sz w:val="24"/>
              </w:rPr>
              <w:t>75,0</w:t>
            </w:r>
          </w:p>
        </w:tc>
      </w:tr>
      <w:tr w14:paraId="7B8E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69DD7FBE">
            <w:pPr>
              <w:widowControl w:val="0"/>
              <w:jc w:val="both"/>
            </w:pPr>
            <w:r>
              <w:rPr>
                <w:rFonts w:ascii="Times New Roman" w:hAnsi="Times New Roman"/>
                <w:sz w:val="24"/>
              </w:rPr>
              <w:t>Внутренние стандарты оформления и хранения документов</w:t>
            </w:r>
          </w:p>
        </w:tc>
        <w:tc>
          <w:tcPr>
            <w:tcW w:w="2496" w:type="dxa"/>
          </w:tcPr>
          <w:p w14:paraId="0335FD8A">
            <w:pPr>
              <w:widowControl w:val="0"/>
              <w:jc w:val="center"/>
            </w:pPr>
            <w:r>
              <w:rPr>
                <w:rFonts w:ascii="Times New Roman" w:hAnsi="Times New Roman"/>
                <w:sz w:val="24"/>
              </w:rPr>
              <w:t>7</w:t>
            </w:r>
          </w:p>
        </w:tc>
        <w:tc>
          <w:tcPr>
            <w:tcW w:w="2741" w:type="dxa"/>
          </w:tcPr>
          <w:p w14:paraId="2146C40A">
            <w:pPr>
              <w:widowControl w:val="0"/>
              <w:jc w:val="center"/>
            </w:pPr>
            <w:r>
              <w:rPr>
                <w:rFonts w:ascii="Times New Roman" w:hAnsi="Times New Roman"/>
                <w:sz w:val="24"/>
              </w:rPr>
              <w:t>87,5</w:t>
            </w:r>
          </w:p>
        </w:tc>
      </w:tr>
    </w:tbl>
    <w:p w14:paraId="3680505C">
      <w:pPr>
        <w:spacing w:after="120" w:line="360" w:lineRule="auto"/>
        <w:ind w:firstLine="700"/>
        <w:jc w:val="both"/>
        <w:rPr>
          <w:rFonts w:hint="default" w:ascii="Times New Roman" w:hAnsi="Times New Roman"/>
          <w:b w:val="0"/>
          <w:i w:val="0"/>
          <w:sz w:val="28"/>
          <w:lang w:val="ru-RU"/>
        </w:rPr>
      </w:pPr>
    </w:p>
    <w:p w14:paraId="53B5E201">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Дополнительно сотрудникам было предложено оценить удовлетворённость существующим уровнем обучения по пятибалльной шкале, где 1 означает полную неудовлетворённость, а 5 — полную удовлетворённость (см.табл.3.8.). Средняя оценка составила 2,1 балла. Ни один сотрудник не поставил оценку 5, только один сотрудник поставил оценку 4, три сотрудника выбрали оценку 2 и два сотрудника — оценку 1. Такой результат отражает низкую субъективную удовлетворённость действующей системой подготовки и развития.</w:t>
      </w:r>
    </w:p>
    <w:p w14:paraId="0BB333EB">
      <w:pPr>
        <w:spacing w:after="120" w:line="360" w:lineRule="auto"/>
        <w:ind w:firstLine="700"/>
        <w:jc w:val="both"/>
        <w:rPr>
          <w:rFonts w:hint="default" w:ascii="Times New Roman" w:hAnsi="Times New Roman"/>
          <w:b w:val="0"/>
          <w:i w:val="0"/>
          <w:sz w:val="28"/>
          <w:lang w:val="ru-RU"/>
        </w:rPr>
      </w:pPr>
    </w:p>
    <w:p w14:paraId="7EAB294F">
      <w:pPr>
        <w:spacing w:after="120" w:line="360" w:lineRule="auto"/>
        <w:ind w:firstLine="700"/>
        <w:jc w:val="both"/>
        <w:rPr>
          <w:rFonts w:hint="default" w:ascii="Times New Roman" w:hAnsi="Times New Roman"/>
          <w:b w:val="0"/>
          <w:i w:val="0"/>
          <w:sz w:val="28"/>
          <w:lang w:val="ru-RU"/>
        </w:rPr>
      </w:pPr>
    </w:p>
    <w:p w14:paraId="0D6A92B2">
      <w:pPr>
        <w:spacing w:after="120" w:line="360" w:lineRule="auto"/>
        <w:ind w:firstLine="700"/>
        <w:jc w:val="right"/>
        <w:rPr>
          <w:sz w:val="18"/>
          <w:szCs w:val="18"/>
        </w:rPr>
      </w:pPr>
      <w:r>
        <w:rPr>
          <w:rFonts w:ascii="Times New Roman" w:hAnsi="Times New Roman"/>
          <w:b w:val="0"/>
          <w:i w:val="0"/>
          <w:sz w:val="24"/>
          <w:szCs w:val="18"/>
        </w:rPr>
        <w:t>Таблица 3.8. Оценка удовлетвор</w:t>
      </w:r>
      <w:r>
        <w:rPr>
          <w:rFonts w:ascii="Times New Roman" w:hAnsi="Times New Roman"/>
          <w:b w:val="0"/>
          <w:i w:val="0"/>
          <w:sz w:val="24"/>
          <w:szCs w:val="18"/>
          <w:lang w:val="ru-RU"/>
        </w:rPr>
        <w:t>ё</w:t>
      </w:r>
      <w:r>
        <w:rPr>
          <w:rFonts w:ascii="Times New Roman" w:hAnsi="Times New Roman"/>
          <w:b w:val="0"/>
          <w:i w:val="0"/>
          <w:sz w:val="24"/>
          <w:szCs w:val="18"/>
        </w:rPr>
        <w:t>нности сотрудников действующим порядком обучения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2D5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D7ADA23">
            <w:pPr>
              <w:widowControl w:val="0"/>
              <w:jc w:val="both"/>
              <w:rPr>
                <w:b w:val="0"/>
                <w:bCs/>
              </w:rPr>
            </w:pPr>
            <w:r>
              <w:rPr>
                <w:rFonts w:ascii="Times New Roman" w:hAnsi="Times New Roman"/>
                <w:b w:val="0"/>
                <w:bCs/>
                <w:sz w:val="24"/>
              </w:rPr>
              <w:t>Оценка по пятибалльной шкале</w:t>
            </w:r>
          </w:p>
        </w:tc>
        <w:tc>
          <w:tcPr>
            <w:tcW w:w="3118" w:type="dxa"/>
          </w:tcPr>
          <w:p w14:paraId="38AA71DA">
            <w:pPr>
              <w:widowControl w:val="0"/>
              <w:jc w:val="both"/>
              <w:rPr>
                <w:b w:val="0"/>
                <w:bCs/>
              </w:rPr>
            </w:pPr>
            <w:r>
              <w:rPr>
                <w:rFonts w:ascii="Times New Roman" w:hAnsi="Times New Roman"/>
                <w:b w:val="0"/>
                <w:bCs/>
                <w:sz w:val="24"/>
              </w:rPr>
              <w:t>Количество сотрудников</w:t>
            </w:r>
          </w:p>
        </w:tc>
        <w:tc>
          <w:tcPr>
            <w:tcW w:w="3118" w:type="dxa"/>
          </w:tcPr>
          <w:p w14:paraId="23D3B43B">
            <w:pPr>
              <w:widowControl w:val="0"/>
              <w:jc w:val="both"/>
              <w:rPr>
                <w:b w:val="0"/>
                <w:bCs/>
              </w:rPr>
            </w:pPr>
            <w:r>
              <w:rPr>
                <w:rFonts w:ascii="Times New Roman" w:hAnsi="Times New Roman"/>
                <w:b w:val="0"/>
                <w:bCs/>
                <w:sz w:val="24"/>
              </w:rPr>
              <w:t>Доля, %</w:t>
            </w:r>
          </w:p>
        </w:tc>
      </w:tr>
      <w:tr w14:paraId="5A8B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7EB599C">
            <w:pPr>
              <w:widowControl w:val="0"/>
              <w:jc w:val="both"/>
            </w:pPr>
            <w:r>
              <w:rPr>
                <w:rFonts w:ascii="Times New Roman" w:hAnsi="Times New Roman"/>
                <w:sz w:val="24"/>
              </w:rPr>
              <w:t>1</w:t>
            </w:r>
          </w:p>
        </w:tc>
        <w:tc>
          <w:tcPr>
            <w:tcW w:w="3118" w:type="dxa"/>
          </w:tcPr>
          <w:p w14:paraId="08E55DE2">
            <w:pPr>
              <w:widowControl w:val="0"/>
              <w:jc w:val="both"/>
            </w:pPr>
            <w:r>
              <w:rPr>
                <w:rFonts w:ascii="Times New Roman" w:hAnsi="Times New Roman"/>
                <w:sz w:val="24"/>
              </w:rPr>
              <w:t>2</w:t>
            </w:r>
          </w:p>
        </w:tc>
        <w:tc>
          <w:tcPr>
            <w:tcW w:w="3118" w:type="dxa"/>
          </w:tcPr>
          <w:p w14:paraId="661A71A4">
            <w:pPr>
              <w:widowControl w:val="0"/>
              <w:jc w:val="both"/>
            </w:pPr>
            <w:r>
              <w:rPr>
                <w:rFonts w:ascii="Times New Roman" w:hAnsi="Times New Roman"/>
                <w:sz w:val="24"/>
              </w:rPr>
              <w:t>25,0</w:t>
            </w:r>
          </w:p>
        </w:tc>
      </w:tr>
      <w:tr w14:paraId="17FA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B1067B5">
            <w:pPr>
              <w:widowControl w:val="0"/>
              <w:jc w:val="both"/>
            </w:pPr>
            <w:r>
              <w:rPr>
                <w:rFonts w:ascii="Times New Roman" w:hAnsi="Times New Roman"/>
                <w:sz w:val="24"/>
              </w:rPr>
              <w:t>2</w:t>
            </w:r>
          </w:p>
        </w:tc>
        <w:tc>
          <w:tcPr>
            <w:tcW w:w="3118" w:type="dxa"/>
          </w:tcPr>
          <w:p w14:paraId="391E6417">
            <w:pPr>
              <w:widowControl w:val="0"/>
              <w:jc w:val="both"/>
            </w:pPr>
            <w:r>
              <w:rPr>
                <w:rFonts w:ascii="Times New Roman" w:hAnsi="Times New Roman"/>
                <w:sz w:val="24"/>
              </w:rPr>
              <w:t>3</w:t>
            </w:r>
          </w:p>
        </w:tc>
        <w:tc>
          <w:tcPr>
            <w:tcW w:w="3118" w:type="dxa"/>
          </w:tcPr>
          <w:p w14:paraId="036F554C">
            <w:pPr>
              <w:widowControl w:val="0"/>
              <w:jc w:val="both"/>
            </w:pPr>
            <w:r>
              <w:rPr>
                <w:rFonts w:ascii="Times New Roman" w:hAnsi="Times New Roman"/>
                <w:sz w:val="24"/>
              </w:rPr>
              <w:t>37,5</w:t>
            </w:r>
          </w:p>
        </w:tc>
      </w:tr>
      <w:tr w14:paraId="35ED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E4936EE">
            <w:pPr>
              <w:widowControl w:val="0"/>
              <w:jc w:val="both"/>
            </w:pPr>
            <w:r>
              <w:rPr>
                <w:rFonts w:ascii="Times New Roman" w:hAnsi="Times New Roman"/>
                <w:sz w:val="24"/>
              </w:rPr>
              <w:t>3</w:t>
            </w:r>
          </w:p>
        </w:tc>
        <w:tc>
          <w:tcPr>
            <w:tcW w:w="3118" w:type="dxa"/>
          </w:tcPr>
          <w:p w14:paraId="29D6C9D8">
            <w:pPr>
              <w:widowControl w:val="0"/>
              <w:jc w:val="both"/>
            </w:pPr>
            <w:r>
              <w:rPr>
                <w:rFonts w:ascii="Times New Roman" w:hAnsi="Times New Roman"/>
                <w:sz w:val="24"/>
              </w:rPr>
              <w:t>2</w:t>
            </w:r>
          </w:p>
        </w:tc>
        <w:tc>
          <w:tcPr>
            <w:tcW w:w="3118" w:type="dxa"/>
          </w:tcPr>
          <w:p w14:paraId="2DE5A7E9">
            <w:pPr>
              <w:widowControl w:val="0"/>
              <w:jc w:val="both"/>
            </w:pPr>
            <w:r>
              <w:rPr>
                <w:rFonts w:ascii="Times New Roman" w:hAnsi="Times New Roman"/>
                <w:sz w:val="24"/>
              </w:rPr>
              <w:t>25,0</w:t>
            </w:r>
          </w:p>
        </w:tc>
      </w:tr>
      <w:tr w14:paraId="153F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18F19B6">
            <w:pPr>
              <w:widowControl w:val="0"/>
              <w:jc w:val="both"/>
            </w:pPr>
            <w:r>
              <w:rPr>
                <w:rFonts w:ascii="Times New Roman" w:hAnsi="Times New Roman"/>
                <w:sz w:val="24"/>
              </w:rPr>
              <w:t>4</w:t>
            </w:r>
          </w:p>
        </w:tc>
        <w:tc>
          <w:tcPr>
            <w:tcW w:w="3118" w:type="dxa"/>
          </w:tcPr>
          <w:p w14:paraId="14486703">
            <w:pPr>
              <w:widowControl w:val="0"/>
              <w:jc w:val="both"/>
            </w:pPr>
            <w:r>
              <w:rPr>
                <w:rFonts w:ascii="Times New Roman" w:hAnsi="Times New Roman"/>
                <w:sz w:val="24"/>
              </w:rPr>
              <w:t>1</w:t>
            </w:r>
          </w:p>
        </w:tc>
        <w:tc>
          <w:tcPr>
            <w:tcW w:w="3118" w:type="dxa"/>
          </w:tcPr>
          <w:p w14:paraId="393D4A7D">
            <w:pPr>
              <w:widowControl w:val="0"/>
              <w:jc w:val="both"/>
            </w:pPr>
            <w:r>
              <w:rPr>
                <w:rFonts w:ascii="Times New Roman" w:hAnsi="Times New Roman"/>
                <w:sz w:val="24"/>
              </w:rPr>
              <w:t>12,5</w:t>
            </w:r>
          </w:p>
        </w:tc>
      </w:tr>
      <w:tr w14:paraId="139C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76C16C">
            <w:pPr>
              <w:widowControl w:val="0"/>
              <w:jc w:val="both"/>
            </w:pPr>
            <w:r>
              <w:rPr>
                <w:rFonts w:ascii="Times New Roman" w:hAnsi="Times New Roman"/>
                <w:sz w:val="24"/>
              </w:rPr>
              <w:t>5</w:t>
            </w:r>
          </w:p>
        </w:tc>
        <w:tc>
          <w:tcPr>
            <w:tcW w:w="3118" w:type="dxa"/>
          </w:tcPr>
          <w:p w14:paraId="77FE4655">
            <w:pPr>
              <w:widowControl w:val="0"/>
              <w:jc w:val="both"/>
            </w:pPr>
            <w:r>
              <w:rPr>
                <w:rFonts w:ascii="Times New Roman" w:hAnsi="Times New Roman"/>
                <w:sz w:val="24"/>
              </w:rPr>
              <w:t>0</w:t>
            </w:r>
          </w:p>
        </w:tc>
        <w:tc>
          <w:tcPr>
            <w:tcW w:w="3118" w:type="dxa"/>
          </w:tcPr>
          <w:p w14:paraId="2FD584DE">
            <w:pPr>
              <w:widowControl w:val="0"/>
              <w:jc w:val="both"/>
            </w:pPr>
            <w:r>
              <w:rPr>
                <w:rFonts w:ascii="Times New Roman" w:hAnsi="Times New Roman"/>
                <w:sz w:val="24"/>
              </w:rPr>
              <w:t>0,0</w:t>
            </w:r>
          </w:p>
        </w:tc>
      </w:tr>
      <w:tr w14:paraId="1B2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58CA3C">
            <w:pPr>
              <w:widowControl w:val="0"/>
              <w:jc w:val="both"/>
            </w:pPr>
            <w:r>
              <w:rPr>
                <w:rFonts w:ascii="Times New Roman" w:hAnsi="Times New Roman"/>
                <w:sz w:val="24"/>
              </w:rPr>
              <w:t>Средняя оценка</w:t>
            </w:r>
          </w:p>
        </w:tc>
        <w:tc>
          <w:tcPr>
            <w:tcW w:w="3118" w:type="dxa"/>
          </w:tcPr>
          <w:p w14:paraId="4EB6C9DB">
            <w:pPr>
              <w:widowControl w:val="0"/>
              <w:jc w:val="both"/>
            </w:pPr>
            <w:r>
              <w:rPr>
                <w:rFonts w:ascii="Times New Roman" w:hAnsi="Times New Roman"/>
                <w:sz w:val="24"/>
              </w:rPr>
              <w:t>2,1</w:t>
            </w:r>
          </w:p>
        </w:tc>
        <w:tc>
          <w:tcPr>
            <w:tcW w:w="3118" w:type="dxa"/>
          </w:tcPr>
          <w:p w14:paraId="2E4CBDC4">
            <w:pPr>
              <w:widowControl w:val="0"/>
              <w:jc w:val="both"/>
            </w:pPr>
            <w:r>
              <w:rPr>
                <w:rFonts w:ascii="Times New Roman" w:hAnsi="Times New Roman"/>
                <w:sz w:val="24"/>
              </w:rPr>
              <w:t>-</w:t>
            </w:r>
          </w:p>
        </w:tc>
      </w:tr>
    </w:tbl>
    <w:p w14:paraId="1DD28AE1">
      <w:pPr>
        <w:spacing w:after="120" w:line="360" w:lineRule="auto"/>
        <w:jc w:val="both"/>
      </w:pPr>
    </w:p>
    <w:p w14:paraId="3F4D62F4">
      <w:pPr>
        <w:spacing w:after="120" w:line="360" w:lineRule="auto"/>
        <w:ind w:firstLine="700"/>
        <w:jc w:val="both"/>
        <w:rPr>
          <w:rFonts w:hint="default" w:ascii="Times New Roman" w:hAnsi="Times New Roman"/>
          <w:b w:val="0"/>
          <w:i w:val="0"/>
          <w:sz w:val="28"/>
          <w:lang w:val="ru-RU"/>
        </w:rPr>
      </w:pPr>
      <w:r>
        <w:rPr>
          <w:rFonts w:ascii="Times New Roman" w:hAnsi="Times New Roman"/>
          <w:sz w:val="28"/>
        </w:rPr>
        <w:t>Итоги опроса показывают, что сотрудники тендерного отдела не воспринимают действующий порядок как нормальный и достаточный. Важно, что эти оценки совпадают с объективными показателями деятельности отдела: доля отклонённых заявок остаётся устойчивой, а причины отклонений связаны с теми же зонами, которые сотрудники отмечают проблемными.</w:t>
      </w:r>
    </w:p>
    <w:p w14:paraId="0C5F1FE7">
      <w:pPr>
        <w:spacing w:after="120" w:line="360" w:lineRule="auto"/>
        <w:ind w:firstLine="700"/>
        <w:jc w:val="both"/>
      </w:pPr>
      <w:r>
        <w:rPr>
          <w:rFonts w:hint="default" w:ascii="Times New Roman" w:hAnsi="Times New Roman"/>
          <w:b w:val="0"/>
          <w:i w:val="0"/>
          <w:sz w:val="28"/>
          <w:lang w:val="ru-RU"/>
        </w:rPr>
        <w:t xml:space="preserve">Итак, опрос сотрудников подтвердил отсутствие целостной системы обучения и развития в ООО «Лайф Медиа». </w:t>
      </w:r>
      <w:r>
        <w:rPr>
          <w:rFonts w:ascii="Times New Roman" w:hAnsi="Times New Roman"/>
          <w:b w:val="0"/>
          <w:i w:val="0"/>
          <w:sz w:val="28"/>
        </w:rPr>
        <w:t xml:space="preserve"> Работники получают знания преимущественно самостоятельно или через коллег, не проходят единый адаптационный маршрут, не имеют устойчивого доступа к актуальной базе материалов и не участвуют в регулярной проверке знаний. Наиболее выраженные потребности сотрудников связаны с изменениями законодательства, типовыми ошибками, актуальными шаблонами, проверкой комплекта документов и особенностями электронных площадок. Следовательно, внутренняя оценка сотрудников совпадает с результатами анализа тендерных показателей и указывает на системный характер проблемы.</w:t>
      </w:r>
    </w:p>
    <w:p w14:paraId="2AC569CE">
      <w:pPr>
        <w:spacing w:after="120" w:line="360" w:lineRule="auto"/>
        <w:ind w:firstLine="700"/>
        <w:jc w:val="both"/>
        <w:rPr>
          <w:rFonts w:hint="default" w:ascii="Times New Roman" w:hAnsi="Times New Roman"/>
          <w:b w:val="0"/>
          <w:i w:val="0"/>
          <w:sz w:val="28"/>
          <w:lang w:val="ru-RU"/>
        </w:rPr>
      </w:pPr>
    </w:p>
    <w:p w14:paraId="58003C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4C751561">
      <w:r>
        <w:br w:type="page"/>
      </w:r>
    </w:p>
    <w:p w14:paraId="436249D8">
      <w:pPr>
        <w:keepNext w:val="0"/>
        <w:keepLines w:val="0"/>
        <w:pageBreakBefore w:val="0"/>
        <w:numPr>
          <w:ilvl w:val="0"/>
          <w:numId w:val="0"/>
        </w:numPr>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sz w:val="28"/>
          <w:szCs w:val="28"/>
          <w:vertAlign w:val="baseline"/>
          <w:lang w:val="ru-RU"/>
        </w:rPr>
      </w:pPr>
      <w:r>
        <w:rPr>
          <w:rFonts w:hint="default" w:ascii="Times New Roman" w:hAnsi="Times New Roman"/>
          <w:b/>
          <w:bCs/>
          <w:sz w:val="28"/>
          <w:szCs w:val="28"/>
          <w:vertAlign w:val="baseline"/>
          <w:lang w:val="ru-RU"/>
        </w:rPr>
        <w:t>Выводы по второй главе</w:t>
      </w:r>
    </w:p>
    <w:p w14:paraId="312B625C">
      <w:pPr>
        <w:spacing w:after="120" w:line="360" w:lineRule="auto"/>
        <w:ind w:firstLine="700"/>
      </w:pPr>
      <w:r>
        <w:rPr>
          <w:rFonts w:ascii="Times New Roman" w:hAnsi="Times New Roman"/>
          <w:sz w:val="28"/>
        </w:rPr>
        <w:t>Во второй главе был проведен анализ системы обучения и развития тендерных специалистов ООО «Лайф Медиа» с учетом организационно-экономических особенностей предприятия, структуры персонала, результатов закупочной деятельности и мнения сотрудников тендерного отдела. Анализ показал, что компания относится к малому бизнесу, работает преимущественно в удаленном формате и получает основную часть выручки за счет участия в государственных и корпоративных закупках. Следовательно, качество работы тендерного отдела является одним из ключевых факторов финансовой устойчивости предприятия.</w:t>
      </w:r>
    </w:p>
    <w:p w14:paraId="2942C421">
      <w:pPr>
        <w:spacing w:after="120" w:line="360" w:lineRule="auto"/>
        <w:ind w:firstLine="700"/>
      </w:pPr>
      <w:r>
        <w:rPr>
          <w:rFonts w:ascii="Times New Roman" w:hAnsi="Times New Roman"/>
          <w:sz w:val="28"/>
        </w:rPr>
        <w:t>Изучение организационной структуры показало, что тендерный отдел является центральным подразделением компании: в нем занято 8 специалистов из 17 сотрудников. При этом система управления персоналом носит распределенный характер: отдельной HR-службы нет, кадровые функции выполняют генеральный директор, руководитель тендерного отдела и бухгалтерия. Такая модель соответствует масштабу предприятия, однако ограничивает возможности системной адаптации, обучения и развития персонала. Особенно значимым является то, что 62,5% специалистов тендерного отдела работают в компании менее одного года, а опыт более двух лет имеют только 25% сотрудников. Это указывает на недостаток устойчивого профессионального ядра и повышает зависимость качества работы от передачи опыта внутри отдела.</w:t>
      </w:r>
    </w:p>
    <w:p w14:paraId="2E71C542">
      <w:pPr>
        <w:spacing w:after="120" w:line="360" w:lineRule="auto"/>
        <w:ind w:firstLine="700"/>
      </w:pPr>
      <w:r>
        <w:rPr>
          <w:rFonts w:ascii="Times New Roman" w:hAnsi="Times New Roman"/>
          <w:sz w:val="28"/>
        </w:rPr>
        <w:t>Анализ движения кадров выявил высокий уровень текучести: в 2024-2025 гг. коэффициент текучести в тендерном отделе составил 37,5%. При такой динамике компания вынуждена регулярно принимать новых сотрудников, но при этом не имеет формализованной программы адаптации. В результате новые работники осваивают обязанности через устные пояснения, самостоятельный поиск информации и помощь коллег. Такой подход позволяет решать текущие задачи, но не обеспечивает единых стандартов подготовки заявок и не снижает риск повторения ошибок.</w:t>
      </w:r>
    </w:p>
    <w:p w14:paraId="310EE5FA">
      <w:pPr>
        <w:spacing w:after="120" w:line="360" w:lineRule="auto"/>
        <w:ind w:firstLine="700"/>
      </w:pPr>
      <w:r>
        <w:rPr>
          <w:rFonts w:ascii="Times New Roman" w:hAnsi="Times New Roman"/>
          <w:sz w:val="28"/>
        </w:rPr>
        <w:t>Отдельное внимание было уделено мотивации и затратам на персонал. Установлено, что тендерные специалисты имеют наиболее высокий уровень выплат среди подразделений, а общие затраты на персонал составляют значительную долю выручки компании. Однако расходы на обучение остаются минимальными и составляют только 45 тыс. руб. в год. Эти средства используются эпизодически, главным образом на отдельные вебинары и записи по изменениям законодательства, поэтому не формируют полноценную систему развития компетенций. При этом действующая мотивация ориентирована преимущественно на результат, но не связывает премирование с обучением, наставничеством, обновлением базы знаний и качеством подготовки документов.</w:t>
      </w:r>
    </w:p>
    <w:p w14:paraId="320F3696">
      <w:pPr>
        <w:spacing w:after="120" w:line="360" w:lineRule="auto"/>
        <w:ind w:firstLine="700"/>
      </w:pPr>
      <w:r>
        <w:rPr>
          <w:rFonts w:ascii="Times New Roman" w:hAnsi="Times New Roman"/>
          <w:sz w:val="28"/>
        </w:rPr>
        <w:t>Оценка эффективности текущей системы обучения показала, что в ООО «Лайф Медиа» отсутствуют ключевые элементы управляемого образовательного процесса: программа адаптации, единая база актуальных шаблонов и инструкций, регулярная проверка знаний, системный разбор ошибок, формализованное наставничество и оценка влияния обучения на результаты закупочной деятельности. Это подтверждается не только анализом документов, но и результатами опроса сотрудников. Все 8 специалистов указали на отсутствие утвержденной программы обучения, большинство отметили разрозненность материалов, неуверенность в актуальности шаблонов и нехватку разбора реальных ошибок отдела.</w:t>
      </w:r>
    </w:p>
    <w:p w14:paraId="337BB718">
      <w:pPr>
        <w:spacing w:after="120" w:line="360" w:lineRule="auto"/>
        <w:ind w:firstLine="700"/>
      </w:pPr>
      <w:r>
        <w:rPr>
          <w:rFonts w:ascii="Times New Roman" w:hAnsi="Times New Roman"/>
          <w:sz w:val="28"/>
        </w:rPr>
        <w:t>Показатели тендерной деятельности также подтверждают наличие проблемы. За 2023-2025 гг. доля отклоненных заявок на этапе допуска сохраняется на уровне около 15%, а всего выявлено 77 случаев отклонений. Наиболее распространенными причинами стали технические ошибки при работе с ЭТП, ошибки, связанные с требованиями законодательства и документации, расчетные неточности и организационные нарушения при подготовке заявки. Значительная часть этих ошибок относится к предотвратимым, то есть может быть снижена за счет обучения, стандартизации процедур, актуализации шаблонов и введения контрольных чек-листов.</w:t>
      </w:r>
    </w:p>
    <w:p w14:paraId="571DDC00">
      <w:pPr>
        <w:spacing w:after="120" w:line="360" w:lineRule="auto"/>
        <w:ind w:firstLine="700"/>
      </w:pPr>
      <w:r>
        <w:rPr>
          <w:rFonts w:ascii="Times New Roman" w:hAnsi="Times New Roman"/>
          <w:sz w:val="28"/>
        </w:rPr>
        <w:t>Таким образом, по итогам второй главы можно сделать вывод, что проблема ООО «Лайф Медиа» заключается не в отсутствии отдельных обучающих действий, а в отсутствии целостной системы обучения и развития тендерных специалистов. Обучение в компании носит фрагментарный, реактивный и преимущественно неформальный характер. Оно не встроено в систему управления персоналом, не связано с мотивацией и не подкреплено регулярной оценкой результатов. Именно поэтому в третьей главе необходимо разработать комплекс практических мероприятий, направленных на создание единой системы обучения, снижение количества формальных ошибок, повышение качества подготовки заявок и рост эффективности участия компании в тендерах.</w:t>
      </w:r>
    </w:p>
    <w:p w14:paraId="6CD4D791">
      <w:pPr>
        <w:spacing w:after="120" w:line="360" w:lineRule="auto"/>
        <w:jc w:val="center"/>
      </w:pPr>
      <w:r>
        <w:rPr>
          <w:rFonts w:ascii="Times New Roman" w:hAnsi="Times New Roman"/>
          <w:b/>
          <w:sz w:val="28"/>
        </w:rPr>
        <w:t>ГЛАВА 3. СОВЕРШЕНСТВОВАНИЕ СИСТЕМЫ ОБУЧЕНИЯ И РАЗВИТИЯ ТЕНДЕРНЫХ СПЕЦИАЛИСТОВ ООО «ЛАЙФ МЕДИА»</w:t>
      </w:r>
    </w:p>
    <w:p w14:paraId="255DBD3B">
      <w:pPr>
        <w:spacing w:after="120" w:line="360" w:lineRule="auto"/>
        <w:jc w:val="center"/>
      </w:pPr>
      <w:r>
        <w:rPr>
          <w:rFonts w:ascii="Times New Roman" w:hAnsi="Times New Roman"/>
          <w:b/>
          <w:sz w:val="28"/>
        </w:rPr>
        <w:t>3.1. Общие рекомендации по развитию системы обучения и развития тендерных специалистов на основе отечественного и зарубежного опыта</w:t>
      </w:r>
    </w:p>
    <w:p w14:paraId="39A61ECA">
      <w:pPr>
        <w:spacing w:after="120" w:line="360" w:lineRule="auto"/>
        <w:ind w:firstLine="700"/>
      </w:pPr>
      <w:r>
        <w:rPr>
          <w:rFonts w:ascii="Times New Roman" w:hAnsi="Times New Roman"/>
          <w:b w:val="0"/>
          <w:sz w:val="28"/>
        </w:rPr>
        <w:t>Результаты второй главы показали, что ключевая проблема ООО «Лайф Медиа» заключается не в полном отсутствии отдельных обучающих действий, а в отсутствии целостной управляемой системы обучения и развития тендерных специалистов. В компании имеются отдельные вебинары, устные пояснения руководителя, обмен опытом между сотрудниками и самостоятельный поиск информации, однако эти элементы не связаны между собой единым циклом. В результате обучение не имеет четких целей, сроков, ответственных лиц, критериев проверки знаний и связи с показателями закупочной деятельности.</w:t>
      </w:r>
    </w:p>
    <w:p w14:paraId="4B9A3563">
      <w:pPr>
        <w:spacing w:after="120" w:line="360" w:lineRule="auto"/>
        <w:ind w:firstLine="700"/>
      </w:pPr>
      <w:r>
        <w:rPr>
          <w:rFonts w:ascii="Times New Roman" w:hAnsi="Times New Roman"/>
          <w:b w:val="0"/>
          <w:sz w:val="28"/>
        </w:rPr>
        <w:t>Логическая цепочка выявленной проблемы выглядит следующим образом: тендерный отдел обеспечивает основную долю выручки предприятия, но в нем сохраняется высокая текучесть кадров и значительная доля сотрудников со стажем менее одного года; при этом отсутствуют единая адаптационная программа, актуальная база шаблонов, регулярная проверка знаний и формализованный разбор ошибок. Следствием становится повторяемость однотипных нарушений при подготовке заявок. По данным второй главы, доля заявок, отклоненных на этапе допуска, держится на уровне 14,6-15,8%, а за 2023-2025 гг. выявлено 77 случаев отклонений, значительная часть которых относится к предотвратимым ошибкам.</w:t>
      </w:r>
    </w:p>
    <w:p w14:paraId="44889A0E">
      <w:pPr>
        <w:spacing w:after="120" w:line="360" w:lineRule="auto"/>
        <w:ind w:firstLine="700"/>
      </w:pPr>
      <w:r>
        <w:rPr>
          <w:rFonts w:ascii="Times New Roman" w:hAnsi="Times New Roman"/>
          <w:b w:val="0"/>
          <w:sz w:val="28"/>
        </w:rPr>
        <w:t>Следовательно, цель третьей главы состоит в разработке такой системы обучения, которая не будет существовать отдельно от работы тендерного отдела, а станет частью ежедневного процесса подготовки заявок. Рекомендации должны быть практически применимыми для малого предприятия, работающего в удаленном формате, не требовать создания отдельной HR-службы и опираться на уже имеющуюся цифровую инфраструктуру: Битрикс24, облачное хранилище, электронный документооборот и удаленные коммуникации.</w:t>
      </w:r>
    </w:p>
    <w:p w14:paraId="65BB29CC">
      <w:pPr>
        <w:spacing w:after="120" w:line="360" w:lineRule="auto"/>
        <w:ind w:firstLine="700"/>
      </w:pPr>
      <w:r>
        <w:rPr>
          <w:rFonts w:ascii="Times New Roman" w:hAnsi="Times New Roman"/>
          <w:b w:val="0"/>
          <w:sz w:val="28"/>
        </w:rPr>
        <w:t>В качестве методической основы предлагается использовать сочетание отечественного и зарубежного опыта. Отечественный опыт в сфере подготовки закупочных специалистов показывает значимость обучения по 44-ФЗ и 223-ФЗ, регулярного обновления знаний, практических кейсов и работы с электронными торговыми площадками. Зарубежный опыт корпоративного обучения, отраженный в моделях Киркпатрика и Филлипса, показывает необходимость оценивать обучение не только по факту прохождения курса, но и по изменению поведения сотрудников и влиянию на бизнес-показатели.</w:t>
      </w:r>
    </w:p>
    <w:p w14:paraId="69FE41BF">
      <w:pPr>
        <w:spacing w:after="120" w:line="360" w:lineRule="auto"/>
        <w:ind w:firstLine="700"/>
      </w:pPr>
      <w:r>
        <w:rPr>
          <w:rFonts w:ascii="Times New Roman" w:hAnsi="Times New Roman"/>
          <w:b w:val="0"/>
          <w:sz w:val="28"/>
        </w:rPr>
        <w:t>Для ООО «Лайф Медиа» целесообразно применять не дорогостоящую корпоративную академию в классическом понимании, а компактную внутреннюю систему «Тендерная академия Лайф Медиа». Под ней понимается совокупность регламентов, цифровой базы знаний, программы адаптации, внешнего повышения квалификации, наставничества, контрольных чек-листов и системы оценки эффективности. Такая модель соответствует масштабу компании, поскольку тендерный отдел состоит из 8 специалистов, а управленческие функции уже распределены между генеральным директором, руководителем тендерного отдела, бухгалтерией и юристом на аутсорсинге.</w:t>
      </w:r>
    </w:p>
    <w:p w14:paraId="40FC71B4">
      <w:pPr>
        <w:spacing w:after="120" w:line="360" w:lineRule="auto"/>
        <w:ind w:firstLine="700"/>
      </w:pPr>
      <w:r>
        <w:rPr>
          <w:rFonts w:ascii="Times New Roman" w:hAnsi="Times New Roman"/>
          <w:b w:val="0"/>
          <w:sz w:val="28"/>
        </w:rPr>
        <w:t>Первое направление рекомендаций — формирование единой базы знаний тендерного отдела. Она должна включать актуальные шаблоны деклараций, инструкции по работе с ЭТП, образцы успешных заявок, перечень типовых ошибок, чек-листы проверки документов, ссылки на нормативные изменения и краткие памятки по 44-ФЗ и 223-ФЗ. База знаний должна размещаться в уже используемой цифровой среде, чтобы сотрудникам не приходилось искать материалы в переписках, личных папках или старых задачах.</w:t>
      </w:r>
    </w:p>
    <w:p w14:paraId="1B9C0850">
      <w:pPr>
        <w:spacing w:after="120" w:line="360" w:lineRule="auto"/>
        <w:ind w:firstLine="700"/>
      </w:pPr>
      <w:r>
        <w:rPr>
          <w:rFonts w:ascii="Times New Roman" w:hAnsi="Times New Roman"/>
          <w:b w:val="0"/>
          <w:sz w:val="28"/>
        </w:rPr>
        <w:t>Второе направление — введение обязательной адаптационной траектории для новых тендерных специалистов. Сейчас новый сотрудник осваивает работу ситуативно. Предлагается закрепить двухнедельный адаптационный маршрут: изучение структуры компании, ознакомление с основными видами закупок, обучение работе с ЕИС и ЭТП, изучение шаблонов документов, выполнение учебного кейса и итоговая проверка руководителем отдела. Такой маршрут позволит снизить зависимость качества адаптации от занятости коллег и личной инициативы наставника.</w:t>
      </w:r>
    </w:p>
    <w:p w14:paraId="2454E535">
      <w:pPr>
        <w:spacing w:after="120" w:line="360" w:lineRule="auto"/>
        <w:ind w:firstLine="700"/>
      </w:pPr>
      <w:r>
        <w:rPr>
          <w:rFonts w:ascii="Times New Roman" w:hAnsi="Times New Roman"/>
          <w:b w:val="0"/>
          <w:sz w:val="28"/>
        </w:rPr>
        <w:t>Третье направление — регулярное внешнее обучение по 44-ФЗ и 223-ФЗ. Поскольку законодательство о закупках постоянно обновляется, полагаться только на самостоятельное изучение изменений недостаточно. Для всех 8 специалистов необходимо организовать повышение квалификации по двум блокам: закупки по 44-ФЗ и закупки по 223-ФЗ. Для руководителя отдела и двух наиболее опытных сотрудников дополнительно следует закрепить роль внутренних экспертов, которые после прохождения обучения будут проводить краткие внутренние разборы изменений для остальных сотрудников.</w:t>
      </w:r>
    </w:p>
    <w:p w14:paraId="18A500BF">
      <w:pPr>
        <w:spacing w:after="120" w:line="360" w:lineRule="auto"/>
        <w:ind w:firstLine="700"/>
      </w:pPr>
      <w:r>
        <w:rPr>
          <w:rFonts w:ascii="Times New Roman" w:hAnsi="Times New Roman"/>
          <w:b w:val="0"/>
          <w:sz w:val="28"/>
        </w:rPr>
        <w:t>Четвертое направление — внедрение контрольного алгоритма подготовки заявки. На практике отклонение заявки часто возникает из-за отсутствия финальной проверки: не тот формат файла, не полный комплект документов, устаревшая форма, ошибка в подписи или расчетах. Поэтому перед каждой отправкой заявки должен использоваться единый чек-лист, который фиксируется в задаче Битрикс24. Чек-лист не должен быть формальностью: без отметки о проверке комплектности, актуальности формы, подписи и расчетов заявка не должна отправляться.</w:t>
      </w:r>
    </w:p>
    <w:p w14:paraId="4F078224">
      <w:pPr>
        <w:spacing w:after="120" w:line="360" w:lineRule="auto"/>
        <w:ind w:firstLine="700"/>
      </w:pPr>
      <w:r>
        <w:rPr>
          <w:rFonts w:ascii="Times New Roman" w:hAnsi="Times New Roman"/>
          <w:b w:val="0"/>
          <w:sz w:val="28"/>
        </w:rPr>
        <w:t>Пятое направление — ежемесячный разбор ошибок. В компании уже есть фактические ошибки, но они обсуждаются устно и не превращаются в общий опыт. Предлагается ввести короткое ежемесячное онлайн-совещание длительностью 45-60 минут, на котором руководитель отдела разбирает все отклонения, замечания заказчиков, спорные ситуации и удачные решения. По итогам совещания в базе знаний должна появляться запись: причина ошибки, способ предотвращения, ответственный за обновление шаблона или чек-листа.</w:t>
      </w:r>
    </w:p>
    <w:p w14:paraId="71F9C42B">
      <w:pPr>
        <w:spacing w:after="120" w:line="360" w:lineRule="auto"/>
        <w:ind w:firstLine="700"/>
      </w:pPr>
      <w:r>
        <w:rPr>
          <w:rFonts w:ascii="Times New Roman" w:hAnsi="Times New Roman"/>
          <w:b w:val="0"/>
          <w:sz w:val="28"/>
        </w:rPr>
        <w:t>Шестое направление — связать обучение с мотивацией. Во второй главе было установлено, что материальная мотивация существует, но развитие компетенций не закреплено как ценность. Поэтому в KPI тендерного специалиста следует включить не только количество поданных заявок и побед, но и качество подготовки: отсутствие отклонений по формальным причинам, своевременное прохождение тестирования, участие в разборе ошибок и поддержание актуальности рабочих материалов. Это позволит сделать обучение частью результата, а не дополнительной нагрузкой.</w:t>
      </w:r>
    </w:p>
    <w:p w14:paraId="5EA17BA4">
      <w:pPr>
        <w:spacing w:after="120" w:line="360" w:lineRule="auto"/>
        <w:jc w:val="center"/>
      </w:pPr>
      <w:r>
        <w:rPr>
          <w:rFonts w:ascii="Times New Roman" w:hAnsi="Times New Roman"/>
          <w:b w:val="0"/>
          <w:sz w:val="28"/>
        </w:rPr>
        <w:t>Таблица 3.1. Связь проблем, выявленных во второй главе, с предлагаемыми направлениями совершенствования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2CC5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64E3D43">
            <w:pPr>
              <w:widowControl w:val="0"/>
              <w:jc w:val="both"/>
            </w:pPr>
            <w:r>
              <w:rPr>
                <w:rFonts w:ascii="Times New Roman" w:hAnsi="Times New Roman"/>
                <w:b/>
                <w:sz w:val="22"/>
              </w:rPr>
              <w:t>Проблема по итогам анализа</w:t>
            </w:r>
          </w:p>
        </w:tc>
        <w:tc>
          <w:tcPr>
            <w:tcW w:w="2300" w:type="dxa"/>
          </w:tcPr>
          <w:p w14:paraId="54B3568F">
            <w:pPr>
              <w:widowControl w:val="0"/>
              <w:jc w:val="both"/>
            </w:pPr>
            <w:r>
              <w:rPr>
                <w:rFonts w:ascii="Times New Roman" w:hAnsi="Times New Roman"/>
                <w:b/>
                <w:sz w:val="22"/>
              </w:rPr>
              <w:t>Проявление в работе</w:t>
            </w:r>
          </w:p>
        </w:tc>
        <w:tc>
          <w:tcPr>
            <w:tcW w:w="2300" w:type="dxa"/>
          </w:tcPr>
          <w:p w14:paraId="2FF9C01E">
            <w:pPr>
              <w:widowControl w:val="0"/>
              <w:jc w:val="both"/>
            </w:pPr>
            <w:r>
              <w:rPr>
                <w:rFonts w:ascii="Times New Roman" w:hAnsi="Times New Roman"/>
                <w:b/>
                <w:sz w:val="22"/>
              </w:rPr>
              <w:t>Предлагаемое решение</w:t>
            </w:r>
          </w:p>
        </w:tc>
        <w:tc>
          <w:tcPr>
            <w:tcW w:w="2300" w:type="dxa"/>
          </w:tcPr>
          <w:p w14:paraId="33D1A924">
            <w:pPr>
              <w:widowControl w:val="0"/>
              <w:jc w:val="both"/>
            </w:pPr>
            <w:r>
              <w:rPr>
                <w:rFonts w:ascii="Times New Roman" w:hAnsi="Times New Roman"/>
                <w:b/>
                <w:sz w:val="22"/>
              </w:rPr>
              <w:t>Ожидаемый результат</w:t>
            </w:r>
          </w:p>
        </w:tc>
      </w:tr>
      <w:tr w14:paraId="5A9E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34FAF541">
            <w:pPr>
              <w:widowControl w:val="0"/>
              <w:jc w:val="both"/>
            </w:pPr>
            <w:r>
              <w:rPr>
                <w:rFonts w:ascii="Times New Roman" w:hAnsi="Times New Roman"/>
                <w:b w:val="0"/>
                <w:sz w:val="22"/>
              </w:rPr>
              <w:t>Отсутствие программы адаптации</w:t>
            </w:r>
          </w:p>
        </w:tc>
        <w:tc>
          <w:tcPr>
            <w:tcW w:w="2300" w:type="dxa"/>
          </w:tcPr>
          <w:p w14:paraId="000188E1">
            <w:pPr>
              <w:widowControl w:val="0"/>
              <w:jc w:val="both"/>
            </w:pPr>
            <w:r>
              <w:rPr>
                <w:rFonts w:ascii="Times New Roman" w:hAnsi="Times New Roman"/>
                <w:b w:val="0"/>
                <w:sz w:val="22"/>
              </w:rPr>
              <w:t>Новички осваивают работу через устные пояснения</w:t>
            </w:r>
          </w:p>
        </w:tc>
        <w:tc>
          <w:tcPr>
            <w:tcW w:w="2300" w:type="dxa"/>
          </w:tcPr>
          <w:p w14:paraId="4A52501C">
            <w:pPr>
              <w:widowControl w:val="0"/>
              <w:jc w:val="both"/>
            </w:pPr>
            <w:r>
              <w:rPr>
                <w:rFonts w:ascii="Times New Roman" w:hAnsi="Times New Roman"/>
                <w:b w:val="0"/>
                <w:sz w:val="22"/>
              </w:rPr>
              <w:t>Двухнедельный адаптационный маршрут и наставник</w:t>
            </w:r>
          </w:p>
        </w:tc>
        <w:tc>
          <w:tcPr>
            <w:tcW w:w="2300" w:type="dxa"/>
          </w:tcPr>
          <w:p w14:paraId="203C35BB">
            <w:pPr>
              <w:widowControl w:val="0"/>
              <w:jc w:val="both"/>
            </w:pPr>
            <w:r>
              <w:rPr>
                <w:rFonts w:ascii="Times New Roman" w:hAnsi="Times New Roman"/>
                <w:b w:val="0"/>
                <w:sz w:val="22"/>
              </w:rPr>
              <w:t>Сокращение ошибок новых сотрудников</w:t>
            </w:r>
          </w:p>
        </w:tc>
      </w:tr>
      <w:tr w14:paraId="5A24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24DC940">
            <w:pPr>
              <w:widowControl w:val="0"/>
              <w:jc w:val="both"/>
            </w:pPr>
            <w:r>
              <w:rPr>
                <w:rFonts w:ascii="Times New Roman" w:hAnsi="Times New Roman"/>
                <w:b w:val="0"/>
                <w:sz w:val="22"/>
              </w:rPr>
              <w:t>Разрозненные шаблоны и инструкции</w:t>
            </w:r>
          </w:p>
        </w:tc>
        <w:tc>
          <w:tcPr>
            <w:tcW w:w="2300" w:type="dxa"/>
          </w:tcPr>
          <w:p w14:paraId="29AC4062">
            <w:pPr>
              <w:widowControl w:val="0"/>
              <w:jc w:val="both"/>
            </w:pPr>
            <w:r>
              <w:rPr>
                <w:rFonts w:ascii="Times New Roman" w:hAnsi="Times New Roman"/>
                <w:b w:val="0"/>
                <w:sz w:val="22"/>
              </w:rPr>
              <w:t>Использование устаревших форм</w:t>
            </w:r>
          </w:p>
        </w:tc>
        <w:tc>
          <w:tcPr>
            <w:tcW w:w="2300" w:type="dxa"/>
          </w:tcPr>
          <w:p w14:paraId="222C57E5">
            <w:pPr>
              <w:widowControl w:val="0"/>
              <w:jc w:val="both"/>
            </w:pPr>
            <w:r>
              <w:rPr>
                <w:rFonts w:ascii="Times New Roman" w:hAnsi="Times New Roman"/>
                <w:b w:val="0"/>
                <w:sz w:val="22"/>
              </w:rPr>
              <w:t>Единая база знаний в Битрикс24/облаке</w:t>
            </w:r>
          </w:p>
        </w:tc>
        <w:tc>
          <w:tcPr>
            <w:tcW w:w="2300" w:type="dxa"/>
          </w:tcPr>
          <w:p w14:paraId="32F37F12">
            <w:pPr>
              <w:widowControl w:val="0"/>
              <w:jc w:val="both"/>
            </w:pPr>
            <w:r>
              <w:rPr>
                <w:rFonts w:ascii="Times New Roman" w:hAnsi="Times New Roman"/>
                <w:b w:val="0"/>
                <w:sz w:val="22"/>
              </w:rPr>
              <w:t>Единый источник актуальных материалов</w:t>
            </w:r>
          </w:p>
        </w:tc>
      </w:tr>
      <w:tr w14:paraId="6409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B2F1509">
            <w:pPr>
              <w:widowControl w:val="0"/>
              <w:jc w:val="both"/>
            </w:pPr>
            <w:r>
              <w:rPr>
                <w:rFonts w:ascii="Times New Roman" w:hAnsi="Times New Roman"/>
                <w:b w:val="0"/>
                <w:sz w:val="22"/>
              </w:rPr>
              <w:t>Нет регулярной проверки знаний</w:t>
            </w:r>
          </w:p>
        </w:tc>
        <w:tc>
          <w:tcPr>
            <w:tcW w:w="2300" w:type="dxa"/>
          </w:tcPr>
          <w:p w14:paraId="063FE291">
            <w:pPr>
              <w:widowControl w:val="0"/>
              <w:jc w:val="both"/>
            </w:pPr>
            <w:r>
              <w:rPr>
                <w:rFonts w:ascii="Times New Roman" w:hAnsi="Times New Roman"/>
                <w:b w:val="0"/>
                <w:sz w:val="22"/>
              </w:rPr>
              <w:t>Руководитель не видит пробелы в компетенциях</w:t>
            </w:r>
          </w:p>
        </w:tc>
        <w:tc>
          <w:tcPr>
            <w:tcW w:w="2300" w:type="dxa"/>
          </w:tcPr>
          <w:p w14:paraId="0FAB3680">
            <w:pPr>
              <w:widowControl w:val="0"/>
              <w:jc w:val="both"/>
            </w:pPr>
            <w:r>
              <w:rPr>
                <w:rFonts w:ascii="Times New Roman" w:hAnsi="Times New Roman"/>
                <w:b w:val="0"/>
                <w:sz w:val="22"/>
              </w:rPr>
              <w:t>Квартальное тестирование по 44-ФЗ, 223-ФЗ и ЭТП</w:t>
            </w:r>
          </w:p>
        </w:tc>
        <w:tc>
          <w:tcPr>
            <w:tcW w:w="2300" w:type="dxa"/>
          </w:tcPr>
          <w:p w14:paraId="33D6EBFB">
            <w:pPr>
              <w:widowControl w:val="0"/>
              <w:jc w:val="both"/>
            </w:pPr>
            <w:r>
              <w:rPr>
                <w:rFonts w:ascii="Times New Roman" w:hAnsi="Times New Roman"/>
                <w:b w:val="0"/>
                <w:sz w:val="22"/>
              </w:rPr>
              <w:t>Контроль уровня подготовки</w:t>
            </w:r>
          </w:p>
        </w:tc>
      </w:tr>
      <w:tr w14:paraId="1FAD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6D8CBFC">
            <w:pPr>
              <w:widowControl w:val="0"/>
              <w:jc w:val="both"/>
            </w:pPr>
            <w:r>
              <w:rPr>
                <w:rFonts w:ascii="Times New Roman" w:hAnsi="Times New Roman"/>
                <w:b w:val="0"/>
                <w:sz w:val="22"/>
              </w:rPr>
              <w:t>Ошибки разбираются устно</w:t>
            </w:r>
          </w:p>
        </w:tc>
        <w:tc>
          <w:tcPr>
            <w:tcW w:w="2300" w:type="dxa"/>
          </w:tcPr>
          <w:p w14:paraId="0AC0C96F">
            <w:pPr>
              <w:widowControl w:val="0"/>
              <w:jc w:val="both"/>
            </w:pPr>
            <w:r>
              <w:rPr>
                <w:rFonts w:ascii="Times New Roman" w:hAnsi="Times New Roman"/>
                <w:b w:val="0"/>
                <w:sz w:val="22"/>
              </w:rPr>
              <w:t>Одни и те же ошибки повторяются</w:t>
            </w:r>
          </w:p>
        </w:tc>
        <w:tc>
          <w:tcPr>
            <w:tcW w:w="2300" w:type="dxa"/>
          </w:tcPr>
          <w:p w14:paraId="1AB2C91A">
            <w:pPr>
              <w:widowControl w:val="0"/>
              <w:jc w:val="both"/>
            </w:pPr>
            <w:r>
              <w:rPr>
                <w:rFonts w:ascii="Times New Roman" w:hAnsi="Times New Roman"/>
                <w:b w:val="0"/>
                <w:sz w:val="22"/>
              </w:rPr>
              <w:t>Реестр ошибок и ежемесячные разборы</w:t>
            </w:r>
          </w:p>
        </w:tc>
        <w:tc>
          <w:tcPr>
            <w:tcW w:w="2300" w:type="dxa"/>
          </w:tcPr>
          <w:p w14:paraId="50478ABD">
            <w:pPr>
              <w:widowControl w:val="0"/>
              <w:jc w:val="both"/>
            </w:pPr>
            <w:r>
              <w:rPr>
                <w:rFonts w:ascii="Times New Roman" w:hAnsi="Times New Roman"/>
                <w:b w:val="0"/>
                <w:sz w:val="22"/>
              </w:rPr>
              <w:t>Накопление общего опыта отдела</w:t>
            </w:r>
          </w:p>
        </w:tc>
      </w:tr>
      <w:tr w14:paraId="6C79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50A230B">
            <w:pPr>
              <w:widowControl w:val="0"/>
              <w:jc w:val="both"/>
            </w:pPr>
            <w:r>
              <w:rPr>
                <w:rFonts w:ascii="Times New Roman" w:hAnsi="Times New Roman"/>
                <w:b w:val="0"/>
                <w:sz w:val="22"/>
              </w:rPr>
              <w:t>Нет финального контроля заявки</w:t>
            </w:r>
          </w:p>
        </w:tc>
        <w:tc>
          <w:tcPr>
            <w:tcW w:w="2300" w:type="dxa"/>
          </w:tcPr>
          <w:p w14:paraId="53797726">
            <w:pPr>
              <w:widowControl w:val="0"/>
              <w:jc w:val="both"/>
            </w:pPr>
            <w:r>
              <w:rPr>
                <w:rFonts w:ascii="Times New Roman" w:hAnsi="Times New Roman"/>
                <w:b w:val="0"/>
                <w:sz w:val="22"/>
              </w:rPr>
              <w:t>Пропуск файлов, форматов, подписей</w:t>
            </w:r>
          </w:p>
        </w:tc>
        <w:tc>
          <w:tcPr>
            <w:tcW w:w="2300" w:type="dxa"/>
          </w:tcPr>
          <w:p w14:paraId="5742E79A">
            <w:pPr>
              <w:widowControl w:val="0"/>
              <w:jc w:val="both"/>
            </w:pPr>
            <w:r>
              <w:rPr>
                <w:rFonts w:ascii="Times New Roman" w:hAnsi="Times New Roman"/>
                <w:b w:val="0"/>
                <w:sz w:val="22"/>
              </w:rPr>
              <w:t>Чек-лист допуска заявки перед отправкой</w:t>
            </w:r>
          </w:p>
        </w:tc>
        <w:tc>
          <w:tcPr>
            <w:tcW w:w="2300" w:type="dxa"/>
          </w:tcPr>
          <w:p w14:paraId="6EE03BA8">
            <w:pPr>
              <w:widowControl w:val="0"/>
              <w:jc w:val="both"/>
            </w:pPr>
            <w:r>
              <w:rPr>
                <w:rFonts w:ascii="Times New Roman" w:hAnsi="Times New Roman"/>
                <w:b w:val="0"/>
                <w:sz w:val="22"/>
              </w:rPr>
              <w:t>Снижение доли отклонений</w:t>
            </w:r>
          </w:p>
        </w:tc>
      </w:tr>
      <w:tr w14:paraId="3763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18BB549">
            <w:pPr>
              <w:widowControl w:val="0"/>
              <w:jc w:val="both"/>
            </w:pPr>
            <w:r>
              <w:rPr>
                <w:rFonts w:ascii="Times New Roman" w:hAnsi="Times New Roman"/>
                <w:b w:val="0"/>
                <w:sz w:val="22"/>
              </w:rPr>
              <w:t>Обучение не связано с мотивацией</w:t>
            </w:r>
          </w:p>
        </w:tc>
        <w:tc>
          <w:tcPr>
            <w:tcW w:w="2300" w:type="dxa"/>
          </w:tcPr>
          <w:p w14:paraId="5462A9CB">
            <w:pPr>
              <w:widowControl w:val="0"/>
              <w:jc w:val="both"/>
            </w:pPr>
            <w:r>
              <w:rPr>
                <w:rFonts w:ascii="Times New Roman" w:hAnsi="Times New Roman"/>
                <w:b w:val="0"/>
                <w:sz w:val="22"/>
              </w:rPr>
              <w:t>Сотрудники не заинтересованы в передаче опыта</w:t>
            </w:r>
          </w:p>
        </w:tc>
        <w:tc>
          <w:tcPr>
            <w:tcW w:w="2300" w:type="dxa"/>
          </w:tcPr>
          <w:p w14:paraId="195E69AA">
            <w:pPr>
              <w:widowControl w:val="0"/>
              <w:jc w:val="both"/>
            </w:pPr>
            <w:r>
              <w:rPr>
                <w:rFonts w:ascii="Times New Roman" w:hAnsi="Times New Roman"/>
                <w:b w:val="0"/>
                <w:sz w:val="22"/>
              </w:rPr>
              <w:t>KPI качества и наставничества</w:t>
            </w:r>
          </w:p>
        </w:tc>
        <w:tc>
          <w:tcPr>
            <w:tcW w:w="2300" w:type="dxa"/>
          </w:tcPr>
          <w:p w14:paraId="0C04F0C7">
            <w:pPr>
              <w:widowControl w:val="0"/>
              <w:jc w:val="both"/>
            </w:pPr>
            <w:r>
              <w:rPr>
                <w:rFonts w:ascii="Times New Roman" w:hAnsi="Times New Roman"/>
                <w:b w:val="0"/>
                <w:sz w:val="22"/>
              </w:rPr>
              <w:t>Закрепление развития как части результата</w:t>
            </w:r>
          </w:p>
        </w:tc>
      </w:tr>
    </w:tbl>
    <w:p w14:paraId="5A1CA569">
      <w:pPr>
        <w:spacing w:after="120" w:line="360" w:lineRule="auto"/>
        <w:ind w:firstLine="700"/>
      </w:pPr>
    </w:p>
    <w:p w14:paraId="4A05AD80">
      <w:pPr>
        <w:spacing w:after="120" w:line="360" w:lineRule="auto"/>
        <w:ind w:firstLine="700"/>
      </w:pPr>
      <w:r>
        <w:rPr>
          <w:rFonts w:ascii="Times New Roman" w:hAnsi="Times New Roman"/>
          <w:b w:val="0"/>
          <w:sz w:val="28"/>
        </w:rPr>
        <w:t>Предлагаемая система должна строиться по принципу «диагностика — обучение — применение — контроль — корректировка». На первом этапе выявляются пробелы в знаниях сотрудников и причины отклонений заявок. На втором этапе проводится обучение и актуализация материалов. На третьем этапе знания применяются при подготовке реальных заявок. На четвертом этапе результаты проверяются через показатели допуска, побед, ошибок и тестирования. На пятом этапе корректируются инструкции, чек-листы и содержание обучения.</w:t>
      </w:r>
    </w:p>
    <w:p w14:paraId="298AC80E">
      <w:pPr>
        <w:spacing w:after="120" w:line="360" w:lineRule="auto"/>
        <w:ind w:firstLine="700"/>
      </w:pPr>
      <w:r>
        <w:rPr>
          <w:rFonts w:ascii="Times New Roman" w:hAnsi="Times New Roman"/>
          <w:b w:val="0"/>
          <w:sz w:val="28"/>
        </w:rPr>
        <w:t>В отличие от разовых вебинаров, такая система создает замкнутый управленческий цикл. Если заявка отклонена из-за устаревшей формы, ошибка не просто обсуждается с конкретным сотрудником, а приводит к обновлению шаблона, включению случая в базу ошибок и добавлению контрольного пункта в чек-лист. Если сотрудник не проходит тестирование по изменениям 44-ФЗ, руководитель видит конкретную зону риска и назначает повторное изучение материала. Если новый работник допускает типовые ошибки в первый месяц, наставник корректирует адаптационный маршрут.</w:t>
      </w:r>
    </w:p>
    <w:p w14:paraId="54DA3428">
      <w:pPr>
        <w:spacing w:after="120" w:line="360" w:lineRule="auto"/>
        <w:ind w:firstLine="700"/>
      </w:pPr>
      <w:r>
        <w:rPr>
          <w:rFonts w:ascii="Times New Roman" w:hAnsi="Times New Roman"/>
          <w:b w:val="0"/>
          <w:sz w:val="28"/>
        </w:rPr>
        <w:t>Общий подход к совершенствованию представлен как система из пяти взаимосвязанных блоков: нормативно-методический блок, образовательный блок, технологический блок, организационный блок и оценочный блок. Нормативно-методический блок включает внутренние регламенты и шаблоны. Образовательный блок включает внешнее обучение и внутренние мини-модули. Технологический блок включает Битрикс24, LMS или раздел базы знаний, чек-листы и тесты. Организационный блок закрепляет ответственных лиц и календарь мероприятий. Оценочный блок связывает обучение с результатами тендерной деятельности.</w:t>
      </w:r>
    </w:p>
    <w:p w14:paraId="745CE28A">
      <w:pPr>
        <w:spacing w:after="120" w:line="360" w:lineRule="auto"/>
        <w:jc w:val="center"/>
      </w:pPr>
      <w:r>
        <w:rPr>
          <w:rFonts w:ascii="Times New Roman" w:hAnsi="Times New Roman"/>
          <w:b w:val="0"/>
          <w:sz w:val="28"/>
        </w:rPr>
        <w:t>Таблица 3.2. Структура предлагаемой системы «Тендерная академия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66A8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BA6F070">
            <w:pPr>
              <w:widowControl w:val="0"/>
              <w:jc w:val="both"/>
            </w:pPr>
            <w:r>
              <w:rPr>
                <w:rFonts w:ascii="Times New Roman" w:hAnsi="Times New Roman"/>
                <w:b/>
                <w:sz w:val="22"/>
              </w:rPr>
              <w:t>Блок системы</w:t>
            </w:r>
          </w:p>
        </w:tc>
        <w:tc>
          <w:tcPr>
            <w:tcW w:w="2300" w:type="dxa"/>
          </w:tcPr>
          <w:p w14:paraId="02EA81FD">
            <w:pPr>
              <w:widowControl w:val="0"/>
              <w:jc w:val="both"/>
            </w:pPr>
            <w:r>
              <w:rPr>
                <w:rFonts w:ascii="Times New Roman" w:hAnsi="Times New Roman"/>
                <w:b/>
                <w:sz w:val="22"/>
              </w:rPr>
              <w:t>Содержание</w:t>
            </w:r>
          </w:p>
        </w:tc>
        <w:tc>
          <w:tcPr>
            <w:tcW w:w="2300" w:type="dxa"/>
          </w:tcPr>
          <w:p w14:paraId="66408EA8">
            <w:pPr>
              <w:widowControl w:val="0"/>
              <w:jc w:val="both"/>
            </w:pPr>
            <w:r>
              <w:rPr>
                <w:rFonts w:ascii="Times New Roman" w:hAnsi="Times New Roman"/>
                <w:b/>
                <w:sz w:val="22"/>
              </w:rPr>
              <w:t>Ответственный</w:t>
            </w:r>
          </w:p>
        </w:tc>
        <w:tc>
          <w:tcPr>
            <w:tcW w:w="2300" w:type="dxa"/>
          </w:tcPr>
          <w:p w14:paraId="6356214C">
            <w:pPr>
              <w:widowControl w:val="0"/>
              <w:jc w:val="both"/>
            </w:pPr>
            <w:r>
              <w:rPr>
                <w:rFonts w:ascii="Times New Roman" w:hAnsi="Times New Roman"/>
                <w:b/>
                <w:sz w:val="22"/>
              </w:rPr>
              <w:t>Периодичность</w:t>
            </w:r>
          </w:p>
        </w:tc>
      </w:tr>
      <w:tr w14:paraId="19CE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2FB41D8">
            <w:pPr>
              <w:widowControl w:val="0"/>
              <w:jc w:val="both"/>
            </w:pPr>
            <w:r>
              <w:rPr>
                <w:rFonts w:ascii="Times New Roman" w:hAnsi="Times New Roman"/>
                <w:b w:val="0"/>
                <w:sz w:val="22"/>
              </w:rPr>
              <w:t>Нормативно-методический</w:t>
            </w:r>
          </w:p>
        </w:tc>
        <w:tc>
          <w:tcPr>
            <w:tcW w:w="2300" w:type="dxa"/>
          </w:tcPr>
          <w:p w14:paraId="200C4441">
            <w:pPr>
              <w:widowControl w:val="0"/>
              <w:jc w:val="both"/>
            </w:pPr>
            <w:r>
              <w:rPr>
                <w:rFonts w:ascii="Times New Roman" w:hAnsi="Times New Roman"/>
                <w:b w:val="0"/>
                <w:sz w:val="22"/>
              </w:rPr>
              <w:t>Шаблоны, инструкции, чек-листы, реестр ошибок</w:t>
            </w:r>
          </w:p>
        </w:tc>
        <w:tc>
          <w:tcPr>
            <w:tcW w:w="2300" w:type="dxa"/>
          </w:tcPr>
          <w:p w14:paraId="14F5D8B5">
            <w:pPr>
              <w:widowControl w:val="0"/>
              <w:jc w:val="both"/>
            </w:pPr>
            <w:r>
              <w:rPr>
                <w:rFonts w:ascii="Times New Roman" w:hAnsi="Times New Roman"/>
                <w:b w:val="0"/>
                <w:sz w:val="22"/>
              </w:rPr>
              <w:t>Руководитель тендерного отдела, юрист</w:t>
            </w:r>
          </w:p>
        </w:tc>
        <w:tc>
          <w:tcPr>
            <w:tcW w:w="2300" w:type="dxa"/>
          </w:tcPr>
          <w:p w14:paraId="593CC4DE">
            <w:pPr>
              <w:widowControl w:val="0"/>
              <w:jc w:val="both"/>
            </w:pPr>
            <w:r>
              <w:rPr>
                <w:rFonts w:ascii="Times New Roman" w:hAnsi="Times New Roman"/>
                <w:b w:val="0"/>
                <w:sz w:val="22"/>
              </w:rPr>
              <w:t>Обновление при изменениях законодательства и ежемесячно</w:t>
            </w:r>
          </w:p>
        </w:tc>
      </w:tr>
      <w:tr w14:paraId="1DA6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C237915">
            <w:pPr>
              <w:widowControl w:val="0"/>
              <w:jc w:val="both"/>
            </w:pPr>
            <w:r>
              <w:rPr>
                <w:rFonts w:ascii="Times New Roman" w:hAnsi="Times New Roman"/>
                <w:b w:val="0"/>
                <w:sz w:val="22"/>
              </w:rPr>
              <w:t>Образовательный</w:t>
            </w:r>
          </w:p>
        </w:tc>
        <w:tc>
          <w:tcPr>
            <w:tcW w:w="2300" w:type="dxa"/>
          </w:tcPr>
          <w:p w14:paraId="674B0131">
            <w:pPr>
              <w:widowControl w:val="0"/>
              <w:jc w:val="both"/>
            </w:pPr>
            <w:r>
              <w:rPr>
                <w:rFonts w:ascii="Times New Roman" w:hAnsi="Times New Roman"/>
                <w:b w:val="0"/>
                <w:sz w:val="22"/>
              </w:rPr>
              <w:t>Курсы 44-ФЗ/223-ФЗ, внутренние мини-занятия, кейсы</w:t>
            </w:r>
          </w:p>
        </w:tc>
        <w:tc>
          <w:tcPr>
            <w:tcW w:w="2300" w:type="dxa"/>
          </w:tcPr>
          <w:p w14:paraId="0803FB28">
            <w:pPr>
              <w:widowControl w:val="0"/>
              <w:jc w:val="both"/>
            </w:pPr>
            <w:r>
              <w:rPr>
                <w:rFonts w:ascii="Times New Roman" w:hAnsi="Times New Roman"/>
                <w:b w:val="0"/>
                <w:sz w:val="22"/>
              </w:rPr>
              <w:t>Руководитель отдела, наставники</w:t>
            </w:r>
          </w:p>
        </w:tc>
        <w:tc>
          <w:tcPr>
            <w:tcW w:w="2300" w:type="dxa"/>
          </w:tcPr>
          <w:p w14:paraId="5B092132">
            <w:pPr>
              <w:widowControl w:val="0"/>
              <w:jc w:val="both"/>
            </w:pPr>
            <w:r>
              <w:rPr>
                <w:rFonts w:ascii="Times New Roman" w:hAnsi="Times New Roman"/>
                <w:b w:val="0"/>
                <w:sz w:val="22"/>
              </w:rPr>
              <w:t>Внешнее обучение ежегодно, внутреннее — ежемесячно</w:t>
            </w:r>
          </w:p>
        </w:tc>
      </w:tr>
      <w:tr w14:paraId="2C6B3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7689105">
            <w:pPr>
              <w:widowControl w:val="0"/>
              <w:jc w:val="both"/>
            </w:pPr>
            <w:r>
              <w:rPr>
                <w:rFonts w:ascii="Times New Roman" w:hAnsi="Times New Roman"/>
                <w:b w:val="0"/>
                <w:sz w:val="22"/>
              </w:rPr>
              <w:t>Технологический</w:t>
            </w:r>
          </w:p>
        </w:tc>
        <w:tc>
          <w:tcPr>
            <w:tcW w:w="2300" w:type="dxa"/>
          </w:tcPr>
          <w:p w14:paraId="016341E0">
            <w:pPr>
              <w:widowControl w:val="0"/>
              <w:jc w:val="both"/>
            </w:pPr>
            <w:r>
              <w:rPr>
                <w:rFonts w:ascii="Times New Roman" w:hAnsi="Times New Roman"/>
                <w:b w:val="0"/>
                <w:sz w:val="22"/>
              </w:rPr>
              <w:t>База знаний, тестирование, задачи контроля заявок</w:t>
            </w:r>
          </w:p>
        </w:tc>
        <w:tc>
          <w:tcPr>
            <w:tcW w:w="2300" w:type="dxa"/>
          </w:tcPr>
          <w:p w14:paraId="4913EA83">
            <w:pPr>
              <w:widowControl w:val="0"/>
              <w:jc w:val="both"/>
            </w:pPr>
            <w:r>
              <w:rPr>
                <w:rFonts w:ascii="Times New Roman" w:hAnsi="Times New Roman"/>
                <w:b w:val="0"/>
                <w:sz w:val="22"/>
              </w:rPr>
              <w:t>Системный администратор, руководитель отдела</w:t>
            </w:r>
          </w:p>
        </w:tc>
        <w:tc>
          <w:tcPr>
            <w:tcW w:w="2300" w:type="dxa"/>
          </w:tcPr>
          <w:p w14:paraId="793069D8">
            <w:pPr>
              <w:widowControl w:val="0"/>
              <w:jc w:val="both"/>
            </w:pPr>
            <w:r>
              <w:rPr>
                <w:rFonts w:ascii="Times New Roman" w:hAnsi="Times New Roman"/>
                <w:b w:val="0"/>
                <w:sz w:val="22"/>
              </w:rPr>
              <w:t>Постоянно</w:t>
            </w:r>
          </w:p>
        </w:tc>
      </w:tr>
      <w:tr w14:paraId="34D4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FFD8CE4">
            <w:pPr>
              <w:widowControl w:val="0"/>
              <w:jc w:val="both"/>
            </w:pPr>
            <w:r>
              <w:rPr>
                <w:rFonts w:ascii="Times New Roman" w:hAnsi="Times New Roman"/>
                <w:b w:val="0"/>
                <w:sz w:val="22"/>
              </w:rPr>
              <w:t>Организационный</w:t>
            </w:r>
          </w:p>
        </w:tc>
        <w:tc>
          <w:tcPr>
            <w:tcW w:w="2300" w:type="dxa"/>
          </w:tcPr>
          <w:p w14:paraId="402FA081">
            <w:pPr>
              <w:widowControl w:val="0"/>
              <w:jc w:val="both"/>
            </w:pPr>
            <w:r>
              <w:rPr>
                <w:rFonts w:ascii="Times New Roman" w:hAnsi="Times New Roman"/>
                <w:b w:val="0"/>
                <w:sz w:val="22"/>
              </w:rPr>
              <w:t>Адаптация новичков, наставничество, календарь обучения</w:t>
            </w:r>
          </w:p>
        </w:tc>
        <w:tc>
          <w:tcPr>
            <w:tcW w:w="2300" w:type="dxa"/>
          </w:tcPr>
          <w:p w14:paraId="5A0A5525">
            <w:pPr>
              <w:widowControl w:val="0"/>
              <w:jc w:val="both"/>
            </w:pPr>
            <w:r>
              <w:rPr>
                <w:rFonts w:ascii="Times New Roman" w:hAnsi="Times New Roman"/>
                <w:b w:val="0"/>
                <w:sz w:val="22"/>
              </w:rPr>
              <w:t>Генеральный директор, руководитель отдела</w:t>
            </w:r>
          </w:p>
        </w:tc>
        <w:tc>
          <w:tcPr>
            <w:tcW w:w="2300" w:type="dxa"/>
          </w:tcPr>
          <w:p w14:paraId="149DBDD6">
            <w:pPr>
              <w:widowControl w:val="0"/>
              <w:jc w:val="both"/>
            </w:pPr>
            <w:r>
              <w:rPr>
                <w:rFonts w:ascii="Times New Roman" w:hAnsi="Times New Roman"/>
                <w:b w:val="0"/>
                <w:sz w:val="22"/>
              </w:rPr>
              <w:t>При приеме сотрудника и ежеквартально</w:t>
            </w:r>
          </w:p>
        </w:tc>
      </w:tr>
      <w:tr w14:paraId="7856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5309224">
            <w:pPr>
              <w:widowControl w:val="0"/>
              <w:jc w:val="both"/>
            </w:pPr>
            <w:r>
              <w:rPr>
                <w:rFonts w:ascii="Times New Roman" w:hAnsi="Times New Roman"/>
                <w:b w:val="0"/>
                <w:sz w:val="22"/>
              </w:rPr>
              <w:t>Оценочный</w:t>
            </w:r>
          </w:p>
        </w:tc>
        <w:tc>
          <w:tcPr>
            <w:tcW w:w="2300" w:type="dxa"/>
          </w:tcPr>
          <w:p w14:paraId="16595B5F">
            <w:pPr>
              <w:widowControl w:val="0"/>
              <w:jc w:val="both"/>
            </w:pPr>
            <w:r>
              <w:rPr>
                <w:rFonts w:ascii="Times New Roman" w:hAnsi="Times New Roman"/>
                <w:b w:val="0"/>
                <w:sz w:val="22"/>
              </w:rPr>
              <w:t>KPI обучения, допуск заявок, доля ошибок, удовлетворенность</w:t>
            </w:r>
          </w:p>
        </w:tc>
        <w:tc>
          <w:tcPr>
            <w:tcW w:w="2300" w:type="dxa"/>
          </w:tcPr>
          <w:p w14:paraId="1768A446">
            <w:pPr>
              <w:widowControl w:val="0"/>
              <w:jc w:val="both"/>
            </w:pPr>
            <w:r>
              <w:rPr>
                <w:rFonts w:ascii="Times New Roman" w:hAnsi="Times New Roman"/>
                <w:b w:val="0"/>
                <w:sz w:val="22"/>
              </w:rPr>
              <w:t>Руководитель отдела, бухгалтерия</w:t>
            </w:r>
          </w:p>
        </w:tc>
        <w:tc>
          <w:tcPr>
            <w:tcW w:w="2300" w:type="dxa"/>
          </w:tcPr>
          <w:p w14:paraId="19792930">
            <w:pPr>
              <w:widowControl w:val="0"/>
              <w:jc w:val="both"/>
            </w:pPr>
            <w:r>
              <w:rPr>
                <w:rFonts w:ascii="Times New Roman" w:hAnsi="Times New Roman"/>
                <w:b w:val="0"/>
                <w:sz w:val="22"/>
              </w:rPr>
              <w:t>Ежемесячно и ежеквартально</w:t>
            </w:r>
          </w:p>
        </w:tc>
      </w:tr>
    </w:tbl>
    <w:p w14:paraId="7AB9D16B">
      <w:pPr>
        <w:spacing w:after="120" w:line="360" w:lineRule="auto"/>
        <w:ind w:firstLine="700"/>
      </w:pPr>
    </w:p>
    <w:p w14:paraId="10F90F52">
      <w:pPr>
        <w:spacing w:after="120" w:line="360" w:lineRule="auto"/>
        <w:ind w:firstLine="700"/>
      </w:pPr>
      <w:r>
        <w:rPr>
          <w:rFonts w:ascii="Times New Roman" w:hAnsi="Times New Roman"/>
          <w:b w:val="0"/>
          <w:sz w:val="28"/>
        </w:rPr>
        <w:t>Таким образом, общие рекомендации направлены не на увеличение количества формальных учебных мероприятий, а на перестройку логики работы отдела. Обучение должно перестать быть эпизодическим действием и стать частью операционного процесса. Для ООО «Лайф Медиа» это особенно важно, поскольку компания работает удаленно, имеет небольшой штат и не может компенсировать ошибки большим количеством сотрудников или отдельным учебным подразделением.</w:t>
      </w:r>
    </w:p>
    <w:p w14:paraId="3A1FBE58">
      <w:pPr>
        <w:spacing w:after="120" w:line="360" w:lineRule="auto"/>
        <w:ind w:firstLine="700"/>
      </w:pPr>
      <w:r>
        <w:rPr>
          <w:rFonts w:ascii="Times New Roman" w:hAnsi="Times New Roman"/>
          <w:b w:val="0"/>
          <w:sz w:val="28"/>
        </w:rPr>
        <w:t>Предлагаемая модель опирается на существующий отечественный опыт профессионального обучения в сфере закупок, использование онлайн-курсов и цифровых платформ, а также на зарубежные подходы к оценке обучения через бизнес-результаты. Практическая ценность модели состоит в том, что она адаптирована к текущему состоянию компании: не требует существенного расширения штата, использует уже имеющуюся цифровую инфраструктуру и направлена на конкретные проблемы, выявленные во второй главе.</w:t>
      </w:r>
    </w:p>
    <w:p w14:paraId="7C83FF81">
      <w:pPr>
        <w:spacing w:after="120" w:line="360" w:lineRule="auto"/>
        <w:jc w:val="center"/>
      </w:pPr>
      <w:r>
        <w:rPr>
          <w:rFonts w:ascii="Times New Roman" w:hAnsi="Times New Roman"/>
          <w:b/>
          <w:sz w:val="28"/>
        </w:rPr>
        <w:t>3.2. Технико-экономическое обоснование предлагаемых решений и технология их внедрения</w:t>
      </w:r>
    </w:p>
    <w:p w14:paraId="56A7785E">
      <w:pPr>
        <w:spacing w:after="120" w:line="360" w:lineRule="auto"/>
        <w:ind w:firstLine="700"/>
      </w:pPr>
      <w:r>
        <w:rPr>
          <w:rFonts w:ascii="Times New Roman" w:hAnsi="Times New Roman"/>
          <w:b w:val="0"/>
          <w:sz w:val="28"/>
        </w:rPr>
        <w:t>Технико-экономическое обоснование предлагаемых решений включает описание сущности изменений, состав мероприятий, кадровое и техническое обеспечение, организационно-экономический механизм внедрения и адаптацию решений к действующей системе управления ООО «Лайф Медиа». При разработке учитывается, что предприятие относится к малому бизнесу, работает преимущественно удаленно и уже использует Битрикс24, электронный документооборот, облачное хранение документов и видеосвязь.</w:t>
      </w:r>
    </w:p>
    <w:p w14:paraId="406108E3">
      <w:pPr>
        <w:spacing w:after="120" w:line="360" w:lineRule="auto"/>
        <w:ind w:firstLine="700"/>
      </w:pPr>
      <w:r>
        <w:rPr>
          <w:rFonts w:ascii="Times New Roman" w:hAnsi="Times New Roman"/>
          <w:b w:val="0"/>
          <w:sz w:val="28"/>
        </w:rPr>
        <w:t>Сущность предлагаемых изменений состоит в создании управляемой системы обучения без формирования отдельной HR-службы. Управление системой возлагается на руководителя тендерного отдела, методическую поддержку осуществляет юрист на аутсорсинге, техническую настройку выполняет системный администратор, а контроль экономических показателей обеспечивает бухгалтерия совместно с генеральным директором. Такой подход позволяет встроить обучение в существующую структуру управления и избежать избыточных управленческих расходов.</w:t>
      </w:r>
    </w:p>
    <w:p w14:paraId="169B2E7C">
      <w:pPr>
        <w:spacing w:after="120" w:line="360" w:lineRule="auto"/>
        <w:ind w:firstLine="700"/>
      </w:pPr>
      <w:r>
        <w:rPr>
          <w:rFonts w:ascii="Times New Roman" w:hAnsi="Times New Roman"/>
          <w:b w:val="0"/>
          <w:sz w:val="28"/>
        </w:rPr>
        <w:t>Практический пакет мероприятий включает семь элементов: внедрение базы знаний, разработку адаптационного маршрута, внешнее обучение по 44-ФЗ и 223-ФЗ, создание чек-листа проверки заявки, введение реестра ошибок, назначение наставников и внедрение системы оценки эффективности обучения. Эти мероприятия взаимосвязаны. Например, внешнее обучение дает актуальные знания, база знаний закрепляет их в виде инструкций, чек-лист переводит знания в операционную процедуру, а реестр ошибок показывает, какие темы требуют повторного обучения.</w:t>
      </w:r>
    </w:p>
    <w:p w14:paraId="69F1551F">
      <w:pPr>
        <w:spacing w:after="120" w:line="360" w:lineRule="auto"/>
        <w:ind w:firstLine="700"/>
      </w:pPr>
      <w:r>
        <w:rPr>
          <w:rFonts w:ascii="Times New Roman" w:hAnsi="Times New Roman"/>
          <w:b w:val="0"/>
          <w:sz w:val="28"/>
        </w:rPr>
        <w:t>Первым мероприятием является формирование базы знаний тендерного отдела. База должна включать разделы: «Нормативные изменения», «Шаблоны документов», «ЭТП и ЕИС», «Типовые ошибки», «Расчеты НМЦК и цены», «Успешные заявки», «Чек-листы». Для малого предприятия рационально не приобретать отдельную дорогостоящую систему документооборота, а использовать Битрикс24 и облачное хранилище, поскольку эти инструменты уже применяются в компании.</w:t>
      </w:r>
    </w:p>
    <w:p w14:paraId="40E2730F">
      <w:pPr>
        <w:spacing w:after="120" w:line="360" w:lineRule="auto"/>
        <w:ind w:firstLine="700"/>
      </w:pPr>
      <w:r>
        <w:rPr>
          <w:rFonts w:ascii="Times New Roman" w:hAnsi="Times New Roman"/>
          <w:b w:val="0"/>
          <w:sz w:val="28"/>
        </w:rPr>
        <w:t>Вторым мероприятием является разработка адаптационного маршрута для новых сотрудников. Маршрут рассчитан на 10 рабочих дней и делится на четыре этапа: организационное введение, изучение нормативной базы, отработка документов и контрольный кейс. В конце адаптации сотрудник должен самостоятельно разобрать учебную закупку, определить комплект документов, заполнить шаблоны, проверить требования заказчика и пройти тест.</w:t>
      </w:r>
    </w:p>
    <w:p w14:paraId="487F311F">
      <w:pPr>
        <w:spacing w:after="120" w:line="360" w:lineRule="auto"/>
        <w:ind w:firstLine="700"/>
      </w:pPr>
      <w:r>
        <w:rPr>
          <w:rFonts w:ascii="Times New Roman" w:hAnsi="Times New Roman"/>
          <w:b w:val="0"/>
          <w:sz w:val="28"/>
        </w:rPr>
        <w:t>Третьим мероприятием является внешнее обучение сотрудников. Для базового уровня предлагается направить всех 8 тендерных специалистов на программы повышения квалификации по 44-ФЗ и 223-ФЗ. В расчетах используются открытые рыночные цены Контур.Школы: курс по 44-ФЗ стоимостью 18 000 руб. и курс по 223-ФЗ стоимостью 16 000 руб. на одного слушателя [45]. Такое обучение закрывает потребности, которые сотрудники сами обозначили в опросе: изменения законодательства, типовые ошибки и особенности электронных площадок.</w:t>
      </w:r>
    </w:p>
    <w:p w14:paraId="16A1B2D3">
      <w:pPr>
        <w:spacing w:after="120" w:line="360" w:lineRule="auto"/>
        <w:ind w:firstLine="700"/>
      </w:pPr>
      <w:r>
        <w:rPr>
          <w:rFonts w:ascii="Times New Roman" w:hAnsi="Times New Roman"/>
          <w:b w:val="0"/>
          <w:sz w:val="28"/>
        </w:rPr>
        <w:t>Четвертым мероприятием является внедрение чек-листа проверки заявки. Чек-лист должен применяться перед отправкой каждой заявки и включать не менее шести блоков: требования заказчика, комплект документов, актуальность форм, корректность расчетов, формат файлов, электронная подпись. В Битрикс24 чек-лист может быть создан как шаблон задачи, без которого заявка не переводится в статус «готова к отправке».</w:t>
      </w:r>
    </w:p>
    <w:p w14:paraId="765C5A0C">
      <w:pPr>
        <w:spacing w:after="120" w:line="360" w:lineRule="auto"/>
        <w:ind w:firstLine="700"/>
      </w:pPr>
      <w:r>
        <w:rPr>
          <w:rFonts w:ascii="Times New Roman" w:hAnsi="Times New Roman"/>
          <w:b w:val="0"/>
          <w:sz w:val="28"/>
        </w:rPr>
        <w:t>Пятым мероприятием является создание реестра ошибок. Реестр представляет собой таблицу, где фиксируются дата, номер закупки, сотрудник, тип ошибки, причина, последствия, корректирующее действие и дата обновления шаблона или инструкции. Такой реестр необходим не для наказания сотрудников, а для накопления знаний и выявления повторяющихся проблем.</w:t>
      </w:r>
    </w:p>
    <w:p w14:paraId="722725C6">
      <w:pPr>
        <w:spacing w:after="120" w:line="360" w:lineRule="auto"/>
        <w:ind w:firstLine="700"/>
      </w:pPr>
      <w:r>
        <w:rPr>
          <w:rFonts w:ascii="Times New Roman" w:hAnsi="Times New Roman"/>
          <w:b w:val="0"/>
          <w:sz w:val="28"/>
        </w:rPr>
        <w:t>Шестым мероприятием является наставничество. В отделе следует назначить двух наставников из числа наиболее опытных специалистов. За каждым новым сотрудником закрепляется наставник на первый месяц работы. Наставник помогает разобраться с внутренними стандартами, проверяет первые заявки, объясняет типовые ошибки и участвует в оценке готовности сотрудника к самостоятельной работе.</w:t>
      </w:r>
    </w:p>
    <w:p w14:paraId="7FA0B387">
      <w:pPr>
        <w:spacing w:after="120" w:line="360" w:lineRule="auto"/>
        <w:ind w:firstLine="700"/>
      </w:pPr>
      <w:r>
        <w:rPr>
          <w:rFonts w:ascii="Times New Roman" w:hAnsi="Times New Roman"/>
          <w:b w:val="0"/>
          <w:sz w:val="28"/>
        </w:rPr>
        <w:t>Седьмым мероприятием является внедрение оценки эффективности обучения. Оценка должна включать входное и итоговое тестирование, анализ динамики отклоненных заявок, сравнение конверсии из заявки в победу, оценку удовлетворенности сотрудников обучением и оценку руководителя отдела. Такой подход соответствует логике моделей Киркпатрика и Филлипса, рассмотренных в первой главе.</w:t>
      </w:r>
    </w:p>
    <w:p w14:paraId="31E0907F">
      <w:pPr>
        <w:spacing w:after="120" w:line="360" w:lineRule="auto"/>
        <w:jc w:val="center"/>
      </w:pPr>
      <w:r>
        <w:rPr>
          <w:rFonts w:ascii="Times New Roman" w:hAnsi="Times New Roman"/>
          <w:b w:val="0"/>
          <w:sz w:val="28"/>
        </w:rPr>
        <w:t>Таблица 3.3. Содержание предлагаемых мероприятий по совершенствованию системы обучения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0B59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990E2CD">
            <w:pPr>
              <w:widowControl w:val="0"/>
              <w:jc w:val="both"/>
            </w:pPr>
            <w:r>
              <w:rPr>
                <w:rFonts w:ascii="Times New Roman" w:hAnsi="Times New Roman"/>
                <w:b/>
                <w:sz w:val="22"/>
              </w:rPr>
              <w:t>Мероприятие</w:t>
            </w:r>
          </w:p>
        </w:tc>
        <w:tc>
          <w:tcPr>
            <w:tcW w:w="2300" w:type="dxa"/>
          </w:tcPr>
          <w:p w14:paraId="49D30A09">
            <w:pPr>
              <w:widowControl w:val="0"/>
              <w:jc w:val="both"/>
            </w:pPr>
            <w:r>
              <w:rPr>
                <w:rFonts w:ascii="Times New Roman" w:hAnsi="Times New Roman"/>
                <w:b/>
                <w:sz w:val="22"/>
              </w:rPr>
              <w:t>Содержание</w:t>
            </w:r>
          </w:p>
        </w:tc>
        <w:tc>
          <w:tcPr>
            <w:tcW w:w="2300" w:type="dxa"/>
          </w:tcPr>
          <w:p w14:paraId="14C73BFF">
            <w:pPr>
              <w:widowControl w:val="0"/>
              <w:jc w:val="both"/>
            </w:pPr>
            <w:r>
              <w:rPr>
                <w:rFonts w:ascii="Times New Roman" w:hAnsi="Times New Roman"/>
                <w:b/>
                <w:sz w:val="22"/>
              </w:rPr>
              <w:t>Проблема, которую решает</w:t>
            </w:r>
          </w:p>
        </w:tc>
        <w:tc>
          <w:tcPr>
            <w:tcW w:w="2300" w:type="dxa"/>
          </w:tcPr>
          <w:p w14:paraId="68A7977B">
            <w:pPr>
              <w:widowControl w:val="0"/>
              <w:jc w:val="both"/>
            </w:pPr>
            <w:r>
              <w:rPr>
                <w:rFonts w:ascii="Times New Roman" w:hAnsi="Times New Roman"/>
                <w:b/>
                <w:sz w:val="22"/>
              </w:rPr>
              <w:t>Результат</w:t>
            </w:r>
          </w:p>
        </w:tc>
      </w:tr>
      <w:tr w14:paraId="7936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CCF70DB">
            <w:pPr>
              <w:widowControl w:val="0"/>
              <w:jc w:val="both"/>
            </w:pPr>
            <w:r>
              <w:rPr>
                <w:rFonts w:ascii="Times New Roman" w:hAnsi="Times New Roman"/>
                <w:b w:val="0"/>
                <w:sz w:val="22"/>
              </w:rPr>
              <w:t>База знаний</w:t>
            </w:r>
          </w:p>
        </w:tc>
        <w:tc>
          <w:tcPr>
            <w:tcW w:w="2300" w:type="dxa"/>
          </w:tcPr>
          <w:p w14:paraId="63C78E41">
            <w:pPr>
              <w:widowControl w:val="0"/>
              <w:jc w:val="both"/>
            </w:pPr>
            <w:r>
              <w:rPr>
                <w:rFonts w:ascii="Times New Roman" w:hAnsi="Times New Roman"/>
                <w:b w:val="0"/>
                <w:sz w:val="22"/>
              </w:rPr>
              <w:t>Шаблоны, инструкции, изменения законодательства, кейсы</w:t>
            </w:r>
          </w:p>
        </w:tc>
        <w:tc>
          <w:tcPr>
            <w:tcW w:w="2300" w:type="dxa"/>
          </w:tcPr>
          <w:p w14:paraId="686B7562">
            <w:pPr>
              <w:widowControl w:val="0"/>
              <w:jc w:val="both"/>
            </w:pPr>
            <w:r>
              <w:rPr>
                <w:rFonts w:ascii="Times New Roman" w:hAnsi="Times New Roman"/>
                <w:b w:val="0"/>
                <w:sz w:val="22"/>
              </w:rPr>
              <w:t>Разрозненность материалов</w:t>
            </w:r>
          </w:p>
        </w:tc>
        <w:tc>
          <w:tcPr>
            <w:tcW w:w="2300" w:type="dxa"/>
          </w:tcPr>
          <w:p w14:paraId="77C0FBDE">
            <w:pPr>
              <w:widowControl w:val="0"/>
              <w:jc w:val="both"/>
            </w:pPr>
            <w:r>
              <w:rPr>
                <w:rFonts w:ascii="Times New Roman" w:hAnsi="Times New Roman"/>
                <w:b w:val="0"/>
                <w:sz w:val="22"/>
              </w:rPr>
              <w:t>Единый источник актуальной информации</w:t>
            </w:r>
          </w:p>
        </w:tc>
      </w:tr>
      <w:tr w14:paraId="6EC3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1A2FD65">
            <w:pPr>
              <w:widowControl w:val="0"/>
              <w:jc w:val="both"/>
            </w:pPr>
            <w:r>
              <w:rPr>
                <w:rFonts w:ascii="Times New Roman" w:hAnsi="Times New Roman"/>
                <w:b w:val="0"/>
                <w:sz w:val="22"/>
              </w:rPr>
              <w:t>Адаптационный маршрут</w:t>
            </w:r>
          </w:p>
        </w:tc>
        <w:tc>
          <w:tcPr>
            <w:tcW w:w="2300" w:type="dxa"/>
          </w:tcPr>
          <w:p w14:paraId="23D8F45C">
            <w:pPr>
              <w:widowControl w:val="0"/>
              <w:jc w:val="both"/>
            </w:pPr>
            <w:r>
              <w:rPr>
                <w:rFonts w:ascii="Times New Roman" w:hAnsi="Times New Roman"/>
                <w:b w:val="0"/>
                <w:sz w:val="22"/>
              </w:rPr>
              <w:t>10-дневная программа ввода в должность</w:t>
            </w:r>
          </w:p>
        </w:tc>
        <w:tc>
          <w:tcPr>
            <w:tcW w:w="2300" w:type="dxa"/>
          </w:tcPr>
          <w:p w14:paraId="57F89BC0">
            <w:pPr>
              <w:widowControl w:val="0"/>
              <w:jc w:val="both"/>
            </w:pPr>
            <w:r>
              <w:rPr>
                <w:rFonts w:ascii="Times New Roman" w:hAnsi="Times New Roman"/>
                <w:b w:val="0"/>
                <w:sz w:val="22"/>
              </w:rPr>
              <w:t>Отсутствие системной адаптации</w:t>
            </w:r>
          </w:p>
        </w:tc>
        <w:tc>
          <w:tcPr>
            <w:tcW w:w="2300" w:type="dxa"/>
          </w:tcPr>
          <w:p w14:paraId="50BC91B0">
            <w:pPr>
              <w:widowControl w:val="0"/>
              <w:jc w:val="both"/>
            </w:pPr>
            <w:r>
              <w:rPr>
                <w:rFonts w:ascii="Times New Roman" w:hAnsi="Times New Roman"/>
                <w:b w:val="0"/>
                <w:sz w:val="22"/>
              </w:rPr>
              <w:t>Быстрое включение новичка в работу</w:t>
            </w:r>
          </w:p>
        </w:tc>
      </w:tr>
      <w:tr w14:paraId="601F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9B210DD">
            <w:pPr>
              <w:widowControl w:val="0"/>
              <w:jc w:val="both"/>
            </w:pPr>
            <w:r>
              <w:rPr>
                <w:rFonts w:ascii="Times New Roman" w:hAnsi="Times New Roman"/>
                <w:b w:val="0"/>
                <w:sz w:val="22"/>
              </w:rPr>
              <w:t>Внешнее обучение</w:t>
            </w:r>
          </w:p>
        </w:tc>
        <w:tc>
          <w:tcPr>
            <w:tcW w:w="2300" w:type="dxa"/>
          </w:tcPr>
          <w:p w14:paraId="2E12CAB6">
            <w:pPr>
              <w:widowControl w:val="0"/>
              <w:jc w:val="both"/>
            </w:pPr>
            <w:r>
              <w:rPr>
                <w:rFonts w:ascii="Times New Roman" w:hAnsi="Times New Roman"/>
                <w:b w:val="0"/>
                <w:sz w:val="22"/>
              </w:rPr>
              <w:t>Курсы 44-ФЗ и 223-ФЗ для 8 сотрудников</w:t>
            </w:r>
          </w:p>
        </w:tc>
        <w:tc>
          <w:tcPr>
            <w:tcW w:w="2300" w:type="dxa"/>
          </w:tcPr>
          <w:p w14:paraId="4B920269">
            <w:pPr>
              <w:widowControl w:val="0"/>
              <w:jc w:val="both"/>
            </w:pPr>
            <w:r>
              <w:rPr>
                <w:rFonts w:ascii="Times New Roman" w:hAnsi="Times New Roman"/>
                <w:b w:val="0"/>
                <w:sz w:val="22"/>
              </w:rPr>
              <w:t>Пробелы в нормативных знаниях</w:t>
            </w:r>
          </w:p>
        </w:tc>
        <w:tc>
          <w:tcPr>
            <w:tcW w:w="2300" w:type="dxa"/>
          </w:tcPr>
          <w:p w14:paraId="21E26A36">
            <w:pPr>
              <w:widowControl w:val="0"/>
              <w:jc w:val="both"/>
            </w:pPr>
            <w:r>
              <w:rPr>
                <w:rFonts w:ascii="Times New Roman" w:hAnsi="Times New Roman"/>
                <w:b w:val="0"/>
                <w:sz w:val="22"/>
              </w:rPr>
              <w:t>Актуализация профессиональных компетенций</w:t>
            </w:r>
          </w:p>
        </w:tc>
      </w:tr>
      <w:tr w14:paraId="74BE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5D389A9">
            <w:pPr>
              <w:widowControl w:val="0"/>
              <w:jc w:val="both"/>
            </w:pPr>
            <w:r>
              <w:rPr>
                <w:rFonts w:ascii="Times New Roman" w:hAnsi="Times New Roman"/>
                <w:b w:val="0"/>
                <w:sz w:val="22"/>
              </w:rPr>
              <w:t>Чек-лист заявки</w:t>
            </w:r>
          </w:p>
        </w:tc>
        <w:tc>
          <w:tcPr>
            <w:tcW w:w="2300" w:type="dxa"/>
          </w:tcPr>
          <w:p w14:paraId="4882B943">
            <w:pPr>
              <w:widowControl w:val="0"/>
              <w:jc w:val="both"/>
            </w:pPr>
            <w:r>
              <w:rPr>
                <w:rFonts w:ascii="Times New Roman" w:hAnsi="Times New Roman"/>
                <w:b w:val="0"/>
                <w:sz w:val="22"/>
              </w:rPr>
              <w:t>Контроль комплектности, формата, подписи и расчетов</w:t>
            </w:r>
          </w:p>
        </w:tc>
        <w:tc>
          <w:tcPr>
            <w:tcW w:w="2300" w:type="dxa"/>
          </w:tcPr>
          <w:p w14:paraId="587FBA0C">
            <w:pPr>
              <w:widowControl w:val="0"/>
              <w:jc w:val="both"/>
            </w:pPr>
            <w:r>
              <w:rPr>
                <w:rFonts w:ascii="Times New Roman" w:hAnsi="Times New Roman"/>
                <w:b w:val="0"/>
                <w:sz w:val="22"/>
              </w:rPr>
              <w:t>Формальные ошибки</w:t>
            </w:r>
          </w:p>
        </w:tc>
        <w:tc>
          <w:tcPr>
            <w:tcW w:w="2300" w:type="dxa"/>
          </w:tcPr>
          <w:p w14:paraId="56ED30FC">
            <w:pPr>
              <w:widowControl w:val="0"/>
              <w:jc w:val="both"/>
            </w:pPr>
            <w:r>
              <w:rPr>
                <w:rFonts w:ascii="Times New Roman" w:hAnsi="Times New Roman"/>
                <w:b w:val="0"/>
                <w:sz w:val="22"/>
              </w:rPr>
              <w:t>Снижение отклонений на этапе допуска</w:t>
            </w:r>
          </w:p>
        </w:tc>
      </w:tr>
      <w:tr w14:paraId="21DB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0A9D22E">
            <w:pPr>
              <w:widowControl w:val="0"/>
              <w:jc w:val="both"/>
            </w:pPr>
            <w:r>
              <w:rPr>
                <w:rFonts w:ascii="Times New Roman" w:hAnsi="Times New Roman"/>
                <w:b w:val="0"/>
                <w:sz w:val="22"/>
              </w:rPr>
              <w:t>Реестр ошибок</w:t>
            </w:r>
          </w:p>
        </w:tc>
        <w:tc>
          <w:tcPr>
            <w:tcW w:w="2300" w:type="dxa"/>
          </w:tcPr>
          <w:p w14:paraId="1FD56EAB">
            <w:pPr>
              <w:widowControl w:val="0"/>
              <w:jc w:val="both"/>
            </w:pPr>
            <w:r>
              <w:rPr>
                <w:rFonts w:ascii="Times New Roman" w:hAnsi="Times New Roman"/>
                <w:b w:val="0"/>
                <w:sz w:val="22"/>
              </w:rPr>
              <w:t>Фиксация причин отклонений и корректирующих действий</w:t>
            </w:r>
          </w:p>
        </w:tc>
        <w:tc>
          <w:tcPr>
            <w:tcW w:w="2300" w:type="dxa"/>
          </w:tcPr>
          <w:p w14:paraId="6AFD44B0">
            <w:pPr>
              <w:widowControl w:val="0"/>
              <w:jc w:val="both"/>
            </w:pPr>
            <w:r>
              <w:rPr>
                <w:rFonts w:ascii="Times New Roman" w:hAnsi="Times New Roman"/>
                <w:b w:val="0"/>
                <w:sz w:val="22"/>
              </w:rPr>
              <w:t>Повторяемость ошибок</w:t>
            </w:r>
          </w:p>
        </w:tc>
        <w:tc>
          <w:tcPr>
            <w:tcW w:w="2300" w:type="dxa"/>
          </w:tcPr>
          <w:p w14:paraId="7FCC8638">
            <w:pPr>
              <w:widowControl w:val="0"/>
              <w:jc w:val="both"/>
            </w:pPr>
            <w:r>
              <w:rPr>
                <w:rFonts w:ascii="Times New Roman" w:hAnsi="Times New Roman"/>
                <w:b w:val="0"/>
                <w:sz w:val="22"/>
              </w:rPr>
              <w:t>Накопление организационного знания</w:t>
            </w:r>
          </w:p>
        </w:tc>
      </w:tr>
      <w:tr w14:paraId="1CC4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9D7B376">
            <w:pPr>
              <w:widowControl w:val="0"/>
              <w:jc w:val="both"/>
            </w:pPr>
            <w:r>
              <w:rPr>
                <w:rFonts w:ascii="Times New Roman" w:hAnsi="Times New Roman"/>
                <w:b w:val="0"/>
                <w:sz w:val="22"/>
              </w:rPr>
              <w:t>Наставничество</w:t>
            </w:r>
          </w:p>
        </w:tc>
        <w:tc>
          <w:tcPr>
            <w:tcW w:w="2300" w:type="dxa"/>
          </w:tcPr>
          <w:p w14:paraId="110B14CA">
            <w:pPr>
              <w:widowControl w:val="0"/>
              <w:jc w:val="both"/>
            </w:pPr>
            <w:r>
              <w:rPr>
                <w:rFonts w:ascii="Times New Roman" w:hAnsi="Times New Roman"/>
                <w:b w:val="0"/>
                <w:sz w:val="22"/>
              </w:rPr>
              <w:t>2 наставника, сопровождение новичков</w:t>
            </w:r>
          </w:p>
        </w:tc>
        <w:tc>
          <w:tcPr>
            <w:tcW w:w="2300" w:type="dxa"/>
          </w:tcPr>
          <w:p w14:paraId="031C7F39">
            <w:pPr>
              <w:widowControl w:val="0"/>
              <w:jc w:val="both"/>
            </w:pPr>
            <w:r>
              <w:rPr>
                <w:rFonts w:ascii="Times New Roman" w:hAnsi="Times New Roman"/>
                <w:b w:val="0"/>
                <w:sz w:val="22"/>
              </w:rPr>
              <w:t>Потеря опыта при текучести</w:t>
            </w:r>
          </w:p>
        </w:tc>
        <w:tc>
          <w:tcPr>
            <w:tcW w:w="2300" w:type="dxa"/>
          </w:tcPr>
          <w:p w14:paraId="4121BDA9">
            <w:pPr>
              <w:widowControl w:val="0"/>
              <w:jc w:val="both"/>
            </w:pPr>
            <w:r>
              <w:rPr>
                <w:rFonts w:ascii="Times New Roman" w:hAnsi="Times New Roman"/>
                <w:b w:val="0"/>
                <w:sz w:val="22"/>
              </w:rPr>
              <w:t>Передача практических знаний</w:t>
            </w:r>
          </w:p>
        </w:tc>
      </w:tr>
      <w:tr w14:paraId="7487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576CC71">
            <w:pPr>
              <w:widowControl w:val="0"/>
              <w:jc w:val="both"/>
            </w:pPr>
            <w:r>
              <w:rPr>
                <w:rFonts w:ascii="Times New Roman" w:hAnsi="Times New Roman"/>
                <w:b w:val="0"/>
                <w:sz w:val="22"/>
              </w:rPr>
              <w:t>Оценка эффективности</w:t>
            </w:r>
          </w:p>
        </w:tc>
        <w:tc>
          <w:tcPr>
            <w:tcW w:w="2300" w:type="dxa"/>
          </w:tcPr>
          <w:p w14:paraId="139F7936">
            <w:pPr>
              <w:widowControl w:val="0"/>
              <w:jc w:val="both"/>
            </w:pPr>
            <w:r>
              <w:rPr>
                <w:rFonts w:ascii="Times New Roman" w:hAnsi="Times New Roman"/>
                <w:b w:val="0"/>
                <w:sz w:val="22"/>
              </w:rPr>
              <w:t>Тесты, KPI, анализ заявок, ROI</w:t>
            </w:r>
          </w:p>
        </w:tc>
        <w:tc>
          <w:tcPr>
            <w:tcW w:w="2300" w:type="dxa"/>
          </w:tcPr>
          <w:p w14:paraId="1AE22F2D">
            <w:pPr>
              <w:widowControl w:val="0"/>
              <w:jc w:val="both"/>
            </w:pPr>
            <w:r>
              <w:rPr>
                <w:rFonts w:ascii="Times New Roman" w:hAnsi="Times New Roman"/>
                <w:b w:val="0"/>
                <w:sz w:val="22"/>
              </w:rPr>
              <w:t>Нет контроля результата обучения</w:t>
            </w:r>
          </w:p>
        </w:tc>
        <w:tc>
          <w:tcPr>
            <w:tcW w:w="2300" w:type="dxa"/>
          </w:tcPr>
          <w:p w14:paraId="78F681A6">
            <w:pPr>
              <w:widowControl w:val="0"/>
              <w:jc w:val="both"/>
            </w:pPr>
            <w:r>
              <w:rPr>
                <w:rFonts w:ascii="Times New Roman" w:hAnsi="Times New Roman"/>
                <w:b w:val="0"/>
                <w:sz w:val="22"/>
              </w:rPr>
              <w:t>Измеримая связь обучения с результатами</w:t>
            </w:r>
          </w:p>
        </w:tc>
      </w:tr>
    </w:tbl>
    <w:p w14:paraId="6BBB2178">
      <w:pPr>
        <w:spacing w:after="120" w:line="360" w:lineRule="auto"/>
        <w:ind w:firstLine="700"/>
      </w:pPr>
    </w:p>
    <w:p w14:paraId="70D14567">
      <w:pPr>
        <w:spacing w:after="120" w:line="360" w:lineRule="auto"/>
        <w:ind w:firstLine="700"/>
      </w:pPr>
      <w:r>
        <w:rPr>
          <w:rFonts w:ascii="Times New Roman" w:hAnsi="Times New Roman"/>
          <w:b w:val="0"/>
          <w:sz w:val="28"/>
        </w:rPr>
        <w:t>Методические рекомендации по осуществлению управленческих процедур состоят в закреплении конкретного алгоритма. Генеральный директор утверждает положение о системе обучения тендерного отдела и бюджет. Руководитель отдела формирует календарь обучения, назначает наставников, утверждает чек-листы и контролирует базу знаний. Юрист отслеживает изменения законодательства и участвует в обновлении шаблонов. Системный администратор настраивает разделы в Битрикс24, права доступа и шаблоны задач. Бухгалтерия фиксирует затраты и помогает рассчитывать экономический эффект.</w:t>
      </w:r>
    </w:p>
    <w:p w14:paraId="01DF4541">
      <w:pPr>
        <w:spacing w:after="120" w:line="360" w:lineRule="auto"/>
        <w:ind w:firstLine="700"/>
      </w:pPr>
      <w:r>
        <w:rPr>
          <w:rFonts w:ascii="Times New Roman" w:hAnsi="Times New Roman"/>
          <w:b w:val="0"/>
          <w:sz w:val="28"/>
        </w:rPr>
        <w:t>Для адаптации решения к действующей системе управления важно не создавать параллельный контур документооборота. Все действия должны быть встроены в уже используемые процессы. Если заявка готовится в задаче Битрикс24, то чек-лист проверки должен находиться в этой же задаче. Если шаблон документа обновлен, ссылка на него должна заменяться в базе знаний, а не рассылаться отдельным сообщением в чате. Если ошибка выявлена, она фиксируется в реестре и обсуждается на ежемесячном разборе.</w:t>
      </w:r>
    </w:p>
    <w:p w14:paraId="2989D432">
      <w:pPr>
        <w:spacing w:after="120" w:line="360" w:lineRule="auto"/>
        <w:ind w:firstLine="700"/>
      </w:pPr>
      <w:r>
        <w:rPr>
          <w:rFonts w:ascii="Times New Roman" w:hAnsi="Times New Roman"/>
          <w:b w:val="0"/>
          <w:sz w:val="28"/>
        </w:rPr>
        <w:t>Кадровое обеспечение проекта не требует найма нового специалиста. Основные роли распределяются между действующими работниками. Руководитель тендерного отдела выступает владельцем процесса. Два опытных специалиста выполняют функции наставников. Юрист на аутсорсинге участвует в проверке нормативных изменений. Системный администратор настраивает цифровые инструменты. Генеральный директор утверждает бюджет и контролирует достижение целевых показателей.</w:t>
      </w:r>
    </w:p>
    <w:p w14:paraId="0C820F6D">
      <w:pPr>
        <w:spacing w:after="120" w:line="360" w:lineRule="auto"/>
        <w:ind w:firstLine="700"/>
      </w:pPr>
      <w:r>
        <w:rPr>
          <w:rFonts w:ascii="Times New Roman" w:hAnsi="Times New Roman"/>
          <w:b w:val="0"/>
          <w:sz w:val="28"/>
        </w:rPr>
        <w:t>Техническое обеспечение строится на трех инструментах: Битрикс24, LMS-платформа или раздел электронного обучения, а также справочно-правовые и нормативные источники. По данным открытых тарифов, iSpring Learn начинается от 214 руб. за пользователя в месяц [46]. Для ООО «Лайф Медиа» с учетом 17 пользователей годовая стоимость составит 43 656 руб. При необходимости компания может использовать Битрикс24 Стандарт, стоимость которого составляет 6 990 руб. в месяц при помесячной оплате или 4 893 руб. в месяц при годовой оплате [47]. Так как Битрикс24 уже используется, в расчет включается не новая подписка, а настройка базы знаний и бизнес-процессов.</w:t>
      </w:r>
    </w:p>
    <w:p w14:paraId="22848E9F">
      <w:pPr>
        <w:spacing w:after="120" w:line="360" w:lineRule="auto"/>
        <w:ind w:firstLine="700"/>
      </w:pPr>
      <w:r>
        <w:rPr>
          <w:rFonts w:ascii="Times New Roman" w:hAnsi="Times New Roman"/>
          <w:b w:val="0"/>
          <w:sz w:val="28"/>
        </w:rPr>
        <w:t>Организационно-экономическое обеспечение включает бюджет на внешние курсы, настройку цифровой среды, лицензии, мотивацию наставников и резерв на обновление материалов. При этом предлагаемый проект не требует крупных капитальных вложений, строительства учебного центра или приобретения оборудования. Он относится к организационно-цифровым мероприятиям, поэтому может быть реализован в течение трех месяцев.</w:t>
      </w:r>
    </w:p>
    <w:p w14:paraId="4398B105">
      <w:pPr>
        <w:spacing w:after="120" w:line="360" w:lineRule="auto"/>
        <w:jc w:val="center"/>
      </w:pPr>
      <w:r>
        <w:rPr>
          <w:rFonts w:ascii="Times New Roman" w:hAnsi="Times New Roman"/>
          <w:b w:val="0"/>
          <w:sz w:val="28"/>
        </w:rPr>
        <w:t>Таблица 3.4. План внедрения системы обучения и развития тендерных специалистов</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5017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22FADFB">
            <w:pPr>
              <w:widowControl w:val="0"/>
              <w:jc w:val="both"/>
            </w:pPr>
            <w:r>
              <w:rPr>
                <w:rFonts w:ascii="Times New Roman" w:hAnsi="Times New Roman"/>
                <w:b/>
                <w:sz w:val="22"/>
              </w:rPr>
              <w:t>Этап</w:t>
            </w:r>
          </w:p>
        </w:tc>
        <w:tc>
          <w:tcPr>
            <w:tcW w:w="2300" w:type="dxa"/>
          </w:tcPr>
          <w:p w14:paraId="0CEB6D02">
            <w:pPr>
              <w:widowControl w:val="0"/>
              <w:jc w:val="both"/>
            </w:pPr>
            <w:r>
              <w:rPr>
                <w:rFonts w:ascii="Times New Roman" w:hAnsi="Times New Roman"/>
                <w:b/>
                <w:sz w:val="22"/>
              </w:rPr>
              <w:t>Срок</w:t>
            </w:r>
          </w:p>
        </w:tc>
        <w:tc>
          <w:tcPr>
            <w:tcW w:w="2300" w:type="dxa"/>
          </w:tcPr>
          <w:p w14:paraId="2F5FCBCC">
            <w:pPr>
              <w:widowControl w:val="0"/>
              <w:jc w:val="both"/>
            </w:pPr>
            <w:r>
              <w:rPr>
                <w:rFonts w:ascii="Times New Roman" w:hAnsi="Times New Roman"/>
                <w:b/>
                <w:sz w:val="22"/>
              </w:rPr>
              <w:t>Основные действия</w:t>
            </w:r>
          </w:p>
        </w:tc>
        <w:tc>
          <w:tcPr>
            <w:tcW w:w="2300" w:type="dxa"/>
          </w:tcPr>
          <w:p w14:paraId="40B9CA53">
            <w:pPr>
              <w:widowControl w:val="0"/>
              <w:jc w:val="both"/>
            </w:pPr>
            <w:r>
              <w:rPr>
                <w:rFonts w:ascii="Times New Roman" w:hAnsi="Times New Roman"/>
                <w:b/>
                <w:sz w:val="22"/>
              </w:rPr>
              <w:t>Ответственные</w:t>
            </w:r>
          </w:p>
        </w:tc>
      </w:tr>
      <w:tr w14:paraId="1214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1D836D7">
            <w:pPr>
              <w:widowControl w:val="0"/>
              <w:jc w:val="both"/>
            </w:pPr>
            <w:r>
              <w:rPr>
                <w:rFonts w:ascii="Times New Roman" w:hAnsi="Times New Roman"/>
                <w:b w:val="0"/>
                <w:sz w:val="22"/>
              </w:rPr>
              <w:t>1. Подготовка</w:t>
            </w:r>
          </w:p>
        </w:tc>
        <w:tc>
          <w:tcPr>
            <w:tcW w:w="2300" w:type="dxa"/>
          </w:tcPr>
          <w:p w14:paraId="3C0D5ACC">
            <w:pPr>
              <w:widowControl w:val="0"/>
              <w:jc w:val="both"/>
            </w:pPr>
            <w:r>
              <w:rPr>
                <w:rFonts w:ascii="Times New Roman" w:hAnsi="Times New Roman"/>
                <w:b w:val="0"/>
                <w:sz w:val="22"/>
              </w:rPr>
              <w:t>1-2 неделя</w:t>
            </w:r>
          </w:p>
        </w:tc>
        <w:tc>
          <w:tcPr>
            <w:tcW w:w="2300" w:type="dxa"/>
          </w:tcPr>
          <w:p w14:paraId="1D96DA7C">
            <w:pPr>
              <w:widowControl w:val="0"/>
              <w:jc w:val="both"/>
            </w:pPr>
            <w:r>
              <w:rPr>
                <w:rFonts w:ascii="Times New Roman" w:hAnsi="Times New Roman"/>
                <w:b w:val="0"/>
                <w:sz w:val="22"/>
              </w:rPr>
              <w:t>Утверждение бюджета, назначение ответственных, аудит шаблонов</w:t>
            </w:r>
          </w:p>
        </w:tc>
        <w:tc>
          <w:tcPr>
            <w:tcW w:w="2300" w:type="dxa"/>
          </w:tcPr>
          <w:p w14:paraId="6C9DBE24">
            <w:pPr>
              <w:widowControl w:val="0"/>
              <w:jc w:val="both"/>
            </w:pPr>
            <w:r>
              <w:rPr>
                <w:rFonts w:ascii="Times New Roman" w:hAnsi="Times New Roman"/>
                <w:b w:val="0"/>
                <w:sz w:val="22"/>
              </w:rPr>
              <w:t>Генеральный директор, руководитель отдела</w:t>
            </w:r>
          </w:p>
        </w:tc>
      </w:tr>
      <w:tr w14:paraId="4929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D7C0359">
            <w:pPr>
              <w:widowControl w:val="0"/>
              <w:jc w:val="both"/>
            </w:pPr>
            <w:r>
              <w:rPr>
                <w:rFonts w:ascii="Times New Roman" w:hAnsi="Times New Roman"/>
                <w:b w:val="0"/>
                <w:sz w:val="22"/>
              </w:rPr>
              <w:t>2. Настройка базы знаний</w:t>
            </w:r>
          </w:p>
        </w:tc>
        <w:tc>
          <w:tcPr>
            <w:tcW w:w="2300" w:type="dxa"/>
          </w:tcPr>
          <w:p w14:paraId="37D3465C">
            <w:pPr>
              <w:widowControl w:val="0"/>
              <w:jc w:val="both"/>
            </w:pPr>
            <w:r>
              <w:rPr>
                <w:rFonts w:ascii="Times New Roman" w:hAnsi="Times New Roman"/>
                <w:b w:val="0"/>
                <w:sz w:val="22"/>
              </w:rPr>
              <w:t>3-4 неделя</w:t>
            </w:r>
          </w:p>
        </w:tc>
        <w:tc>
          <w:tcPr>
            <w:tcW w:w="2300" w:type="dxa"/>
          </w:tcPr>
          <w:p w14:paraId="524BD1BD">
            <w:pPr>
              <w:widowControl w:val="0"/>
              <w:jc w:val="both"/>
            </w:pPr>
            <w:r>
              <w:rPr>
                <w:rFonts w:ascii="Times New Roman" w:hAnsi="Times New Roman"/>
                <w:b w:val="0"/>
                <w:sz w:val="22"/>
              </w:rPr>
              <w:t>Создание разделов, перенос актуальных документов, права доступа</w:t>
            </w:r>
          </w:p>
        </w:tc>
        <w:tc>
          <w:tcPr>
            <w:tcW w:w="2300" w:type="dxa"/>
          </w:tcPr>
          <w:p w14:paraId="04A35E9F">
            <w:pPr>
              <w:widowControl w:val="0"/>
              <w:jc w:val="both"/>
            </w:pPr>
            <w:r>
              <w:rPr>
                <w:rFonts w:ascii="Times New Roman" w:hAnsi="Times New Roman"/>
                <w:b w:val="0"/>
                <w:sz w:val="22"/>
              </w:rPr>
              <w:t>Системный администратор, руководитель отдела</w:t>
            </w:r>
          </w:p>
        </w:tc>
      </w:tr>
      <w:tr w14:paraId="1E81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F916767">
            <w:pPr>
              <w:widowControl w:val="0"/>
              <w:jc w:val="both"/>
            </w:pPr>
            <w:r>
              <w:rPr>
                <w:rFonts w:ascii="Times New Roman" w:hAnsi="Times New Roman"/>
                <w:b w:val="0"/>
                <w:sz w:val="22"/>
              </w:rPr>
              <w:t>3. Разработка процедур</w:t>
            </w:r>
          </w:p>
        </w:tc>
        <w:tc>
          <w:tcPr>
            <w:tcW w:w="2300" w:type="dxa"/>
          </w:tcPr>
          <w:p w14:paraId="43623642">
            <w:pPr>
              <w:widowControl w:val="0"/>
              <w:jc w:val="both"/>
            </w:pPr>
            <w:r>
              <w:rPr>
                <w:rFonts w:ascii="Times New Roman" w:hAnsi="Times New Roman"/>
                <w:b w:val="0"/>
                <w:sz w:val="22"/>
              </w:rPr>
              <w:t>5-6 неделя</w:t>
            </w:r>
          </w:p>
        </w:tc>
        <w:tc>
          <w:tcPr>
            <w:tcW w:w="2300" w:type="dxa"/>
          </w:tcPr>
          <w:p w14:paraId="3E477CC8">
            <w:pPr>
              <w:widowControl w:val="0"/>
              <w:jc w:val="both"/>
            </w:pPr>
            <w:r>
              <w:rPr>
                <w:rFonts w:ascii="Times New Roman" w:hAnsi="Times New Roman"/>
                <w:b w:val="0"/>
                <w:sz w:val="22"/>
              </w:rPr>
              <w:t>Чек-лист заявки, реестр ошибок, адаптационный маршрут</w:t>
            </w:r>
          </w:p>
        </w:tc>
        <w:tc>
          <w:tcPr>
            <w:tcW w:w="2300" w:type="dxa"/>
          </w:tcPr>
          <w:p w14:paraId="1A9B9E5E">
            <w:pPr>
              <w:widowControl w:val="0"/>
              <w:jc w:val="both"/>
            </w:pPr>
            <w:r>
              <w:rPr>
                <w:rFonts w:ascii="Times New Roman" w:hAnsi="Times New Roman"/>
                <w:b w:val="0"/>
                <w:sz w:val="22"/>
              </w:rPr>
              <w:t>Руководитель отдела, юрист</w:t>
            </w:r>
          </w:p>
        </w:tc>
      </w:tr>
      <w:tr w14:paraId="1092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CC58E53">
            <w:pPr>
              <w:widowControl w:val="0"/>
              <w:jc w:val="both"/>
            </w:pPr>
            <w:r>
              <w:rPr>
                <w:rFonts w:ascii="Times New Roman" w:hAnsi="Times New Roman"/>
                <w:b w:val="0"/>
                <w:sz w:val="22"/>
              </w:rPr>
              <w:t>4. Внешнее обучение</w:t>
            </w:r>
          </w:p>
        </w:tc>
        <w:tc>
          <w:tcPr>
            <w:tcW w:w="2300" w:type="dxa"/>
          </w:tcPr>
          <w:p w14:paraId="6991343D">
            <w:pPr>
              <w:widowControl w:val="0"/>
              <w:jc w:val="both"/>
            </w:pPr>
            <w:r>
              <w:rPr>
                <w:rFonts w:ascii="Times New Roman" w:hAnsi="Times New Roman"/>
                <w:b w:val="0"/>
                <w:sz w:val="22"/>
              </w:rPr>
              <w:t>7-10 неделя</w:t>
            </w:r>
          </w:p>
        </w:tc>
        <w:tc>
          <w:tcPr>
            <w:tcW w:w="2300" w:type="dxa"/>
          </w:tcPr>
          <w:p w14:paraId="0234834D">
            <w:pPr>
              <w:widowControl w:val="0"/>
              <w:jc w:val="both"/>
            </w:pPr>
            <w:r>
              <w:rPr>
                <w:rFonts w:ascii="Times New Roman" w:hAnsi="Times New Roman"/>
                <w:b w:val="0"/>
                <w:sz w:val="22"/>
              </w:rPr>
              <w:t>Курсы 44-ФЗ и 223-ФЗ, промежуточное тестирование</w:t>
            </w:r>
          </w:p>
        </w:tc>
        <w:tc>
          <w:tcPr>
            <w:tcW w:w="2300" w:type="dxa"/>
          </w:tcPr>
          <w:p w14:paraId="65B78412">
            <w:pPr>
              <w:widowControl w:val="0"/>
              <w:jc w:val="both"/>
            </w:pPr>
            <w:r>
              <w:rPr>
                <w:rFonts w:ascii="Times New Roman" w:hAnsi="Times New Roman"/>
                <w:b w:val="0"/>
                <w:sz w:val="22"/>
              </w:rPr>
              <w:t>Все специалисты отдела</w:t>
            </w:r>
          </w:p>
        </w:tc>
      </w:tr>
      <w:tr w14:paraId="2020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6FD540B">
            <w:pPr>
              <w:widowControl w:val="0"/>
              <w:jc w:val="both"/>
            </w:pPr>
            <w:r>
              <w:rPr>
                <w:rFonts w:ascii="Times New Roman" w:hAnsi="Times New Roman"/>
                <w:b w:val="0"/>
                <w:sz w:val="22"/>
              </w:rPr>
              <w:t>5. Запуск наставничества</w:t>
            </w:r>
          </w:p>
        </w:tc>
        <w:tc>
          <w:tcPr>
            <w:tcW w:w="2300" w:type="dxa"/>
          </w:tcPr>
          <w:p w14:paraId="010DC266">
            <w:pPr>
              <w:widowControl w:val="0"/>
              <w:jc w:val="both"/>
            </w:pPr>
            <w:r>
              <w:rPr>
                <w:rFonts w:ascii="Times New Roman" w:hAnsi="Times New Roman"/>
                <w:b w:val="0"/>
                <w:sz w:val="22"/>
              </w:rPr>
              <w:t>7-12 неделя</w:t>
            </w:r>
          </w:p>
        </w:tc>
        <w:tc>
          <w:tcPr>
            <w:tcW w:w="2300" w:type="dxa"/>
          </w:tcPr>
          <w:p w14:paraId="3A89EF7E">
            <w:pPr>
              <w:widowControl w:val="0"/>
              <w:jc w:val="both"/>
            </w:pPr>
            <w:r>
              <w:rPr>
                <w:rFonts w:ascii="Times New Roman" w:hAnsi="Times New Roman"/>
                <w:b w:val="0"/>
                <w:sz w:val="22"/>
              </w:rPr>
              <w:t>Назначение наставников, сопровождение новичков, проверка кейсов</w:t>
            </w:r>
          </w:p>
        </w:tc>
        <w:tc>
          <w:tcPr>
            <w:tcW w:w="2300" w:type="dxa"/>
          </w:tcPr>
          <w:p w14:paraId="45ECB441">
            <w:pPr>
              <w:widowControl w:val="0"/>
              <w:jc w:val="both"/>
            </w:pPr>
            <w:r>
              <w:rPr>
                <w:rFonts w:ascii="Times New Roman" w:hAnsi="Times New Roman"/>
                <w:b w:val="0"/>
                <w:sz w:val="22"/>
              </w:rPr>
              <w:t>Руководитель отдела, наставники</w:t>
            </w:r>
          </w:p>
        </w:tc>
      </w:tr>
      <w:tr w14:paraId="79A1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BB8930D">
            <w:pPr>
              <w:widowControl w:val="0"/>
              <w:jc w:val="both"/>
            </w:pPr>
            <w:r>
              <w:rPr>
                <w:rFonts w:ascii="Times New Roman" w:hAnsi="Times New Roman"/>
                <w:b w:val="0"/>
                <w:sz w:val="22"/>
              </w:rPr>
              <w:t>6. Пилотное применение</w:t>
            </w:r>
          </w:p>
        </w:tc>
        <w:tc>
          <w:tcPr>
            <w:tcW w:w="2300" w:type="dxa"/>
          </w:tcPr>
          <w:p w14:paraId="54B91C3B">
            <w:pPr>
              <w:widowControl w:val="0"/>
              <w:jc w:val="both"/>
            </w:pPr>
            <w:r>
              <w:rPr>
                <w:rFonts w:ascii="Times New Roman" w:hAnsi="Times New Roman"/>
                <w:b w:val="0"/>
                <w:sz w:val="22"/>
              </w:rPr>
              <w:t>11-12 неделя</w:t>
            </w:r>
          </w:p>
        </w:tc>
        <w:tc>
          <w:tcPr>
            <w:tcW w:w="2300" w:type="dxa"/>
          </w:tcPr>
          <w:p w14:paraId="6B9AE92C">
            <w:pPr>
              <w:widowControl w:val="0"/>
              <w:jc w:val="both"/>
            </w:pPr>
            <w:r>
              <w:rPr>
                <w:rFonts w:ascii="Times New Roman" w:hAnsi="Times New Roman"/>
                <w:b w:val="0"/>
                <w:sz w:val="22"/>
              </w:rPr>
              <w:t>Использование чек-листов на реальных заявках, фиксация ошибок</w:t>
            </w:r>
          </w:p>
        </w:tc>
        <w:tc>
          <w:tcPr>
            <w:tcW w:w="2300" w:type="dxa"/>
          </w:tcPr>
          <w:p w14:paraId="460A3DB5">
            <w:pPr>
              <w:widowControl w:val="0"/>
              <w:jc w:val="both"/>
            </w:pPr>
            <w:r>
              <w:rPr>
                <w:rFonts w:ascii="Times New Roman" w:hAnsi="Times New Roman"/>
                <w:b w:val="0"/>
                <w:sz w:val="22"/>
              </w:rPr>
              <w:t>Тендерный отдел</w:t>
            </w:r>
          </w:p>
        </w:tc>
      </w:tr>
      <w:tr w14:paraId="7506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316E9243">
            <w:pPr>
              <w:widowControl w:val="0"/>
              <w:jc w:val="both"/>
            </w:pPr>
            <w:r>
              <w:rPr>
                <w:rFonts w:ascii="Times New Roman" w:hAnsi="Times New Roman"/>
                <w:b w:val="0"/>
                <w:sz w:val="22"/>
              </w:rPr>
              <w:t>7. Оценка результатов</w:t>
            </w:r>
          </w:p>
        </w:tc>
        <w:tc>
          <w:tcPr>
            <w:tcW w:w="2300" w:type="dxa"/>
          </w:tcPr>
          <w:p w14:paraId="41709935">
            <w:pPr>
              <w:widowControl w:val="0"/>
              <w:jc w:val="both"/>
            </w:pPr>
            <w:r>
              <w:rPr>
                <w:rFonts w:ascii="Times New Roman" w:hAnsi="Times New Roman"/>
                <w:b w:val="0"/>
                <w:sz w:val="22"/>
              </w:rPr>
              <w:t>Конец 3 месяца</w:t>
            </w:r>
          </w:p>
        </w:tc>
        <w:tc>
          <w:tcPr>
            <w:tcW w:w="2300" w:type="dxa"/>
          </w:tcPr>
          <w:p w14:paraId="7E450206">
            <w:pPr>
              <w:widowControl w:val="0"/>
              <w:jc w:val="both"/>
            </w:pPr>
            <w:r>
              <w:rPr>
                <w:rFonts w:ascii="Times New Roman" w:hAnsi="Times New Roman"/>
                <w:b w:val="0"/>
                <w:sz w:val="22"/>
              </w:rPr>
              <w:t>Тестирование, анализ первых показателей, корректировка материалов</w:t>
            </w:r>
          </w:p>
        </w:tc>
        <w:tc>
          <w:tcPr>
            <w:tcW w:w="2300" w:type="dxa"/>
          </w:tcPr>
          <w:p w14:paraId="7660D378">
            <w:pPr>
              <w:widowControl w:val="0"/>
              <w:jc w:val="both"/>
            </w:pPr>
            <w:r>
              <w:rPr>
                <w:rFonts w:ascii="Times New Roman" w:hAnsi="Times New Roman"/>
                <w:b w:val="0"/>
                <w:sz w:val="22"/>
              </w:rPr>
              <w:t>Руководитель отдела, бухгалтерия</w:t>
            </w:r>
          </w:p>
        </w:tc>
      </w:tr>
    </w:tbl>
    <w:p w14:paraId="48B22D5E">
      <w:pPr>
        <w:spacing w:after="120" w:line="360" w:lineRule="auto"/>
        <w:ind w:firstLine="700"/>
      </w:pPr>
    </w:p>
    <w:p w14:paraId="574AA3D4">
      <w:pPr>
        <w:spacing w:after="120" w:line="360" w:lineRule="auto"/>
        <w:jc w:val="center"/>
      </w:pPr>
      <w:r>
        <w:rPr>
          <w:rFonts w:ascii="Times New Roman" w:hAnsi="Times New Roman"/>
          <w:b w:val="0"/>
          <w:sz w:val="28"/>
        </w:rPr>
        <w:t>Таблица 3.5. Бюджет внедрения предлагаемых мероприятий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148C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B70F29F">
            <w:pPr>
              <w:widowControl w:val="0"/>
              <w:jc w:val="both"/>
            </w:pPr>
            <w:r>
              <w:rPr>
                <w:rFonts w:ascii="Times New Roman" w:hAnsi="Times New Roman"/>
                <w:b/>
                <w:sz w:val="22"/>
              </w:rPr>
              <w:t>Статья затрат</w:t>
            </w:r>
          </w:p>
        </w:tc>
        <w:tc>
          <w:tcPr>
            <w:tcW w:w="2300" w:type="dxa"/>
          </w:tcPr>
          <w:p w14:paraId="5753E656">
            <w:pPr>
              <w:widowControl w:val="0"/>
              <w:jc w:val="both"/>
            </w:pPr>
            <w:r>
              <w:rPr>
                <w:rFonts w:ascii="Times New Roman" w:hAnsi="Times New Roman"/>
                <w:b/>
                <w:sz w:val="22"/>
              </w:rPr>
              <w:t>Расчет</w:t>
            </w:r>
          </w:p>
        </w:tc>
        <w:tc>
          <w:tcPr>
            <w:tcW w:w="2300" w:type="dxa"/>
          </w:tcPr>
          <w:p w14:paraId="019B0533">
            <w:pPr>
              <w:widowControl w:val="0"/>
              <w:jc w:val="both"/>
            </w:pPr>
            <w:r>
              <w:rPr>
                <w:rFonts w:ascii="Times New Roman" w:hAnsi="Times New Roman"/>
                <w:b/>
                <w:sz w:val="22"/>
              </w:rPr>
              <w:t>Сумма, руб.</w:t>
            </w:r>
          </w:p>
        </w:tc>
        <w:tc>
          <w:tcPr>
            <w:tcW w:w="2300" w:type="dxa"/>
          </w:tcPr>
          <w:p w14:paraId="78485F38">
            <w:pPr>
              <w:widowControl w:val="0"/>
              <w:jc w:val="both"/>
            </w:pPr>
            <w:r>
              <w:rPr>
                <w:rFonts w:ascii="Times New Roman" w:hAnsi="Times New Roman"/>
                <w:b/>
                <w:sz w:val="22"/>
              </w:rPr>
              <w:t>Источник стоимости</w:t>
            </w:r>
          </w:p>
        </w:tc>
      </w:tr>
      <w:tr w14:paraId="361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8605F1D">
            <w:pPr>
              <w:widowControl w:val="0"/>
              <w:jc w:val="both"/>
            </w:pPr>
            <w:r>
              <w:rPr>
                <w:rFonts w:ascii="Times New Roman" w:hAnsi="Times New Roman"/>
                <w:b w:val="0"/>
                <w:sz w:val="22"/>
              </w:rPr>
              <w:t>Курс повышения квалификации по 44-ФЗ</w:t>
            </w:r>
          </w:p>
        </w:tc>
        <w:tc>
          <w:tcPr>
            <w:tcW w:w="2300" w:type="dxa"/>
          </w:tcPr>
          <w:p w14:paraId="6D7072E5">
            <w:pPr>
              <w:widowControl w:val="0"/>
              <w:jc w:val="both"/>
            </w:pPr>
            <w:r>
              <w:rPr>
                <w:rFonts w:ascii="Times New Roman" w:hAnsi="Times New Roman"/>
                <w:b w:val="0"/>
                <w:sz w:val="22"/>
              </w:rPr>
              <w:t>18 000 руб. × 8 сотрудников</w:t>
            </w:r>
          </w:p>
        </w:tc>
        <w:tc>
          <w:tcPr>
            <w:tcW w:w="2300" w:type="dxa"/>
          </w:tcPr>
          <w:p w14:paraId="53DC7033">
            <w:pPr>
              <w:widowControl w:val="0"/>
              <w:jc w:val="both"/>
            </w:pPr>
            <w:r>
              <w:rPr>
                <w:rFonts w:ascii="Times New Roman" w:hAnsi="Times New Roman"/>
                <w:b w:val="0"/>
                <w:sz w:val="22"/>
              </w:rPr>
              <w:t>144 000</w:t>
            </w:r>
          </w:p>
        </w:tc>
        <w:tc>
          <w:tcPr>
            <w:tcW w:w="2300" w:type="dxa"/>
          </w:tcPr>
          <w:p w14:paraId="3C3230B1">
            <w:pPr>
              <w:widowControl w:val="0"/>
              <w:jc w:val="both"/>
            </w:pPr>
            <w:r>
              <w:rPr>
                <w:rFonts w:ascii="Times New Roman" w:hAnsi="Times New Roman"/>
                <w:b w:val="0"/>
                <w:sz w:val="22"/>
              </w:rPr>
              <w:t>Контур.Школа [45]</w:t>
            </w:r>
          </w:p>
        </w:tc>
      </w:tr>
      <w:tr w14:paraId="70D3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7914B6F">
            <w:pPr>
              <w:widowControl w:val="0"/>
              <w:jc w:val="both"/>
            </w:pPr>
            <w:r>
              <w:rPr>
                <w:rFonts w:ascii="Times New Roman" w:hAnsi="Times New Roman"/>
                <w:b w:val="0"/>
                <w:sz w:val="22"/>
              </w:rPr>
              <w:t>Курс повышения квалификации по 223-ФЗ</w:t>
            </w:r>
          </w:p>
        </w:tc>
        <w:tc>
          <w:tcPr>
            <w:tcW w:w="2300" w:type="dxa"/>
          </w:tcPr>
          <w:p w14:paraId="231B96DF">
            <w:pPr>
              <w:widowControl w:val="0"/>
              <w:jc w:val="both"/>
            </w:pPr>
            <w:r>
              <w:rPr>
                <w:rFonts w:ascii="Times New Roman" w:hAnsi="Times New Roman"/>
                <w:b w:val="0"/>
                <w:sz w:val="22"/>
              </w:rPr>
              <w:t>16 000 руб. × 8 сотрудников</w:t>
            </w:r>
          </w:p>
        </w:tc>
        <w:tc>
          <w:tcPr>
            <w:tcW w:w="2300" w:type="dxa"/>
          </w:tcPr>
          <w:p w14:paraId="49B79116">
            <w:pPr>
              <w:widowControl w:val="0"/>
              <w:jc w:val="both"/>
            </w:pPr>
            <w:r>
              <w:rPr>
                <w:rFonts w:ascii="Times New Roman" w:hAnsi="Times New Roman"/>
                <w:b w:val="0"/>
                <w:sz w:val="22"/>
              </w:rPr>
              <w:t>128 000</w:t>
            </w:r>
          </w:p>
        </w:tc>
        <w:tc>
          <w:tcPr>
            <w:tcW w:w="2300" w:type="dxa"/>
          </w:tcPr>
          <w:p w14:paraId="44E434D9">
            <w:pPr>
              <w:widowControl w:val="0"/>
              <w:jc w:val="both"/>
            </w:pPr>
            <w:r>
              <w:rPr>
                <w:rFonts w:ascii="Times New Roman" w:hAnsi="Times New Roman"/>
                <w:b w:val="0"/>
                <w:sz w:val="22"/>
              </w:rPr>
              <w:t>Контур.Школа [45]</w:t>
            </w:r>
          </w:p>
        </w:tc>
      </w:tr>
      <w:tr w14:paraId="4E41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87C3C2B">
            <w:pPr>
              <w:widowControl w:val="0"/>
              <w:jc w:val="both"/>
            </w:pPr>
            <w:r>
              <w:rPr>
                <w:rFonts w:ascii="Times New Roman" w:hAnsi="Times New Roman"/>
                <w:b w:val="0"/>
                <w:sz w:val="22"/>
              </w:rPr>
              <w:t>LMS iSpring Learn</w:t>
            </w:r>
          </w:p>
        </w:tc>
        <w:tc>
          <w:tcPr>
            <w:tcW w:w="2300" w:type="dxa"/>
          </w:tcPr>
          <w:p w14:paraId="3EEAAA05">
            <w:pPr>
              <w:widowControl w:val="0"/>
              <w:jc w:val="both"/>
            </w:pPr>
            <w:r>
              <w:rPr>
                <w:rFonts w:ascii="Times New Roman" w:hAnsi="Times New Roman"/>
                <w:b w:val="0"/>
                <w:sz w:val="22"/>
              </w:rPr>
              <w:t>214 руб. × 17 пользователей × 12 мес.</w:t>
            </w:r>
          </w:p>
        </w:tc>
        <w:tc>
          <w:tcPr>
            <w:tcW w:w="2300" w:type="dxa"/>
          </w:tcPr>
          <w:p w14:paraId="5A438159">
            <w:pPr>
              <w:widowControl w:val="0"/>
              <w:jc w:val="both"/>
            </w:pPr>
            <w:r>
              <w:rPr>
                <w:rFonts w:ascii="Times New Roman" w:hAnsi="Times New Roman"/>
                <w:b w:val="0"/>
                <w:sz w:val="22"/>
              </w:rPr>
              <w:t>43 656</w:t>
            </w:r>
          </w:p>
        </w:tc>
        <w:tc>
          <w:tcPr>
            <w:tcW w:w="2300" w:type="dxa"/>
          </w:tcPr>
          <w:p w14:paraId="2FE40AEE">
            <w:pPr>
              <w:widowControl w:val="0"/>
              <w:jc w:val="both"/>
            </w:pPr>
            <w:r>
              <w:rPr>
                <w:rFonts w:ascii="Times New Roman" w:hAnsi="Times New Roman"/>
                <w:b w:val="0"/>
                <w:sz w:val="22"/>
              </w:rPr>
              <w:t>iSpring Learn [46]</w:t>
            </w:r>
          </w:p>
        </w:tc>
      </w:tr>
      <w:tr w14:paraId="5963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AF566EE">
            <w:pPr>
              <w:widowControl w:val="0"/>
              <w:jc w:val="both"/>
            </w:pPr>
            <w:r>
              <w:rPr>
                <w:rFonts w:ascii="Times New Roman" w:hAnsi="Times New Roman"/>
                <w:b w:val="0"/>
                <w:sz w:val="22"/>
              </w:rPr>
              <w:t>Настройка Битрикс24 и базы знаний</w:t>
            </w:r>
          </w:p>
        </w:tc>
        <w:tc>
          <w:tcPr>
            <w:tcW w:w="2300" w:type="dxa"/>
          </w:tcPr>
          <w:p w14:paraId="16573A06">
            <w:pPr>
              <w:widowControl w:val="0"/>
              <w:jc w:val="both"/>
            </w:pPr>
            <w:r>
              <w:rPr>
                <w:rFonts w:ascii="Times New Roman" w:hAnsi="Times New Roman"/>
                <w:b w:val="0"/>
                <w:sz w:val="22"/>
              </w:rPr>
              <w:t>Средний пакет настройки для малого бизнеса</w:t>
            </w:r>
          </w:p>
        </w:tc>
        <w:tc>
          <w:tcPr>
            <w:tcW w:w="2300" w:type="dxa"/>
          </w:tcPr>
          <w:p w14:paraId="2C512895">
            <w:pPr>
              <w:widowControl w:val="0"/>
              <w:jc w:val="both"/>
            </w:pPr>
            <w:r>
              <w:rPr>
                <w:rFonts w:ascii="Times New Roman" w:hAnsi="Times New Roman"/>
                <w:b w:val="0"/>
                <w:sz w:val="22"/>
              </w:rPr>
              <w:t>60 000</w:t>
            </w:r>
          </w:p>
        </w:tc>
        <w:tc>
          <w:tcPr>
            <w:tcW w:w="2300" w:type="dxa"/>
          </w:tcPr>
          <w:p w14:paraId="4CFFC606">
            <w:pPr>
              <w:widowControl w:val="0"/>
              <w:jc w:val="both"/>
            </w:pPr>
            <w:r>
              <w:rPr>
                <w:rFonts w:ascii="Times New Roman" w:hAnsi="Times New Roman"/>
                <w:b w:val="0"/>
                <w:sz w:val="22"/>
              </w:rPr>
              <w:t>Рыночный диапазон 35 000-80 000 руб. [48]</w:t>
            </w:r>
          </w:p>
        </w:tc>
      </w:tr>
      <w:tr w14:paraId="19E2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839E3C0">
            <w:pPr>
              <w:widowControl w:val="0"/>
              <w:jc w:val="both"/>
            </w:pPr>
            <w:r>
              <w:rPr>
                <w:rFonts w:ascii="Times New Roman" w:hAnsi="Times New Roman"/>
                <w:b w:val="0"/>
                <w:sz w:val="22"/>
              </w:rPr>
              <w:t>КриптоПро CSP для учебных рабочих мест</w:t>
            </w:r>
          </w:p>
        </w:tc>
        <w:tc>
          <w:tcPr>
            <w:tcW w:w="2300" w:type="dxa"/>
          </w:tcPr>
          <w:p w14:paraId="7966D33F">
            <w:pPr>
              <w:widowControl w:val="0"/>
              <w:jc w:val="both"/>
            </w:pPr>
            <w:r>
              <w:rPr>
                <w:rFonts w:ascii="Times New Roman" w:hAnsi="Times New Roman"/>
                <w:b w:val="0"/>
                <w:sz w:val="22"/>
              </w:rPr>
              <w:t>1 850 руб. × 8 лицензий</w:t>
            </w:r>
          </w:p>
        </w:tc>
        <w:tc>
          <w:tcPr>
            <w:tcW w:w="2300" w:type="dxa"/>
          </w:tcPr>
          <w:p w14:paraId="5E76DDF5">
            <w:pPr>
              <w:widowControl w:val="0"/>
              <w:jc w:val="both"/>
            </w:pPr>
            <w:r>
              <w:rPr>
                <w:rFonts w:ascii="Times New Roman" w:hAnsi="Times New Roman"/>
                <w:b w:val="0"/>
                <w:sz w:val="22"/>
              </w:rPr>
              <w:t>14 800</w:t>
            </w:r>
          </w:p>
        </w:tc>
        <w:tc>
          <w:tcPr>
            <w:tcW w:w="2300" w:type="dxa"/>
          </w:tcPr>
          <w:p w14:paraId="6D7F3C4D">
            <w:pPr>
              <w:widowControl w:val="0"/>
              <w:jc w:val="both"/>
            </w:pPr>
            <w:r>
              <w:rPr>
                <w:rFonts w:ascii="Times New Roman" w:hAnsi="Times New Roman"/>
                <w:b w:val="0"/>
                <w:sz w:val="22"/>
              </w:rPr>
              <w:t>Прайс КриптоПро [49]</w:t>
            </w:r>
          </w:p>
        </w:tc>
      </w:tr>
      <w:tr w14:paraId="61F6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6ED06D2">
            <w:pPr>
              <w:widowControl w:val="0"/>
              <w:jc w:val="both"/>
            </w:pPr>
            <w:r>
              <w:rPr>
                <w:rFonts w:ascii="Times New Roman" w:hAnsi="Times New Roman"/>
                <w:b w:val="0"/>
                <w:sz w:val="22"/>
              </w:rPr>
              <w:t>Премия наставникам</w:t>
            </w:r>
          </w:p>
        </w:tc>
        <w:tc>
          <w:tcPr>
            <w:tcW w:w="2300" w:type="dxa"/>
          </w:tcPr>
          <w:p w14:paraId="4ED85A7C">
            <w:pPr>
              <w:widowControl w:val="0"/>
              <w:jc w:val="both"/>
            </w:pPr>
            <w:r>
              <w:rPr>
                <w:rFonts w:ascii="Times New Roman" w:hAnsi="Times New Roman"/>
                <w:b w:val="0"/>
                <w:sz w:val="22"/>
              </w:rPr>
              <w:t>5 000 руб. × 2 наставника × 6 мес.</w:t>
            </w:r>
          </w:p>
        </w:tc>
        <w:tc>
          <w:tcPr>
            <w:tcW w:w="2300" w:type="dxa"/>
          </w:tcPr>
          <w:p w14:paraId="5D2FD051">
            <w:pPr>
              <w:widowControl w:val="0"/>
              <w:jc w:val="both"/>
            </w:pPr>
            <w:r>
              <w:rPr>
                <w:rFonts w:ascii="Times New Roman" w:hAnsi="Times New Roman"/>
                <w:b w:val="0"/>
                <w:sz w:val="22"/>
              </w:rPr>
              <w:t>60 000</w:t>
            </w:r>
          </w:p>
        </w:tc>
        <w:tc>
          <w:tcPr>
            <w:tcW w:w="2300" w:type="dxa"/>
          </w:tcPr>
          <w:p w14:paraId="6FA0FDCC">
            <w:pPr>
              <w:widowControl w:val="0"/>
              <w:jc w:val="both"/>
            </w:pPr>
            <w:r>
              <w:rPr>
                <w:rFonts w:ascii="Times New Roman" w:hAnsi="Times New Roman"/>
                <w:b w:val="0"/>
                <w:sz w:val="22"/>
              </w:rPr>
              <w:t>Внутреннее положение о премировании</w:t>
            </w:r>
          </w:p>
        </w:tc>
      </w:tr>
      <w:tr w14:paraId="6F55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E535A52">
            <w:pPr>
              <w:widowControl w:val="0"/>
              <w:jc w:val="both"/>
            </w:pPr>
            <w:r>
              <w:rPr>
                <w:rFonts w:ascii="Times New Roman" w:hAnsi="Times New Roman"/>
                <w:b w:val="0"/>
                <w:sz w:val="22"/>
              </w:rPr>
              <w:t>Резерв на обновление материалов</w:t>
            </w:r>
          </w:p>
        </w:tc>
        <w:tc>
          <w:tcPr>
            <w:tcW w:w="2300" w:type="dxa"/>
          </w:tcPr>
          <w:p w14:paraId="4BF2D400">
            <w:pPr>
              <w:widowControl w:val="0"/>
              <w:jc w:val="both"/>
            </w:pPr>
            <w:r>
              <w:rPr>
                <w:rFonts w:ascii="Times New Roman" w:hAnsi="Times New Roman"/>
                <w:b w:val="0"/>
                <w:sz w:val="22"/>
              </w:rPr>
              <w:t>Около 5% от прямых затрат</w:t>
            </w:r>
          </w:p>
        </w:tc>
        <w:tc>
          <w:tcPr>
            <w:tcW w:w="2300" w:type="dxa"/>
          </w:tcPr>
          <w:p w14:paraId="30A46A72">
            <w:pPr>
              <w:widowControl w:val="0"/>
              <w:jc w:val="both"/>
            </w:pPr>
            <w:r>
              <w:rPr>
                <w:rFonts w:ascii="Times New Roman" w:hAnsi="Times New Roman"/>
                <w:b w:val="0"/>
                <w:sz w:val="22"/>
              </w:rPr>
              <w:t>24 000</w:t>
            </w:r>
          </w:p>
        </w:tc>
        <w:tc>
          <w:tcPr>
            <w:tcW w:w="2300" w:type="dxa"/>
          </w:tcPr>
          <w:p w14:paraId="709D3381">
            <w:pPr>
              <w:widowControl w:val="0"/>
              <w:jc w:val="both"/>
            </w:pPr>
            <w:r>
              <w:rPr>
                <w:rFonts w:ascii="Times New Roman" w:hAnsi="Times New Roman"/>
                <w:b w:val="0"/>
                <w:sz w:val="22"/>
              </w:rPr>
              <w:t>Расчет автора</w:t>
            </w:r>
          </w:p>
        </w:tc>
      </w:tr>
      <w:tr w14:paraId="22C6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8111E63">
            <w:pPr>
              <w:widowControl w:val="0"/>
              <w:jc w:val="both"/>
            </w:pPr>
            <w:r>
              <w:rPr>
                <w:rFonts w:ascii="Times New Roman" w:hAnsi="Times New Roman"/>
                <w:b w:val="0"/>
                <w:sz w:val="22"/>
              </w:rPr>
              <w:t>Итого первоначальные затраты</w:t>
            </w:r>
          </w:p>
        </w:tc>
        <w:tc>
          <w:tcPr>
            <w:tcW w:w="2300" w:type="dxa"/>
          </w:tcPr>
          <w:p w14:paraId="146833D5">
            <w:pPr>
              <w:widowControl w:val="0"/>
              <w:jc w:val="both"/>
            </w:pPr>
            <w:r>
              <w:rPr>
                <w:rFonts w:ascii="Times New Roman" w:hAnsi="Times New Roman"/>
                <w:b w:val="0"/>
                <w:sz w:val="22"/>
              </w:rPr>
              <w:t>-</w:t>
            </w:r>
          </w:p>
        </w:tc>
        <w:tc>
          <w:tcPr>
            <w:tcW w:w="2300" w:type="dxa"/>
          </w:tcPr>
          <w:p w14:paraId="7675FBCF">
            <w:pPr>
              <w:widowControl w:val="0"/>
              <w:jc w:val="both"/>
            </w:pPr>
            <w:r>
              <w:rPr>
                <w:rFonts w:ascii="Times New Roman" w:hAnsi="Times New Roman"/>
                <w:b w:val="0"/>
                <w:sz w:val="22"/>
              </w:rPr>
              <w:t>474 456</w:t>
            </w:r>
          </w:p>
        </w:tc>
        <w:tc>
          <w:tcPr>
            <w:tcW w:w="2300" w:type="dxa"/>
          </w:tcPr>
          <w:p w14:paraId="2DB62323">
            <w:pPr>
              <w:widowControl w:val="0"/>
              <w:jc w:val="both"/>
            </w:pPr>
            <w:r>
              <w:rPr>
                <w:rFonts w:ascii="Times New Roman" w:hAnsi="Times New Roman"/>
                <w:b w:val="0"/>
                <w:sz w:val="22"/>
              </w:rPr>
              <w:t>-</w:t>
            </w:r>
          </w:p>
        </w:tc>
      </w:tr>
    </w:tbl>
    <w:p w14:paraId="30591444">
      <w:pPr>
        <w:spacing w:after="120" w:line="360" w:lineRule="auto"/>
        <w:ind w:firstLine="700"/>
      </w:pPr>
    </w:p>
    <w:p w14:paraId="4E4809B6">
      <w:pPr>
        <w:spacing w:after="120" w:line="360" w:lineRule="auto"/>
        <w:ind w:firstLine="700"/>
      </w:pPr>
      <w:r>
        <w:rPr>
          <w:rFonts w:ascii="Times New Roman" w:hAnsi="Times New Roman"/>
          <w:b w:val="0"/>
          <w:sz w:val="28"/>
        </w:rPr>
        <w:t>В расчет бюджета не включается стоимость подписки Битрикс24 как новая статья, поскольку система уже используется компанией. Если бы организация приобретала тариф заново, ориентиром мог бы выступать тариф «Стандарт» стоимостью 6 990 руб. в месяц или 4 893 руб. в месяц при оплате за год [47]. Однако для рассматриваемого проекта релевантной является именно настройка базы знаний и шаблонов процессов.</w:t>
      </w:r>
    </w:p>
    <w:p w14:paraId="762B2284">
      <w:pPr>
        <w:spacing w:after="120" w:line="360" w:lineRule="auto"/>
        <w:ind w:firstLine="700"/>
      </w:pPr>
      <w:r>
        <w:rPr>
          <w:rFonts w:ascii="Times New Roman" w:hAnsi="Times New Roman"/>
          <w:b w:val="0"/>
          <w:sz w:val="28"/>
        </w:rPr>
        <w:t>По сравнению с текущими затратами на обучение в размере 45 тыс. руб. в год предлагаемый бюджет значительно выше. Однако такое увеличение обосновано тем, что текущие расходы носят формальный характер и не создают устойчивой системы. Новые затраты направлены не только на покупку курсов, но и на создание внутренней инфраструктуры, которая будет использоваться повторно. После первого года расходы снизятся, так как база знаний, чек-листы, реестр ошибок и адаптационный маршрут уже будут созданы.</w:t>
      </w:r>
    </w:p>
    <w:p w14:paraId="2C232AA9">
      <w:pPr>
        <w:spacing w:after="120" w:line="360" w:lineRule="auto"/>
        <w:ind w:firstLine="700"/>
      </w:pPr>
      <w:r>
        <w:rPr>
          <w:rFonts w:ascii="Times New Roman" w:hAnsi="Times New Roman"/>
          <w:b w:val="0"/>
          <w:sz w:val="28"/>
        </w:rPr>
        <w:t>Операционные расходы второго и третьего года будут состоять из продления LMS, премий наставникам, обновления материалов и выборочного обучения по изменениям законодательства. В расчетах принимается, что ежегодные поддерживающие расходы составят 154 тыс. руб.: 43,7 тыс. руб. на LMS, 60 тыс. руб. на наставников и около 50 тыс. руб. на обновление материалов и краткие внешние вебинары.</w:t>
      </w:r>
    </w:p>
    <w:p w14:paraId="025415AC">
      <w:pPr>
        <w:spacing w:after="120" w:line="360" w:lineRule="auto"/>
        <w:jc w:val="center"/>
      </w:pPr>
      <w:r>
        <w:rPr>
          <w:rFonts w:ascii="Times New Roman" w:hAnsi="Times New Roman"/>
          <w:b w:val="0"/>
          <w:sz w:val="28"/>
        </w:rPr>
        <w:t>Таблица 3.6. Матрица компетенций тендерного специалиста после внедрения системы обучения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0B3B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36607F3">
            <w:pPr>
              <w:widowControl w:val="0"/>
              <w:jc w:val="both"/>
            </w:pPr>
            <w:r>
              <w:rPr>
                <w:rFonts w:ascii="Times New Roman" w:hAnsi="Times New Roman"/>
                <w:b/>
                <w:sz w:val="22"/>
              </w:rPr>
              <w:t>Компетенция</w:t>
            </w:r>
          </w:p>
        </w:tc>
        <w:tc>
          <w:tcPr>
            <w:tcW w:w="2300" w:type="dxa"/>
          </w:tcPr>
          <w:p w14:paraId="64EEFE50">
            <w:pPr>
              <w:widowControl w:val="0"/>
              <w:jc w:val="both"/>
            </w:pPr>
            <w:r>
              <w:rPr>
                <w:rFonts w:ascii="Times New Roman" w:hAnsi="Times New Roman"/>
                <w:b/>
                <w:sz w:val="22"/>
              </w:rPr>
              <w:t>Содержание</w:t>
            </w:r>
          </w:p>
        </w:tc>
        <w:tc>
          <w:tcPr>
            <w:tcW w:w="2300" w:type="dxa"/>
          </w:tcPr>
          <w:p w14:paraId="0FE3343D">
            <w:pPr>
              <w:widowControl w:val="0"/>
              <w:jc w:val="both"/>
            </w:pPr>
            <w:r>
              <w:rPr>
                <w:rFonts w:ascii="Times New Roman" w:hAnsi="Times New Roman"/>
                <w:b/>
                <w:sz w:val="22"/>
              </w:rPr>
              <w:t>Способ формирования</w:t>
            </w:r>
          </w:p>
        </w:tc>
        <w:tc>
          <w:tcPr>
            <w:tcW w:w="2300" w:type="dxa"/>
          </w:tcPr>
          <w:p w14:paraId="2C8B2C0F">
            <w:pPr>
              <w:widowControl w:val="0"/>
              <w:jc w:val="both"/>
            </w:pPr>
            <w:r>
              <w:rPr>
                <w:rFonts w:ascii="Times New Roman" w:hAnsi="Times New Roman"/>
                <w:b/>
                <w:sz w:val="22"/>
              </w:rPr>
              <w:t>Способ контроля</w:t>
            </w:r>
          </w:p>
        </w:tc>
      </w:tr>
      <w:tr w14:paraId="3EDB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C61B85C">
            <w:pPr>
              <w:widowControl w:val="0"/>
              <w:jc w:val="both"/>
            </w:pPr>
            <w:r>
              <w:rPr>
                <w:rFonts w:ascii="Times New Roman" w:hAnsi="Times New Roman"/>
                <w:b w:val="0"/>
                <w:sz w:val="22"/>
              </w:rPr>
              <w:t>Нормативная</w:t>
            </w:r>
          </w:p>
        </w:tc>
        <w:tc>
          <w:tcPr>
            <w:tcW w:w="2300" w:type="dxa"/>
          </w:tcPr>
          <w:p w14:paraId="7F79479A">
            <w:pPr>
              <w:widowControl w:val="0"/>
              <w:jc w:val="both"/>
            </w:pPr>
            <w:r>
              <w:rPr>
                <w:rFonts w:ascii="Times New Roman" w:hAnsi="Times New Roman"/>
                <w:b w:val="0"/>
                <w:sz w:val="22"/>
              </w:rPr>
              <w:t>Знание 44-ФЗ, 223-ФЗ, требований заказчиков</w:t>
            </w:r>
          </w:p>
        </w:tc>
        <w:tc>
          <w:tcPr>
            <w:tcW w:w="2300" w:type="dxa"/>
          </w:tcPr>
          <w:p w14:paraId="1EEECDE1">
            <w:pPr>
              <w:widowControl w:val="0"/>
              <w:jc w:val="both"/>
            </w:pPr>
            <w:r>
              <w:rPr>
                <w:rFonts w:ascii="Times New Roman" w:hAnsi="Times New Roman"/>
                <w:b w:val="0"/>
                <w:sz w:val="22"/>
              </w:rPr>
              <w:t>Внешние курсы, ежемесячные обзоры изменений</w:t>
            </w:r>
          </w:p>
        </w:tc>
        <w:tc>
          <w:tcPr>
            <w:tcW w:w="2300" w:type="dxa"/>
          </w:tcPr>
          <w:p w14:paraId="45569CE3">
            <w:pPr>
              <w:widowControl w:val="0"/>
              <w:jc w:val="both"/>
            </w:pPr>
            <w:r>
              <w:rPr>
                <w:rFonts w:ascii="Times New Roman" w:hAnsi="Times New Roman"/>
                <w:b w:val="0"/>
                <w:sz w:val="22"/>
              </w:rPr>
              <w:t>Тестирование, разбор ошибок</w:t>
            </w:r>
          </w:p>
        </w:tc>
      </w:tr>
      <w:tr w14:paraId="644B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AC46363">
            <w:pPr>
              <w:widowControl w:val="0"/>
              <w:jc w:val="both"/>
            </w:pPr>
            <w:r>
              <w:rPr>
                <w:rFonts w:ascii="Times New Roman" w:hAnsi="Times New Roman"/>
                <w:b w:val="0"/>
                <w:sz w:val="22"/>
              </w:rPr>
              <w:t>Документационная</w:t>
            </w:r>
          </w:p>
        </w:tc>
        <w:tc>
          <w:tcPr>
            <w:tcW w:w="2300" w:type="dxa"/>
          </w:tcPr>
          <w:p w14:paraId="69380D4A">
            <w:pPr>
              <w:widowControl w:val="0"/>
              <w:jc w:val="both"/>
            </w:pPr>
            <w:r>
              <w:rPr>
                <w:rFonts w:ascii="Times New Roman" w:hAnsi="Times New Roman"/>
                <w:b w:val="0"/>
                <w:sz w:val="22"/>
              </w:rPr>
              <w:t>Подготовка полного комплекта заявки</w:t>
            </w:r>
          </w:p>
        </w:tc>
        <w:tc>
          <w:tcPr>
            <w:tcW w:w="2300" w:type="dxa"/>
          </w:tcPr>
          <w:p w14:paraId="2C72E9BB">
            <w:pPr>
              <w:widowControl w:val="0"/>
              <w:jc w:val="both"/>
            </w:pPr>
            <w:r>
              <w:rPr>
                <w:rFonts w:ascii="Times New Roman" w:hAnsi="Times New Roman"/>
                <w:b w:val="0"/>
                <w:sz w:val="22"/>
              </w:rPr>
              <w:t>Шаблоны, база знаний, чек-лист</w:t>
            </w:r>
          </w:p>
        </w:tc>
        <w:tc>
          <w:tcPr>
            <w:tcW w:w="2300" w:type="dxa"/>
          </w:tcPr>
          <w:p w14:paraId="59376634">
            <w:pPr>
              <w:widowControl w:val="0"/>
              <w:jc w:val="both"/>
            </w:pPr>
            <w:r>
              <w:rPr>
                <w:rFonts w:ascii="Times New Roman" w:hAnsi="Times New Roman"/>
                <w:b w:val="0"/>
                <w:sz w:val="22"/>
              </w:rPr>
              <w:t>Контроль допуска заявки</w:t>
            </w:r>
          </w:p>
        </w:tc>
      </w:tr>
      <w:tr w14:paraId="5F19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0159B67">
            <w:pPr>
              <w:widowControl w:val="0"/>
              <w:jc w:val="both"/>
            </w:pPr>
            <w:r>
              <w:rPr>
                <w:rFonts w:ascii="Times New Roman" w:hAnsi="Times New Roman"/>
                <w:b w:val="0"/>
                <w:sz w:val="22"/>
              </w:rPr>
              <w:t>Цифровая</w:t>
            </w:r>
          </w:p>
        </w:tc>
        <w:tc>
          <w:tcPr>
            <w:tcW w:w="2300" w:type="dxa"/>
          </w:tcPr>
          <w:p w14:paraId="27CCE7C3">
            <w:pPr>
              <w:widowControl w:val="0"/>
              <w:jc w:val="both"/>
            </w:pPr>
            <w:r>
              <w:rPr>
                <w:rFonts w:ascii="Times New Roman" w:hAnsi="Times New Roman"/>
                <w:b w:val="0"/>
                <w:sz w:val="22"/>
              </w:rPr>
              <w:t>Работа с ЕИС, ЭТП, УКЭП, форматами файлов</w:t>
            </w:r>
          </w:p>
        </w:tc>
        <w:tc>
          <w:tcPr>
            <w:tcW w:w="2300" w:type="dxa"/>
          </w:tcPr>
          <w:p w14:paraId="10FBB782">
            <w:pPr>
              <w:widowControl w:val="0"/>
              <w:jc w:val="both"/>
            </w:pPr>
            <w:r>
              <w:rPr>
                <w:rFonts w:ascii="Times New Roman" w:hAnsi="Times New Roman"/>
                <w:b w:val="0"/>
                <w:sz w:val="22"/>
              </w:rPr>
              <w:t>Практикум, наставничество</w:t>
            </w:r>
          </w:p>
        </w:tc>
        <w:tc>
          <w:tcPr>
            <w:tcW w:w="2300" w:type="dxa"/>
          </w:tcPr>
          <w:p w14:paraId="3009D06F">
            <w:pPr>
              <w:widowControl w:val="0"/>
              <w:jc w:val="both"/>
            </w:pPr>
            <w:r>
              <w:rPr>
                <w:rFonts w:ascii="Times New Roman" w:hAnsi="Times New Roman"/>
                <w:b w:val="0"/>
                <w:sz w:val="22"/>
              </w:rPr>
              <w:t>Учебный кейс, контрольная заявка</w:t>
            </w:r>
          </w:p>
        </w:tc>
      </w:tr>
      <w:tr w14:paraId="5E74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B3DAC96">
            <w:pPr>
              <w:widowControl w:val="0"/>
              <w:jc w:val="both"/>
            </w:pPr>
            <w:r>
              <w:rPr>
                <w:rFonts w:ascii="Times New Roman" w:hAnsi="Times New Roman"/>
                <w:b w:val="0"/>
                <w:sz w:val="22"/>
              </w:rPr>
              <w:t>Экономическая</w:t>
            </w:r>
          </w:p>
        </w:tc>
        <w:tc>
          <w:tcPr>
            <w:tcW w:w="2300" w:type="dxa"/>
          </w:tcPr>
          <w:p w14:paraId="5A4B34D6">
            <w:pPr>
              <w:widowControl w:val="0"/>
              <w:jc w:val="both"/>
            </w:pPr>
            <w:r>
              <w:rPr>
                <w:rFonts w:ascii="Times New Roman" w:hAnsi="Times New Roman"/>
                <w:b w:val="0"/>
                <w:sz w:val="22"/>
              </w:rPr>
              <w:t>Расчет цены, НМЦК, маржи, НДС</w:t>
            </w:r>
          </w:p>
        </w:tc>
        <w:tc>
          <w:tcPr>
            <w:tcW w:w="2300" w:type="dxa"/>
          </w:tcPr>
          <w:p w14:paraId="399B1202">
            <w:pPr>
              <w:widowControl w:val="0"/>
              <w:jc w:val="both"/>
            </w:pPr>
            <w:r>
              <w:rPr>
                <w:rFonts w:ascii="Times New Roman" w:hAnsi="Times New Roman"/>
                <w:b w:val="0"/>
                <w:sz w:val="22"/>
              </w:rPr>
              <w:t>Кейсы и проверочные задания</w:t>
            </w:r>
          </w:p>
        </w:tc>
        <w:tc>
          <w:tcPr>
            <w:tcW w:w="2300" w:type="dxa"/>
          </w:tcPr>
          <w:p w14:paraId="3DFA66A7">
            <w:pPr>
              <w:widowControl w:val="0"/>
              <w:jc w:val="both"/>
            </w:pPr>
            <w:r>
              <w:rPr>
                <w:rFonts w:ascii="Times New Roman" w:hAnsi="Times New Roman"/>
                <w:b w:val="0"/>
                <w:sz w:val="22"/>
              </w:rPr>
              <w:t>Проверка расчетов руководителем</w:t>
            </w:r>
          </w:p>
        </w:tc>
      </w:tr>
      <w:tr w14:paraId="655F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E55B7B2">
            <w:pPr>
              <w:widowControl w:val="0"/>
              <w:jc w:val="both"/>
            </w:pPr>
            <w:r>
              <w:rPr>
                <w:rFonts w:ascii="Times New Roman" w:hAnsi="Times New Roman"/>
                <w:b w:val="0"/>
                <w:sz w:val="22"/>
              </w:rPr>
              <w:t>Аналитическая</w:t>
            </w:r>
          </w:p>
        </w:tc>
        <w:tc>
          <w:tcPr>
            <w:tcW w:w="2300" w:type="dxa"/>
          </w:tcPr>
          <w:p w14:paraId="08159A1A">
            <w:pPr>
              <w:widowControl w:val="0"/>
              <w:jc w:val="both"/>
            </w:pPr>
            <w:r>
              <w:rPr>
                <w:rFonts w:ascii="Times New Roman" w:hAnsi="Times New Roman"/>
                <w:b w:val="0"/>
                <w:sz w:val="22"/>
              </w:rPr>
              <w:t>Выбор перспективных закупок и оценка рисков</w:t>
            </w:r>
          </w:p>
        </w:tc>
        <w:tc>
          <w:tcPr>
            <w:tcW w:w="2300" w:type="dxa"/>
          </w:tcPr>
          <w:p w14:paraId="3ABA71BD">
            <w:pPr>
              <w:widowControl w:val="0"/>
              <w:jc w:val="both"/>
            </w:pPr>
            <w:r>
              <w:rPr>
                <w:rFonts w:ascii="Times New Roman" w:hAnsi="Times New Roman"/>
                <w:b w:val="0"/>
                <w:sz w:val="22"/>
              </w:rPr>
              <w:t>Разбор успешных и проигранных заявок</w:t>
            </w:r>
          </w:p>
        </w:tc>
        <w:tc>
          <w:tcPr>
            <w:tcW w:w="2300" w:type="dxa"/>
          </w:tcPr>
          <w:p w14:paraId="2D9DD800">
            <w:pPr>
              <w:widowControl w:val="0"/>
              <w:jc w:val="both"/>
            </w:pPr>
            <w:r>
              <w:rPr>
                <w:rFonts w:ascii="Times New Roman" w:hAnsi="Times New Roman"/>
                <w:b w:val="0"/>
                <w:sz w:val="22"/>
              </w:rPr>
              <w:t>Динамика конверсии</w:t>
            </w:r>
          </w:p>
        </w:tc>
      </w:tr>
      <w:tr w14:paraId="410E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6243E50">
            <w:pPr>
              <w:widowControl w:val="0"/>
              <w:jc w:val="both"/>
            </w:pPr>
            <w:r>
              <w:rPr>
                <w:rFonts w:ascii="Times New Roman" w:hAnsi="Times New Roman"/>
                <w:b w:val="0"/>
                <w:sz w:val="22"/>
              </w:rPr>
              <w:t>Коммуникационная</w:t>
            </w:r>
          </w:p>
        </w:tc>
        <w:tc>
          <w:tcPr>
            <w:tcW w:w="2300" w:type="dxa"/>
          </w:tcPr>
          <w:p w14:paraId="3F91512D">
            <w:pPr>
              <w:widowControl w:val="0"/>
              <w:jc w:val="both"/>
            </w:pPr>
            <w:r>
              <w:rPr>
                <w:rFonts w:ascii="Times New Roman" w:hAnsi="Times New Roman"/>
                <w:b w:val="0"/>
                <w:sz w:val="22"/>
              </w:rPr>
              <w:t>Взаимодействие с юристом, логистикой, бухгалтерией</w:t>
            </w:r>
          </w:p>
        </w:tc>
        <w:tc>
          <w:tcPr>
            <w:tcW w:w="2300" w:type="dxa"/>
          </w:tcPr>
          <w:p w14:paraId="30E90454">
            <w:pPr>
              <w:widowControl w:val="0"/>
              <w:jc w:val="both"/>
            </w:pPr>
            <w:r>
              <w:rPr>
                <w:rFonts w:ascii="Times New Roman" w:hAnsi="Times New Roman"/>
                <w:b w:val="0"/>
                <w:sz w:val="22"/>
              </w:rPr>
              <w:t>Регламент задач и совещания</w:t>
            </w:r>
          </w:p>
        </w:tc>
        <w:tc>
          <w:tcPr>
            <w:tcW w:w="2300" w:type="dxa"/>
          </w:tcPr>
          <w:p w14:paraId="439CB977">
            <w:pPr>
              <w:widowControl w:val="0"/>
              <w:jc w:val="both"/>
            </w:pPr>
            <w:r>
              <w:rPr>
                <w:rFonts w:ascii="Times New Roman" w:hAnsi="Times New Roman"/>
                <w:b w:val="0"/>
                <w:sz w:val="22"/>
              </w:rPr>
              <w:t>Сроки согласования заявки</w:t>
            </w:r>
          </w:p>
        </w:tc>
      </w:tr>
    </w:tbl>
    <w:p w14:paraId="425B1EC6">
      <w:pPr>
        <w:spacing w:after="120" w:line="360" w:lineRule="auto"/>
        <w:ind w:firstLine="700"/>
      </w:pPr>
    </w:p>
    <w:p w14:paraId="6D179AA1">
      <w:pPr>
        <w:spacing w:after="120" w:line="360" w:lineRule="auto"/>
        <w:ind w:firstLine="700"/>
      </w:pPr>
      <w:r>
        <w:rPr>
          <w:rFonts w:ascii="Times New Roman" w:hAnsi="Times New Roman"/>
          <w:b w:val="0"/>
          <w:sz w:val="28"/>
        </w:rPr>
        <w:t>Технология внедрения предполагает, что каждое мероприятие имеет измеримый результат. Для базы знаний таким результатом является наличие утвержденных разделов и ответственных за их обновление. Для адаптационного маршрута — наличие программы и итогового кейса. Для внешнего обучения — удостоверения о повышении квалификации и результаты тестирования. Для чек-листа — доля заявок, прошедших финальный контроль. Для реестра ошибок — количество зафиксированных и закрытых корректирующих действий.</w:t>
      </w:r>
    </w:p>
    <w:p w14:paraId="78A78872">
      <w:pPr>
        <w:spacing w:after="120" w:line="360" w:lineRule="auto"/>
        <w:ind w:firstLine="700"/>
      </w:pPr>
      <w:r>
        <w:rPr>
          <w:rFonts w:ascii="Times New Roman" w:hAnsi="Times New Roman"/>
          <w:b w:val="0"/>
          <w:sz w:val="28"/>
        </w:rPr>
        <w:t>Механизм адаптации предлагаемых решений к действующей системе управления основан на минимальном изменении организационной структуры. Генеральный директор не создает новое подразделение, а утверждает внутренний регламент. Руководитель тендерного отдела не получает новую должность, но становится владельцем процесса обучения. Наставники не освобождаются от основной работы, но получают небольшую премию за сопровождение новичков и передачу опыта. Юрист не становится штатным HR-методистом, но участвует в проверке нормативных материалов.</w:t>
      </w:r>
    </w:p>
    <w:p w14:paraId="1F22C595">
      <w:pPr>
        <w:spacing w:after="120" w:line="360" w:lineRule="auto"/>
        <w:ind w:firstLine="700"/>
      </w:pPr>
      <w:r>
        <w:rPr>
          <w:rFonts w:ascii="Times New Roman" w:hAnsi="Times New Roman"/>
          <w:b w:val="0"/>
          <w:sz w:val="28"/>
        </w:rPr>
        <w:t>Важным элементом является порядок обновления базы знаний. Раз в месяц руководитель отдела проверяет реестр ошибок и определяет, какие инструкции требуют корректировки. При изменении законодательства юрист готовит краткую справку, руководитель отдела переводит ее в практическую памятку, а системный администратор размещает ее в нужном разделе. После этого сотрудники проходят короткий тест или подтверждают ознакомление в Битрикс24.</w:t>
      </w:r>
    </w:p>
    <w:p w14:paraId="53FBCFEA">
      <w:pPr>
        <w:spacing w:after="120" w:line="360" w:lineRule="auto"/>
        <w:ind w:firstLine="700"/>
      </w:pPr>
      <w:r>
        <w:rPr>
          <w:rFonts w:ascii="Times New Roman" w:hAnsi="Times New Roman"/>
          <w:b w:val="0"/>
          <w:sz w:val="28"/>
        </w:rPr>
        <w:t>Алгоритм подготовки заявки после внедрения системы включает восемь шагов: выбор закупки, проверка требований заказчика, расчет экономической целесообразности, формирование комплекта документов, проверка актуальности шаблонов, контроль расчетов, проверка формата файлов и электронной подписи, финальное подтверждение чек-листа. Данный алгоритм должен быть одинаковым для всех сотрудников, что снижает зависимость качества от индивидуального стиля работы.</w:t>
      </w:r>
    </w:p>
    <w:p w14:paraId="3F234C75">
      <w:pPr>
        <w:spacing w:after="120" w:line="360" w:lineRule="auto"/>
        <w:jc w:val="center"/>
      </w:pPr>
      <w:r>
        <w:rPr>
          <w:rFonts w:ascii="Times New Roman" w:hAnsi="Times New Roman"/>
          <w:b w:val="0"/>
          <w:sz w:val="28"/>
        </w:rPr>
        <w:t>Таблица 3.7. Алгоритм подготовки заявки после внедрения мероприятий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531B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Pr>
          <w:p w14:paraId="029892AE">
            <w:pPr>
              <w:widowControl w:val="0"/>
              <w:jc w:val="both"/>
            </w:pPr>
            <w:r>
              <w:rPr>
                <w:rFonts w:ascii="Times New Roman" w:hAnsi="Times New Roman"/>
                <w:b/>
                <w:sz w:val="22"/>
              </w:rPr>
              <w:t>Шаг</w:t>
            </w:r>
          </w:p>
        </w:tc>
        <w:tc>
          <w:tcPr>
            <w:tcW w:w="2300" w:type="dxa"/>
          </w:tcPr>
          <w:p w14:paraId="6D94EE99">
            <w:pPr>
              <w:widowControl w:val="0"/>
              <w:jc w:val="both"/>
            </w:pPr>
            <w:r>
              <w:rPr>
                <w:rFonts w:ascii="Times New Roman" w:hAnsi="Times New Roman"/>
                <w:b/>
                <w:sz w:val="22"/>
              </w:rPr>
              <w:t>Действие</w:t>
            </w:r>
          </w:p>
        </w:tc>
        <w:tc>
          <w:tcPr>
            <w:tcW w:w="2300" w:type="dxa"/>
          </w:tcPr>
          <w:p w14:paraId="4AA3B866">
            <w:pPr>
              <w:widowControl w:val="0"/>
              <w:jc w:val="both"/>
            </w:pPr>
            <w:r>
              <w:rPr>
                <w:rFonts w:ascii="Times New Roman" w:hAnsi="Times New Roman"/>
                <w:b/>
                <w:sz w:val="22"/>
              </w:rPr>
              <w:t>Контрольная точка</w:t>
            </w:r>
          </w:p>
        </w:tc>
        <w:tc>
          <w:tcPr>
            <w:tcW w:w="2300" w:type="dxa"/>
          </w:tcPr>
          <w:p w14:paraId="2267DFE0">
            <w:pPr>
              <w:widowControl w:val="0"/>
              <w:jc w:val="both"/>
            </w:pPr>
            <w:r>
              <w:rPr>
                <w:rFonts w:ascii="Times New Roman" w:hAnsi="Times New Roman"/>
                <w:b/>
                <w:sz w:val="22"/>
              </w:rPr>
              <w:t>Ответственный</w:t>
            </w:r>
          </w:p>
        </w:tc>
      </w:tr>
      <w:tr w14:paraId="432D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49E8029">
            <w:pPr>
              <w:widowControl w:val="0"/>
              <w:jc w:val="both"/>
            </w:pPr>
            <w:r>
              <w:rPr>
                <w:rFonts w:ascii="Times New Roman" w:hAnsi="Times New Roman"/>
                <w:b w:val="0"/>
                <w:sz w:val="22"/>
              </w:rPr>
              <w:t>1</w:t>
            </w:r>
          </w:p>
        </w:tc>
        <w:tc>
          <w:tcPr>
            <w:tcW w:w="2300" w:type="dxa"/>
          </w:tcPr>
          <w:p w14:paraId="455CE4D0">
            <w:pPr>
              <w:widowControl w:val="0"/>
              <w:jc w:val="both"/>
            </w:pPr>
            <w:r>
              <w:rPr>
                <w:rFonts w:ascii="Times New Roman" w:hAnsi="Times New Roman"/>
                <w:b w:val="0"/>
                <w:sz w:val="22"/>
              </w:rPr>
              <w:t>Выбор закупки и первичный анализ</w:t>
            </w:r>
          </w:p>
        </w:tc>
        <w:tc>
          <w:tcPr>
            <w:tcW w:w="2300" w:type="dxa"/>
          </w:tcPr>
          <w:p w14:paraId="3AE884F6">
            <w:pPr>
              <w:widowControl w:val="0"/>
              <w:jc w:val="both"/>
            </w:pPr>
            <w:r>
              <w:rPr>
                <w:rFonts w:ascii="Times New Roman" w:hAnsi="Times New Roman"/>
                <w:b w:val="0"/>
                <w:sz w:val="22"/>
              </w:rPr>
              <w:t>Соответствие профилю компании</w:t>
            </w:r>
          </w:p>
        </w:tc>
        <w:tc>
          <w:tcPr>
            <w:tcW w:w="2300" w:type="dxa"/>
          </w:tcPr>
          <w:p w14:paraId="13931584">
            <w:pPr>
              <w:widowControl w:val="0"/>
              <w:jc w:val="both"/>
            </w:pPr>
            <w:r>
              <w:rPr>
                <w:rFonts w:ascii="Times New Roman" w:hAnsi="Times New Roman"/>
                <w:b w:val="0"/>
                <w:sz w:val="22"/>
              </w:rPr>
              <w:t>Тендерный специалист</w:t>
            </w:r>
          </w:p>
        </w:tc>
      </w:tr>
      <w:tr w14:paraId="294E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A5EAC9B">
            <w:pPr>
              <w:widowControl w:val="0"/>
              <w:jc w:val="both"/>
            </w:pPr>
            <w:r>
              <w:rPr>
                <w:rFonts w:ascii="Times New Roman" w:hAnsi="Times New Roman"/>
                <w:b w:val="0"/>
                <w:sz w:val="22"/>
              </w:rPr>
              <w:t>2</w:t>
            </w:r>
          </w:p>
        </w:tc>
        <w:tc>
          <w:tcPr>
            <w:tcW w:w="2300" w:type="dxa"/>
          </w:tcPr>
          <w:p w14:paraId="6300BF91">
            <w:pPr>
              <w:widowControl w:val="0"/>
              <w:jc w:val="both"/>
            </w:pPr>
            <w:r>
              <w:rPr>
                <w:rFonts w:ascii="Times New Roman" w:hAnsi="Times New Roman"/>
                <w:b w:val="0"/>
                <w:sz w:val="22"/>
              </w:rPr>
              <w:t>Проверка требований заказчика</w:t>
            </w:r>
          </w:p>
        </w:tc>
        <w:tc>
          <w:tcPr>
            <w:tcW w:w="2300" w:type="dxa"/>
          </w:tcPr>
          <w:p w14:paraId="67C040B2">
            <w:pPr>
              <w:widowControl w:val="0"/>
              <w:jc w:val="both"/>
            </w:pPr>
            <w:r>
              <w:rPr>
                <w:rFonts w:ascii="Times New Roman" w:hAnsi="Times New Roman"/>
                <w:b w:val="0"/>
                <w:sz w:val="22"/>
              </w:rPr>
              <w:t>Отсутствие невыполнимых условий</w:t>
            </w:r>
          </w:p>
        </w:tc>
        <w:tc>
          <w:tcPr>
            <w:tcW w:w="2300" w:type="dxa"/>
          </w:tcPr>
          <w:p w14:paraId="365D8101">
            <w:pPr>
              <w:widowControl w:val="0"/>
              <w:jc w:val="both"/>
            </w:pPr>
            <w:r>
              <w:rPr>
                <w:rFonts w:ascii="Times New Roman" w:hAnsi="Times New Roman"/>
                <w:b w:val="0"/>
                <w:sz w:val="22"/>
              </w:rPr>
              <w:t>Тендерный специалист</w:t>
            </w:r>
          </w:p>
        </w:tc>
      </w:tr>
      <w:tr w14:paraId="6603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69C5A1E">
            <w:pPr>
              <w:widowControl w:val="0"/>
              <w:jc w:val="both"/>
            </w:pPr>
            <w:r>
              <w:rPr>
                <w:rFonts w:ascii="Times New Roman" w:hAnsi="Times New Roman"/>
                <w:b w:val="0"/>
                <w:sz w:val="22"/>
              </w:rPr>
              <w:t>3</w:t>
            </w:r>
          </w:p>
        </w:tc>
        <w:tc>
          <w:tcPr>
            <w:tcW w:w="2300" w:type="dxa"/>
          </w:tcPr>
          <w:p w14:paraId="57B71CFE">
            <w:pPr>
              <w:widowControl w:val="0"/>
              <w:jc w:val="both"/>
            </w:pPr>
            <w:r>
              <w:rPr>
                <w:rFonts w:ascii="Times New Roman" w:hAnsi="Times New Roman"/>
                <w:b w:val="0"/>
                <w:sz w:val="22"/>
              </w:rPr>
              <w:t>Расчет цены и маржи</w:t>
            </w:r>
          </w:p>
        </w:tc>
        <w:tc>
          <w:tcPr>
            <w:tcW w:w="2300" w:type="dxa"/>
          </w:tcPr>
          <w:p w14:paraId="518E5461">
            <w:pPr>
              <w:widowControl w:val="0"/>
              <w:jc w:val="both"/>
            </w:pPr>
            <w:r>
              <w:rPr>
                <w:rFonts w:ascii="Times New Roman" w:hAnsi="Times New Roman"/>
                <w:b w:val="0"/>
                <w:sz w:val="22"/>
              </w:rPr>
              <w:t>Маржа не ниже установленного порога</w:t>
            </w:r>
          </w:p>
        </w:tc>
        <w:tc>
          <w:tcPr>
            <w:tcW w:w="2300" w:type="dxa"/>
          </w:tcPr>
          <w:p w14:paraId="1865C426">
            <w:pPr>
              <w:widowControl w:val="0"/>
              <w:jc w:val="both"/>
            </w:pPr>
            <w:r>
              <w:rPr>
                <w:rFonts w:ascii="Times New Roman" w:hAnsi="Times New Roman"/>
                <w:b w:val="0"/>
                <w:sz w:val="22"/>
              </w:rPr>
              <w:t>Тендерный специалист, руководитель</w:t>
            </w:r>
          </w:p>
        </w:tc>
      </w:tr>
      <w:tr w14:paraId="542D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54A2631">
            <w:pPr>
              <w:widowControl w:val="0"/>
              <w:jc w:val="both"/>
            </w:pPr>
            <w:r>
              <w:rPr>
                <w:rFonts w:ascii="Times New Roman" w:hAnsi="Times New Roman"/>
                <w:b w:val="0"/>
                <w:sz w:val="22"/>
              </w:rPr>
              <w:t>4</w:t>
            </w:r>
          </w:p>
        </w:tc>
        <w:tc>
          <w:tcPr>
            <w:tcW w:w="2300" w:type="dxa"/>
          </w:tcPr>
          <w:p w14:paraId="6D57F3F2">
            <w:pPr>
              <w:widowControl w:val="0"/>
              <w:jc w:val="both"/>
            </w:pPr>
            <w:r>
              <w:rPr>
                <w:rFonts w:ascii="Times New Roman" w:hAnsi="Times New Roman"/>
                <w:b w:val="0"/>
                <w:sz w:val="22"/>
              </w:rPr>
              <w:t>Формирование документов</w:t>
            </w:r>
          </w:p>
        </w:tc>
        <w:tc>
          <w:tcPr>
            <w:tcW w:w="2300" w:type="dxa"/>
          </w:tcPr>
          <w:p w14:paraId="6BE9EEBF">
            <w:pPr>
              <w:widowControl w:val="0"/>
              <w:jc w:val="both"/>
            </w:pPr>
            <w:r>
              <w:rPr>
                <w:rFonts w:ascii="Times New Roman" w:hAnsi="Times New Roman"/>
                <w:b w:val="0"/>
                <w:sz w:val="22"/>
              </w:rPr>
              <w:t>Полный комплект по извещению</w:t>
            </w:r>
          </w:p>
        </w:tc>
        <w:tc>
          <w:tcPr>
            <w:tcW w:w="2300" w:type="dxa"/>
          </w:tcPr>
          <w:p w14:paraId="6CAEA340">
            <w:pPr>
              <w:widowControl w:val="0"/>
              <w:jc w:val="both"/>
            </w:pPr>
            <w:r>
              <w:rPr>
                <w:rFonts w:ascii="Times New Roman" w:hAnsi="Times New Roman"/>
                <w:b w:val="0"/>
                <w:sz w:val="22"/>
              </w:rPr>
              <w:t>Тендерный специалист</w:t>
            </w:r>
          </w:p>
        </w:tc>
      </w:tr>
      <w:tr w14:paraId="0C2E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3AEAA1AD">
            <w:pPr>
              <w:widowControl w:val="0"/>
              <w:jc w:val="both"/>
            </w:pPr>
            <w:r>
              <w:rPr>
                <w:rFonts w:ascii="Times New Roman" w:hAnsi="Times New Roman"/>
                <w:b w:val="0"/>
                <w:sz w:val="22"/>
              </w:rPr>
              <w:t>5</w:t>
            </w:r>
          </w:p>
        </w:tc>
        <w:tc>
          <w:tcPr>
            <w:tcW w:w="2300" w:type="dxa"/>
          </w:tcPr>
          <w:p w14:paraId="7F6424A3">
            <w:pPr>
              <w:widowControl w:val="0"/>
              <w:jc w:val="both"/>
            </w:pPr>
            <w:r>
              <w:rPr>
                <w:rFonts w:ascii="Times New Roman" w:hAnsi="Times New Roman"/>
                <w:b w:val="0"/>
                <w:sz w:val="22"/>
              </w:rPr>
              <w:t>Проверка шаблонов</w:t>
            </w:r>
          </w:p>
        </w:tc>
        <w:tc>
          <w:tcPr>
            <w:tcW w:w="2300" w:type="dxa"/>
          </w:tcPr>
          <w:p w14:paraId="0F437437">
            <w:pPr>
              <w:widowControl w:val="0"/>
              <w:jc w:val="both"/>
            </w:pPr>
            <w:r>
              <w:rPr>
                <w:rFonts w:ascii="Times New Roman" w:hAnsi="Times New Roman"/>
                <w:b w:val="0"/>
                <w:sz w:val="22"/>
              </w:rPr>
              <w:t>Использованы актуальные формы</w:t>
            </w:r>
          </w:p>
        </w:tc>
        <w:tc>
          <w:tcPr>
            <w:tcW w:w="2300" w:type="dxa"/>
          </w:tcPr>
          <w:p w14:paraId="280EEDD1">
            <w:pPr>
              <w:widowControl w:val="0"/>
              <w:jc w:val="both"/>
            </w:pPr>
            <w:r>
              <w:rPr>
                <w:rFonts w:ascii="Times New Roman" w:hAnsi="Times New Roman"/>
                <w:b w:val="0"/>
                <w:sz w:val="22"/>
              </w:rPr>
              <w:t>Тендерный специалист</w:t>
            </w:r>
          </w:p>
        </w:tc>
      </w:tr>
      <w:tr w14:paraId="2C012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47EAEEB">
            <w:pPr>
              <w:widowControl w:val="0"/>
              <w:jc w:val="both"/>
            </w:pPr>
            <w:r>
              <w:rPr>
                <w:rFonts w:ascii="Times New Roman" w:hAnsi="Times New Roman"/>
                <w:b w:val="0"/>
                <w:sz w:val="22"/>
              </w:rPr>
              <w:t>6</w:t>
            </w:r>
          </w:p>
        </w:tc>
        <w:tc>
          <w:tcPr>
            <w:tcW w:w="2300" w:type="dxa"/>
          </w:tcPr>
          <w:p w14:paraId="4622AEE6">
            <w:pPr>
              <w:widowControl w:val="0"/>
              <w:jc w:val="both"/>
            </w:pPr>
            <w:r>
              <w:rPr>
                <w:rFonts w:ascii="Times New Roman" w:hAnsi="Times New Roman"/>
                <w:b w:val="0"/>
                <w:sz w:val="22"/>
              </w:rPr>
              <w:t>Проверка расчетов</w:t>
            </w:r>
          </w:p>
        </w:tc>
        <w:tc>
          <w:tcPr>
            <w:tcW w:w="2300" w:type="dxa"/>
          </w:tcPr>
          <w:p w14:paraId="6BAC9A6C">
            <w:pPr>
              <w:widowControl w:val="0"/>
              <w:jc w:val="both"/>
            </w:pPr>
            <w:r>
              <w:rPr>
                <w:rFonts w:ascii="Times New Roman" w:hAnsi="Times New Roman"/>
                <w:b w:val="0"/>
                <w:sz w:val="22"/>
              </w:rPr>
              <w:t>Нет арифметических расхождений</w:t>
            </w:r>
          </w:p>
        </w:tc>
        <w:tc>
          <w:tcPr>
            <w:tcW w:w="2300" w:type="dxa"/>
          </w:tcPr>
          <w:p w14:paraId="1541615C">
            <w:pPr>
              <w:widowControl w:val="0"/>
              <w:jc w:val="both"/>
            </w:pPr>
            <w:r>
              <w:rPr>
                <w:rFonts w:ascii="Times New Roman" w:hAnsi="Times New Roman"/>
                <w:b w:val="0"/>
                <w:sz w:val="22"/>
              </w:rPr>
              <w:t>Руководитель или наставник</w:t>
            </w:r>
          </w:p>
        </w:tc>
      </w:tr>
      <w:tr w14:paraId="3F7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CB45684">
            <w:pPr>
              <w:widowControl w:val="0"/>
              <w:jc w:val="both"/>
            </w:pPr>
            <w:r>
              <w:rPr>
                <w:rFonts w:ascii="Times New Roman" w:hAnsi="Times New Roman"/>
                <w:b w:val="0"/>
                <w:sz w:val="22"/>
              </w:rPr>
              <w:t>7</w:t>
            </w:r>
          </w:p>
        </w:tc>
        <w:tc>
          <w:tcPr>
            <w:tcW w:w="2300" w:type="dxa"/>
          </w:tcPr>
          <w:p w14:paraId="71EB736C">
            <w:pPr>
              <w:widowControl w:val="0"/>
              <w:jc w:val="both"/>
            </w:pPr>
            <w:r>
              <w:rPr>
                <w:rFonts w:ascii="Times New Roman" w:hAnsi="Times New Roman"/>
                <w:b w:val="0"/>
                <w:sz w:val="22"/>
              </w:rPr>
              <w:t>Проверка ЭТП и подписи</w:t>
            </w:r>
          </w:p>
        </w:tc>
        <w:tc>
          <w:tcPr>
            <w:tcW w:w="2300" w:type="dxa"/>
          </w:tcPr>
          <w:p w14:paraId="01A15555">
            <w:pPr>
              <w:widowControl w:val="0"/>
              <w:jc w:val="both"/>
            </w:pPr>
            <w:r>
              <w:rPr>
                <w:rFonts w:ascii="Times New Roman" w:hAnsi="Times New Roman"/>
                <w:b w:val="0"/>
                <w:sz w:val="22"/>
              </w:rPr>
              <w:t>Верный формат файлов и УКЭП</w:t>
            </w:r>
          </w:p>
        </w:tc>
        <w:tc>
          <w:tcPr>
            <w:tcW w:w="2300" w:type="dxa"/>
          </w:tcPr>
          <w:p w14:paraId="7C0C9AAB">
            <w:pPr>
              <w:widowControl w:val="0"/>
              <w:jc w:val="both"/>
            </w:pPr>
            <w:r>
              <w:rPr>
                <w:rFonts w:ascii="Times New Roman" w:hAnsi="Times New Roman"/>
                <w:b w:val="0"/>
                <w:sz w:val="22"/>
              </w:rPr>
              <w:t>Тендерный специалист</w:t>
            </w:r>
          </w:p>
        </w:tc>
      </w:tr>
      <w:tr w14:paraId="323F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29DD2F0">
            <w:pPr>
              <w:widowControl w:val="0"/>
              <w:jc w:val="both"/>
            </w:pPr>
            <w:r>
              <w:rPr>
                <w:rFonts w:ascii="Times New Roman" w:hAnsi="Times New Roman"/>
                <w:b w:val="0"/>
                <w:sz w:val="22"/>
              </w:rPr>
              <w:t>8</w:t>
            </w:r>
          </w:p>
        </w:tc>
        <w:tc>
          <w:tcPr>
            <w:tcW w:w="2300" w:type="dxa"/>
          </w:tcPr>
          <w:p w14:paraId="37063B99">
            <w:pPr>
              <w:widowControl w:val="0"/>
              <w:jc w:val="both"/>
            </w:pPr>
            <w:r>
              <w:rPr>
                <w:rFonts w:ascii="Times New Roman" w:hAnsi="Times New Roman"/>
                <w:b w:val="0"/>
                <w:sz w:val="22"/>
              </w:rPr>
              <w:t>Финальный чек-лист</w:t>
            </w:r>
          </w:p>
        </w:tc>
        <w:tc>
          <w:tcPr>
            <w:tcW w:w="2300" w:type="dxa"/>
          </w:tcPr>
          <w:p w14:paraId="5D8B5CD9">
            <w:pPr>
              <w:widowControl w:val="0"/>
              <w:jc w:val="both"/>
            </w:pPr>
            <w:r>
              <w:rPr>
                <w:rFonts w:ascii="Times New Roman" w:hAnsi="Times New Roman"/>
                <w:b w:val="0"/>
                <w:sz w:val="22"/>
              </w:rPr>
              <w:t>Все пункты отмечены в Битрикс24</w:t>
            </w:r>
          </w:p>
        </w:tc>
        <w:tc>
          <w:tcPr>
            <w:tcW w:w="2300" w:type="dxa"/>
          </w:tcPr>
          <w:p w14:paraId="4B2FF1CA">
            <w:pPr>
              <w:widowControl w:val="0"/>
              <w:jc w:val="both"/>
            </w:pPr>
            <w:r>
              <w:rPr>
                <w:rFonts w:ascii="Times New Roman" w:hAnsi="Times New Roman"/>
                <w:b w:val="0"/>
                <w:sz w:val="22"/>
              </w:rPr>
              <w:t>Руководитель отдела</w:t>
            </w:r>
          </w:p>
        </w:tc>
      </w:tr>
    </w:tbl>
    <w:p w14:paraId="192C518D">
      <w:pPr>
        <w:spacing w:after="120" w:line="360" w:lineRule="auto"/>
        <w:ind w:firstLine="700"/>
      </w:pPr>
    </w:p>
    <w:p w14:paraId="669E6E97">
      <w:pPr>
        <w:spacing w:after="120" w:line="360" w:lineRule="auto"/>
        <w:ind w:firstLine="700"/>
      </w:pPr>
      <w:r>
        <w:rPr>
          <w:rFonts w:ascii="Times New Roman" w:hAnsi="Times New Roman"/>
          <w:b w:val="0"/>
          <w:sz w:val="28"/>
        </w:rPr>
        <w:t>Практическое внедрение предложений должно начинаться с пилотного режима. В течение первого месяца чек-лист и реестр ошибок применяются только к наиболее значимым заявкам, чтобы выявить неудобные пункты и скорректировать форму. Со второго месяца чек-лист становится обязательным для всех заявок. С третьего месяца данные по ошибкам и допуску заявок включаются в ежемесячный отчет руководителя отдела.</w:t>
      </w:r>
    </w:p>
    <w:p w14:paraId="5C4BA7D8">
      <w:pPr>
        <w:spacing w:after="120" w:line="360" w:lineRule="auto"/>
        <w:ind w:firstLine="700"/>
      </w:pPr>
      <w:r>
        <w:rPr>
          <w:rFonts w:ascii="Times New Roman" w:hAnsi="Times New Roman"/>
          <w:b w:val="0"/>
          <w:sz w:val="28"/>
        </w:rPr>
        <w:t>Отдельное внимание следует уделить сопротивлению сотрудников. Новые процедуры могут восприниматься как дополнительная бюрократия. Поэтому при запуске необходимо объяснить, что чек-лист и реестр ошибок вводятся не для усиления контроля ради контроля, а для снижения повторяемости ошибок, защиты сотрудников от случайных пропусков и повышения доли выигранных тендеров. Это особенно важно в удаленном формате, где значительная часть коммуникации происходит письменно и риск недопонимания выше.</w:t>
      </w:r>
    </w:p>
    <w:p w14:paraId="4142E33C">
      <w:pPr>
        <w:spacing w:after="120" w:line="360" w:lineRule="auto"/>
        <w:ind w:firstLine="700"/>
      </w:pPr>
      <w:r>
        <w:rPr>
          <w:rFonts w:ascii="Times New Roman" w:hAnsi="Times New Roman"/>
          <w:b w:val="0"/>
          <w:sz w:val="28"/>
        </w:rPr>
        <w:t>Таким образом, технико-экономическое обоснование показывает, что предлагаемые решения являются реалистичными для ООО «Лайф Медиа». Они не требуют крупного инвестиционного проекта, используют существующую инфраструктуру, распределяют ответственность между действующими участниками управления и имеют измеримые показатели результата. Основной объем затрат приходится на первый год внедрения, после чего система переходит в режим поддержания и регулярного обновления.</w:t>
      </w:r>
    </w:p>
    <w:p w14:paraId="1C430728">
      <w:pPr>
        <w:spacing w:after="120" w:line="360" w:lineRule="auto"/>
        <w:jc w:val="center"/>
      </w:pPr>
      <w:r>
        <w:rPr>
          <w:rFonts w:ascii="Times New Roman" w:hAnsi="Times New Roman"/>
          <w:b/>
          <w:sz w:val="28"/>
        </w:rPr>
        <w:t>3.3. Оценка экономической эффективности разработанных рекомендаций</w:t>
      </w:r>
    </w:p>
    <w:p w14:paraId="239B76A6">
      <w:pPr>
        <w:spacing w:after="120" w:line="360" w:lineRule="auto"/>
        <w:ind w:firstLine="700"/>
      </w:pPr>
      <w:r>
        <w:rPr>
          <w:rFonts w:ascii="Times New Roman" w:hAnsi="Times New Roman"/>
          <w:b w:val="0"/>
          <w:sz w:val="28"/>
        </w:rPr>
        <w:t>Оценка экономической эффективности необходима для подтверждения того, что предложенные мероприятия являются не только организационно полезными, но и финансово обоснованными. Для ООО «Лайф Медиа» эффект от совершенствования обучения должен проявляться в трех направлениях: рост числа допущенных заявок, увеличение количества выигранных контрактов и снижение внутренних потерь, связанных с ошибками и текучестью персонала.</w:t>
      </w:r>
    </w:p>
    <w:p w14:paraId="2B5AE6BA">
      <w:pPr>
        <w:spacing w:after="120" w:line="360" w:lineRule="auto"/>
        <w:ind w:firstLine="700"/>
      </w:pPr>
      <w:r>
        <w:rPr>
          <w:rFonts w:ascii="Times New Roman" w:hAnsi="Times New Roman"/>
          <w:b w:val="0"/>
          <w:sz w:val="28"/>
        </w:rPr>
        <w:t>В качестве исходной базы используются данные второй главы. В 2025 году компания подала 152 заявки, из которых 128 были признаны соответствующими, 24 отклонены на этапе допуска, выиграно 35 контрактов. Доля отклоненных заявок составила 15,8%, конверсия из заявки в победу — 23,0%, выручка от тендерной деятельности — 30,84 млн руб. Средняя цена одного выигранного контракта составила 881 тыс. руб.</w:t>
      </w:r>
    </w:p>
    <w:p w14:paraId="4D1BA621">
      <w:pPr>
        <w:spacing w:after="120" w:line="360" w:lineRule="auto"/>
        <w:ind w:firstLine="700"/>
      </w:pPr>
      <w:r>
        <w:rPr>
          <w:rFonts w:ascii="Times New Roman" w:hAnsi="Times New Roman"/>
          <w:b w:val="0"/>
          <w:sz w:val="28"/>
        </w:rPr>
        <w:t>Предлагаемые мероприятия направлены прежде всего на управляемые причины отклонений: технические ошибки, устаревшие формы, неполный комплект документов, ошибки в расчетах и отсутствие финальной проверки. Поэтому целевым показателем первого года является снижение доли отклоненных заявок с 15,8% до 10,0%. Такой показатель является реалистичным, поскольку не предполагает полного устранения всех ошибок и учитывает влияние внешних факторов.</w:t>
      </w:r>
    </w:p>
    <w:p w14:paraId="674682B8">
      <w:pPr>
        <w:spacing w:after="120" w:line="360" w:lineRule="auto"/>
        <w:ind w:firstLine="700"/>
      </w:pPr>
      <w:r>
        <w:rPr>
          <w:rFonts w:ascii="Times New Roman" w:hAnsi="Times New Roman"/>
          <w:b w:val="0"/>
          <w:sz w:val="28"/>
        </w:rPr>
        <w:t>Второй целевой показатель — рост конверсии из заявки в победу с 23,0% до 25,0% в первый год и до 26,0% во второй год. Рост конверсии обусловлен не только снижением формальных отклонений, но и более качественным анализом закупок, расчетом маржи, актуализацией знаний и повышением дисциплины подготовки заявок.</w:t>
      </w:r>
    </w:p>
    <w:p w14:paraId="4FABD40B">
      <w:pPr>
        <w:spacing w:after="120" w:line="360" w:lineRule="auto"/>
        <w:jc w:val="center"/>
      </w:pPr>
      <w:r>
        <w:rPr>
          <w:rFonts w:ascii="Times New Roman" w:hAnsi="Times New Roman"/>
          <w:b w:val="0"/>
          <w:sz w:val="28"/>
        </w:rPr>
        <w:t>Таблица 3.8. Исходные и целевые показатели тендерной деятельности</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0FA0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Pr>
          <w:p w14:paraId="67F1AE82">
            <w:pPr>
              <w:widowControl w:val="0"/>
              <w:jc w:val="both"/>
            </w:pPr>
            <w:r>
              <w:rPr>
                <w:rFonts w:ascii="Times New Roman" w:hAnsi="Times New Roman"/>
                <w:b/>
                <w:sz w:val="22"/>
              </w:rPr>
              <w:t>Показатель</w:t>
            </w:r>
          </w:p>
        </w:tc>
        <w:tc>
          <w:tcPr>
            <w:tcW w:w="2300" w:type="dxa"/>
          </w:tcPr>
          <w:p w14:paraId="6F84E7EF">
            <w:pPr>
              <w:widowControl w:val="0"/>
              <w:jc w:val="both"/>
            </w:pPr>
            <w:r>
              <w:rPr>
                <w:rFonts w:ascii="Times New Roman" w:hAnsi="Times New Roman"/>
                <w:b/>
                <w:sz w:val="22"/>
              </w:rPr>
              <w:t>2025 факт</w:t>
            </w:r>
          </w:p>
        </w:tc>
        <w:tc>
          <w:tcPr>
            <w:tcW w:w="2300" w:type="dxa"/>
          </w:tcPr>
          <w:p w14:paraId="378D6E28">
            <w:pPr>
              <w:widowControl w:val="0"/>
              <w:jc w:val="both"/>
            </w:pPr>
            <w:r>
              <w:rPr>
                <w:rFonts w:ascii="Times New Roman" w:hAnsi="Times New Roman"/>
                <w:b/>
                <w:sz w:val="22"/>
              </w:rPr>
              <w:t>1 год после внедрения</w:t>
            </w:r>
          </w:p>
        </w:tc>
        <w:tc>
          <w:tcPr>
            <w:tcW w:w="2300" w:type="dxa"/>
          </w:tcPr>
          <w:p w14:paraId="1A6B49A8">
            <w:pPr>
              <w:widowControl w:val="0"/>
              <w:jc w:val="both"/>
            </w:pPr>
            <w:r>
              <w:rPr>
                <w:rFonts w:ascii="Times New Roman" w:hAnsi="Times New Roman"/>
                <w:b/>
                <w:sz w:val="22"/>
              </w:rPr>
              <w:t>2-3 год после внедрения</w:t>
            </w:r>
          </w:p>
        </w:tc>
      </w:tr>
      <w:tr w14:paraId="1267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6EFC8D3">
            <w:pPr>
              <w:widowControl w:val="0"/>
              <w:jc w:val="both"/>
            </w:pPr>
            <w:r>
              <w:rPr>
                <w:rFonts w:ascii="Times New Roman" w:hAnsi="Times New Roman"/>
                <w:b w:val="0"/>
                <w:sz w:val="22"/>
              </w:rPr>
              <w:t>Количество поданных заявок</w:t>
            </w:r>
          </w:p>
        </w:tc>
        <w:tc>
          <w:tcPr>
            <w:tcW w:w="2300" w:type="dxa"/>
          </w:tcPr>
          <w:p w14:paraId="387EEB2E">
            <w:pPr>
              <w:widowControl w:val="0"/>
              <w:jc w:val="both"/>
            </w:pPr>
            <w:r>
              <w:rPr>
                <w:rFonts w:ascii="Times New Roman" w:hAnsi="Times New Roman"/>
                <w:b w:val="0"/>
                <w:sz w:val="22"/>
              </w:rPr>
              <w:t>152</w:t>
            </w:r>
          </w:p>
        </w:tc>
        <w:tc>
          <w:tcPr>
            <w:tcW w:w="2300" w:type="dxa"/>
          </w:tcPr>
          <w:p w14:paraId="6CD7C642">
            <w:pPr>
              <w:widowControl w:val="0"/>
              <w:jc w:val="both"/>
            </w:pPr>
            <w:r>
              <w:rPr>
                <w:rFonts w:ascii="Times New Roman" w:hAnsi="Times New Roman"/>
                <w:b w:val="0"/>
                <w:sz w:val="22"/>
              </w:rPr>
              <w:t>152</w:t>
            </w:r>
          </w:p>
        </w:tc>
        <w:tc>
          <w:tcPr>
            <w:tcW w:w="2300" w:type="dxa"/>
          </w:tcPr>
          <w:p w14:paraId="47BD7D4D">
            <w:pPr>
              <w:widowControl w:val="0"/>
              <w:jc w:val="both"/>
            </w:pPr>
            <w:r>
              <w:rPr>
                <w:rFonts w:ascii="Times New Roman" w:hAnsi="Times New Roman"/>
                <w:b w:val="0"/>
                <w:sz w:val="22"/>
              </w:rPr>
              <w:t>152</w:t>
            </w:r>
          </w:p>
        </w:tc>
      </w:tr>
      <w:tr w14:paraId="0820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1A69139F">
            <w:pPr>
              <w:widowControl w:val="0"/>
              <w:jc w:val="both"/>
            </w:pPr>
            <w:r>
              <w:rPr>
                <w:rFonts w:ascii="Times New Roman" w:hAnsi="Times New Roman"/>
                <w:b w:val="0"/>
                <w:sz w:val="22"/>
              </w:rPr>
              <w:t>Доля отклоненных заявок</w:t>
            </w:r>
          </w:p>
        </w:tc>
        <w:tc>
          <w:tcPr>
            <w:tcW w:w="2300" w:type="dxa"/>
          </w:tcPr>
          <w:p w14:paraId="0F7085CF">
            <w:pPr>
              <w:widowControl w:val="0"/>
              <w:jc w:val="both"/>
            </w:pPr>
            <w:r>
              <w:rPr>
                <w:rFonts w:ascii="Times New Roman" w:hAnsi="Times New Roman"/>
                <w:b w:val="0"/>
                <w:sz w:val="22"/>
              </w:rPr>
              <w:t>15,8%</w:t>
            </w:r>
          </w:p>
        </w:tc>
        <w:tc>
          <w:tcPr>
            <w:tcW w:w="2300" w:type="dxa"/>
          </w:tcPr>
          <w:p w14:paraId="7342A92E">
            <w:pPr>
              <w:widowControl w:val="0"/>
              <w:jc w:val="both"/>
            </w:pPr>
            <w:r>
              <w:rPr>
                <w:rFonts w:ascii="Times New Roman" w:hAnsi="Times New Roman"/>
                <w:b w:val="0"/>
                <w:sz w:val="22"/>
              </w:rPr>
              <w:t>10,0%</w:t>
            </w:r>
          </w:p>
        </w:tc>
        <w:tc>
          <w:tcPr>
            <w:tcW w:w="2300" w:type="dxa"/>
          </w:tcPr>
          <w:p w14:paraId="42BFAC90">
            <w:pPr>
              <w:widowControl w:val="0"/>
              <w:jc w:val="both"/>
            </w:pPr>
            <w:r>
              <w:rPr>
                <w:rFonts w:ascii="Times New Roman" w:hAnsi="Times New Roman"/>
                <w:b w:val="0"/>
                <w:sz w:val="22"/>
              </w:rPr>
              <w:t>9,0%</w:t>
            </w:r>
          </w:p>
        </w:tc>
      </w:tr>
      <w:tr w14:paraId="1DE4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025B41CD">
            <w:pPr>
              <w:widowControl w:val="0"/>
              <w:jc w:val="both"/>
            </w:pPr>
            <w:r>
              <w:rPr>
                <w:rFonts w:ascii="Times New Roman" w:hAnsi="Times New Roman"/>
                <w:b w:val="0"/>
                <w:sz w:val="22"/>
              </w:rPr>
              <w:t>Количество отклоненных заявок</w:t>
            </w:r>
          </w:p>
        </w:tc>
        <w:tc>
          <w:tcPr>
            <w:tcW w:w="2300" w:type="dxa"/>
          </w:tcPr>
          <w:p w14:paraId="5762FA8B">
            <w:pPr>
              <w:widowControl w:val="0"/>
              <w:jc w:val="both"/>
            </w:pPr>
            <w:r>
              <w:rPr>
                <w:rFonts w:ascii="Times New Roman" w:hAnsi="Times New Roman"/>
                <w:b w:val="0"/>
                <w:sz w:val="22"/>
              </w:rPr>
              <w:t>24</w:t>
            </w:r>
          </w:p>
        </w:tc>
        <w:tc>
          <w:tcPr>
            <w:tcW w:w="2300" w:type="dxa"/>
          </w:tcPr>
          <w:p w14:paraId="723C2626">
            <w:pPr>
              <w:widowControl w:val="0"/>
              <w:jc w:val="both"/>
            </w:pPr>
            <w:r>
              <w:rPr>
                <w:rFonts w:ascii="Times New Roman" w:hAnsi="Times New Roman"/>
                <w:b w:val="0"/>
                <w:sz w:val="22"/>
              </w:rPr>
              <w:t>15</w:t>
            </w:r>
          </w:p>
        </w:tc>
        <w:tc>
          <w:tcPr>
            <w:tcW w:w="2300" w:type="dxa"/>
          </w:tcPr>
          <w:p w14:paraId="775A587A">
            <w:pPr>
              <w:widowControl w:val="0"/>
              <w:jc w:val="both"/>
            </w:pPr>
            <w:r>
              <w:rPr>
                <w:rFonts w:ascii="Times New Roman" w:hAnsi="Times New Roman"/>
                <w:b w:val="0"/>
                <w:sz w:val="22"/>
              </w:rPr>
              <w:t>14</w:t>
            </w:r>
          </w:p>
        </w:tc>
      </w:tr>
      <w:tr w14:paraId="504A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785A628">
            <w:pPr>
              <w:widowControl w:val="0"/>
              <w:jc w:val="both"/>
            </w:pPr>
            <w:r>
              <w:rPr>
                <w:rFonts w:ascii="Times New Roman" w:hAnsi="Times New Roman"/>
                <w:b w:val="0"/>
                <w:sz w:val="22"/>
              </w:rPr>
              <w:t>Количество выигранных контрактов</w:t>
            </w:r>
          </w:p>
        </w:tc>
        <w:tc>
          <w:tcPr>
            <w:tcW w:w="2300" w:type="dxa"/>
          </w:tcPr>
          <w:p w14:paraId="65A3852E">
            <w:pPr>
              <w:widowControl w:val="0"/>
              <w:jc w:val="both"/>
            </w:pPr>
            <w:r>
              <w:rPr>
                <w:rFonts w:ascii="Times New Roman" w:hAnsi="Times New Roman"/>
                <w:b w:val="0"/>
                <w:sz w:val="22"/>
              </w:rPr>
              <w:t>35</w:t>
            </w:r>
          </w:p>
        </w:tc>
        <w:tc>
          <w:tcPr>
            <w:tcW w:w="2300" w:type="dxa"/>
          </w:tcPr>
          <w:p w14:paraId="7CA3B917">
            <w:pPr>
              <w:widowControl w:val="0"/>
              <w:jc w:val="both"/>
            </w:pPr>
            <w:r>
              <w:rPr>
                <w:rFonts w:ascii="Times New Roman" w:hAnsi="Times New Roman"/>
                <w:b w:val="0"/>
                <w:sz w:val="22"/>
              </w:rPr>
              <w:t>38</w:t>
            </w:r>
          </w:p>
        </w:tc>
        <w:tc>
          <w:tcPr>
            <w:tcW w:w="2300" w:type="dxa"/>
          </w:tcPr>
          <w:p w14:paraId="0ECED46B">
            <w:pPr>
              <w:widowControl w:val="0"/>
              <w:jc w:val="both"/>
            </w:pPr>
            <w:r>
              <w:rPr>
                <w:rFonts w:ascii="Times New Roman" w:hAnsi="Times New Roman"/>
                <w:b w:val="0"/>
                <w:sz w:val="22"/>
              </w:rPr>
              <w:t>39</w:t>
            </w:r>
          </w:p>
        </w:tc>
      </w:tr>
      <w:tr w14:paraId="3B3C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45A6257">
            <w:pPr>
              <w:widowControl w:val="0"/>
              <w:jc w:val="both"/>
            </w:pPr>
            <w:r>
              <w:rPr>
                <w:rFonts w:ascii="Times New Roman" w:hAnsi="Times New Roman"/>
                <w:b w:val="0"/>
                <w:sz w:val="22"/>
              </w:rPr>
              <w:t>Конверсия из заявки в победу</w:t>
            </w:r>
          </w:p>
        </w:tc>
        <w:tc>
          <w:tcPr>
            <w:tcW w:w="2300" w:type="dxa"/>
          </w:tcPr>
          <w:p w14:paraId="76DDA05D">
            <w:pPr>
              <w:widowControl w:val="0"/>
              <w:jc w:val="both"/>
            </w:pPr>
            <w:r>
              <w:rPr>
                <w:rFonts w:ascii="Times New Roman" w:hAnsi="Times New Roman"/>
                <w:b w:val="0"/>
                <w:sz w:val="22"/>
              </w:rPr>
              <w:t>23,0%</w:t>
            </w:r>
          </w:p>
        </w:tc>
        <w:tc>
          <w:tcPr>
            <w:tcW w:w="2300" w:type="dxa"/>
          </w:tcPr>
          <w:p w14:paraId="0A39349D">
            <w:pPr>
              <w:widowControl w:val="0"/>
              <w:jc w:val="both"/>
            </w:pPr>
            <w:r>
              <w:rPr>
                <w:rFonts w:ascii="Times New Roman" w:hAnsi="Times New Roman"/>
                <w:b w:val="0"/>
                <w:sz w:val="22"/>
              </w:rPr>
              <w:t>25,0%</w:t>
            </w:r>
          </w:p>
        </w:tc>
        <w:tc>
          <w:tcPr>
            <w:tcW w:w="2300" w:type="dxa"/>
          </w:tcPr>
          <w:p w14:paraId="1E51E555">
            <w:pPr>
              <w:widowControl w:val="0"/>
              <w:jc w:val="both"/>
            </w:pPr>
            <w:r>
              <w:rPr>
                <w:rFonts w:ascii="Times New Roman" w:hAnsi="Times New Roman"/>
                <w:b w:val="0"/>
                <w:sz w:val="22"/>
              </w:rPr>
              <w:t>25,7%</w:t>
            </w:r>
          </w:p>
        </w:tc>
      </w:tr>
      <w:tr w14:paraId="4A1D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28825EA">
            <w:pPr>
              <w:widowControl w:val="0"/>
              <w:jc w:val="both"/>
            </w:pPr>
            <w:r>
              <w:rPr>
                <w:rFonts w:ascii="Times New Roman" w:hAnsi="Times New Roman"/>
                <w:b w:val="0"/>
                <w:sz w:val="22"/>
              </w:rPr>
              <w:t>Средняя цена контракта, тыс. руб.</w:t>
            </w:r>
          </w:p>
        </w:tc>
        <w:tc>
          <w:tcPr>
            <w:tcW w:w="2300" w:type="dxa"/>
          </w:tcPr>
          <w:p w14:paraId="7A61BF22">
            <w:pPr>
              <w:widowControl w:val="0"/>
              <w:jc w:val="both"/>
            </w:pPr>
            <w:r>
              <w:rPr>
                <w:rFonts w:ascii="Times New Roman" w:hAnsi="Times New Roman"/>
                <w:b w:val="0"/>
                <w:sz w:val="22"/>
              </w:rPr>
              <w:t>881</w:t>
            </w:r>
          </w:p>
        </w:tc>
        <w:tc>
          <w:tcPr>
            <w:tcW w:w="2300" w:type="dxa"/>
          </w:tcPr>
          <w:p w14:paraId="0BC4F336">
            <w:pPr>
              <w:widowControl w:val="0"/>
              <w:jc w:val="both"/>
            </w:pPr>
            <w:r>
              <w:rPr>
                <w:rFonts w:ascii="Times New Roman" w:hAnsi="Times New Roman"/>
                <w:b w:val="0"/>
                <w:sz w:val="22"/>
              </w:rPr>
              <w:t>881</w:t>
            </w:r>
          </w:p>
        </w:tc>
        <w:tc>
          <w:tcPr>
            <w:tcW w:w="2300" w:type="dxa"/>
          </w:tcPr>
          <w:p w14:paraId="0D5D38B5">
            <w:pPr>
              <w:widowControl w:val="0"/>
              <w:jc w:val="both"/>
            </w:pPr>
            <w:r>
              <w:rPr>
                <w:rFonts w:ascii="Times New Roman" w:hAnsi="Times New Roman"/>
                <w:b w:val="0"/>
                <w:sz w:val="22"/>
              </w:rPr>
              <w:t>881</w:t>
            </w:r>
          </w:p>
        </w:tc>
      </w:tr>
    </w:tbl>
    <w:p w14:paraId="59FE3FD4">
      <w:pPr>
        <w:spacing w:after="120" w:line="360" w:lineRule="auto"/>
        <w:ind w:firstLine="700"/>
      </w:pPr>
    </w:p>
    <w:p w14:paraId="3C540B11">
      <w:pPr>
        <w:spacing w:after="120" w:line="360" w:lineRule="auto"/>
        <w:ind w:firstLine="700"/>
      </w:pPr>
      <w:r>
        <w:rPr>
          <w:rFonts w:ascii="Times New Roman" w:hAnsi="Times New Roman"/>
          <w:b w:val="0"/>
          <w:sz w:val="28"/>
        </w:rPr>
        <w:t>Экономический эффект рассчитывается по трем направлениям. Первое направление — дополнительный маржинальный доход от роста количества выигранных контрактов. В расчетах принимается средняя цена контракта 881 тыс. руб. и средняя маржинальность 12%. Такой уровень соответствует бизнес-модели компании, где при выборе закупок ориентиром является маржа не ниже 10-15%.</w:t>
      </w:r>
    </w:p>
    <w:p w14:paraId="72D0F394">
      <w:pPr>
        <w:spacing w:after="120" w:line="360" w:lineRule="auto"/>
        <w:ind w:firstLine="700"/>
      </w:pPr>
      <w:r>
        <w:rPr>
          <w:rFonts w:ascii="Times New Roman" w:hAnsi="Times New Roman"/>
          <w:b w:val="0"/>
          <w:sz w:val="28"/>
        </w:rPr>
        <w:t>В первый год ожидается прирост на 3 выигранных контракта: с 35 до 38. Дополнительная выручка составит 2 643 тыс. руб. (881 тыс. руб. × 3 контракта). При маржинальности 12% дополнительный маржинальный доход составит 317,2 тыс. руб. Во второй и третий годы ожидается закрепление эффекта на уровне 4 дополнительных контрактов по сравнению с базовым уровнем, что дает 3 524 тыс. руб. дополнительной выручки и 422,9 тыс. руб. маржинального дохода ежегодно.</w:t>
      </w:r>
    </w:p>
    <w:p w14:paraId="4394E329">
      <w:pPr>
        <w:spacing w:after="120" w:line="360" w:lineRule="auto"/>
        <w:ind w:firstLine="700"/>
      </w:pPr>
      <w:r>
        <w:rPr>
          <w:rFonts w:ascii="Times New Roman" w:hAnsi="Times New Roman"/>
          <w:b w:val="0"/>
          <w:sz w:val="28"/>
        </w:rPr>
        <w:t>Второе направление эффекта — экономия рабочего времени за счет снижения количества отклоненных заявок. Подготовка одной заявки, которая затем отклоняется по формальным причинам, означает потерю рабочего времени тендерного специалиста. Для расчета принимается, что на подготовку одной заявки затрачивается в среднем 8 часов. Среднемесячная выплата тендерного специалиста составляет 63 175 руб., при норме 168 часов в месяц стоимость одного часа равна 376 руб. Снижение отклоненных заявок на 9 единиц дает экономию 27,1 тыс. руб. в год (9 × 8 × 376).</w:t>
      </w:r>
    </w:p>
    <w:p w14:paraId="55A9E431">
      <w:pPr>
        <w:spacing w:after="120" w:line="360" w:lineRule="auto"/>
        <w:ind w:firstLine="700"/>
      </w:pPr>
      <w:r>
        <w:rPr>
          <w:rFonts w:ascii="Times New Roman" w:hAnsi="Times New Roman"/>
          <w:b w:val="0"/>
          <w:sz w:val="28"/>
        </w:rPr>
        <w:t>Третье направление эффекта — снижение затрат на текучесть персонала. Во второй главе указано, что в 2025 году на подбор персонала было направлено 170 тыс. руб., при этом из тендерного отдела выбыло 3 сотрудника. Средняя стоимость замещения одного сотрудника составляет около 56,7 тыс. руб. Если внедрение адаптации и наставничества позволит сократить выбытие хотя бы на одного сотрудника в год, экономия составит 56,7 тыс. руб.</w:t>
      </w:r>
    </w:p>
    <w:p w14:paraId="5994132E">
      <w:pPr>
        <w:spacing w:after="120" w:line="360" w:lineRule="auto"/>
        <w:jc w:val="center"/>
      </w:pPr>
      <w:r>
        <w:rPr>
          <w:rFonts w:ascii="Times New Roman" w:hAnsi="Times New Roman"/>
          <w:b w:val="0"/>
          <w:sz w:val="28"/>
        </w:rPr>
        <w:t>Таблица 3.9. Расчет годового экономического эффекта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6134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Pr>
          <w:p w14:paraId="435E249C">
            <w:pPr>
              <w:widowControl w:val="0"/>
              <w:jc w:val="both"/>
            </w:pPr>
            <w:r>
              <w:rPr>
                <w:rFonts w:ascii="Times New Roman" w:hAnsi="Times New Roman"/>
                <w:b/>
                <w:sz w:val="22"/>
              </w:rPr>
              <w:t>Направление эффекта</w:t>
            </w:r>
          </w:p>
        </w:tc>
        <w:tc>
          <w:tcPr>
            <w:tcW w:w="2300" w:type="dxa"/>
          </w:tcPr>
          <w:p w14:paraId="5F18665B">
            <w:pPr>
              <w:widowControl w:val="0"/>
              <w:jc w:val="both"/>
            </w:pPr>
            <w:r>
              <w:rPr>
                <w:rFonts w:ascii="Times New Roman" w:hAnsi="Times New Roman"/>
                <w:b/>
                <w:sz w:val="22"/>
              </w:rPr>
              <w:t>Формула расчета</w:t>
            </w:r>
          </w:p>
        </w:tc>
        <w:tc>
          <w:tcPr>
            <w:tcW w:w="2300" w:type="dxa"/>
          </w:tcPr>
          <w:p w14:paraId="54E41D2E">
            <w:pPr>
              <w:widowControl w:val="0"/>
              <w:jc w:val="both"/>
            </w:pPr>
            <w:r>
              <w:rPr>
                <w:rFonts w:ascii="Times New Roman" w:hAnsi="Times New Roman"/>
                <w:b/>
                <w:sz w:val="22"/>
              </w:rPr>
              <w:t>1 год, тыс. руб.</w:t>
            </w:r>
          </w:p>
        </w:tc>
        <w:tc>
          <w:tcPr>
            <w:tcW w:w="2300" w:type="dxa"/>
          </w:tcPr>
          <w:p w14:paraId="3E2ECDCE">
            <w:pPr>
              <w:widowControl w:val="0"/>
              <w:jc w:val="both"/>
            </w:pPr>
            <w:r>
              <w:rPr>
                <w:rFonts w:ascii="Times New Roman" w:hAnsi="Times New Roman"/>
                <w:b/>
                <w:sz w:val="22"/>
              </w:rPr>
              <w:t>2-3 год, тыс. руб.</w:t>
            </w:r>
          </w:p>
        </w:tc>
      </w:tr>
      <w:tr w14:paraId="101D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FAC5E6C">
            <w:pPr>
              <w:widowControl w:val="0"/>
              <w:jc w:val="both"/>
            </w:pPr>
            <w:r>
              <w:rPr>
                <w:rFonts w:ascii="Times New Roman" w:hAnsi="Times New Roman"/>
                <w:b w:val="0"/>
                <w:sz w:val="22"/>
              </w:rPr>
              <w:t>Дополнительный маржинальный доход</w:t>
            </w:r>
          </w:p>
        </w:tc>
        <w:tc>
          <w:tcPr>
            <w:tcW w:w="2300" w:type="dxa"/>
          </w:tcPr>
          <w:p w14:paraId="6E5DC3E3">
            <w:pPr>
              <w:widowControl w:val="0"/>
              <w:jc w:val="both"/>
            </w:pPr>
            <w:r>
              <w:rPr>
                <w:rFonts w:ascii="Times New Roman" w:hAnsi="Times New Roman"/>
                <w:b w:val="0"/>
                <w:sz w:val="22"/>
              </w:rPr>
              <w:t>Доп. контракты × 881 тыс. руб. × 12%</w:t>
            </w:r>
          </w:p>
        </w:tc>
        <w:tc>
          <w:tcPr>
            <w:tcW w:w="2300" w:type="dxa"/>
          </w:tcPr>
          <w:p w14:paraId="2C407DBD">
            <w:pPr>
              <w:widowControl w:val="0"/>
              <w:jc w:val="both"/>
            </w:pPr>
            <w:r>
              <w:rPr>
                <w:rFonts w:ascii="Times New Roman" w:hAnsi="Times New Roman"/>
                <w:b w:val="0"/>
                <w:sz w:val="22"/>
              </w:rPr>
              <w:t>317,2</w:t>
            </w:r>
          </w:p>
        </w:tc>
        <w:tc>
          <w:tcPr>
            <w:tcW w:w="2300" w:type="dxa"/>
          </w:tcPr>
          <w:p w14:paraId="1A85F841">
            <w:pPr>
              <w:widowControl w:val="0"/>
              <w:jc w:val="both"/>
            </w:pPr>
            <w:r>
              <w:rPr>
                <w:rFonts w:ascii="Times New Roman" w:hAnsi="Times New Roman"/>
                <w:b w:val="0"/>
                <w:sz w:val="22"/>
              </w:rPr>
              <w:t>422,9</w:t>
            </w:r>
          </w:p>
        </w:tc>
      </w:tr>
      <w:tr w14:paraId="799F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EB4DA1D">
            <w:pPr>
              <w:widowControl w:val="0"/>
              <w:jc w:val="both"/>
            </w:pPr>
            <w:r>
              <w:rPr>
                <w:rFonts w:ascii="Times New Roman" w:hAnsi="Times New Roman"/>
                <w:b w:val="0"/>
                <w:sz w:val="22"/>
              </w:rPr>
              <w:t>Экономия времени на отклоненных заявках</w:t>
            </w:r>
          </w:p>
        </w:tc>
        <w:tc>
          <w:tcPr>
            <w:tcW w:w="2300" w:type="dxa"/>
          </w:tcPr>
          <w:p w14:paraId="6D19BECC">
            <w:pPr>
              <w:widowControl w:val="0"/>
              <w:jc w:val="both"/>
            </w:pPr>
            <w:r>
              <w:rPr>
                <w:rFonts w:ascii="Times New Roman" w:hAnsi="Times New Roman"/>
                <w:b w:val="0"/>
                <w:sz w:val="22"/>
              </w:rPr>
              <w:t>Снижение отклонений × 8 ч × 376 руб.</w:t>
            </w:r>
          </w:p>
        </w:tc>
        <w:tc>
          <w:tcPr>
            <w:tcW w:w="2300" w:type="dxa"/>
          </w:tcPr>
          <w:p w14:paraId="418CA3D6">
            <w:pPr>
              <w:widowControl w:val="0"/>
              <w:jc w:val="both"/>
            </w:pPr>
            <w:r>
              <w:rPr>
                <w:rFonts w:ascii="Times New Roman" w:hAnsi="Times New Roman"/>
                <w:b w:val="0"/>
                <w:sz w:val="22"/>
              </w:rPr>
              <w:t>27,1</w:t>
            </w:r>
          </w:p>
        </w:tc>
        <w:tc>
          <w:tcPr>
            <w:tcW w:w="2300" w:type="dxa"/>
          </w:tcPr>
          <w:p w14:paraId="57840A11">
            <w:pPr>
              <w:widowControl w:val="0"/>
              <w:jc w:val="both"/>
            </w:pPr>
            <w:r>
              <w:rPr>
                <w:rFonts w:ascii="Times New Roman" w:hAnsi="Times New Roman"/>
                <w:b w:val="0"/>
                <w:sz w:val="22"/>
              </w:rPr>
              <w:t>30,1</w:t>
            </w:r>
          </w:p>
        </w:tc>
      </w:tr>
      <w:tr w14:paraId="20FB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F40DEC8">
            <w:pPr>
              <w:widowControl w:val="0"/>
              <w:jc w:val="both"/>
            </w:pPr>
            <w:r>
              <w:rPr>
                <w:rFonts w:ascii="Times New Roman" w:hAnsi="Times New Roman"/>
                <w:b w:val="0"/>
                <w:sz w:val="22"/>
              </w:rPr>
              <w:t>Экономия на снижении текучести</w:t>
            </w:r>
          </w:p>
        </w:tc>
        <w:tc>
          <w:tcPr>
            <w:tcW w:w="2300" w:type="dxa"/>
          </w:tcPr>
          <w:p w14:paraId="1B7F9B6C">
            <w:pPr>
              <w:widowControl w:val="0"/>
              <w:jc w:val="both"/>
            </w:pPr>
            <w:r>
              <w:rPr>
                <w:rFonts w:ascii="Times New Roman" w:hAnsi="Times New Roman"/>
                <w:b w:val="0"/>
                <w:sz w:val="22"/>
              </w:rPr>
              <w:t>1 сотрудник × 56,7 тыс. руб.</w:t>
            </w:r>
          </w:p>
        </w:tc>
        <w:tc>
          <w:tcPr>
            <w:tcW w:w="2300" w:type="dxa"/>
          </w:tcPr>
          <w:p w14:paraId="36CA032E">
            <w:pPr>
              <w:widowControl w:val="0"/>
              <w:jc w:val="both"/>
            </w:pPr>
            <w:r>
              <w:rPr>
                <w:rFonts w:ascii="Times New Roman" w:hAnsi="Times New Roman"/>
                <w:b w:val="0"/>
                <w:sz w:val="22"/>
              </w:rPr>
              <w:t>56,7</w:t>
            </w:r>
          </w:p>
        </w:tc>
        <w:tc>
          <w:tcPr>
            <w:tcW w:w="2300" w:type="dxa"/>
          </w:tcPr>
          <w:p w14:paraId="56FF23A2">
            <w:pPr>
              <w:widowControl w:val="0"/>
              <w:jc w:val="both"/>
            </w:pPr>
            <w:r>
              <w:rPr>
                <w:rFonts w:ascii="Times New Roman" w:hAnsi="Times New Roman"/>
                <w:b w:val="0"/>
                <w:sz w:val="22"/>
              </w:rPr>
              <w:t>56,7</w:t>
            </w:r>
          </w:p>
        </w:tc>
      </w:tr>
      <w:tr w14:paraId="21B7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BDE7A23">
            <w:pPr>
              <w:widowControl w:val="0"/>
              <w:jc w:val="both"/>
            </w:pPr>
            <w:r>
              <w:rPr>
                <w:rFonts w:ascii="Times New Roman" w:hAnsi="Times New Roman"/>
                <w:b w:val="0"/>
                <w:sz w:val="22"/>
              </w:rPr>
              <w:t>Итого валовой эффект</w:t>
            </w:r>
          </w:p>
        </w:tc>
        <w:tc>
          <w:tcPr>
            <w:tcW w:w="2300" w:type="dxa"/>
          </w:tcPr>
          <w:p w14:paraId="6F053CC7">
            <w:pPr>
              <w:widowControl w:val="0"/>
              <w:jc w:val="both"/>
            </w:pPr>
            <w:r>
              <w:rPr>
                <w:rFonts w:ascii="Times New Roman" w:hAnsi="Times New Roman"/>
                <w:b w:val="0"/>
                <w:sz w:val="22"/>
              </w:rPr>
              <w:t>-</w:t>
            </w:r>
          </w:p>
        </w:tc>
        <w:tc>
          <w:tcPr>
            <w:tcW w:w="2300" w:type="dxa"/>
          </w:tcPr>
          <w:p w14:paraId="702662B7">
            <w:pPr>
              <w:widowControl w:val="0"/>
              <w:jc w:val="both"/>
            </w:pPr>
            <w:r>
              <w:rPr>
                <w:rFonts w:ascii="Times New Roman" w:hAnsi="Times New Roman"/>
                <w:b w:val="0"/>
                <w:sz w:val="22"/>
              </w:rPr>
              <w:t>401,0</w:t>
            </w:r>
          </w:p>
        </w:tc>
        <w:tc>
          <w:tcPr>
            <w:tcW w:w="2300" w:type="dxa"/>
          </w:tcPr>
          <w:p w14:paraId="0A492682">
            <w:pPr>
              <w:widowControl w:val="0"/>
              <w:jc w:val="both"/>
            </w:pPr>
            <w:r>
              <w:rPr>
                <w:rFonts w:ascii="Times New Roman" w:hAnsi="Times New Roman"/>
                <w:b w:val="0"/>
                <w:sz w:val="22"/>
              </w:rPr>
              <w:t>509,7</w:t>
            </w:r>
          </w:p>
        </w:tc>
      </w:tr>
    </w:tbl>
    <w:p w14:paraId="63EA8D10">
      <w:pPr>
        <w:spacing w:after="120" w:line="360" w:lineRule="auto"/>
        <w:ind w:firstLine="700"/>
      </w:pPr>
    </w:p>
    <w:p w14:paraId="58E88072">
      <w:pPr>
        <w:spacing w:after="120" w:line="360" w:lineRule="auto"/>
        <w:ind w:firstLine="700"/>
      </w:pPr>
      <w:r>
        <w:rPr>
          <w:rFonts w:ascii="Times New Roman" w:hAnsi="Times New Roman"/>
          <w:b w:val="0"/>
          <w:sz w:val="28"/>
        </w:rPr>
        <w:t>Первоначальные затраты на внедрение составляют 474,456 тыс. руб. Поддерживающие ежегодные расходы после первого года составляют 154 тыс. руб. Следовательно, в первый год проект почти выходит на операционную окупаемость, но полный финансовый эффект проявляется на горизонте двух-трех лет, поскольку часть затрат первого года носит разовый характер.</w:t>
      </w:r>
    </w:p>
    <w:p w14:paraId="75EB3699">
      <w:pPr>
        <w:spacing w:after="120" w:line="360" w:lineRule="auto"/>
        <w:ind w:firstLine="700"/>
      </w:pPr>
      <w:r>
        <w:rPr>
          <w:rFonts w:ascii="Times New Roman" w:hAnsi="Times New Roman"/>
          <w:b w:val="0"/>
          <w:sz w:val="28"/>
        </w:rPr>
        <w:t>Для оценки эффективности используются показатели: чистый экономический эффект, ROI, срок окупаемости и дисконтированный доход. Поскольку мероприятия не требуют привлечения внешнего инвестора и финансируются за счет собственных средств компании, расчет дисконтированного дохода проводится для оценки управленческой целесообразности проекта. В качестве ставки дисконтирования используется ключевая ставка Банка России 14,5% годовых на апрель 2026 года [50].</w:t>
      </w:r>
    </w:p>
    <w:p w14:paraId="21B362D9">
      <w:pPr>
        <w:spacing w:after="120" w:line="360" w:lineRule="auto"/>
        <w:jc w:val="center"/>
      </w:pPr>
      <w:r>
        <w:rPr>
          <w:rFonts w:ascii="Times New Roman" w:hAnsi="Times New Roman"/>
          <w:b w:val="0"/>
          <w:sz w:val="28"/>
        </w:rPr>
        <w:t>Таблица 3.10. Денежные потоки проекта совершенствования системы обучения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300"/>
        <w:gridCol w:w="2300"/>
        <w:gridCol w:w="2300"/>
      </w:tblGrid>
      <w:tr w14:paraId="0DFA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6243BF1">
            <w:pPr>
              <w:widowControl w:val="0"/>
              <w:jc w:val="both"/>
            </w:pPr>
            <w:r>
              <w:rPr>
                <w:rFonts w:ascii="Times New Roman" w:hAnsi="Times New Roman"/>
                <w:b/>
                <w:sz w:val="22"/>
              </w:rPr>
              <w:t>Показатель</w:t>
            </w:r>
          </w:p>
        </w:tc>
        <w:tc>
          <w:tcPr>
            <w:tcW w:w="2300" w:type="dxa"/>
          </w:tcPr>
          <w:p w14:paraId="73B36FC8">
            <w:pPr>
              <w:widowControl w:val="0"/>
              <w:jc w:val="both"/>
            </w:pPr>
            <w:r>
              <w:rPr>
                <w:rFonts w:ascii="Times New Roman" w:hAnsi="Times New Roman"/>
                <w:b/>
                <w:sz w:val="22"/>
              </w:rPr>
              <w:t>1 год</w:t>
            </w:r>
          </w:p>
        </w:tc>
        <w:tc>
          <w:tcPr>
            <w:tcW w:w="2300" w:type="dxa"/>
          </w:tcPr>
          <w:p w14:paraId="0882E204">
            <w:pPr>
              <w:widowControl w:val="0"/>
              <w:jc w:val="both"/>
            </w:pPr>
            <w:r>
              <w:rPr>
                <w:rFonts w:ascii="Times New Roman" w:hAnsi="Times New Roman"/>
                <w:b/>
                <w:sz w:val="22"/>
              </w:rPr>
              <w:t>2 год</w:t>
            </w:r>
          </w:p>
        </w:tc>
        <w:tc>
          <w:tcPr>
            <w:tcW w:w="2300" w:type="dxa"/>
          </w:tcPr>
          <w:p w14:paraId="3A8B8A17">
            <w:pPr>
              <w:widowControl w:val="0"/>
              <w:jc w:val="both"/>
            </w:pPr>
            <w:r>
              <w:rPr>
                <w:rFonts w:ascii="Times New Roman" w:hAnsi="Times New Roman"/>
                <w:b/>
                <w:sz w:val="22"/>
              </w:rPr>
              <w:t>3 год</w:t>
            </w:r>
          </w:p>
        </w:tc>
      </w:tr>
      <w:tr w14:paraId="7BD1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68B7624">
            <w:pPr>
              <w:widowControl w:val="0"/>
              <w:jc w:val="both"/>
            </w:pPr>
            <w:r>
              <w:rPr>
                <w:rFonts w:ascii="Times New Roman" w:hAnsi="Times New Roman"/>
                <w:b w:val="0"/>
                <w:sz w:val="22"/>
              </w:rPr>
              <w:t>Валовой экономический эффект, тыс. руб.</w:t>
            </w:r>
          </w:p>
        </w:tc>
        <w:tc>
          <w:tcPr>
            <w:tcW w:w="2300" w:type="dxa"/>
          </w:tcPr>
          <w:p w14:paraId="0313FA05">
            <w:pPr>
              <w:widowControl w:val="0"/>
              <w:jc w:val="both"/>
            </w:pPr>
            <w:r>
              <w:rPr>
                <w:rFonts w:ascii="Times New Roman" w:hAnsi="Times New Roman"/>
                <w:b w:val="0"/>
                <w:sz w:val="22"/>
              </w:rPr>
              <w:t>401,0</w:t>
            </w:r>
          </w:p>
        </w:tc>
        <w:tc>
          <w:tcPr>
            <w:tcW w:w="2300" w:type="dxa"/>
          </w:tcPr>
          <w:p w14:paraId="56323B02">
            <w:pPr>
              <w:widowControl w:val="0"/>
              <w:jc w:val="both"/>
            </w:pPr>
            <w:r>
              <w:rPr>
                <w:rFonts w:ascii="Times New Roman" w:hAnsi="Times New Roman"/>
                <w:b w:val="0"/>
                <w:sz w:val="22"/>
              </w:rPr>
              <w:t>509,7</w:t>
            </w:r>
          </w:p>
        </w:tc>
        <w:tc>
          <w:tcPr>
            <w:tcW w:w="2300" w:type="dxa"/>
          </w:tcPr>
          <w:p w14:paraId="4730E922">
            <w:pPr>
              <w:widowControl w:val="0"/>
              <w:jc w:val="both"/>
            </w:pPr>
            <w:r>
              <w:rPr>
                <w:rFonts w:ascii="Times New Roman" w:hAnsi="Times New Roman"/>
                <w:b w:val="0"/>
                <w:sz w:val="22"/>
              </w:rPr>
              <w:t>509,7</w:t>
            </w:r>
          </w:p>
        </w:tc>
      </w:tr>
      <w:tr w14:paraId="78D8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EED76EF">
            <w:pPr>
              <w:widowControl w:val="0"/>
              <w:jc w:val="both"/>
            </w:pPr>
            <w:r>
              <w:rPr>
                <w:rFonts w:ascii="Times New Roman" w:hAnsi="Times New Roman"/>
                <w:b w:val="0"/>
                <w:sz w:val="22"/>
              </w:rPr>
              <w:t>Затраты, тыс. руб.</w:t>
            </w:r>
          </w:p>
        </w:tc>
        <w:tc>
          <w:tcPr>
            <w:tcW w:w="2300" w:type="dxa"/>
          </w:tcPr>
          <w:p w14:paraId="3E78BE82">
            <w:pPr>
              <w:widowControl w:val="0"/>
              <w:jc w:val="both"/>
            </w:pPr>
            <w:r>
              <w:rPr>
                <w:rFonts w:ascii="Times New Roman" w:hAnsi="Times New Roman"/>
                <w:b w:val="0"/>
                <w:sz w:val="22"/>
              </w:rPr>
              <w:t>474,5</w:t>
            </w:r>
          </w:p>
        </w:tc>
        <w:tc>
          <w:tcPr>
            <w:tcW w:w="2300" w:type="dxa"/>
          </w:tcPr>
          <w:p w14:paraId="2409B6BC">
            <w:pPr>
              <w:widowControl w:val="0"/>
              <w:jc w:val="both"/>
            </w:pPr>
            <w:r>
              <w:rPr>
                <w:rFonts w:ascii="Times New Roman" w:hAnsi="Times New Roman"/>
                <w:b w:val="0"/>
                <w:sz w:val="22"/>
              </w:rPr>
              <w:t>154,0</w:t>
            </w:r>
          </w:p>
        </w:tc>
        <w:tc>
          <w:tcPr>
            <w:tcW w:w="2300" w:type="dxa"/>
          </w:tcPr>
          <w:p w14:paraId="17AF83A3">
            <w:pPr>
              <w:widowControl w:val="0"/>
              <w:jc w:val="both"/>
            </w:pPr>
            <w:r>
              <w:rPr>
                <w:rFonts w:ascii="Times New Roman" w:hAnsi="Times New Roman"/>
                <w:b w:val="0"/>
                <w:sz w:val="22"/>
              </w:rPr>
              <w:t>154,0</w:t>
            </w:r>
          </w:p>
        </w:tc>
      </w:tr>
      <w:tr w14:paraId="09AB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672AC989">
            <w:pPr>
              <w:widowControl w:val="0"/>
              <w:jc w:val="both"/>
            </w:pPr>
            <w:r>
              <w:rPr>
                <w:rFonts w:ascii="Times New Roman" w:hAnsi="Times New Roman"/>
                <w:b w:val="0"/>
                <w:sz w:val="22"/>
              </w:rPr>
              <w:t>Чистый денежный поток, тыс. руб.</w:t>
            </w:r>
          </w:p>
        </w:tc>
        <w:tc>
          <w:tcPr>
            <w:tcW w:w="2300" w:type="dxa"/>
          </w:tcPr>
          <w:p w14:paraId="54A35502">
            <w:pPr>
              <w:widowControl w:val="0"/>
              <w:jc w:val="both"/>
            </w:pPr>
            <w:r>
              <w:rPr>
                <w:rFonts w:ascii="Times New Roman" w:hAnsi="Times New Roman"/>
                <w:b w:val="0"/>
                <w:sz w:val="22"/>
              </w:rPr>
              <w:t>-73,5</w:t>
            </w:r>
          </w:p>
        </w:tc>
        <w:tc>
          <w:tcPr>
            <w:tcW w:w="2300" w:type="dxa"/>
          </w:tcPr>
          <w:p w14:paraId="4285AD08">
            <w:pPr>
              <w:widowControl w:val="0"/>
              <w:jc w:val="both"/>
            </w:pPr>
            <w:r>
              <w:rPr>
                <w:rFonts w:ascii="Times New Roman" w:hAnsi="Times New Roman"/>
                <w:b w:val="0"/>
                <w:sz w:val="22"/>
              </w:rPr>
              <w:t>355,7</w:t>
            </w:r>
          </w:p>
        </w:tc>
        <w:tc>
          <w:tcPr>
            <w:tcW w:w="2300" w:type="dxa"/>
          </w:tcPr>
          <w:p w14:paraId="2AD4E4E4">
            <w:pPr>
              <w:widowControl w:val="0"/>
              <w:jc w:val="both"/>
            </w:pPr>
            <w:r>
              <w:rPr>
                <w:rFonts w:ascii="Times New Roman" w:hAnsi="Times New Roman"/>
                <w:b w:val="0"/>
                <w:sz w:val="22"/>
              </w:rPr>
              <w:t>355,7</w:t>
            </w:r>
          </w:p>
        </w:tc>
      </w:tr>
      <w:tr w14:paraId="5E83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96B73C7">
            <w:pPr>
              <w:widowControl w:val="0"/>
              <w:jc w:val="both"/>
            </w:pPr>
            <w:r>
              <w:rPr>
                <w:rFonts w:ascii="Times New Roman" w:hAnsi="Times New Roman"/>
                <w:b w:val="0"/>
                <w:sz w:val="22"/>
              </w:rPr>
              <w:t>Коэффициент дисконтирования при 14,5%</w:t>
            </w:r>
          </w:p>
        </w:tc>
        <w:tc>
          <w:tcPr>
            <w:tcW w:w="2300" w:type="dxa"/>
          </w:tcPr>
          <w:p w14:paraId="5D58BD7C">
            <w:pPr>
              <w:widowControl w:val="0"/>
              <w:jc w:val="both"/>
            </w:pPr>
            <w:r>
              <w:rPr>
                <w:rFonts w:ascii="Times New Roman" w:hAnsi="Times New Roman"/>
                <w:b w:val="0"/>
                <w:sz w:val="22"/>
              </w:rPr>
              <w:t>0,873</w:t>
            </w:r>
          </w:p>
        </w:tc>
        <w:tc>
          <w:tcPr>
            <w:tcW w:w="2300" w:type="dxa"/>
          </w:tcPr>
          <w:p w14:paraId="4134ED68">
            <w:pPr>
              <w:widowControl w:val="0"/>
              <w:jc w:val="both"/>
            </w:pPr>
            <w:r>
              <w:rPr>
                <w:rFonts w:ascii="Times New Roman" w:hAnsi="Times New Roman"/>
                <w:b w:val="0"/>
                <w:sz w:val="22"/>
              </w:rPr>
              <w:t>0,762</w:t>
            </w:r>
          </w:p>
        </w:tc>
        <w:tc>
          <w:tcPr>
            <w:tcW w:w="2300" w:type="dxa"/>
          </w:tcPr>
          <w:p w14:paraId="5102B5C7">
            <w:pPr>
              <w:widowControl w:val="0"/>
              <w:jc w:val="both"/>
            </w:pPr>
            <w:r>
              <w:rPr>
                <w:rFonts w:ascii="Times New Roman" w:hAnsi="Times New Roman"/>
                <w:b w:val="0"/>
                <w:sz w:val="22"/>
              </w:rPr>
              <w:t>0,665</w:t>
            </w:r>
          </w:p>
        </w:tc>
      </w:tr>
      <w:tr w14:paraId="4EA9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053553F">
            <w:pPr>
              <w:widowControl w:val="0"/>
              <w:jc w:val="both"/>
            </w:pPr>
            <w:r>
              <w:rPr>
                <w:rFonts w:ascii="Times New Roman" w:hAnsi="Times New Roman"/>
                <w:b w:val="0"/>
                <w:sz w:val="22"/>
              </w:rPr>
              <w:t>Дисконтированный поток, тыс. руб.</w:t>
            </w:r>
          </w:p>
        </w:tc>
        <w:tc>
          <w:tcPr>
            <w:tcW w:w="2300" w:type="dxa"/>
          </w:tcPr>
          <w:p w14:paraId="6AAAEFA1">
            <w:pPr>
              <w:widowControl w:val="0"/>
              <w:jc w:val="both"/>
            </w:pPr>
            <w:r>
              <w:rPr>
                <w:rFonts w:ascii="Times New Roman" w:hAnsi="Times New Roman"/>
                <w:b w:val="0"/>
                <w:sz w:val="22"/>
              </w:rPr>
              <w:t>-64,2</w:t>
            </w:r>
          </w:p>
        </w:tc>
        <w:tc>
          <w:tcPr>
            <w:tcW w:w="2300" w:type="dxa"/>
          </w:tcPr>
          <w:p w14:paraId="7253D83A">
            <w:pPr>
              <w:widowControl w:val="0"/>
              <w:jc w:val="both"/>
            </w:pPr>
            <w:r>
              <w:rPr>
                <w:rFonts w:ascii="Times New Roman" w:hAnsi="Times New Roman"/>
                <w:b w:val="0"/>
                <w:sz w:val="22"/>
              </w:rPr>
              <w:t>271,0</w:t>
            </w:r>
          </w:p>
        </w:tc>
        <w:tc>
          <w:tcPr>
            <w:tcW w:w="2300" w:type="dxa"/>
          </w:tcPr>
          <w:p w14:paraId="227A4FE6">
            <w:pPr>
              <w:widowControl w:val="0"/>
              <w:jc w:val="both"/>
            </w:pPr>
            <w:r>
              <w:rPr>
                <w:rFonts w:ascii="Times New Roman" w:hAnsi="Times New Roman"/>
                <w:b w:val="0"/>
                <w:sz w:val="22"/>
              </w:rPr>
              <w:t>236,5</w:t>
            </w:r>
          </w:p>
        </w:tc>
      </w:tr>
    </w:tbl>
    <w:p w14:paraId="39DB7AD8">
      <w:pPr>
        <w:spacing w:after="120" w:line="360" w:lineRule="auto"/>
        <w:ind w:firstLine="700"/>
      </w:pPr>
    </w:p>
    <w:p w14:paraId="04EE5C2F">
      <w:pPr>
        <w:spacing w:after="120" w:line="360" w:lineRule="auto"/>
        <w:ind w:firstLine="700"/>
      </w:pPr>
      <w:r>
        <w:rPr>
          <w:rFonts w:ascii="Times New Roman" w:hAnsi="Times New Roman"/>
          <w:b w:val="0"/>
          <w:sz w:val="28"/>
        </w:rPr>
        <w:t>Чистый дисконтированный доход за три года составит: NPV = -64,2 + 271,0 + 236,5 = 443,3 тыс. руб. Положительное значение NPV означает, что проект создает экономическую ценность для компании даже с учетом стоимости денег во времени. При этом проект не требует привлечения заемного капитала или инвестора, так как первоначальная сумма затрат составляет менее 0,4% от годовой выручки компании и около 3,1% от годовых затрат на персонал.</w:t>
      </w:r>
    </w:p>
    <w:p w14:paraId="70FAAC4B">
      <w:pPr>
        <w:spacing w:after="120" w:line="360" w:lineRule="auto"/>
        <w:ind w:firstLine="700"/>
      </w:pPr>
      <w:r>
        <w:rPr>
          <w:rFonts w:ascii="Times New Roman" w:hAnsi="Times New Roman"/>
          <w:b w:val="0"/>
          <w:sz w:val="28"/>
        </w:rPr>
        <w:t>Показатель ROI за трехлетний период рассчитывается как отношение суммарного чистого эффекта к суммарным затратам. Валовой эффект за три года составит 1 420,4 тыс. руб. Затраты за три года составят 782,5 тыс. руб. Чистый эффект равен 637,9 тыс. руб. ROI = 637,9 / 782,5 × 100% = 81,5%. Это означает, что каждый рубль, направленный на совершенствование системы обучения, возвращает вложенную сумму и дополнительно формирует около 0,82 руб. чистого эффекта за трехлетний период.</w:t>
      </w:r>
    </w:p>
    <w:p w14:paraId="075CF95E">
      <w:pPr>
        <w:spacing w:after="120" w:line="360" w:lineRule="auto"/>
        <w:ind w:firstLine="700"/>
      </w:pPr>
      <w:r>
        <w:rPr>
          <w:rFonts w:ascii="Times New Roman" w:hAnsi="Times New Roman"/>
          <w:b w:val="0"/>
          <w:sz w:val="28"/>
        </w:rPr>
        <w:t>Срок окупаемости определяется накопленным денежным потоком. После первого года накопленный поток отрицательный и составляет -73,5 тыс. руб. Во втором году проект приносит 355,7 тыс. руб. чистого эффекта, поэтому окупаемость наступает в начале второго года. Точный срок окупаемости: 1 год + 73,5 / 355,7 = 1,21 года. Следовательно, проект окупается примерно за 1 год и 3 месяца.</w:t>
      </w:r>
    </w:p>
    <w:p w14:paraId="5178B793">
      <w:pPr>
        <w:spacing w:after="120" w:line="360" w:lineRule="auto"/>
        <w:jc w:val="center"/>
      </w:pPr>
      <w:r>
        <w:rPr>
          <w:rFonts w:ascii="Times New Roman" w:hAnsi="Times New Roman"/>
          <w:b w:val="0"/>
          <w:sz w:val="28"/>
        </w:rPr>
        <w:t>Таблица 3.11. Итоговые показатели экономической эффективности</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7"/>
        <w:gridCol w:w="3067"/>
        <w:gridCol w:w="3067"/>
      </w:tblGrid>
      <w:tr w14:paraId="3AE2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63058089">
            <w:pPr>
              <w:widowControl w:val="0"/>
              <w:jc w:val="both"/>
            </w:pPr>
            <w:r>
              <w:rPr>
                <w:rFonts w:ascii="Times New Roman" w:hAnsi="Times New Roman"/>
                <w:b/>
                <w:sz w:val="22"/>
              </w:rPr>
              <w:t>Показатель</w:t>
            </w:r>
          </w:p>
        </w:tc>
        <w:tc>
          <w:tcPr>
            <w:tcW w:w="3067" w:type="dxa"/>
          </w:tcPr>
          <w:p w14:paraId="1794888E">
            <w:pPr>
              <w:widowControl w:val="0"/>
              <w:jc w:val="both"/>
            </w:pPr>
            <w:r>
              <w:rPr>
                <w:rFonts w:ascii="Times New Roman" w:hAnsi="Times New Roman"/>
                <w:b/>
                <w:sz w:val="22"/>
              </w:rPr>
              <w:t>Значение</w:t>
            </w:r>
          </w:p>
        </w:tc>
        <w:tc>
          <w:tcPr>
            <w:tcW w:w="3067" w:type="dxa"/>
          </w:tcPr>
          <w:p w14:paraId="12C7404C">
            <w:pPr>
              <w:widowControl w:val="0"/>
              <w:jc w:val="both"/>
            </w:pPr>
            <w:r>
              <w:rPr>
                <w:rFonts w:ascii="Times New Roman" w:hAnsi="Times New Roman"/>
                <w:b/>
                <w:sz w:val="22"/>
              </w:rPr>
              <w:t>Интерпретация</w:t>
            </w:r>
          </w:p>
        </w:tc>
      </w:tr>
      <w:tr w14:paraId="06B6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43BF5A88">
            <w:pPr>
              <w:widowControl w:val="0"/>
              <w:jc w:val="both"/>
            </w:pPr>
            <w:r>
              <w:rPr>
                <w:rFonts w:ascii="Times New Roman" w:hAnsi="Times New Roman"/>
                <w:b w:val="0"/>
                <w:sz w:val="22"/>
              </w:rPr>
              <w:t>Первоначальные затраты</w:t>
            </w:r>
          </w:p>
        </w:tc>
        <w:tc>
          <w:tcPr>
            <w:tcW w:w="3067" w:type="dxa"/>
          </w:tcPr>
          <w:p w14:paraId="7FA5C5F5">
            <w:pPr>
              <w:widowControl w:val="0"/>
              <w:jc w:val="both"/>
            </w:pPr>
            <w:r>
              <w:rPr>
                <w:rFonts w:ascii="Times New Roman" w:hAnsi="Times New Roman"/>
                <w:b w:val="0"/>
                <w:sz w:val="22"/>
              </w:rPr>
              <w:t>474,5 тыс. руб.</w:t>
            </w:r>
          </w:p>
        </w:tc>
        <w:tc>
          <w:tcPr>
            <w:tcW w:w="3067" w:type="dxa"/>
          </w:tcPr>
          <w:p w14:paraId="79458D62">
            <w:pPr>
              <w:widowControl w:val="0"/>
              <w:jc w:val="both"/>
            </w:pPr>
            <w:r>
              <w:rPr>
                <w:rFonts w:ascii="Times New Roman" w:hAnsi="Times New Roman"/>
                <w:b w:val="0"/>
                <w:sz w:val="22"/>
              </w:rPr>
              <w:t>Разовые и годовые затраты первого года</w:t>
            </w:r>
          </w:p>
        </w:tc>
      </w:tr>
      <w:tr w14:paraId="1AFA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5A003513">
            <w:pPr>
              <w:widowControl w:val="0"/>
              <w:jc w:val="both"/>
            </w:pPr>
            <w:r>
              <w:rPr>
                <w:rFonts w:ascii="Times New Roman" w:hAnsi="Times New Roman"/>
                <w:b w:val="0"/>
                <w:sz w:val="22"/>
              </w:rPr>
              <w:t>Суммарные затраты за 3 года</w:t>
            </w:r>
          </w:p>
        </w:tc>
        <w:tc>
          <w:tcPr>
            <w:tcW w:w="3067" w:type="dxa"/>
          </w:tcPr>
          <w:p w14:paraId="069A2B85">
            <w:pPr>
              <w:widowControl w:val="0"/>
              <w:jc w:val="both"/>
            </w:pPr>
            <w:r>
              <w:rPr>
                <w:rFonts w:ascii="Times New Roman" w:hAnsi="Times New Roman"/>
                <w:b w:val="0"/>
                <w:sz w:val="22"/>
              </w:rPr>
              <w:t>782,5 тыс. руб.</w:t>
            </w:r>
          </w:p>
        </w:tc>
        <w:tc>
          <w:tcPr>
            <w:tcW w:w="3067" w:type="dxa"/>
          </w:tcPr>
          <w:p w14:paraId="5DDA0979">
            <w:pPr>
              <w:widowControl w:val="0"/>
              <w:jc w:val="both"/>
            </w:pPr>
            <w:r>
              <w:rPr>
                <w:rFonts w:ascii="Times New Roman" w:hAnsi="Times New Roman"/>
                <w:b w:val="0"/>
                <w:sz w:val="22"/>
              </w:rPr>
              <w:t>С учетом поддерживающих расходов</w:t>
            </w:r>
          </w:p>
        </w:tc>
      </w:tr>
      <w:tr w14:paraId="7E97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6886D0B5">
            <w:pPr>
              <w:widowControl w:val="0"/>
              <w:jc w:val="both"/>
            </w:pPr>
            <w:r>
              <w:rPr>
                <w:rFonts w:ascii="Times New Roman" w:hAnsi="Times New Roman"/>
                <w:b w:val="0"/>
                <w:sz w:val="22"/>
              </w:rPr>
              <w:t>Суммарный валовой эффект за 3 года</w:t>
            </w:r>
          </w:p>
        </w:tc>
        <w:tc>
          <w:tcPr>
            <w:tcW w:w="3067" w:type="dxa"/>
          </w:tcPr>
          <w:p w14:paraId="5F33B374">
            <w:pPr>
              <w:widowControl w:val="0"/>
              <w:jc w:val="both"/>
            </w:pPr>
            <w:r>
              <w:rPr>
                <w:rFonts w:ascii="Times New Roman" w:hAnsi="Times New Roman"/>
                <w:b w:val="0"/>
                <w:sz w:val="22"/>
              </w:rPr>
              <w:t>1 420,4 тыс. руб.</w:t>
            </w:r>
          </w:p>
        </w:tc>
        <w:tc>
          <w:tcPr>
            <w:tcW w:w="3067" w:type="dxa"/>
          </w:tcPr>
          <w:p w14:paraId="59F86A05">
            <w:pPr>
              <w:widowControl w:val="0"/>
              <w:jc w:val="both"/>
            </w:pPr>
            <w:r>
              <w:rPr>
                <w:rFonts w:ascii="Times New Roman" w:hAnsi="Times New Roman"/>
                <w:b w:val="0"/>
                <w:sz w:val="22"/>
              </w:rPr>
              <w:t>Дополнительный доход и экономия</w:t>
            </w:r>
          </w:p>
        </w:tc>
      </w:tr>
      <w:tr w14:paraId="3DE36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07C316EE">
            <w:pPr>
              <w:widowControl w:val="0"/>
              <w:jc w:val="both"/>
            </w:pPr>
            <w:r>
              <w:rPr>
                <w:rFonts w:ascii="Times New Roman" w:hAnsi="Times New Roman"/>
                <w:b w:val="0"/>
                <w:sz w:val="22"/>
              </w:rPr>
              <w:t>Чистый эффект за 3 года</w:t>
            </w:r>
          </w:p>
        </w:tc>
        <w:tc>
          <w:tcPr>
            <w:tcW w:w="3067" w:type="dxa"/>
          </w:tcPr>
          <w:p w14:paraId="7928BDA1">
            <w:pPr>
              <w:widowControl w:val="0"/>
              <w:jc w:val="both"/>
            </w:pPr>
            <w:r>
              <w:rPr>
                <w:rFonts w:ascii="Times New Roman" w:hAnsi="Times New Roman"/>
                <w:b w:val="0"/>
                <w:sz w:val="22"/>
              </w:rPr>
              <w:t>637,9 тыс. руб.</w:t>
            </w:r>
          </w:p>
        </w:tc>
        <w:tc>
          <w:tcPr>
            <w:tcW w:w="3067" w:type="dxa"/>
          </w:tcPr>
          <w:p w14:paraId="5E19F25B">
            <w:pPr>
              <w:widowControl w:val="0"/>
              <w:jc w:val="both"/>
            </w:pPr>
            <w:r>
              <w:rPr>
                <w:rFonts w:ascii="Times New Roman" w:hAnsi="Times New Roman"/>
                <w:b w:val="0"/>
                <w:sz w:val="22"/>
              </w:rPr>
              <w:t>Разница между эффектом и затратами</w:t>
            </w:r>
          </w:p>
        </w:tc>
      </w:tr>
      <w:tr w14:paraId="1491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2C3661F5">
            <w:pPr>
              <w:widowControl w:val="0"/>
              <w:jc w:val="both"/>
            </w:pPr>
            <w:r>
              <w:rPr>
                <w:rFonts w:ascii="Times New Roman" w:hAnsi="Times New Roman"/>
                <w:b w:val="0"/>
                <w:sz w:val="22"/>
              </w:rPr>
              <w:t>NPV</w:t>
            </w:r>
          </w:p>
        </w:tc>
        <w:tc>
          <w:tcPr>
            <w:tcW w:w="3067" w:type="dxa"/>
          </w:tcPr>
          <w:p w14:paraId="542CF7B8">
            <w:pPr>
              <w:widowControl w:val="0"/>
              <w:jc w:val="both"/>
            </w:pPr>
            <w:r>
              <w:rPr>
                <w:rFonts w:ascii="Times New Roman" w:hAnsi="Times New Roman"/>
                <w:b w:val="0"/>
                <w:sz w:val="22"/>
              </w:rPr>
              <w:t>443,3 тыс. руб.</w:t>
            </w:r>
          </w:p>
        </w:tc>
        <w:tc>
          <w:tcPr>
            <w:tcW w:w="3067" w:type="dxa"/>
          </w:tcPr>
          <w:p w14:paraId="20C353FE">
            <w:pPr>
              <w:widowControl w:val="0"/>
              <w:jc w:val="both"/>
            </w:pPr>
            <w:r>
              <w:rPr>
                <w:rFonts w:ascii="Times New Roman" w:hAnsi="Times New Roman"/>
                <w:b w:val="0"/>
                <w:sz w:val="22"/>
              </w:rPr>
              <w:t>Положительный дисконтированный доход</w:t>
            </w:r>
          </w:p>
        </w:tc>
      </w:tr>
      <w:tr w14:paraId="4806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573AB9FD">
            <w:pPr>
              <w:widowControl w:val="0"/>
              <w:jc w:val="both"/>
            </w:pPr>
            <w:r>
              <w:rPr>
                <w:rFonts w:ascii="Times New Roman" w:hAnsi="Times New Roman"/>
                <w:b w:val="0"/>
                <w:sz w:val="22"/>
              </w:rPr>
              <w:t>ROI</w:t>
            </w:r>
          </w:p>
        </w:tc>
        <w:tc>
          <w:tcPr>
            <w:tcW w:w="3067" w:type="dxa"/>
          </w:tcPr>
          <w:p w14:paraId="6C8A71F4">
            <w:pPr>
              <w:widowControl w:val="0"/>
              <w:jc w:val="both"/>
            </w:pPr>
            <w:r>
              <w:rPr>
                <w:rFonts w:ascii="Times New Roman" w:hAnsi="Times New Roman"/>
                <w:b w:val="0"/>
                <w:sz w:val="22"/>
              </w:rPr>
              <w:t>81,5%</w:t>
            </w:r>
          </w:p>
        </w:tc>
        <w:tc>
          <w:tcPr>
            <w:tcW w:w="3067" w:type="dxa"/>
          </w:tcPr>
          <w:p w14:paraId="20A697AF">
            <w:pPr>
              <w:widowControl w:val="0"/>
              <w:jc w:val="both"/>
            </w:pPr>
            <w:r>
              <w:rPr>
                <w:rFonts w:ascii="Times New Roman" w:hAnsi="Times New Roman"/>
                <w:b w:val="0"/>
                <w:sz w:val="22"/>
              </w:rPr>
              <w:t>Проект экономически эффективен</w:t>
            </w:r>
          </w:p>
        </w:tc>
      </w:tr>
      <w:tr w14:paraId="1FDF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7" w:type="dxa"/>
          </w:tcPr>
          <w:p w14:paraId="20D9A165">
            <w:pPr>
              <w:widowControl w:val="0"/>
              <w:jc w:val="both"/>
            </w:pPr>
            <w:r>
              <w:rPr>
                <w:rFonts w:ascii="Times New Roman" w:hAnsi="Times New Roman"/>
                <w:b w:val="0"/>
                <w:sz w:val="22"/>
              </w:rPr>
              <w:t>Срок окупаемости</w:t>
            </w:r>
          </w:p>
        </w:tc>
        <w:tc>
          <w:tcPr>
            <w:tcW w:w="3067" w:type="dxa"/>
          </w:tcPr>
          <w:p w14:paraId="182E8D55">
            <w:pPr>
              <w:widowControl w:val="0"/>
              <w:jc w:val="both"/>
            </w:pPr>
            <w:r>
              <w:rPr>
                <w:rFonts w:ascii="Times New Roman" w:hAnsi="Times New Roman"/>
                <w:b w:val="0"/>
                <w:sz w:val="22"/>
              </w:rPr>
              <w:t>1,21 года</w:t>
            </w:r>
          </w:p>
        </w:tc>
        <w:tc>
          <w:tcPr>
            <w:tcW w:w="3067" w:type="dxa"/>
          </w:tcPr>
          <w:p w14:paraId="382E9325">
            <w:pPr>
              <w:widowControl w:val="0"/>
              <w:jc w:val="both"/>
            </w:pPr>
            <w:r>
              <w:rPr>
                <w:rFonts w:ascii="Times New Roman" w:hAnsi="Times New Roman"/>
                <w:b w:val="0"/>
                <w:sz w:val="22"/>
              </w:rPr>
              <w:t>Окупаемость в начале второго года</w:t>
            </w:r>
          </w:p>
        </w:tc>
      </w:tr>
    </w:tbl>
    <w:p w14:paraId="3E96E1B0">
      <w:pPr>
        <w:spacing w:after="120" w:line="360" w:lineRule="auto"/>
        <w:ind w:firstLine="700"/>
      </w:pPr>
    </w:p>
    <w:p w14:paraId="41C74E23">
      <w:pPr>
        <w:spacing w:after="120" w:line="360" w:lineRule="auto"/>
        <w:ind w:firstLine="700"/>
      </w:pPr>
      <w:r>
        <w:rPr>
          <w:rFonts w:ascii="Times New Roman" w:hAnsi="Times New Roman"/>
          <w:b w:val="0"/>
          <w:sz w:val="28"/>
        </w:rPr>
        <w:t>Помимо прямого экономического эффекта проект имеет социально-организационный результат. Сотрудники получают понятный маршрут развития, доступ к актуальным материалам и поддержку наставников. Руководитель отдела получает инструмент контроля качества подготовки заявок. Компания снижает зависимость от отдельных опытных сотрудников, поскольку знания фиксируются в базе и становятся доступными всему отделу. Это особенно важно при удаленном формате работы и высокой текучести.</w:t>
      </w:r>
    </w:p>
    <w:p w14:paraId="062307C1">
      <w:pPr>
        <w:spacing w:after="120" w:line="360" w:lineRule="auto"/>
        <w:ind w:firstLine="700"/>
      </w:pPr>
      <w:r>
        <w:rPr>
          <w:rFonts w:ascii="Times New Roman" w:hAnsi="Times New Roman"/>
          <w:b w:val="0"/>
          <w:sz w:val="28"/>
        </w:rPr>
        <w:t>Для проверки устойчивости расчетов целесообразно рассмотреть консервативный сценарий. Если дополнительное количество выигранных контрактов составит не 3-4, а только 2 контракта в год, валовой эффект снизится. Однако даже в этом случае компания получит снижение отклонений, экономию времени, сокращение текучести и повышение управляемости процесса. При этом значительная часть инфраструктуры создается один раз и может использоваться в последующие периоды без повторения первоначальных затрат.</w:t>
      </w:r>
    </w:p>
    <w:p w14:paraId="3D5FFEA8">
      <w:pPr>
        <w:spacing w:after="120" w:line="360" w:lineRule="auto"/>
        <w:ind w:firstLine="700"/>
      </w:pPr>
      <w:r>
        <w:rPr>
          <w:rFonts w:ascii="Times New Roman" w:hAnsi="Times New Roman"/>
          <w:b w:val="0"/>
          <w:sz w:val="28"/>
        </w:rPr>
        <w:t>Основные риски проекта связаны с формальным использованием чек-листов, сопротивлением сотрудников, несвоевременным обновлением базы знаний и недостаточным контролем со стороны руководителя. Для снижения рисков необходимо закрепить ответственность за каждый элемент системы, включить показатели качества в KPI и проводить ежемесячный управленческий контроль. Если база знаний не обновляется, она быстро теряет ценность; если чек-лист заполняется формально, он не снижает ошибки; если результаты обучения не анализируются, система снова становится набором разовых мероприятий.</w:t>
      </w:r>
    </w:p>
    <w:p w14:paraId="45C1FFFA">
      <w:pPr>
        <w:spacing w:after="120" w:line="360" w:lineRule="auto"/>
        <w:ind w:firstLine="700"/>
      </w:pPr>
      <w:r>
        <w:rPr>
          <w:rFonts w:ascii="Times New Roman" w:hAnsi="Times New Roman"/>
          <w:b w:val="0"/>
          <w:sz w:val="28"/>
        </w:rPr>
        <w:t>Таким образом, экономическая оценка подтверждает целесообразность внедрения предложенных мероприятий. Проект требует умеренных затрат, соответствует масштабу ООО «Лайф Медиа», не нуждается в привлечении инвесторского капитала и имеет положительный дисконтированный доход. Наиболее значимый эффект достигается за счет роста качества заявок, снижения формальных отклонений, увеличения числа выигранных контрактов и закрепления знаний внутри отдела.</w:t>
      </w:r>
    </w:p>
    <w:p w14:paraId="19560678">
      <w:pPr>
        <w:spacing w:after="120" w:line="360" w:lineRule="auto"/>
        <w:jc w:val="center"/>
      </w:pPr>
      <w:r>
        <w:rPr>
          <w:rFonts w:ascii="Times New Roman" w:hAnsi="Times New Roman"/>
          <w:b/>
          <w:sz w:val="28"/>
        </w:rPr>
        <w:t>Выводы по третьей главе</w:t>
      </w:r>
    </w:p>
    <w:p w14:paraId="5D382A0F">
      <w:pPr>
        <w:spacing w:after="120" w:line="360" w:lineRule="auto"/>
        <w:ind w:firstLine="700"/>
      </w:pPr>
      <w:r>
        <w:rPr>
          <w:rFonts w:ascii="Times New Roman" w:hAnsi="Times New Roman"/>
          <w:b w:val="0"/>
          <w:sz w:val="28"/>
        </w:rPr>
        <w:t>В третьей главе разработан комплекс рекомендаций по совершенствованию системы обучения и развития тендерных специалистов ООО «Лайф Медиа». Рекомендации основаны на результатах второй главы, где были выявлены отсутствие системной адаптации, разрозненность материалов, отсутствие регулярной проверки знаний, повторяемость ошибок и слабая связь обучения с мотивацией.</w:t>
      </w:r>
    </w:p>
    <w:p w14:paraId="53A8AE6E">
      <w:pPr>
        <w:spacing w:after="120" w:line="360" w:lineRule="auto"/>
        <w:ind w:firstLine="700"/>
      </w:pPr>
      <w:r>
        <w:rPr>
          <w:rFonts w:ascii="Times New Roman" w:hAnsi="Times New Roman"/>
          <w:b w:val="0"/>
          <w:sz w:val="28"/>
        </w:rPr>
        <w:t>Предложена модель «Тендерная академия Лайф Медиа», включающая базу знаний, адаптационный маршрут, внешнее обучение по 44-ФЗ и 223-ФЗ, чек-лист подготовки заявки, реестр ошибок, наставничество и систему оценки эффективности. Данная модель адаптирована к масштабу компании и удаленному формату работы, поэтому не требует создания отдельной HR-службы.</w:t>
      </w:r>
    </w:p>
    <w:p w14:paraId="3C48BEC4">
      <w:pPr>
        <w:spacing w:after="120" w:line="360" w:lineRule="auto"/>
        <w:ind w:firstLine="700"/>
      </w:pPr>
      <w:r>
        <w:rPr>
          <w:rFonts w:ascii="Times New Roman" w:hAnsi="Times New Roman"/>
          <w:b w:val="0"/>
          <w:sz w:val="28"/>
        </w:rPr>
        <w:t>Технико-экономическое обоснование показало, что первоначальные затраты на внедрение составляют 474,456 тыс. руб. Основные расходы связаны с внешним обучением сотрудников, настройкой базы знаний, LMS, лицензиями и премиями наставникам. После первого года ежегодные поддерживающие расходы снижаются до 154 тыс. руб.</w:t>
      </w:r>
    </w:p>
    <w:p w14:paraId="6F31E26B">
      <w:pPr>
        <w:spacing w:after="120" w:line="360" w:lineRule="auto"/>
        <w:ind w:firstLine="700"/>
      </w:pPr>
      <w:r>
        <w:rPr>
          <w:rFonts w:ascii="Times New Roman" w:hAnsi="Times New Roman"/>
          <w:b w:val="0"/>
          <w:sz w:val="28"/>
        </w:rPr>
        <w:t>Экономическая оценка показала, что проект способен снизить долю отклоненных заявок, увеличить количество выигранных контрактов и сократить потери рабочего времени. За трехлетний период чистый эффект составит 637,9 тыс. руб., NPV — 443,3 тыс. руб., ROI — 81,5%, срок окупаемости — около 1,21 года. Следовательно, предложенные мероприятия являются организационно и экономически обоснованными.</w:t>
      </w:r>
    </w:p>
    <w:p w14:paraId="14C3BBD8">
      <w:pPr>
        <w:spacing w:after="120" w:line="360" w:lineRule="auto"/>
        <w:jc w:val="center"/>
        <w:rPr>
          <w:rFonts w:ascii="Times New Roman" w:hAnsi="Times New Roman"/>
          <w:b/>
          <w:sz w:val="28"/>
        </w:rPr>
      </w:pPr>
    </w:p>
    <w:p w14:paraId="52A88279">
      <w:pPr>
        <w:spacing w:after="120" w:line="360" w:lineRule="auto"/>
        <w:jc w:val="center"/>
        <w:rPr>
          <w:rFonts w:ascii="Times New Roman" w:hAnsi="Times New Roman"/>
          <w:b/>
          <w:sz w:val="28"/>
        </w:rPr>
      </w:pPr>
    </w:p>
    <w:p w14:paraId="5CA01E78">
      <w:pPr>
        <w:spacing w:after="120" w:line="360" w:lineRule="auto"/>
        <w:jc w:val="center"/>
        <w:rPr>
          <w:rFonts w:ascii="Times New Roman" w:hAnsi="Times New Roman"/>
          <w:b/>
          <w:sz w:val="28"/>
        </w:rPr>
      </w:pPr>
    </w:p>
    <w:p w14:paraId="7D3276CD">
      <w:pPr>
        <w:spacing w:after="120" w:line="360" w:lineRule="auto"/>
        <w:jc w:val="center"/>
        <w:rPr>
          <w:rFonts w:ascii="Times New Roman" w:hAnsi="Times New Roman"/>
          <w:b/>
          <w:sz w:val="28"/>
        </w:rPr>
      </w:pPr>
    </w:p>
    <w:p w14:paraId="4A385C7E">
      <w:pPr>
        <w:spacing w:after="120" w:line="360" w:lineRule="auto"/>
        <w:jc w:val="center"/>
        <w:rPr>
          <w:rFonts w:ascii="Times New Roman" w:hAnsi="Times New Roman"/>
          <w:b/>
          <w:sz w:val="28"/>
        </w:rPr>
      </w:pPr>
    </w:p>
    <w:p>
      <w:pPr>
        <w:spacing w:line="360" w:lineRule="auto" w:after="120"/>
        <w:jc w:val="center"/>
      </w:pPr>
      <w:r>
        <w:rPr>
          <w:rFonts w:ascii="Times New Roman" w:hAnsi="Times New Roman"/>
          <w:b/>
          <w:sz w:val="28"/>
        </w:rPr>
        <w:t>ЗАКЛЮЧЕНИЕ</w:t>
      </w:r>
    </w:p>
    <w:p>
      <w:pPr>
        <w:spacing w:line="360" w:lineRule="auto" w:after="120"/>
        <w:ind w:firstLine="700"/>
      </w:pPr>
      <w:r>
        <w:rPr>
          <w:rFonts w:ascii="Times New Roman" w:hAnsi="Times New Roman"/>
          <w:b w:val="0"/>
          <w:sz w:val="28"/>
        </w:rPr>
        <w:t>Выпускная квалификационная работа была посвящена решению актуальной для ООО «Лайф Медиа» проблемы — совершенствованию системы обучения и развития тендерных специалистов. Проведенное исследование показало, что для предприятия, значительная часть выручки которого формируется за счет участия в государственных и корпоративных закупках, профессиональная подготовка сотрудников тендерного отдела является не вспомогательной кадровой функцией, а фактором финансовой устойчивости и конкурентоспособности. Ошибки при подготовке заявок, несвоевременное обновление знаний и отсутствие единых стандартов работы приводят к отклонениям на этапе допуска и снижению эффективности закупочной деятельности.</w:t>
      </w:r>
    </w:p>
    <w:p>
      <w:pPr>
        <w:spacing w:line="360" w:lineRule="auto" w:after="120"/>
        <w:ind w:firstLine="700"/>
      </w:pPr>
      <w:r>
        <w:rPr>
          <w:rFonts w:ascii="Times New Roman" w:hAnsi="Times New Roman"/>
          <w:b w:val="0"/>
          <w:sz w:val="28"/>
        </w:rPr>
        <w:t>Цель работы, связанная с разработкой и экономическим обоснованием рекомендаций по совершенствованию системы обучения и развития тендерных специалистов ООО «Лайф Медиа», достигнута. В ходе исследования были последовательно изучены теоретические основы обучения персонала, проанализировано состояние системы обучения в компании, выявлены ключевые проблемы, предложены практические мероприятия и рассчитана их экономическая эффективность. Полученные результаты позволяют рассматривать обучение не как разовые затраты, а как управляемый процесс, влияющий на качество заявок, снижение ошибок и рост финансовых результатов.</w:t>
      </w:r>
    </w:p>
    <w:p>
      <w:pPr>
        <w:spacing w:line="360" w:lineRule="auto" w:after="120"/>
        <w:ind w:firstLine="700"/>
      </w:pPr>
      <w:r>
        <w:rPr>
          <w:rFonts w:ascii="Times New Roman" w:hAnsi="Times New Roman"/>
          <w:b w:val="0"/>
          <w:sz w:val="28"/>
        </w:rPr>
        <w:t>Основные практические результаты исследования соответствуют поставленным во введении задачам и могут быть представлены следующим образом:</w:t>
      </w:r>
    </w:p>
    <w:p>
      <w:pPr>
        <w:spacing w:line="360" w:lineRule="auto" w:after="120"/>
        <w:ind w:firstLine="700"/>
      </w:pPr>
      <w:r>
        <w:rPr>
          <w:rFonts w:ascii="Times New Roman" w:hAnsi="Times New Roman"/>
          <w:b w:val="0"/>
          <w:sz w:val="28"/>
        </w:rPr>
        <w:t>1. В рамках первой задачи были рассмотрены теоретические основы обучения и развития персонала. Установлено, что современное обучение работников является частью системы управления организацией и должно быть связано с целями бизнеса, оценкой результатов, мотивацией и развитием компетенций. Для тендерных специалистов это особенно важно, поскольку их деятельность требует постоянного обновления знаний в области законодательства, электронных площадок, документационного сопровождения и экономического анализа закупок.</w:t>
      </w:r>
    </w:p>
    <w:p>
      <w:pPr>
        <w:spacing w:line="360" w:lineRule="auto" w:after="120"/>
        <w:ind w:firstLine="700"/>
      </w:pPr>
      <w:r>
        <w:rPr>
          <w:rFonts w:ascii="Times New Roman" w:hAnsi="Times New Roman"/>
          <w:b w:val="0"/>
          <w:sz w:val="28"/>
        </w:rPr>
        <w:t>2. В рамках второй задачи изучены современные подходы к развитию профессиональных компетенций специалистов в сфере закупок. Было выявлено, что наиболее результативными являются практико-ориентированные форматы: кейсы, тренажеры электронных площадок, разбор ошибок, наставничество, цифровые базы знаний и LMS-инструменты. Также установлено, что оценка эффективности обучения должна включать не только факт прохождения курса, но и изменение поведения сотрудника, снижение числа ошибок и влияние на бизнес-показатели.</w:t>
      </w:r>
    </w:p>
    <w:p>
      <w:pPr>
        <w:spacing w:line="360" w:lineRule="auto" w:after="120"/>
        <w:ind w:firstLine="700"/>
      </w:pPr>
      <w:r>
        <w:rPr>
          <w:rFonts w:ascii="Times New Roman" w:hAnsi="Times New Roman"/>
          <w:b w:val="0"/>
          <w:sz w:val="28"/>
        </w:rPr>
        <w:t>3. В рамках третьей задачи дана характеристика ООО «Лайф Медиа» и его закупочной деятельности. Компания является малым предприятием, специализирующимся на оптовых поставках техники и оборудования и активно участвующим в B2B- и B2G-закупках. Анализ показал, что тендерный отдел является ключевым подразделением, обеспечивающим основную часть тендерной выручки, поэтому качество его работы напрямую связано с финансовыми результатами организации.</w:t>
      </w:r>
    </w:p>
    <w:p>
      <w:pPr>
        <w:spacing w:line="360" w:lineRule="auto" w:after="120"/>
        <w:ind w:firstLine="700"/>
      </w:pPr>
      <w:r>
        <w:rPr>
          <w:rFonts w:ascii="Times New Roman" w:hAnsi="Times New Roman"/>
          <w:b w:val="0"/>
          <w:sz w:val="28"/>
        </w:rPr>
        <w:t>4. В рамках четвертой задачи проанализирована действующая система управления персоналом и обучения тендерных специалистов. Выявлено, что в компании отсутствует самостоятельная HR-служба, а кадровые функции распределены между генеральным директором, руководителем тендерного отдела и бухгалтерией. При этом система обучения носит фрагментарный характер: нет формализованной программы адаптации, единой базы актуальных шаблонов, регулярной проверки знаний, реестра ошибок и закрепленного наставничества. Это приводит к зависимости результата от индивидуального опыта сотрудников.</w:t>
      </w:r>
    </w:p>
    <w:p>
      <w:pPr>
        <w:spacing w:line="360" w:lineRule="auto" w:after="120"/>
        <w:ind w:firstLine="700"/>
      </w:pPr>
      <w:r>
        <w:rPr>
          <w:rFonts w:ascii="Times New Roman" w:hAnsi="Times New Roman"/>
          <w:b w:val="0"/>
          <w:sz w:val="28"/>
        </w:rPr>
        <w:t>5. В рамках пятой задачи проведена оценка эффективности текущей системы обучения. Анализ тендерных показателей показал, что доля отклоненных заявок на этапе допуска сохраняется примерно на уровне 15%, а за 2023-2025 гг. выявлено 77 случаев отклонений. Результаты анкетирования сотрудников подтвердили наличие проблемы: все 8 специалистов указали на отсутствие утвержденной программы обучения, большинство отметили разрозненность материалов, неуверенность в актуальности шаблонов и потребность в разборе типовых ошибок. Это позволило установить причинно-следственную связь между отсутствием системы обучения и повторяемостью предотвратимых ошибок.</w:t>
      </w:r>
    </w:p>
    <w:p>
      <w:pPr>
        <w:spacing w:line="360" w:lineRule="auto" w:after="120"/>
        <w:ind w:firstLine="700"/>
      </w:pPr>
      <w:r>
        <w:rPr>
          <w:rFonts w:ascii="Times New Roman" w:hAnsi="Times New Roman"/>
          <w:b w:val="0"/>
          <w:sz w:val="28"/>
        </w:rPr>
        <w:t>6. В рамках шестой задачи разработан комплекс мероприятий по совершенствованию системы обучения и развития тендерных специалистов. Автором предложена модель «Тендерная академия Лайф Медиа», включающая базу знаний, адаптационный маршрут для новых сотрудников, внешнее обучение по 44-ФЗ и 223-ФЗ, чек-лист подготовки заявки, реестр ошибок, наставничество, регулярное тестирование и связь обучения с KPI. Практическая значимость данной модели состоит в том, что она не требует создания отдельной HR-службы и может быть встроена в уже действующую цифровую инфраструктуру компании.</w:t>
      </w:r>
    </w:p>
    <w:p>
      <w:pPr>
        <w:spacing w:line="360" w:lineRule="auto" w:after="120"/>
        <w:ind w:firstLine="700"/>
      </w:pPr>
      <w:r>
        <w:rPr>
          <w:rFonts w:ascii="Times New Roman" w:hAnsi="Times New Roman"/>
          <w:b w:val="0"/>
          <w:sz w:val="28"/>
        </w:rPr>
        <w:t>7. В рамках седьмой задачи рассчитана экономическая эффективность предложенных мероприятий. Первоначальные затраты на внедрение составляют 474,456 тыс. руб., а ежегодные поддерживающие расходы после первого года — около 154 тыс. руб. Ожидаемый эффект формируется за счет роста числа выигранных контрактов, снижения количества отклоненных заявок, экономии рабочего времени и сокращения затрат, связанных с текучестью персонала. За трехлетний период чистый эффект составит 637,9 тыс. руб., NPV — 443,3 тыс. руб., ROI — 81,5%, срок окупаемости — около 1,21 года.</w:t>
      </w:r>
    </w:p>
    <w:p>
      <w:pPr>
        <w:spacing w:line="360" w:lineRule="auto" w:after="120"/>
        <w:ind w:firstLine="700"/>
      </w:pPr>
      <w:r>
        <w:rPr>
          <w:rFonts w:ascii="Times New Roman" w:hAnsi="Times New Roman"/>
          <w:b w:val="0"/>
          <w:sz w:val="28"/>
        </w:rPr>
        <w:t>Итоговый синтез результатов исследования заключается в том, что проблема ООО «Лайф Медиа» носит не только кадровый, но и организационно-экономический характер. Недостатки обучения проявляются через конкретные бизнес-показатели: отклоненные заявки, повторяющиеся ошибки, потерю рабочего времени и недополученную выручку. Поэтому предложенные мероприятия направлены не на формальное увеличение числа учебных мероприятий, а на создание управляемого цикла «диагностика — обучение — применение — контроль — корректировка».</w:t>
      </w:r>
    </w:p>
    <w:p>
      <w:pPr>
        <w:spacing w:line="360" w:lineRule="auto" w:after="120"/>
        <w:ind w:firstLine="700"/>
      </w:pPr>
      <w:r>
        <w:rPr>
          <w:rFonts w:ascii="Times New Roman" w:hAnsi="Times New Roman"/>
          <w:b w:val="0"/>
          <w:sz w:val="28"/>
        </w:rPr>
        <w:t>Теоретическая значимость работы состоит в систематизации подходов к обучению тендерных специалистов и адаптации моделей оценки эффективности обучения к закупочной деятельности малого предприятия. Практическая значимость заключается в разработке конкретного набора управленческих инструментов, которые могут быть внедрены в ООО «Лайф Медиа»: база знаний, чек-листы, реестр ошибок, наставничество, адаптационный маршрут и система показателей эффективности.</w:t>
      </w:r>
    </w:p>
    <w:p>
      <w:pPr>
        <w:spacing w:line="360" w:lineRule="auto" w:after="120"/>
        <w:ind w:firstLine="700"/>
      </w:pPr>
      <w:r>
        <w:rPr>
          <w:rFonts w:ascii="Times New Roman" w:hAnsi="Times New Roman"/>
          <w:b w:val="0"/>
          <w:sz w:val="28"/>
        </w:rPr>
        <w:t>Перспективы внедрения предложенных мероприятий являются положительными, поскольку проект соответствует масштабу предприятия, не требует привлечения инвесторского капитала и использует уже имеющиеся организационные и цифровые ресурсы. Наиболее важным условием успешной реализации является регулярное обновление базы знаний, участие руководителя тендерного отдела в контроле качества заявок и закрепление показателей обучения в системе мотивации. При соблюдении этих условий разработанная система позволит снизить количество формальных ошибок, повысить управляемость тендерной деятельности и укрепить конкурентные позиции ООО «Лайф Медиа».</w:t>
      </w:r>
    </w:p>
    <w:p>
      <w:pPr>
        <w:spacing w:line="360" w:lineRule="auto" w:after="120"/>
        <w:ind w:firstLine="700"/>
      </w:pPr>
      <w:r>
        <w:rPr>
          <w:rFonts w:ascii="Times New Roman" w:hAnsi="Times New Roman"/>
          <w:b w:val="0"/>
          <w:sz w:val="28"/>
        </w:rPr>
        <w:t>Таким образом, выполненная ВКР имеет прикладной характер и может быть использована как основа для практического совершенствования системы обучения и развития тендерных специалистов в ООО «Лайф Медиа». Предложенные решения экономически обоснованы, организационно реализуемы и направлены на достижение конкретного результата — повышение качества подготовки тендерных заявок и эффективности закупочной деятельности предприятия.</w:t>
      </w:r>
    </w:p>
    <w:p>
      <w:pPr>
        <w:spacing w:line="360" w:lineRule="auto" w:after="120"/>
        <w:jc w:val="center"/>
      </w:pPr>
      <w:r>
        <w:rPr>
          <w:rFonts w:ascii="Times New Roman" w:hAnsi="Times New Roman"/>
          <w:b/>
          <w:sz w:val="28"/>
        </w:rPr>
        <w:t>СПИСОК ИСПОЛЬЗОВАННЫХ ИСТОЧНИКОВ</w:t>
      </w:r>
    </w:p>
    <w:p>
      <w:pPr>
        <w:spacing w:line="360" w:lineRule="auto" w:after="120"/>
      </w:pPr>
      <w:r>
        <w:rPr>
          <w:rFonts w:ascii="Times New Roman" w:hAnsi="Times New Roman"/>
          <w:b/>
          <w:sz w:val="28"/>
        </w:rPr>
        <w:t>I. Нормативные правовые документы</w:t>
      </w:r>
    </w:p>
    <w:p>
      <w:pPr>
        <w:spacing w:line="360" w:lineRule="auto" w:after="120"/>
      </w:pPr>
      <w:r>
        <w:rPr>
          <w:rFonts w:ascii="Times New Roman" w:hAnsi="Times New Roman"/>
          <w:b w:val="0"/>
          <w:sz w:val="28"/>
        </w:rPr>
        <w:t>1. О закупках товаров, работ, услуг отдельными видами юридических лиц : Федеральный закон от 18 июля 2011 г. № 223-ФЗ : ред. от 26 дек. 2024 г. // Собрание законодательства Российской Федерации. — 2011. — № 30, ч. 1. — Ст. 4571.</w:t>
      </w:r>
    </w:p>
    <w:p>
      <w:pPr>
        <w:spacing w:line="360" w:lineRule="auto" w:after="120"/>
      </w:pPr>
      <w:r>
        <w:rPr>
          <w:rFonts w:ascii="Times New Roman" w:hAnsi="Times New Roman"/>
          <w:b w:val="0"/>
          <w:sz w:val="28"/>
        </w:rPr>
        <w:t>2. О контрактной системе в сфере закупок товаров, работ, услуг для обеспечения государственных и муниципальных нужд : Федеральный закон от 5 апр. 2013 г. № 44-ФЗ : ред. от 26 дек. 2024 г. // Собрание законодательства Российской Федерации. — 2013. — № 14. — Ст. 1652.</w:t>
      </w:r>
    </w:p>
    <w:p>
      <w:pPr>
        <w:spacing w:line="360" w:lineRule="auto" w:after="120"/>
      </w:pPr>
      <w:r>
        <w:rPr>
          <w:rFonts w:ascii="Times New Roman" w:hAnsi="Times New Roman"/>
          <w:b w:val="0"/>
          <w:sz w:val="28"/>
        </w:rPr>
        <w:t>3. Трудовой кодекс Российской Федерации : Федеральный закон от 30 дек. 2001 г. № 197-ФЗ : ред. от 14 февр. 2024 г. // Собрание законодательства Российской Федерации. — 2002. — № 1, ч. 1. — Ст. 3.</w:t>
      </w:r>
    </w:p>
    <w:p>
      <w:pPr>
        <w:spacing w:line="360" w:lineRule="auto" w:after="120"/>
      </w:pPr>
      <w:r>
        <w:rPr>
          <w:rFonts w:ascii="Times New Roman" w:hAnsi="Times New Roman"/>
          <w:b/>
          <w:sz w:val="28"/>
        </w:rPr>
        <w:t>II. Научная и учебная литература</w:t>
      </w:r>
    </w:p>
    <w:p>
      <w:pPr>
        <w:spacing w:line="360" w:lineRule="auto" w:after="120"/>
      </w:pPr>
      <w:r>
        <w:rPr>
          <w:rFonts w:ascii="Times New Roman" w:hAnsi="Times New Roman"/>
          <w:b w:val="0"/>
          <w:sz w:val="28"/>
        </w:rPr>
        <w:t>4. Ансофф, И. Стратегический менеджмент : классическое издание / И. Ансофф ; пер. с англ. О. Литун. — Москва : Питер, 2009. — 342 с. — ISBN 978-5-388-00077-4.</w:t>
      </w:r>
    </w:p>
    <w:p>
      <w:pPr>
        <w:spacing w:line="360" w:lineRule="auto" w:after="120"/>
      </w:pPr>
      <w:r>
        <w:rPr>
          <w:rFonts w:ascii="Times New Roman" w:hAnsi="Times New Roman"/>
          <w:b w:val="0"/>
          <w:sz w:val="28"/>
        </w:rPr>
        <w:t>5. Армстронг, М. Практика управления человеческими ресурсами / М. Армстронг ; пер. с англ. под ред. С. К. Мордовина. — Санкт-Петербург : Питер, 2019. — 831 с.</w:t>
      </w:r>
    </w:p>
    <w:p>
      <w:pPr>
        <w:spacing w:line="360" w:lineRule="auto" w:after="120"/>
      </w:pPr>
      <w:r>
        <w:rPr>
          <w:rFonts w:ascii="Times New Roman" w:hAnsi="Times New Roman"/>
          <w:b w:val="0"/>
          <w:sz w:val="28"/>
        </w:rPr>
        <w:t>6. Егоршин, А. П. Управление персоналом : учебник / А. П. Егоршин. — 14-е изд., перераб. и доп. — Нижний Новгород : НИМБ, 2022. — 640 с.</w:t>
      </w:r>
    </w:p>
    <w:p>
      <w:pPr>
        <w:spacing w:line="360" w:lineRule="auto" w:after="120"/>
      </w:pPr>
      <w:r>
        <w:rPr>
          <w:rFonts w:ascii="Times New Roman" w:hAnsi="Times New Roman"/>
          <w:b w:val="0"/>
          <w:sz w:val="28"/>
        </w:rPr>
        <w:t>7. Захаров, Д. К. Организация обучения и повышения квалификации персонала : учебное пособие / Д. К. Захаров. — Москва : Дашков и К°, 2020. — 304 с.</w:t>
      </w:r>
    </w:p>
    <w:p>
      <w:pPr>
        <w:spacing w:line="360" w:lineRule="auto" w:after="120"/>
      </w:pPr>
      <w:r>
        <w:rPr>
          <w:rFonts w:ascii="Times New Roman" w:hAnsi="Times New Roman"/>
          <w:b w:val="0"/>
          <w:sz w:val="28"/>
        </w:rPr>
        <w:t>8. Магура, М. И. Обучение персонала как конкурентное преимущество / М. И. Магура, М. Б. Курбатова. — Москва : Управление персоналом, 2004. — 216 с. — ISBN 5-95630-022-1.</w:t>
      </w:r>
    </w:p>
    <w:p>
      <w:pPr>
        <w:spacing w:line="360" w:lineRule="auto" w:after="120"/>
      </w:pPr>
      <w:r>
        <w:rPr>
          <w:rFonts w:ascii="Times New Roman" w:hAnsi="Times New Roman"/>
          <w:b w:val="0"/>
          <w:sz w:val="28"/>
        </w:rPr>
        <w:t>9. Маслов, Е. В. Управление персоналом : учебник и практикум / Е. В. Маслов. — 3-е изд., перераб. и доп. — Москва : Юрайт, 2022. — 456 с.</w:t>
      </w:r>
    </w:p>
    <w:p>
      <w:pPr>
        <w:spacing w:line="360" w:lineRule="auto" w:after="120"/>
      </w:pPr>
      <w:r>
        <w:rPr>
          <w:rFonts w:ascii="Times New Roman" w:hAnsi="Times New Roman"/>
          <w:b w:val="0"/>
          <w:sz w:val="28"/>
        </w:rPr>
        <w:t>10. Пугачев, В. П. Управление персоналом организации : практикум : учебник для вузов / В. П. Пугачев. — 2-е изд., испр. и доп. — Москва : Юрайт, 2026. — 280 с. — ISBN 978-5-534-08906-6.</w:t>
      </w:r>
    </w:p>
    <w:p>
      <w:pPr>
        <w:spacing w:line="360" w:lineRule="auto" w:after="120"/>
      </w:pPr>
      <w:r>
        <w:rPr>
          <w:rFonts w:ascii="Times New Roman" w:hAnsi="Times New Roman"/>
          <w:b w:val="0"/>
          <w:sz w:val="28"/>
        </w:rPr>
        <w:t>11. Развитие персонала : учебное пособие / под ред. И. В. Ивановой. — Москва : Кнорус, 2023. — 256 с.</w:t>
      </w:r>
    </w:p>
    <w:p>
      <w:pPr>
        <w:spacing w:line="360" w:lineRule="auto" w:after="120"/>
      </w:pPr>
      <w:r>
        <w:rPr>
          <w:rFonts w:ascii="Times New Roman" w:hAnsi="Times New Roman"/>
          <w:b w:val="0"/>
          <w:sz w:val="28"/>
        </w:rPr>
        <w:t>12. Управление персоналом : учебник и практикум для среднего профессионального образования / под общ. ред. О. А. Лапшовой. — Москва : Юрайт, 2026. — 406 с. — ISBN 978-5-534-01928-5.</w:t>
      </w:r>
    </w:p>
    <w:p>
      <w:pPr>
        <w:spacing w:line="360" w:lineRule="auto" w:after="120"/>
      </w:pPr>
      <w:r>
        <w:rPr>
          <w:rFonts w:ascii="Times New Roman" w:hAnsi="Times New Roman"/>
          <w:b/>
          <w:sz w:val="28"/>
        </w:rPr>
        <w:t>III. Периодические издания</w:t>
      </w:r>
    </w:p>
    <w:p>
      <w:pPr>
        <w:spacing w:line="360" w:lineRule="auto" w:after="120"/>
      </w:pPr>
      <w:r>
        <w:rPr>
          <w:rFonts w:ascii="Times New Roman" w:hAnsi="Times New Roman"/>
          <w:b w:val="0"/>
          <w:sz w:val="28"/>
        </w:rPr>
        <w:t>13. Борзенкова, О. О. Систематизация подходов к повышению эффективности цифровых технологий в корпоративном обучении относительно поколений персонала / О. О. Борзенкова // Инновации. Наука. Образование. — 2022. — № 53. — С. 1409–1413.</w:t>
      </w:r>
    </w:p>
    <w:p>
      <w:pPr>
        <w:spacing w:line="360" w:lineRule="auto" w:after="120"/>
      </w:pPr>
      <w:r>
        <w:rPr>
          <w:rFonts w:ascii="Times New Roman" w:hAnsi="Times New Roman"/>
          <w:b w:val="0"/>
          <w:sz w:val="28"/>
        </w:rPr>
        <w:t>14. Верна, В. В. Развитие цифровых технологий в корпоративном обучении персонала: перспективы использования образовательных экосистем / В. В. Верна, А. В. Сорока // Век качества. — 2022. — № 1. — С. 238–252.</w:t>
      </w:r>
    </w:p>
    <w:p>
      <w:pPr>
        <w:spacing w:line="360" w:lineRule="auto" w:after="120"/>
      </w:pPr>
      <w:r>
        <w:rPr>
          <w:rFonts w:ascii="Times New Roman" w:hAnsi="Times New Roman"/>
          <w:b w:val="0"/>
          <w:sz w:val="28"/>
        </w:rPr>
        <w:t>15. Гайфуллина, М. М. Формирование стратегии эффективного управления человеческими ресурсами нефтяной компании / М. М. Гайфуллина, Г. З. Низамова, В. М. Маков // Нефтяное хозяйство. — 2019. — № 4. — С. 8–11.</w:t>
      </w:r>
    </w:p>
    <w:p>
      <w:pPr>
        <w:spacing w:line="360" w:lineRule="auto" w:after="120"/>
      </w:pPr>
      <w:r>
        <w:rPr>
          <w:rFonts w:ascii="Times New Roman" w:hAnsi="Times New Roman"/>
          <w:b w:val="0"/>
          <w:sz w:val="28"/>
        </w:rPr>
        <w:t>16. Галимзянов, И. В. Наставничество как метод обучения и развития персонала / И. В. Галимзянов, Л. А. Гилимханова // Актуальные вопросы современной науки и образования : сб. ст. VII Междунар. науч.-практ. конф. — Пенза : Наука и Просвещение, 2021. — С. 39–41.</w:t>
      </w:r>
    </w:p>
    <w:p>
      <w:pPr>
        <w:spacing w:line="360" w:lineRule="auto" w:after="120"/>
      </w:pPr>
      <w:r>
        <w:rPr>
          <w:rFonts w:ascii="Times New Roman" w:hAnsi="Times New Roman"/>
          <w:b w:val="0"/>
          <w:sz w:val="28"/>
        </w:rPr>
        <w:t>17. Гладилина, И. П. Повышение квалификации специалистов в сфере закупок на основе геймификации / И. П. Гладилина, Ю. А. Молоканова // Профессиональное образование в современном мире. — 2024. — Т. 14, № 3. — С. 112–119.</w:t>
      </w:r>
    </w:p>
    <w:p>
      <w:pPr>
        <w:spacing w:line="360" w:lineRule="auto" w:after="120"/>
      </w:pPr>
      <w:r>
        <w:rPr>
          <w:rFonts w:ascii="Times New Roman" w:hAnsi="Times New Roman"/>
          <w:b w:val="0"/>
          <w:sz w:val="28"/>
        </w:rPr>
        <w:t>18. Кауфман, Н. Ю. Взаимодействие HR Tech и обучения персонала / Н. Ю. Кауфман, С. Ю. Зеленцова // Вестник университета. — 2022. — № 6. — С. 23–30.</w:t>
      </w:r>
    </w:p>
    <w:p>
      <w:pPr>
        <w:spacing w:line="360" w:lineRule="auto" w:after="120"/>
      </w:pPr>
      <w:r>
        <w:rPr>
          <w:rFonts w:ascii="Times New Roman" w:hAnsi="Times New Roman"/>
          <w:b w:val="0"/>
          <w:sz w:val="28"/>
        </w:rPr>
        <w:t>19. Кирищиева, И. Р. Современная система профессионального развития персонала в таможенных органах / И. Р. Кирищиева, Д. А. Молокотина // Молодой ученый. — 2020. — № 15 (305). — С. 319–321.</w:t>
      </w:r>
    </w:p>
    <w:p>
      <w:pPr>
        <w:spacing w:line="360" w:lineRule="auto" w:after="120"/>
      </w:pPr>
      <w:r>
        <w:rPr>
          <w:rFonts w:ascii="Times New Roman" w:hAnsi="Times New Roman"/>
          <w:b w:val="0"/>
          <w:sz w:val="28"/>
        </w:rPr>
        <w:t>20. Куликова, А. А. Особенности внутрифирменного обучения персонала в условиях цифровой экономики / А. А. Куликова // Юность науки : сб. студ. науч. ст. — Москва : РГГУ, 2021. — С. 100–107.</w:t>
      </w:r>
    </w:p>
    <w:p>
      <w:pPr>
        <w:spacing w:line="360" w:lineRule="auto" w:after="120"/>
      </w:pPr>
      <w:r>
        <w:rPr>
          <w:rFonts w:ascii="Times New Roman" w:hAnsi="Times New Roman"/>
          <w:b w:val="0"/>
          <w:sz w:val="28"/>
        </w:rPr>
        <w:t>21. Ладыкова, О. В. Концептуальные подходы к развитию профессиональной компетентности у сотрудников организации с использованием инновационных форм обучения / О. В. Ладыкова, Е. В. Сидорина, М. А. Сарычева // Проблемы современного педагогического образования. — 2018. — № 61-1. — С. 372–376.</w:t>
      </w:r>
    </w:p>
    <w:p>
      <w:pPr>
        <w:spacing w:line="360" w:lineRule="auto" w:after="120"/>
      </w:pPr>
      <w:r>
        <w:rPr>
          <w:rFonts w:ascii="Times New Roman" w:hAnsi="Times New Roman"/>
          <w:b w:val="0"/>
          <w:sz w:val="28"/>
        </w:rPr>
        <w:t>22. Николаева, А. Г. Development of Procurement Performance Indicators for Industrial Enterprises of the Russian Federation / А. Г. Николаева // Вестник Магнитогорского государственного технического университета им. Г. И. Носова. — 2019. — № 4. — С. 106–112.</w:t>
      </w:r>
    </w:p>
    <w:p>
      <w:pPr>
        <w:spacing w:line="360" w:lineRule="auto" w:after="120"/>
      </w:pPr>
      <w:r>
        <w:rPr>
          <w:rFonts w:ascii="Times New Roman" w:hAnsi="Times New Roman"/>
          <w:b w:val="0"/>
          <w:sz w:val="28"/>
        </w:rPr>
        <w:t>23. Попов, А. А. Сравнительная характеристика моделей оценки эффективности в обучении персонала организации / А. А. Попов, С. М. Мальцева // Вестник Международного института рынка. — 2022. — № 2. — С. 44–47.</w:t>
      </w:r>
    </w:p>
    <w:p>
      <w:pPr>
        <w:spacing w:line="360" w:lineRule="auto" w:after="120"/>
      </w:pPr>
      <w:r>
        <w:rPr>
          <w:rFonts w:ascii="Times New Roman" w:hAnsi="Times New Roman"/>
          <w:b w:val="0"/>
          <w:sz w:val="28"/>
        </w:rPr>
        <w:t>24. Тонких, Н. В. Пандемия как драйвер цифровых форматов обучения и развития персонала: кейс крупной российской IT-компании / Н. В. Тонких, Д. А. Бахур // Вестник Омского университета. Серия: Экономика. — 2022. — Т. 20, № 2. — С. 84–94.</w:t>
      </w:r>
    </w:p>
    <w:p>
      <w:pPr>
        <w:spacing w:line="360" w:lineRule="auto" w:after="120"/>
      </w:pPr>
      <w:r>
        <w:rPr>
          <w:rFonts w:ascii="Times New Roman" w:hAnsi="Times New Roman"/>
          <w:b/>
          <w:sz w:val="28"/>
        </w:rPr>
        <w:t>IV. Иностранные издания</w:t>
      </w:r>
    </w:p>
    <w:p>
      <w:pPr>
        <w:spacing w:line="360" w:lineRule="auto" w:after="120"/>
      </w:pPr>
      <w:r>
        <w:rPr>
          <w:rFonts w:ascii="Times New Roman" w:hAnsi="Times New Roman"/>
          <w:b w:val="0"/>
          <w:sz w:val="28"/>
        </w:rPr>
        <w:t>25. Gertler, P. J. Impact Evaluation in Practice / P. J. Gertler, S. Martinez, P. Premand, L. B. Rawlings, C. M. J. Vermeersch. — 3rd ed. — Washington : World Bank ; Inter-American Development Bank, 2024. — 398 p.</w:t>
      </w:r>
    </w:p>
    <w:p>
      <w:pPr>
        <w:spacing w:line="360" w:lineRule="auto" w:after="120"/>
      </w:pPr>
      <w:r>
        <w:rPr>
          <w:rFonts w:ascii="Times New Roman" w:hAnsi="Times New Roman"/>
          <w:b w:val="0"/>
          <w:sz w:val="28"/>
        </w:rPr>
        <w:t>26. Kelman, S. Procurement and Public Management: The Fear of Discretion and the Quality of Government Performance / S. Kelman. — 2nd ed. — Washington : AEI Press, 2022. — 240 p.</w:t>
      </w:r>
    </w:p>
    <w:p>
      <w:pPr>
        <w:spacing w:line="360" w:lineRule="auto" w:after="120"/>
      </w:pPr>
      <w:r>
        <w:rPr>
          <w:rFonts w:ascii="Times New Roman" w:hAnsi="Times New Roman"/>
          <w:b w:val="0"/>
          <w:sz w:val="28"/>
        </w:rPr>
        <w:t>27. Lewin, K. Resolving Social Conflicts / K. Lewin. — New York : Harper &amp; Row, 1948. — 230 p.</w:t>
      </w:r>
    </w:p>
    <w:p>
      <w:pPr>
        <w:spacing w:line="360" w:lineRule="auto" w:after="120"/>
      </w:pPr>
      <w:r>
        <w:rPr>
          <w:rFonts w:ascii="Times New Roman" w:hAnsi="Times New Roman"/>
          <w:b w:val="0"/>
          <w:sz w:val="28"/>
        </w:rPr>
        <w:t>28. Ulrich, D. HR Competencies: Mastery at the Intersection of People and Business / D. Ulrich, W. Brockbank. — Alexandria : Society for Human Resource Management, 2008. — 272 p.</w:t>
      </w:r>
    </w:p>
    <w:p>
      <w:pPr>
        <w:spacing w:line="360" w:lineRule="auto" w:after="120"/>
      </w:pPr>
      <w:r>
        <w:rPr>
          <w:rFonts w:ascii="Times New Roman" w:hAnsi="Times New Roman"/>
          <w:b/>
          <w:sz w:val="28"/>
        </w:rPr>
        <w:t>V. Ресурсы сети Интернет</w:t>
      </w:r>
    </w:p>
    <w:p>
      <w:pPr>
        <w:spacing w:line="360" w:lineRule="auto" w:after="120"/>
      </w:pPr>
      <w:r>
        <w:rPr>
          <w:rFonts w:ascii="Times New Roman" w:hAnsi="Times New Roman"/>
          <w:b w:val="0"/>
          <w:sz w:val="28"/>
        </w:rPr>
        <w:t>29. Банк России. Ключевая ставка Банка России [Электронный ресурс]. — URL: https://cbr.ru/hd_base/keyrate/ (дата обращения: 28.04.2026).</w:t>
      </w:r>
    </w:p>
    <w:p>
      <w:pPr>
        <w:spacing w:line="360" w:lineRule="auto" w:after="120"/>
      </w:pPr>
      <w:r>
        <w:rPr>
          <w:rFonts w:ascii="Times New Roman" w:hAnsi="Times New Roman"/>
          <w:b w:val="0"/>
          <w:sz w:val="28"/>
        </w:rPr>
        <w:t>30. Битрикс24. Тарифы и цены [Электронный ресурс]. — URL: https://www.bitrix24.ru/prices/ (дата обращения: 28.04.2026).</w:t>
      </w:r>
    </w:p>
    <w:p>
      <w:pPr>
        <w:spacing w:line="360" w:lineRule="auto" w:after="120"/>
      </w:pPr>
      <w:r>
        <w:rPr>
          <w:rFonts w:ascii="Times New Roman" w:hAnsi="Times New Roman"/>
          <w:b w:val="0"/>
          <w:sz w:val="28"/>
        </w:rPr>
        <w:t>31. Добротина, О. Функционал тендерного специалиста для победы и прибыли компании [Электронный ресурс] / О. Добротина // РБК Компании. — URL: https://companies.rbc.ru/news/c4poJFCEYm/funktsional-tendernogo-spetsialista-dlya-pobedyi-i-pribyili-kompanii/ (дата обращения: 07.03.2026).</w:t>
      </w:r>
    </w:p>
    <w:p>
      <w:pPr>
        <w:spacing w:line="360" w:lineRule="auto" w:after="120"/>
      </w:pPr>
      <w:r>
        <w:rPr>
          <w:rFonts w:ascii="Times New Roman" w:hAnsi="Times New Roman"/>
          <w:b w:val="0"/>
          <w:sz w:val="28"/>
        </w:rPr>
        <w:t>32. iSpring Learn. LMS Pricing [Электронный ресурс]. — URL: https://ispringsolutions.com/ispring-learn/pricing (дата обращения: 28.04.2026).</w:t>
      </w:r>
    </w:p>
    <w:p>
      <w:pPr>
        <w:spacing w:line="360" w:lineRule="auto" w:after="120"/>
      </w:pPr>
      <w:r>
        <w:rPr>
          <w:rFonts w:ascii="Times New Roman" w:hAnsi="Times New Roman"/>
          <w:b w:val="0"/>
          <w:sz w:val="28"/>
        </w:rPr>
        <w:t>33. BiCoTender. Что должен знать специалист по закупкам? [Электронный ресурс]. — URL: https://www.bicotender.ru/faq/chto-dolzhen-znat-specialist-po-zakupkam.html (дата обращения: 07.03.2026).</w:t>
      </w:r>
    </w:p>
    <w:p>
      <w:pPr>
        <w:spacing w:line="360" w:lineRule="auto" w:after="120"/>
      </w:pPr>
      <w:r>
        <w:rPr>
          <w:rFonts w:ascii="Times New Roman" w:hAnsi="Times New Roman"/>
          <w:b w:val="0"/>
          <w:sz w:val="28"/>
        </w:rPr>
        <w:t>34. Контур.Школа. Курсы повышения квалификации по 44-ФЗ и 223-ФЗ [Электронный ресурс]. — URL: https://school.kontur-f.ru/ (дата обращения: 28.04.2026).</w:t>
      </w:r>
    </w:p>
    <w:p>
      <w:pPr>
        <w:spacing w:line="360" w:lineRule="auto" w:after="120"/>
      </w:pPr>
      <w:r>
        <w:rPr>
          <w:rFonts w:ascii="Times New Roman" w:hAnsi="Times New Roman"/>
          <w:b w:val="0"/>
          <w:sz w:val="28"/>
        </w:rPr>
        <w:t>35. КриптоПро. Прайс-лист на лицензии КриптоПро CSP [Электронный ресурс]. — URL: https://cryptopro.ru/buy/price (дата обращения: 28.04.2026).</w:t>
      </w:r>
    </w:p>
    <w:p>
      <w:pPr>
        <w:spacing w:line="360" w:lineRule="auto" w:after="120"/>
      </w:pPr>
      <w:r>
        <w:rPr>
          <w:rFonts w:ascii="Times New Roman" w:hAnsi="Times New Roman"/>
          <w:b w:val="0"/>
          <w:sz w:val="28"/>
        </w:rPr>
        <w:t>36. Лисина, Е. С. Разработка тренинга развития профессиональных компетенций специалистов в сфере закупок : выпускная квалификационная работа [Электронный ресурс] / Е. С. Лисина. — URL: https://www.hse.ru/edu/vkr/1048201963 (дата обращения: 07.03.2026).</w:t>
      </w:r>
    </w:p>
    <w:p>
      <w:pPr>
        <w:spacing w:line="360" w:lineRule="auto" w:after="120"/>
      </w:pPr>
      <w:r>
        <w:rPr>
          <w:rFonts w:ascii="Times New Roman" w:hAnsi="Times New Roman"/>
          <w:b w:val="0"/>
          <w:sz w:val="28"/>
        </w:rPr>
        <w:t>37. Национальный исследовательский университет «Высшая школа экономики» (Пермь). Программа повышения квалификации «Управление закупками: эффективные стратегии и практики» [Электронный ресурс]. — URL: https://perm.hse.ru (дата обращения: 10.03.2026).</w:t>
      </w:r>
    </w:p>
    <w:p>
      <w:pPr>
        <w:spacing w:line="360" w:lineRule="auto" w:after="120"/>
      </w:pPr>
      <w:r>
        <w:rPr>
          <w:rFonts w:ascii="Times New Roman" w:hAnsi="Times New Roman"/>
          <w:b w:val="0"/>
          <w:sz w:val="28"/>
        </w:rPr>
        <w:t>38. Сибирский федеральный университет. Программа профессиональной переподготовки «Управление государственными, муниципальными и корпоративными закупками» [Электронный ресурс]. — URL: https://www.sfu-kras.ru (дата обращения: 10.03.2026).</w:t>
      </w:r>
    </w:p>
    <w:p>
      <w:pPr>
        <w:spacing w:line="360" w:lineRule="auto" w:after="120"/>
      </w:pPr>
      <w:r>
        <w:rPr>
          <w:rFonts w:ascii="Times New Roman" w:hAnsi="Times New Roman"/>
          <w:b w:val="0"/>
          <w:sz w:val="28"/>
        </w:rPr>
        <w:t>39. Стоимость настройки и внедрения Битрикс24 для малого бизнеса [Электронный ресурс]. — URL: https://b24.org.ru/ (дата обращения: 28.04.2026).</w:t>
      </w:r>
    </w:p>
    <w:p>
      <w:pPr>
        <w:spacing w:line="360" w:lineRule="auto" w:after="120"/>
      </w:pPr>
      <w:r>
        <w:rPr>
          <w:rFonts w:ascii="Times New Roman" w:hAnsi="Times New Roman"/>
          <w:b w:val="0"/>
          <w:sz w:val="28"/>
        </w:rPr>
        <w:t>40. ЭТП РЕГИОН. Проект «Школа профессионалов» [Электронный ресурс]. — URL: https://www.region-ast.ru (дата обращения: 12.03.2026).</w:t>
      </w:r>
    </w:p>
    <w:p>
      <w:pPr>
        <w:spacing w:line="360" w:lineRule="auto" w:after="120"/>
      </w:pPr>
      <w:r>
        <w:rPr>
          <w:rFonts w:ascii="Times New Roman" w:hAnsi="Times New Roman"/>
          <w:b w:val="0"/>
          <w:sz w:val="28"/>
        </w:rPr>
        <w:t>41. ЭТП Аудиториум. Проект «Закупочные решения: игровые методы обучения» [Электронный ресурс]. — URL: https://etpgpb.ru (дата обращения: 11.03.2026).</w:t>
      </w:r>
    </w:p>
    <w:sectPr>
      <w:pgSz w:w="11906" w:h="16838"/>
      <w:pgMar w:top="1134" w:right="1005"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Verdana">
    <w:panose1 w:val="020B0604030504040204"/>
    <w:charset w:val="00"/>
    <w:family w:val="auto"/>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465A9"/>
    <w:multiLevelType w:val="singleLevel"/>
    <w:tmpl w:val="80E465A9"/>
    <w:lvl w:ilvl="0" w:tentative="0">
      <w:start w:val="1"/>
      <w:numFmt w:val="decimal"/>
      <w:suff w:val="space"/>
      <w:lvlText w:val="%1."/>
      <w:lvlJc w:val="left"/>
    </w:lvl>
  </w:abstractNum>
  <w:abstractNum w:abstractNumId="1">
    <w:nsid w:val="877E51F5"/>
    <w:multiLevelType w:val="singleLevel"/>
    <w:tmpl w:val="877E51F5"/>
    <w:lvl w:ilvl="0" w:tentative="0">
      <w:start w:val="1"/>
      <w:numFmt w:val="bullet"/>
      <w:lvlText w:val="－"/>
      <w:lvlJc w:val="left"/>
      <w:pPr>
        <w:tabs>
          <w:tab w:val="left" w:pos="420"/>
        </w:tabs>
        <w:ind w:left="420" w:leftChars="0" w:hanging="420" w:firstLineChars="0"/>
      </w:pPr>
      <w:rPr>
        <w:rFonts w:hint="default" w:ascii="SimSun" w:hAnsi="SimSun" w:eastAsia="SimSun" w:cs="SimSun"/>
      </w:rPr>
    </w:lvl>
  </w:abstractNum>
  <w:abstractNum w:abstractNumId="2">
    <w:nsid w:val="B0766578"/>
    <w:multiLevelType w:val="multilevel"/>
    <w:tmpl w:val="B076657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F45851E"/>
    <w:multiLevelType w:val="singleLevel"/>
    <w:tmpl w:val="BF45851E"/>
    <w:lvl w:ilvl="0" w:tentative="0">
      <w:start w:val="1"/>
      <w:numFmt w:val="decimal"/>
      <w:suff w:val="space"/>
      <w:lvlText w:val="%1."/>
      <w:lvlJc w:val="left"/>
    </w:lvl>
  </w:abstractNum>
  <w:abstractNum w:abstractNumId="4">
    <w:nsid w:val="C93567C3"/>
    <w:multiLevelType w:val="singleLevel"/>
    <w:tmpl w:val="C93567C3"/>
    <w:lvl w:ilvl="0" w:tentative="0">
      <w:start w:val="1"/>
      <w:numFmt w:val="decimal"/>
      <w:suff w:val="space"/>
      <w:lvlText w:val="%1."/>
      <w:lvlJc w:val="left"/>
    </w:lvl>
  </w:abstractNum>
  <w:abstractNum w:abstractNumId="5">
    <w:nsid w:val="CFA13AEB"/>
    <w:multiLevelType w:val="multilevel"/>
    <w:tmpl w:val="CFA13AEB"/>
    <w:lvl w:ilvl="0" w:tentative="0">
      <w:start w:val="1"/>
      <w:numFmt w:val="decimal"/>
      <w:suff w:val="space"/>
      <w:lvlText w:val="%1."/>
      <w:lvlJc w:val="left"/>
    </w:lvl>
    <w:lvl w:ilvl="1" w:tentative="0">
      <w:start w:val="1"/>
      <w:numFmt w:val="decimal"/>
      <w:suff w:val="space"/>
      <w:lvlText w:val="%1.%2."/>
      <w:lvlJc w:val="left"/>
      <w:pPr>
        <w:ind w:left="49"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D424E3EA"/>
    <w:multiLevelType w:val="singleLevel"/>
    <w:tmpl w:val="D424E3EA"/>
    <w:lvl w:ilvl="0" w:tentative="0">
      <w:start w:val="1"/>
      <w:numFmt w:val="bullet"/>
      <w:lvlText w:val="－"/>
      <w:lvlJc w:val="left"/>
      <w:pPr>
        <w:tabs>
          <w:tab w:val="left" w:pos="420"/>
        </w:tabs>
        <w:ind w:left="420" w:leftChars="0" w:hanging="420" w:firstLineChars="0"/>
      </w:pPr>
      <w:rPr>
        <w:rFonts w:hint="default" w:ascii="SimSun" w:hAnsi="SimSun" w:eastAsia="SimSun" w:cs="SimSun"/>
      </w:rPr>
    </w:lvl>
  </w:abstractNum>
  <w:abstractNum w:abstractNumId="7">
    <w:nsid w:val="0A2C4583"/>
    <w:multiLevelType w:val="singleLevel"/>
    <w:tmpl w:val="0A2C4583"/>
    <w:lvl w:ilvl="0" w:tentative="0">
      <w:start w:val="1"/>
      <w:numFmt w:val="decimal"/>
      <w:suff w:val="space"/>
      <w:lvlText w:val="%1."/>
      <w:lvlJc w:val="left"/>
    </w:lvl>
  </w:abstractNum>
  <w:abstractNum w:abstractNumId="8">
    <w:nsid w:val="1B00C6AF"/>
    <w:multiLevelType w:val="singleLevel"/>
    <w:tmpl w:val="1B00C6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C58038C"/>
    <w:multiLevelType w:val="multilevel"/>
    <w:tmpl w:val="1C5803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4CFDDBC"/>
    <w:multiLevelType w:val="singleLevel"/>
    <w:tmpl w:val="54CFDDBC"/>
    <w:lvl w:ilvl="0" w:tentative="0">
      <w:start w:val="1"/>
      <w:numFmt w:val="decimal"/>
      <w:lvlText w:val="%1."/>
      <w:lvlJc w:val="left"/>
      <w:pPr>
        <w:tabs>
          <w:tab w:val="left" w:pos="425"/>
        </w:tabs>
        <w:ind w:left="425" w:leftChars="0" w:hanging="425" w:firstLineChars="0"/>
      </w:pPr>
      <w:rPr>
        <w:rFonts w:hint="default"/>
      </w:rPr>
    </w:lvl>
  </w:abstractNum>
  <w:abstractNum w:abstractNumId="11">
    <w:nsid w:val="586EF190"/>
    <w:multiLevelType w:val="singleLevel"/>
    <w:tmpl w:val="586EF190"/>
    <w:lvl w:ilvl="0" w:tentative="0">
      <w:start w:val="1"/>
      <w:numFmt w:val="decimal"/>
      <w:suff w:val="space"/>
      <w:lvlText w:val="%1."/>
      <w:lvlJc w:val="left"/>
    </w:lvl>
  </w:abstractNum>
  <w:num w:numId="1">
    <w:abstractNumId w:val="11"/>
  </w:num>
  <w:num w:numId="2">
    <w:abstractNumId w:val="5"/>
  </w:num>
  <w:num w:numId="3">
    <w:abstractNumId w:val="7"/>
  </w:num>
  <w:num w:numId="4">
    <w:abstractNumId w:val="9"/>
  </w:num>
  <w:num w:numId="5">
    <w:abstractNumId w:val="0"/>
  </w:num>
  <w:num w:numId="6">
    <w:abstractNumId w:val="2"/>
  </w:num>
  <w:num w:numId="7">
    <w:abstractNumId w:val="6"/>
  </w:num>
  <w:num w:numId="8">
    <w:abstractNumId w:val="1"/>
  </w:num>
  <w:num w:numId="9">
    <w:abstractNumId w:val="8"/>
  </w:num>
  <w:num w:numId="10">
    <w:abstractNumId w:val="1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02DB3"/>
    <w:rsid w:val="07760E79"/>
    <w:rsid w:val="0A002DB3"/>
    <w:rsid w:val="0C5C5825"/>
    <w:rsid w:val="28465D83"/>
    <w:rsid w:val="2E535AB6"/>
    <w:rsid w:val="3A087590"/>
    <w:rsid w:val="45F606AC"/>
    <w:rsid w:val="4A7373DB"/>
    <w:rsid w:val="66880E8C"/>
    <w:rsid w:val="688C13D2"/>
    <w:rsid w:val="69AC1D7C"/>
    <w:rsid w:val="7C5C7043"/>
    <w:rsid w:val="7D9664B8"/>
    <w:rsid w:val="7EDE6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footer"/>
    <w:basedOn w:val="1"/>
    <w:qFormat/>
    <w:uiPriority w:val="0"/>
    <w:pPr>
      <w:tabs>
        <w:tab w:val="center" w:pos="4153"/>
        <w:tab w:val="right" w:pos="8306"/>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rPr>
      <w:rFonts w:asciiTheme="minorHAnsi" w:hAnsiTheme="minorHAnsi" w:eastAsiaTheme="minorHAnsi" w:cstheme="minorBidi"/>
      <w:kern w:val="2"/>
      <w:lang w:eastAsia="en-US"/>
      <w14:ligatures w14:val="standardContextua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3687</Words>
  <Characters>28728</Characters>
  <Lines>0</Lines>
  <Paragraphs>0</Paragraphs>
  <TotalTime>0</TotalTime>
  <ScaleCrop>false</ScaleCrop>
  <LinksUpToDate>false</LinksUpToDate>
  <CharactersWithSpaces>32315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2026-02-20T11:19:00Z</dcterms:created>
  <dc:creator>honor</dc:creator>
  <cp:lastModifiedBy>Татьяна Тезяева</cp:lastModifiedBy>
  <dcterms:modified xsi:type="dcterms:W3CDTF">2026-05-05T09:47:49Z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586F16F42E2C4B1B8FD5E4E8D9C99EAA_13</vt:lpwstr>
  </property>
  <property fmtid="{D5CDD505-2E9C-101B-9397-08002B2CF9AE}" pid="4" name="KSOTemplateDocerSaveRecord">
    <vt:lpwstr>eyJoZGlkIjoiN2YzNjBkOTgyNWQ1YTMxYzM3MzMwNWFiODNmOWIzYWMiLCJ1c2VySWQiOiI4MjQ2MzQ4ODczNDMifQ==</vt:lpwstr>
  </property>
</Properties>
</file>