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1F72DA">
      <w:pPr>
        <w:keepNext w:val="0"/>
        <w:keepLines w:val="0"/>
        <w:pageBreakBefore w:val="0"/>
        <w:widowControl/>
        <w:kinsoku/>
        <w:wordWrap/>
        <w:overflowPunct/>
        <w:topLinePunct w:val="0"/>
        <w:autoSpaceDE/>
        <w:autoSpaceDN/>
        <w:bidi w:val="0"/>
        <w:adjustRightInd/>
        <w:snapToGrid/>
        <w:spacing w:line="360" w:lineRule="auto"/>
        <w:ind w:firstLine="351" w:firstLineChars="125"/>
        <w:jc w:val="center"/>
        <w:textAlignment w:val="auto"/>
        <w:rPr>
          <w:rFonts w:hint="default" w:ascii="Times New Roman" w:hAnsi="Times New Roman"/>
          <w:b/>
          <w:bCs/>
          <w:sz w:val="28"/>
          <w:szCs w:val="28"/>
          <w:lang w:val="ru-RU"/>
        </w:rPr>
      </w:pPr>
      <w:r>
        <w:rPr>
          <w:rFonts w:hint="default" w:ascii="Times New Roman" w:hAnsi="Times New Roman"/>
          <w:b/>
          <w:bCs/>
          <w:sz w:val="28"/>
          <w:szCs w:val="28"/>
          <w:lang w:val="ru-RU"/>
        </w:rPr>
        <w:t>СОДЕРЖАНИЕ</w:t>
      </w:r>
    </w:p>
    <w:p w14:paraId="3DD40F19">
      <w:pPr>
        <w:keepNext w:val="0"/>
        <w:keepLines w:val="0"/>
        <w:pageBreakBefore w:val="0"/>
        <w:widowControl/>
        <w:tabs>
          <w:tab w:val="right" w:pos="9000"/>
        </w:tabs>
        <w:kinsoku/>
        <w:wordWrap/>
        <w:overflowPunct/>
        <w:topLinePunct w:val="0"/>
        <w:autoSpaceDE/>
        <w:autoSpaceDN/>
        <w:bidi w:val="0"/>
        <w:adjustRightInd/>
        <w:snapToGrid/>
        <w:spacing w:line="276" w:lineRule="auto"/>
        <w:ind w:firstLine="0" w:firstLineChars="0"/>
        <w:jc w:val="both"/>
        <w:textAlignment w:val="auto"/>
        <w:rPr>
          <w:rFonts w:hint="default" w:ascii="Times New Roman" w:hAnsi="Times New Roman"/>
          <w:b/>
          <w:bCs/>
          <w:sz w:val="28"/>
          <w:szCs w:val="28"/>
          <w:lang w:val="ru-RU"/>
        </w:rPr>
      </w:pPr>
    </w:p>
    <w:p w14:paraId="5F93D09D">
      <w:pPr>
        <w:keepNext w:val="0"/>
        <w:keepLines w:val="0"/>
        <w:pageBreakBefore w:val="0"/>
        <w:widowControl/>
        <w:tabs>
          <w:tab w:val="right" w:pos="9000"/>
        </w:tabs>
        <w:kinsoku/>
        <w:wordWrap/>
        <w:overflowPunct/>
        <w:topLinePunct w:val="0"/>
        <w:autoSpaceDE/>
        <w:autoSpaceDN/>
        <w:bidi w:val="0"/>
        <w:adjustRightInd/>
        <w:snapToGrid/>
        <w:spacing w:line="276" w:lineRule="auto"/>
        <w:ind w:left="198" w:leftChars="0" w:right="200" w:rightChars="100" w:hanging="198" w:hangingChars="71"/>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ВВЕДЕНИЕ</w:t>
      </w: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..........................................................................................................5</w:t>
      </w:r>
    </w:p>
    <w:p w14:paraId="4D44C499">
      <w:pPr>
        <w:keepNext w:val="0"/>
        <w:keepLines w:val="0"/>
        <w:pageBreakBefore w:val="0"/>
        <w:widowControl/>
        <w:tabs>
          <w:tab w:val="right" w:pos="9000"/>
        </w:tabs>
        <w:kinsoku/>
        <w:wordWrap/>
        <w:overflowPunct/>
        <w:topLinePunct w:val="0"/>
        <w:autoSpaceDE/>
        <w:autoSpaceDN/>
        <w:bidi w:val="0"/>
        <w:adjustRightInd/>
        <w:snapToGrid/>
        <w:spacing w:line="276" w:lineRule="auto"/>
        <w:ind w:left="198" w:leftChars="0" w:right="200" w:rightChars="100" w:hanging="198" w:hangingChars="71"/>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 xml:space="preserve">ГЛАВА 1. </w:t>
      </w:r>
      <w:r>
        <w:rPr>
          <w:rFonts w:hint="default" w:ascii="Times New Roman" w:hAnsi="Times New Roman"/>
          <w:b w:val="0"/>
          <w:bCs w:val="0"/>
          <w:sz w:val="28"/>
          <w:szCs w:val="28"/>
        </w:rPr>
        <w:t xml:space="preserve"> ТЕОРЕТИЧЕСКИЕ ОСНОВЫ ОБУЧЕНИЯ И РАЗВИТИЯ ТЕНДЕРНЫХ СПЕЦИАЛИСТОВ</w:t>
      </w:r>
      <w:r>
        <w:rPr>
          <w:rFonts w:hint="default" w:ascii="Times New Roman" w:hAnsi="Times New Roman"/>
          <w:b w:val="0"/>
          <w:bCs w:val="0"/>
          <w:sz w:val="28"/>
          <w:szCs w:val="28"/>
          <w:lang w:val="ru-RU"/>
        </w:rPr>
        <w:t>.................................................................</w:t>
      </w: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7</w:t>
      </w:r>
    </w:p>
    <w:p w14:paraId="5AFD2EBB">
      <w:pPr>
        <w:keepNext w:val="0"/>
        <w:keepLines w:val="0"/>
        <w:pageBreakBefore w:val="0"/>
        <w:widowControl/>
        <w:numPr>
          <w:ilvl w:val="-2"/>
          <w:numId w:val="0"/>
        </w:numPr>
        <w:tabs>
          <w:tab w:val="right" w:pos="9000"/>
        </w:tabs>
        <w:kinsoku/>
        <w:wordWrap/>
        <w:overflowPunct/>
        <w:topLinePunct w:val="0"/>
        <w:autoSpaceDE/>
        <w:autoSpaceDN/>
        <w:bidi w:val="0"/>
        <w:adjustRightInd/>
        <w:snapToGrid/>
        <w:spacing w:line="276" w:lineRule="auto"/>
        <w:ind w:left="198" w:leftChars="0" w:right="200" w:rightChars="100" w:hanging="198" w:hangingChars="71"/>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1.1. Роль и значение обучения персонала в системе управления организацией....................................................................................................</w:t>
      </w: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7</w:t>
      </w:r>
    </w:p>
    <w:p w14:paraId="4CB8F8EB">
      <w:pPr>
        <w:keepNext w:val="0"/>
        <w:keepLines w:val="0"/>
        <w:pageBreakBefore w:val="0"/>
        <w:widowControl/>
        <w:numPr>
          <w:ilvl w:val="0"/>
          <w:numId w:val="0"/>
        </w:numPr>
        <w:tabs>
          <w:tab w:val="right" w:pos="9000"/>
        </w:tabs>
        <w:kinsoku/>
        <w:wordWrap/>
        <w:overflowPunct/>
        <w:topLinePunct w:val="0"/>
        <w:autoSpaceDE/>
        <w:autoSpaceDN/>
        <w:bidi w:val="0"/>
        <w:adjustRightInd/>
        <w:snapToGrid/>
        <w:spacing w:line="276" w:lineRule="auto"/>
        <w:ind w:left="198" w:leftChars="0" w:right="200" w:rightChars="100" w:hanging="198" w:hangingChars="71"/>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1.2. Специфика профессиональных компетенций  тендерных специалистов и современные подходы к их развитию .....................................................</w:t>
      </w: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15</w:t>
      </w:r>
    </w:p>
    <w:p w14:paraId="2B281192">
      <w:pPr>
        <w:keepNext w:val="0"/>
        <w:keepLines w:val="0"/>
        <w:pageBreakBefore w:val="0"/>
        <w:widowControl/>
        <w:numPr>
          <w:ilvl w:val="0"/>
          <w:numId w:val="0"/>
        </w:numPr>
        <w:tabs>
          <w:tab w:val="right" w:pos="9000"/>
        </w:tabs>
        <w:kinsoku/>
        <w:wordWrap/>
        <w:overflowPunct/>
        <w:topLinePunct w:val="0"/>
        <w:autoSpaceDE/>
        <w:autoSpaceDN/>
        <w:bidi w:val="0"/>
        <w:adjustRightInd/>
        <w:snapToGrid/>
        <w:spacing w:line="276" w:lineRule="auto"/>
        <w:ind w:left="198" w:leftChars="0" w:right="200" w:rightChars="100" w:hanging="198" w:hangingChars="71"/>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1.3. Методологические подходы к оценке эффективности обучения тендерных специалистов ..............................................................................</w:t>
      </w: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20</w:t>
      </w:r>
    </w:p>
    <w:p w14:paraId="661DD75C">
      <w:pPr>
        <w:keepNext w:val="0"/>
        <w:keepLines w:val="0"/>
        <w:pageBreakBefore w:val="0"/>
        <w:widowControl/>
        <w:numPr>
          <w:ilvl w:val="0"/>
          <w:numId w:val="0"/>
        </w:numPr>
        <w:tabs>
          <w:tab w:val="right" w:pos="9000"/>
        </w:tabs>
        <w:kinsoku/>
        <w:wordWrap/>
        <w:overflowPunct/>
        <w:topLinePunct w:val="0"/>
        <w:autoSpaceDE/>
        <w:autoSpaceDN/>
        <w:bidi w:val="0"/>
        <w:adjustRightInd/>
        <w:snapToGrid/>
        <w:spacing w:line="276" w:lineRule="auto"/>
        <w:ind w:left="198" w:leftChars="0" w:right="200" w:rightChars="100" w:hanging="198" w:hangingChars="71"/>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Выводы по первой главе..................................................................................</w:t>
      </w: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21</w:t>
      </w:r>
    </w:p>
    <w:p w14:paraId="73672D99">
      <w:pPr>
        <w:keepNext w:val="0"/>
        <w:keepLines w:val="0"/>
        <w:pageBreakBefore w:val="0"/>
        <w:widowControl/>
        <w:numPr>
          <w:ilvl w:val="0"/>
          <w:numId w:val="0"/>
        </w:numPr>
        <w:tabs>
          <w:tab w:val="right" w:pos="9000"/>
        </w:tabs>
        <w:kinsoku/>
        <w:wordWrap/>
        <w:overflowPunct/>
        <w:topLinePunct w:val="0"/>
        <w:autoSpaceDE/>
        <w:autoSpaceDN/>
        <w:bidi w:val="0"/>
        <w:adjustRightInd/>
        <w:snapToGrid/>
        <w:spacing w:line="276" w:lineRule="auto"/>
        <w:ind w:left="198" w:leftChars="0" w:right="200" w:rightChars="100" w:hanging="198" w:hangingChars="71"/>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ГЛАВА 2. АНАЛИЗ СИСТЕМЫ ОБУЧЕНИЯ И РАЗВИТИЯ ТЕНДЕРНЫХ СПЕЦИАЛИСТОВ ООО «ЛАЙФ МЕДИА».....................</w:t>
      </w: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23</w:t>
      </w:r>
    </w:p>
    <w:p w14:paraId="00A40495">
      <w:pPr>
        <w:keepNext w:val="0"/>
        <w:keepLines w:val="0"/>
        <w:pageBreakBefore w:val="0"/>
        <w:widowControl/>
        <w:numPr>
          <w:ilvl w:val="0"/>
          <w:numId w:val="0"/>
        </w:numPr>
        <w:tabs>
          <w:tab w:val="right" w:pos="9000"/>
        </w:tabs>
        <w:kinsoku/>
        <w:wordWrap/>
        <w:overflowPunct/>
        <w:topLinePunct w:val="0"/>
        <w:autoSpaceDE/>
        <w:autoSpaceDN/>
        <w:bidi w:val="0"/>
        <w:adjustRightInd/>
        <w:snapToGrid/>
        <w:spacing w:line="276" w:lineRule="auto"/>
        <w:ind w:left="198" w:leftChars="0" w:right="200" w:rightChars="100" w:hanging="198" w:hangingChars="71"/>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2.1. Общая характеристика ООО «Лайф Медиа» и структуры закупочной деятельности ................................................................................................</w:t>
      </w: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..23</w:t>
      </w:r>
      <w:r>
        <w:rPr>
          <w:rFonts w:hint="default" w:ascii="Times New Roman" w:hAnsi="Times New Roman"/>
          <w:b w:val="0"/>
          <w:bCs w:val="0"/>
          <w:sz w:val="28"/>
          <w:szCs w:val="28"/>
          <w:lang w:val="ru-RU"/>
        </w:rPr>
        <w:tab/>
      </w:r>
    </w:p>
    <w:p w14:paraId="7AB6EDAF">
      <w:pPr>
        <w:keepNext w:val="0"/>
        <w:keepLines w:val="0"/>
        <w:pageBreakBefore w:val="0"/>
        <w:widowControl/>
        <w:numPr>
          <w:ilvl w:val="0"/>
          <w:numId w:val="0"/>
        </w:numPr>
        <w:tabs>
          <w:tab w:val="right" w:pos="9000"/>
        </w:tabs>
        <w:kinsoku/>
        <w:wordWrap/>
        <w:overflowPunct/>
        <w:topLinePunct w:val="0"/>
        <w:autoSpaceDE/>
        <w:autoSpaceDN/>
        <w:bidi w:val="0"/>
        <w:adjustRightInd/>
        <w:snapToGrid/>
        <w:spacing w:line="276" w:lineRule="auto"/>
        <w:ind w:left="198" w:leftChars="0" w:right="200" w:rightChars="100" w:hanging="198" w:hangingChars="71"/>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 xml:space="preserve">2.2. Анализ системы управления персоналом ООО «Лайф Медиа» </w:t>
      </w: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..........00</w:t>
      </w:r>
    </w:p>
    <w:p w14:paraId="256C1E5F">
      <w:pPr>
        <w:keepNext w:val="0"/>
        <w:keepLines w:val="0"/>
        <w:pageBreakBefore w:val="0"/>
        <w:widowControl/>
        <w:numPr>
          <w:ilvl w:val="0"/>
          <w:numId w:val="0"/>
        </w:numPr>
        <w:tabs>
          <w:tab w:val="right" w:pos="9000"/>
        </w:tabs>
        <w:kinsoku/>
        <w:wordWrap/>
        <w:overflowPunct/>
        <w:topLinePunct w:val="0"/>
        <w:autoSpaceDE/>
        <w:autoSpaceDN/>
        <w:bidi w:val="0"/>
        <w:adjustRightInd/>
        <w:snapToGrid/>
        <w:spacing w:line="276" w:lineRule="auto"/>
        <w:ind w:left="198" w:leftChars="0" w:right="200" w:rightChars="100" w:hanging="198" w:hangingChars="71"/>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2.3 Оценка эффективности текущей системы обучения и выявление проблем ..........................................................................................................</w:t>
      </w: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00</w:t>
      </w:r>
    </w:p>
    <w:p w14:paraId="572FC407">
      <w:pPr>
        <w:keepNext w:val="0"/>
        <w:keepLines w:val="0"/>
        <w:pageBreakBefore w:val="0"/>
        <w:widowControl/>
        <w:numPr>
          <w:ilvl w:val="0"/>
          <w:numId w:val="0"/>
        </w:numPr>
        <w:tabs>
          <w:tab w:val="right" w:pos="9000"/>
        </w:tabs>
        <w:kinsoku/>
        <w:wordWrap/>
        <w:overflowPunct/>
        <w:topLinePunct w:val="0"/>
        <w:autoSpaceDE/>
        <w:autoSpaceDN/>
        <w:bidi w:val="0"/>
        <w:adjustRightInd/>
        <w:snapToGrid/>
        <w:spacing w:line="276" w:lineRule="auto"/>
        <w:ind w:left="198" w:leftChars="0" w:right="200" w:rightChars="100" w:hanging="198" w:hangingChars="71"/>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Выводы по второй главе..................................................................................</w:t>
      </w: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00</w:t>
      </w:r>
    </w:p>
    <w:p w14:paraId="0805F5AD">
      <w:pPr>
        <w:keepNext w:val="0"/>
        <w:keepLines w:val="0"/>
        <w:pageBreakBefore w:val="0"/>
        <w:widowControl/>
        <w:numPr>
          <w:ilvl w:val="0"/>
          <w:numId w:val="0"/>
        </w:numPr>
        <w:tabs>
          <w:tab w:val="right" w:pos="9000"/>
        </w:tabs>
        <w:kinsoku/>
        <w:wordWrap/>
        <w:overflowPunct/>
        <w:topLinePunct w:val="0"/>
        <w:autoSpaceDE/>
        <w:autoSpaceDN/>
        <w:bidi w:val="0"/>
        <w:adjustRightInd/>
        <w:snapToGrid/>
        <w:spacing w:line="276" w:lineRule="auto"/>
        <w:ind w:left="198" w:leftChars="0" w:right="200" w:rightChars="100" w:hanging="198" w:hangingChars="71"/>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ГЛАВА 3. СОВЕРШЕНСТВОВАНИЕ СИСТЕМЫ ОБУЧЕНИЯ И РАЗВИТИЯ ТЕНДЕРНЫХ СПЕЦИАЛИСТОВ ООО «ЛАЙФ МЕДИА».........................................................................................................</w:t>
      </w: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00</w:t>
      </w:r>
    </w:p>
    <w:p w14:paraId="7E210436">
      <w:pPr>
        <w:keepNext w:val="0"/>
        <w:keepLines w:val="0"/>
        <w:pageBreakBefore w:val="0"/>
        <w:widowControl/>
        <w:numPr>
          <w:ilvl w:val="0"/>
          <w:numId w:val="0"/>
        </w:numPr>
        <w:tabs>
          <w:tab w:val="right" w:pos="9000"/>
        </w:tabs>
        <w:kinsoku/>
        <w:wordWrap/>
        <w:overflowPunct/>
        <w:topLinePunct w:val="0"/>
        <w:autoSpaceDE/>
        <w:autoSpaceDN/>
        <w:bidi w:val="0"/>
        <w:adjustRightInd/>
        <w:snapToGrid/>
        <w:spacing w:line="276" w:lineRule="auto"/>
        <w:ind w:left="198" w:leftChars="0" w:right="200" w:rightChars="100" w:hanging="198" w:hangingChars="71"/>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3.1. Разработка комплекса мероприятий по совершенствованию системы обучения..........................................................................................................</w:t>
      </w: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 xml:space="preserve">00 </w:t>
      </w:r>
    </w:p>
    <w:p w14:paraId="112B8D19">
      <w:pPr>
        <w:keepNext w:val="0"/>
        <w:keepLines w:val="0"/>
        <w:pageBreakBefore w:val="0"/>
        <w:widowControl/>
        <w:numPr>
          <w:ilvl w:val="0"/>
          <w:numId w:val="0"/>
        </w:numPr>
        <w:tabs>
          <w:tab w:val="right" w:pos="9000"/>
        </w:tabs>
        <w:kinsoku/>
        <w:wordWrap/>
        <w:overflowPunct/>
        <w:topLinePunct w:val="0"/>
        <w:autoSpaceDE/>
        <w:autoSpaceDN/>
        <w:bidi w:val="0"/>
        <w:adjustRightInd/>
        <w:snapToGrid/>
        <w:spacing w:line="276" w:lineRule="auto"/>
        <w:ind w:left="198" w:leftChars="0" w:right="200" w:rightChars="100" w:hanging="198" w:hangingChars="71"/>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3.2. Формирование модели компетенций и внедрение программ профессиональной переподготовки.............................................................</w:t>
      </w: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 xml:space="preserve">00 </w:t>
      </w:r>
    </w:p>
    <w:p w14:paraId="533D2CCE">
      <w:pPr>
        <w:keepNext w:val="0"/>
        <w:keepLines w:val="0"/>
        <w:pageBreakBefore w:val="0"/>
        <w:widowControl/>
        <w:numPr>
          <w:ilvl w:val="0"/>
          <w:numId w:val="0"/>
        </w:numPr>
        <w:tabs>
          <w:tab w:val="right" w:pos="9000"/>
        </w:tabs>
        <w:kinsoku/>
        <w:wordWrap/>
        <w:overflowPunct/>
        <w:topLinePunct w:val="0"/>
        <w:autoSpaceDE/>
        <w:autoSpaceDN/>
        <w:bidi w:val="0"/>
        <w:adjustRightInd/>
        <w:snapToGrid/>
        <w:spacing w:line="276" w:lineRule="auto"/>
        <w:ind w:left="198" w:leftChars="0" w:right="200" w:rightChars="100" w:hanging="198" w:hangingChars="71"/>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3.3. Оценка социально-экономической эффективности предложенных мероприятий .................................................................................................</w:t>
      </w: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00</w:t>
      </w:r>
    </w:p>
    <w:p w14:paraId="7F21A654">
      <w:pPr>
        <w:keepNext w:val="0"/>
        <w:keepLines w:val="0"/>
        <w:pageBreakBefore w:val="0"/>
        <w:widowControl/>
        <w:numPr>
          <w:ilvl w:val="0"/>
          <w:numId w:val="0"/>
        </w:numPr>
        <w:tabs>
          <w:tab w:val="right" w:pos="9000"/>
        </w:tabs>
        <w:kinsoku/>
        <w:wordWrap/>
        <w:overflowPunct/>
        <w:topLinePunct w:val="0"/>
        <w:autoSpaceDE/>
        <w:autoSpaceDN/>
        <w:bidi w:val="0"/>
        <w:adjustRightInd/>
        <w:snapToGrid/>
        <w:spacing w:line="276" w:lineRule="auto"/>
        <w:ind w:left="198" w:leftChars="0" w:right="200" w:rightChars="100" w:hanging="198" w:hangingChars="71"/>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Выводы по третьей главе................................................................................</w:t>
      </w: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00</w:t>
      </w:r>
    </w:p>
    <w:p w14:paraId="2060470F">
      <w:pPr>
        <w:keepNext w:val="0"/>
        <w:keepLines w:val="0"/>
        <w:pageBreakBefore w:val="0"/>
        <w:widowControl/>
        <w:numPr>
          <w:ilvl w:val="0"/>
          <w:numId w:val="0"/>
        </w:numPr>
        <w:tabs>
          <w:tab w:val="right" w:pos="9000"/>
        </w:tabs>
        <w:kinsoku/>
        <w:wordWrap/>
        <w:overflowPunct/>
        <w:topLinePunct w:val="0"/>
        <w:autoSpaceDE/>
        <w:autoSpaceDN/>
        <w:bidi w:val="0"/>
        <w:adjustRightInd/>
        <w:snapToGrid/>
        <w:spacing w:line="276" w:lineRule="auto"/>
        <w:ind w:left="198" w:leftChars="0" w:right="200" w:rightChars="100" w:hanging="198" w:hangingChars="71"/>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ЗАКЛЮЧЕНИЕ...............................................................................................</w:t>
      </w: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00</w:t>
      </w:r>
    </w:p>
    <w:p w14:paraId="001C0BCD">
      <w:pPr>
        <w:keepNext w:val="0"/>
        <w:keepLines w:val="0"/>
        <w:pageBreakBefore w:val="0"/>
        <w:widowControl/>
        <w:numPr>
          <w:ilvl w:val="0"/>
          <w:numId w:val="0"/>
        </w:numPr>
        <w:tabs>
          <w:tab w:val="right" w:pos="9000"/>
        </w:tabs>
        <w:kinsoku/>
        <w:wordWrap/>
        <w:overflowPunct/>
        <w:topLinePunct w:val="0"/>
        <w:autoSpaceDE/>
        <w:autoSpaceDN/>
        <w:bidi w:val="0"/>
        <w:adjustRightInd/>
        <w:snapToGrid/>
        <w:spacing w:line="276" w:lineRule="auto"/>
        <w:ind w:left="198" w:leftChars="0" w:right="200" w:rightChars="100" w:hanging="198" w:hangingChars="71"/>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Список используемой литературы.................................................................</w:t>
      </w: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00</w:t>
      </w:r>
    </w:p>
    <w:p w14:paraId="4DC1787F">
      <w:pPr>
        <w:keepNext w:val="0"/>
        <w:keepLines w:val="0"/>
        <w:pageBreakBefore w:val="0"/>
        <w:widowControl/>
        <w:numPr>
          <w:ilvl w:val="0"/>
          <w:numId w:val="0"/>
        </w:numPr>
        <w:tabs>
          <w:tab w:val="right" w:pos="9000"/>
        </w:tabs>
        <w:kinsoku/>
        <w:wordWrap/>
        <w:overflowPunct/>
        <w:topLinePunct w:val="0"/>
        <w:autoSpaceDE/>
        <w:autoSpaceDN/>
        <w:bidi w:val="0"/>
        <w:adjustRightInd/>
        <w:snapToGrid/>
        <w:spacing w:line="276" w:lineRule="auto"/>
        <w:ind w:left="198" w:leftChars="0" w:right="200" w:rightChars="100" w:hanging="198" w:hangingChars="71"/>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ПРИЛОЖЕНИЯ...............................................................................................</w:t>
      </w: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00</w:t>
      </w:r>
    </w:p>
    <w:p w14:paraId="0B9CAEF4">
      <w:pPr>
        <w:keepNext w:val="0"/>
        <w:keepLines w:val="0"/>
        <w:pageBreakBefore w:val="0"/>
        <w:widowControl/>
        <w:kinsoku/>
        <w:wordWrap/>
        <w:overflowPunct/>
        <w:topLinePunct w:val="0"/>
        <w:autoSpaceDE/>
        <w:autoSpaceDN/>
        <w:bidi w:val="0"/>
        <w:adjustRightInd/>
        <w:snapToGrid/>
        <w:spacing w:line="276" w:lineRule="auto"/>
        <w:ind w:right="200" w:rightChars="100" w:firstLine="0" w:firstLineChars="0"/>
        <w:jc w:val="both"/>
        <w:textAlignment w:val="auto"/>
        <w:rPr>
          <w:rFonts w:hint="default" w:ascii="Times New Roman" w:hAnsi="Times New Roman"/>
          <w:b w:val="0"/>
          <w:bCs w:val="0"/>
          <w:sz w:val="28"/>
          <w:szCs w:val="28"/>
          <w:lang w:val="ru-RU"/>
        </w:rPr>
      </w:pPr>
    </w:p>
    <w:p w14:paraId="0A21C685">
      <w:pPr>
        <w:keepNext w:val="0"/>
        <w:keepLines w:val="0"/>
        <w:pageBreakBefore w:val="0"/>
        <w:widowControl/>
        <w:kinsoku/>
        <w:wordWrap/>
        <w:overflowPunct/>
        <w:topLinePunct w:val="0"/>
        <w:autoSpaceDE/>
        <w:autoSpaceDN/>
        <w:bidi w:val="0"/>
        <w:adjustRightInd/>
        <w:snapToGrid/>
        <w:spacing w:line="240" w:lineRule="auto"/>
        <w:ind w:right="200" w:rightChars="100" w:firstLine="351" w:firstLineChars="125"/>
        <w:jc w:val="both"/>
        <w:textAlignment w:val="auto"/>
        <w:rPr>
          <w:rFonts w:hint="default" w:ascii="Times New Roman" w:hAnsi="Times New Roman"/>
          <w:b/>
          <w:bCs/>
          <w:sz w:val="28"/>
          <w:szCs w:val="28"/>
          <w:lang w:val="ru-RU"/>
        </w:rPr>
      </w:pPr>
    </w:p>
    <w:p w14:paraId="62E29E97">
      <w:pPr>
        <w:keepNext w:val="0"/>
        <w:keepLines w:val="0"/>
        <w:pageBreakBefore w:val="0"/>
        <w:widowControl/>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sz w:val="28"/>
          <w:szCs w:val="28"/>
          <w:lang w:val="ru-RU"/>
        </w:rPr>
      </w:pPr>
      <w:r>
        <w:rPr>
          <w:rFonts w:hint="default" w:ascii="Times New Roman" w:hAnsi="Times New Roman"/>
          <w:b/>
          <w:bCs/>
          <w:sz w:val="28"/>
          <w:szCs w:val="28"/>
          <w:lang w:val="ru-RU"/>
        </w:rPr>
        <w:br w:type="page"/>
      </w:r>
      <w:r>
        <w:rPr>
          <w:rFonts w:hint="default" w:ascii="Times New Roman" w:hAnsi="Times New Roman"/>
          <w:b/>
          <w:bCs/>
          <w:sz w:val="28"/>
          <w:szCs w:val="28"/>
          <w:lang w:val="ru-RU"/>
        </w:rPr>
        <w:t>ВВЕДЕНИЕ</w:t>
      </w:r>
    </w:p>
    <w:p w14:paraId="33DBB898">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современной экономической среде закупочная деятельность является важным инструментом как государственных, так и коммерческих структур. От компетентности тендерных специалистов зависит успех и прибыльность, а также конкурентное преимущество компании. Ошибки при подготовке заявок, некорректная оценка рентабельности, нарушение законодательных требований могут повлечь за собой не только упущение контракта, но и внесение предприятия в реестр недобросовестных поставщиков.</w:t>
      </w:r>
    </w:p>
    <w:p w14:paraId="5031145B">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Актуальность темы обусловлена проблемой низкой эффективности участия в тендерах. Несмотря на опыт в закупочной деятельности, компания  ООО «Лайф Медиа» теряет контракты ещё на этапе оформления, это подчёркивает необходимость развития и обучения специалистов.  Вложения в компетенции сотрудников в данном случае  –  эффективный путь к повышению качества закупочных процессов и экономии бюджетных средств.</w:t>
      </w:r>
    </w:p>
    <w:p w14:paraId="5A422A67">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Тема: Совершенствование системы обучения и развития тендерных специалистов (на примере ООО «Лайф Медиа»)</w:t>
      </w:r>
    </w:p>
    <w:p w14:paraId="3A4EF623">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Объект исследования: система управления персоналом</w:t>
      </w:r>
    </w:p>
    <w:p w14:paraId="743B97B5">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Предмет исследования: система обучения и развития тендерных специалистов в ООО «Лайф Медиа»</w:t>
      </w:r>
    </w:p>
    <w:p w14:paraId="4CFA1041">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Цель: разработать рекомендации по совершенствованию системы обучения и развития тендерных специалистов ООО «Лайф Медиа» для повышения закупочной деятельности компании</w:t>
      </w:r>
    </w:p>
    <w:p w14:paraId="21CCC66E">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Задачи:</w:t>
      </w:r>
    </w:p>
    <w:p w14:paraId="2EE54BDB">
      <w:pPr>
        <w:keepNext w:val="0"/>
        <w:keepLines w:val="0"/>
        <w:pageBreakBefore w:val="0"/>
        <w:widowControl/>
        <w:numPr>
          <w:ilvl w:val="0"/>
          <w:numId w:val="1"/>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Изучить и раскрыть теоретические аспекты обучения персонала в системе управления организацией и особенности развития тендерных специалистов</w:t>
      </w:r>
    </w:p>
    <w:p w14:paraId="46A9E48C">
      <w:pPr>
        <w:keepNext w:val="0"/>
        <w:keepLines w:val="0"/>
        <w:pageBreakBefore w:val="0"/>
        <w:widowControl/>
        <w:numPr>
          <w:ilvl w:val="0"/>
          <w:numId w:val="1"/>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Провести анализ существующей системы обучения и развития тендерных специалистов в ООО «Лайф Медиа»</w:t>
      </w:r>
    </w:p>
    <w:p w14:paraId="029F624A">
      <w:pPr>
        <w:keepNext w:val="0"/>
        <w:keepLines w:val="0"/>
        <w:pageBreakBefore w:val="0"/>
        <w:widowControl/>
        <w:numPr>
          <w:ilvl w:val="0"/>
          <w:numId w:val="1"/>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Оценить эффективность действующей системы обучения и выявить ключевые проблемы и причины их возникновения</w:t>
      </w:r>
    </w:p>
    <w:p w14:paraId="59C6AA57">
      <w:pPr>
        <w:keepNext w:val="0"/>
        <w:keepLines w:val="0"/>
        <w:pageBreakBefore w:val="0"/>
        <w:widowControl/>
        <w:numPr>
          <w:ilvl w:val="0"/>
          <w:numId w:val="1"/>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Разработать комплекс мероприятий по совершенствованию процесса обучения тендерных специалистов</w:t>
      </w:r>
    </w:p>
    <w:p w14:paraId="5FA1D3C6">
      <w:pPr>
        <w:keepNext w:val="0"/>
        <w:keepLines w:val="0"/>
        <w:pageBreakBefore w:val="0"/>
        <w:widowControl/>
        <w:numPr>
          <w:ilvl w:val="0"/>
          <w:numId w:val="1"/>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 xml:space="preserve">Предложить инструменты для оценки компетенций и программы профессиональной переподготовки для тендерного отдела </w:t>
      </w:r>
    </w:p>
    <w:p w14:paraId="20E4B7CF">
      <w:pPr>
        <w:keepNext w:val="0"/>
        <w:keepLines w:val="0"/>
        <w:pageBreakBefore w:val="0"/>
        <w:widowControl/>
        <w:numPr>
          <w:ilvl w:val="0"/>
          <w:numId w:val="1"/>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Оценить социально-экономическую эффективность предложенных мероприятий</w:t>
      </w:r>
    </w:p>
    <w:p w14:paraId="4A6373A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 xml:space="preserve">Методы исследования: </w:t>
      </w:r>
    </w:p>
    <w:p w14:paraId="3CAB7680">
      <w:pPr>
        <w:keepNext w:val="0"/>
        <w:keepLines w:val="0"/>
        <w:pageBreakBefore w:val="0"/>
        <w:widowControl/>
        <w:numPr>
          <w:ilvl w:val="0"/>
          <w:numId w:val="2"/>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Теоретические методы: сопоставление и сравнительный анализ научной литературы, обобщение и систематизация нормативно-правовых документов,  классификация подходов к оценке эффективности системы обучения</w:t>
      </w:r>
    </w:p>
    <w:p w14:paraId="01A85533">
      <w:pPr>
        <w:keepNext w:val="0"/>
        <w:keepLines w:val="0"/>
        <w:pageBreakBefore w:val="0"/>
        <w:widowControl/>
        <w:numPr>
          <w:ilvl w:val="0"/>
          <w:numId w:val="2"/>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 xml:space="preserve">Эмпирические методы: анализ внутренней документации, анкетирование и интервьюирование сотрудников, </w:t>
      </w:r>
      <w:r>
        <w:rPr>
          <w:rFonts w:hint="default" w:ascii="Times New Roman" w:hAnsi="Times New Roman"/>
          <w:sz w:val="28"/>
          <w:szCs w:val="28"/>
          <w:lang w:val="en-US"/>
        </w:rPr>
        <w:t>SWOT</w:t>
      </w:r>
      <w:r>
        <w:rPr>
          <w:rFonts w:hint="default" w:ascii="Times New Roman" w:hAnsi="Times New Roman"/>
          <w:sz w:val="28"/>
          <w:szCs w:val="28"/>
          <w:lang w:val="ru-RU"/>
        </w:rPr>
        <w:t>-анализ системы обучения, анализ коэффициентов для оценки результативности закупочной деятельности</w:t>
      </w:r>
    </w:p>
    <w:p w14:paraId="28B905A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Информационная база для исследования:</w:t>
      </w:r>
    </w:p>
    <w:p w14:paraId="46B0950B">
      <w:pPr>
        <w:keepNext w:val="0"/>
        <w:keepLines w:val="0"/>
        <w:pageBreakBefore w:val="0"/>
        <w:widowControl/>
        <w:numPr>
          <w:ilvl w:val="0"/>
          <w:numId w:val="3"/>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Нормативно-правовые акты РФ (№44-ФЗ, №223-ФЗ, профессиональные стандарты)</w:t>
      </w:r>
    </w:p>
    <w:p w14:paraId="7177BEFA">
      <w:pPr>
        <w:keepNext w:val="0"/>
        <w:keepLines w:val="0"/>
        <w:pageBreakBefore w:val="0"/>
        <w:widowControl/>
        <w:numPr>
          <w:ilvl w:val="0"/>
          <w:numId w:val="3"/>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Методические пособия и учебники по управлению персоналом</w:t>
      </w:r>
    </w:p>
    <w:p w14:paraId="73A40B21">
      <w:pPr>
        <w:keepNext w:val="0"/>
        <w:keepLines w:val="0"/>
        <w:pageBreakBefore w:val="0"/>
        <w:widowControl/>
        <w:numPr>
          <w:ilvl w:val="0"/>
          <w:numId w:val="3"/>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Публикации по вопросам закупочной деятельности</w:t>
      </w:r>
    </w:p>
    <w:p w14:paraId="09B7DCAE">
      <w:pPr>
        <w:keepNext w:val="0"/>
        <w:keepLines w:val="0"/>
        <w:pageBreakBefore w:val="0"/>
        <w:widowControl/>
        <w:numPr>
          <w:ilvl w:val="0"/>
          <w:numId w:val="3"/>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Внутренняя документация и отчётность ООО «Лайф Медиа»</w:t>
      </w:r>
    </w:p>
    <w:p w14:paraId="53906F64">
      <w:pPr>
        <w:keepNext w:val="0"/>
        <w:keepLines w:val="0"/>
        <w:pageBreakBefore w:val="0"/>
        <w:widowControl/>
        <w:numPr>
          <w:ilvl w:val="0"/>
          <w:numId w:val="3"/>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Материалы электронных справочно-правовых систем «КонсультантПлюс» и «Гарант»</w:t>
      </w:r>
    </w:p>
    <w:p w14:paraId="1E0A47F5">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sz w:val="28"/>
          <w:szCs w:val="28"/>
          <w:lang w:val="ru-RU"/>
        </w:rPr>
      </w:pPr>
    </w:p>
    <w:p w14:paraId="51E288D3">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p>
    <w:p w14:paraId="4939D7E9">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p>
    <w:p w14:paraId="23C8ACE9">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p>
    <w:p w14:paraId="4F37882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sz w:val="28"/>
          <w:szCs w:val="28"/>
          <w:lang w:val="ru-RU"/>
        </w:rPr>
      </w:pPr>
    </w:p>
    <w:p w14:paraId="24B9F265">
      <w:pPr>
        <w:keepNext w:val="0"/>
        <w:keepLines w:val="0"/>
        <w:pageBreakBefore w:val="0"/>
        <w:widowControl/>
        <w:kinsoku/>
        <w:wordWrap/>
        <w:overflowPunct/>
        <w:topLinePunct w:val="0"/>
        <w:autoSpaceDE/>
        <w:autoSpaceDN/>
        <w:bidi w:val="0"/>
        <w:adjustRightInd/>
        <w:snapToGrid/>
        <w:ind w:firstLine="351" w:firstLineChars="125"/>
        <w:jc w:val="both"/>
        <w:textAlignment w:val="auto"/>
        <w:rPr>
          <w:rFonts w:hint="default" w:ascii="Times New Roman" w:hAnsi="Times New Roman"/>
          <w:b/>
          <w:bCs/>
          <w:sz w:val="28"/>
          <w:szCs w:val="28"/>
        </w:rPr>
      </w:pPr>
      <w:r>
        <w:rPr>
          <w:rFonts w:hint="default" w:ascii="Times New Roman" w:hAnsi="Times New Roman"/>
          <w:b/>
          <w:bCs/>
          <w:sz w:val="28"/>
          <w:szCs w:val="28"/>
          <w:lang w:val="ru-RU"/>
        </w:rPr>
        <w:t>ГЛАВА 1</w:t>
      </w:r>
      <w:r>
        <w:rPr>
          <w:rFonts w:hint="default" w:ascii="Times New Roman" w:hAnsi="Times New Roman"/>
          <w:b/>
          <w:bCs/>
          <w:sz w:val="28"/>
          <w:szCs w:val="28"/>
        </w:rPr>
        <w:t>. ТЕОРЕТИЧЕСКИЕ ОСНОВЫ ОБУЧЕНИЯ И РАЗВИТИЯ ТЕНДЕРНЫХ СПЕЦИАЛИСТОВ</w:t>
      </w:r>
    </w:p>
    <w:p w14:paraId="79BBE093">
      <w:pPr>
        <w:keepNext w:val="0"/>
        <w:keepLines w:val="0"/>
        <w:pageBreakBefore w:val="0"/>
        <w:kinsoku/>
        <w:wordWrap/>
        <w:overflowPunct/>
        <w:topLinePunct w:val="0"/>
        <w:autoSpaceDE/>
        <w:autoSpaceDN/>
        <w:bidi w:val="0"/>
        <w:adjustRightInd/>
        <w:snapToGrid/>
        <w:ind w:firstLine="351" w:firstLineChars="125"/>
        <w:jc w:val="center"/>
        <w:textAlignment w:val="auto"/>
        <w:rPr>
          <w:rFonts w:hint="default" w:ascii="Times New Roman" w:hAnsi="Times New Roman"/>
          <w:b/>
          <w:bCs/>
          <w:sz w:val="28"/>
          <w:szCs w:val="28"/>
        </w:rPr>
      </w:pPr>
    </w:p>
    <w:p w14:paraId="3F44201F">
      <w:pPr>
        <w:keepNext w:val="0"/>
        <w:keepLines w:val="0"/>
        <w:pageBreakBefore w:val="0"/>
        <w:numPr>
          <w:ilvl w:val="0"/>
          <w:numId w:val="0"/>
        </w:numPr>
        <w:kinsoku/>
        <w:wordWrap/>
        <w:overflowPunct/>
        <w:topLinePunct w:val="0"/>
        <w:autoSpaceDE/>
        <w:autoSpaceDN/>
        <w:bidi w:val="0"/>
        <w:adjustRightInd/>
        <w:snapToGrid/>
        <w:ind w:leftChars="125"/>
        <w:jc w:val="both"/>
        <w:textAlignment w:val="auto"/>
        <w:rPr>
          <w:rFonts w:hint="default" w:ascii="Times New Roman" w:hAnsi="Times New Roman"/>
          <w:b/>
          <w:bCs/>
          <w:sz w:val="28"/>
          <w:szCs w:val="28"/>
          <w:lang w:val="ru-RU"/>
        </w:rPr>
      </w:pPr>
      <w:r>
        <w:rPr>
          <w:rFonts w:hint="default" w:ascii="Times New Roman" w:hAnsi="Times New Roman"/>
          <w:b/>
          <w:bCs/>
          <w:sz w:val="28"/>
          <w:szCs w:val="28"/>
          <w:lang w:val="ru-RU"/>
        </w:rPr>
        <w:t xml:space="preserve">1.2. </w:t>
      </w:r>
      <w:r>
        <w:rPr>
          <w:rFonts w:hint="default" w:ascii="Times New Roman" w:hAnsi="Times New Roman"/>
          <w:b/>
          <w:bCs/>
          <w:sz w:val="28"/>
          <w:szCs w:val="28"/>
        </w:rPr>
        <w:t>Роль и значение обучения персонала в системе управления организацией</w:t>
      </w:r>
      <w:r>
        <w:rPr>
          <w:rFonts w:hint="default" w:ascii="Times New Roman" w:hAnsi="Times New Roman"/>
          <w:b/>
          <w:bCs/>
          <w:sz w:val="28"/>
          <w:szCs w:val="28"/>
          <w:lang w:val="ru-RU"/>
        </w:rPr>
        <w:t>, современные тенденции</w:t>
      </w:r>
    </w:p>
    <w:p w14:paraId="58E1DC62">
      <w:pPr>
        <w:keepNext w:val="0"/>
        <w:keepLines w:val="0"/>
        <w:pageBreakBefore w:val="0"/>
        <w:numPr>
          <w:ilvl w:val="0"/>
          <w:numId w:val="0"/>
        </w:numPr>
        <w:kinsoku/>
        <w:wordWrap/>
        <w:overflowPunct/>
        <w:topLinePunct w:val="0"/>
        <w:autoSpaceDE/>
        <w:autoSpaceDN/>
        <w:bidi w:val="0"/>
        <w:adjustRightInd/>
        <w:snapToGrid/>
        <w:ind w:leftChars="0" w:firstLine="350" w:firstLineChars="125"/>
        <w:jc w:val="both"/>
        <w:textAlignment w:val="auto"/>
        <w:rPr>
          <w:rFonts w:hint="default" w:ascii="Times New Roman" w:hAnsi="Times New Roman"/>
          <w:sz w:val="28"/>
          <w:szCs w:val="28"/>
          <w:lang w:val="ru-RU"/>
        </w:rPr>
      </w:pPr>
    </w:p>
    <w:p w14:paraId="5ABB614F">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 xml:space="preserve">В современном экономическом мире, характеризующимся постоянными изменениями внешней среды, стремительным развитием технологий и ростом конкуренции, персонал становятся ключевым стратегическим ресурсом организации. Поэтому система обучения и развития сотрудников становится не просто вспомогательной функцией отдела кадров, а перерастает в один из главных элементов управления, который напрямую оказывает влияние на успех, эффективность и конкурентоспособность бизнеса на рынке </w:t>
      </w:r>
      <w:r>
        <w:rPr>
          <w:rFonts w:hint="default" w:ascii="Times New Roman" w:hAnsi="Times New Roman"/>
          <w:sz w:val="28"/>
          <w:szCs w:val="28"/>
          <w:lang w:val="en-US"/>
        </w:rPr>
        <w:t>[</w:t>
      </w:r>
      <w:r>
        <w:rPr>
          <w:rFonts w:hint="default" w:ascii="Times New Roman" w:hAnsi="Times New Roman"/>
          <w:sz w:val="28"/>
          <w:szCs w:val="28"/>
          <w:lang w:val="ru-RU"/>
        </w:rPr>
        <w:t>2, с. 15</w:t>
      </w:r>
      <w:r>
        <w:rPr>
          <w:rFonts w:hint="default" w:ascii="Times New Roman" w:hAnsi="Times New Roman"/>
          <w:sz w:val="28"/>
          <w:szCs w:val="28"/>
          <w:lang w:val="en-US"/>
        </w:rPr>
        <w:t>]</w:t>
      </w:r>
      <w:r>
        <w:rPr>
          <w:rFonts w:hint="default" w:ascii="Times New Roman" w:hAnsi="Times New Roman"/>
          <w:sz w:val="28"/>
          <w:szCs w:val="28"/>
          <w:lang w:val="ru-RU"/>
        </w:rPr>
        <w:t>.</w:t>
      </w:r>
    </w:p>
    <w:p w14:paraId="56356A65">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 xml:space="preserve">В общем, обучение и развитие персонала – это стратегически спланированный и последовательно реализуемый процесс, направленный на получение новых знаний и умений для  формирования актуального набора компетенций. Тем не менее в контексте управления организацией это понятие имеет более весомое стратегическое значение. Современные исследователи в области административного управления справедливо отмечают, что руководство должно воспринимать обучение и профессиональное развитие как целенаправленный управленческий цикл образовательных мероприятий, а его основная функция – развивать необходимые компетенции у персонала, что критически важно для эффективной реализации стратегических задач компании </w:t>
      </w:r>
      <w:r>
        <w:rPr>
          <w:rFonts w:hint="default" w:ascii="Times New Roman" w:hAnsi="Times New Roman"/>
          <w:sz w:val="28"/>
          <w:szCs w:val="28"/>
          <w:lang w:val="en-US"/>
        </w:rPr>
        <w:t>[</w:t>
      </w:r>
      <w:r>
        <w:rPr>
          <w:rFonts w:hint="default" w:ascii="Times New Roman" w:hAnsi="Times New Roman"/>
          <w:sz w:val="28"/>
          <w:szCs w:val="28"/>
          <w:lang w:val="ru-RU"/>
        </w:rPr>
        <w:t>1, с.48</w:t>
      </w:r>
      <w:r>
        <w:rPr>
          <w:rFonts w:hint="default" w:ascii="Times New Roman" w:hAnsi="Times New Roman"/>
          <w:sz w:val="28"/>
          <w:szCs w:val="28"/>
          <w:lang w:val="en-US"/>
        </w:rPr>
        <w:t>]</w:t>
      </w:r>
      <w:r>
        <w:rPr>
          <w:rFonts w:hint="default" w:ascii="Times New Roman" w:hAnsi="Times New Roman"/>
          <w:sz w:val="28"/>
          <w:szCs w:val="28"/>
          <w:lang w:val="ru-RU"/>
        </w:rPr>
        <w:t>. Данный процесс охватывает планирование, организацию, проведение и контроль учебных мероприятий, которые позволяют персоналу приобретать новые знания и навыки.</w:t>
      </w:r>
    </w:p>
    <w:p w14:paraId="4D94CDDD">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В научной литературе существуют различные подходы к пониманию обучения сотрудников компаний:</w:t>
      </w:r>
    </w:p>
    <w:p w14:paraId="1424F207">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 xml:space="preserve">В контексте управления персоналом, Гайфуллина М.М., Низамова Г.З. и Маков В.М. В. Р. трактуют обучение как комплекс мер, направленных на профессиональный рост и повышение компетентности сотрудников </w:t>
      </w:r>
      <w:r>
        <w:rPr>
          <w:rFonts w:hint="default" w:ascii="Times New Roman" w:hAnsi="Times New Roman"/>
          <w:sz w:val="28"/>
          <w:szCs w:val="28"/>
          <w:lang w:val="en-US"/>
        </w:rPr>
        <w:t>[</w:t>
      </w:r>
      <w:r>
        <w:rPr>
          <w:rFonts w:hint="default" w:ascii="Times New Roman" w:hAnsi="Times New Roman"/>
          <w:sz w:val="28"/>
          <w:szCs w:val="28"/>
          <w:lang w:val="ru-RU"/>
        </w:rPr>
        <w:t>4, с.7</w:t>
      </w:r>
      <w:r>
        <w:rPr>
          <w:rFonts w:hint="default" w:ascii="Times New Roman" w:hAnsi="Times New Roman"/>
          <w:sz w:val="28"/>
          <w:szCs w:val="28"/>
          <w:lang w:val="en-US"/>
        </w:rPr>
        <w:t>]</w:t>
      </w:r>
      <w:r>
        <w:rPr>
          <w:rFonts w:hint="default" w:ascii="Times New Roman" w:hAnsi="Times New Roman"/>
          <w:sz w:val="28"/>
          <w:szCs w:val="28"/>
          <w:lang w:val="ru-RU"/>
        </w:rPr>
        <w:t xml:space="preserve">. Тонких Н. В. видит в обучении фундаментальный процесс развития личности, охватывающий знания, навыки, способности, поведение и отношение </w:t>
      </w:r>
      <w:r>
        <w:rPr>
          <w:rFonts w:hint="default" w:ascii="Times New Roman" w:hAnsi="Times New Roman"/>
          <w:sz w:val="28"/>
          <w:szCs w:val="28"/>
          <w:lang w:val="en-US"/>
        </w:rPr>
        <w:t>[</w:t>
      </w:r>
      <w:r>
        <w:rPr>
          <w:rFonts w:hint="default" w:ascii="Times New Roman" w:hAnsi="Times New Roman"/>
          <w:sz w:val="28"/>
          <w:szCs w:val="28"/>
          <w:lang w:val="ru-RU"/>
        </w:rPr>
        <w:t>3, с.86</w:t>
      </w:r>
      <w:r>
        <w:rPr>
          <w:rFonts w:hint="default" w:ascii="Times New Roman" w:hAnsi="Times New Roman"/>
          <w:sz w:val="28"/>
          <w:szCs w:val="28"/>
          <w:lang w:val="en-US"/>
        </w:rPr>
        <w:t>]</w:t>
      </w:r>
      <w:r>
        <w:rPr>
          <w:rFonts w:hint="default" w:ascii="Times New Roman" w:hAnsi="Times New Roman"/>
          <w:sz w:val="28"/>
          <w:szCs w:val="28"/>
          <w:lang w:val="ru-RU"/>
        </w:rPr>
        <w:t xml:space="preserve">. Попов А. А. и Мальцева С. М. выделяют обучение персонала как ключевой элемент управления в коммерческих организациях, определяя его как организованный процесс формирования у сотрудников знаний и навыков для достижения конкретных результатов и повышения общей эффективности </w:t>
      </w:r>
      <w:r>
        <w:rPr>
          <w:rFonts w:hint="default" w:ascii="Times New Roman" w:hAnsi="Times New Roman"/>
          <w:sz w:val="28"/>
          <w:szCs w:val="28"/>
          <w:lang w:val="en-US"/>
        </w:rPr>
        <w:t>[</w:t>
      </w:r>
      <w:r>
        <w:rPr>
          <w:rFonts w:hint="default" w:ascii="Times New Roman" w:hAnsi="Times New Roman"/>
          <w:sz w:val="28"/>
          <w:szCs w:val="28"/>
          <w:lang w:val="ru-RU"/>
        </w:rPr>
        <w:t>6, с.25</w:t>
      </w:r>
      <w:r>
        <w:rPr>
          <w:rFonts w:hint="default" w:ascii="Times New Roman" w:hAnsi="Times New Roman"/>
          <w:sz w:val="28"/>
          <w:szCs w:val="28"/>
          <w:lang w:val="en-US"/>
        </w:rPr>
        <w:t>]</w:t>
      </w:r>
      <w:r>
        <w:rPr>
          <w:rFonts w:hint="default" w:ascii="Times New Roman" w:hAnsi="Times New Roman"/>
          <w:sz w:val="28"/>
          <w:szCs w:val="28"/>
          <w:lang w:val="ru-RU"/>
        </w:rPr>
        <w:t xml:space="preserve">. Плетенева О. Г. акцентирует внимание на управленческом аспекте, связывая обучение с осознанием важности развития персонала и сокращения оттока кадров </w:t>
      </w:r>
      <w:r>
        <w:rPr>
          <w:rFonts w:hint="default" w:ascii="Times New Roman" w:hAnsi="Times New Roman"/>
          <w:sz w:val="28"/>
          <w:szCs w:val="28"/>
          <w:lang w:val="en-US"/>
        </w:rPr>
        <w:t>[</w:t>
      </w:r>
      <w:r>
        <w:rPr>
          <w:rFonts w:hint="default" w:ascii="Times New Roman" w:hAnsi="Times New Roman"/>
          <w:sz w:val="28"/>
          <w:szCs w:val="28"/>
          <w:lang w:val="ru-RU"/>
        </w:rPr>
        <w:t>5, с.14</w:t>
      </w:r>
      <w:r>
        <w:rPr>
          <w:rFonts w:hint="default" w:ascii="Times New Roman" w:hAnsi="Times New Roman"/>
          <w:sz w:val="28"/>
          <w:szCs w:val="28"/>
          <w:lang w:val="en-US"/>
        </w:rPr>
        <w:t>]</w:t>
      </w:r>
      <w:r>
        <w:rPr>
          <w:rFonts w:hint="default" w:ascii="Times New Roman" w:hAnsi="Times New Roman"/>
          <w:sz w:val="28"/>
          <w:szCs w:val="28"/>
          <w:lang w:val="ru-RU"/>
        </w:rPr>
        <w:t>.</w:t>
      </w:r>
    </w:p>
    <w:p w14:paraId="52A5E22D">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В наши дни обучение персонала выполняет целый спектр управленческих функций. Оно призвано ликвидировать несоответствие между имеющимися у сотрудников знаниями и навыками и постоянно меняющимися требованиями рабочих мест и бизнес-процессов. Помимо этого, обучение является эффективным способом передачи корпоративных ценностей и норм, что укрепляет культуру компании и способствует единству коллектива. Важно отметить, что хорошо продуманные образовательные программы напрямую способствуют достижению целей предприятия, обеспечивая сотрудников актуальными компетенциями. Наконец, система обучения закладывает основу для планирования карьерного пути и формирования кадрового резерва, целенаправленно подготавливая сотрудников к продвижению. В итоге, обучение становится мостом между текущей деятельностью работника и его будущим ростом в организации</w:t>
      </w:r>
      <w:r>
        <w:rPr>
          <w:rFonts w:hint="default" w:ascii="Times New Roman" w:hAnsi="Times New Roman"/>
          <w:sz w:val="28"/>
          <w:szCs w:val="28"/>
          <w:lang w:val="en-US"/>
        </w:rPr>
        <w:t xml:space="preserve"> [</w:t>
      </w:r>
      <w:r>
        <w:rPr>
          <w:rFonts w:hint="default" w:ascii="Times New Roman" w:hAnsi="Times New Roman"/>
          <w:sz w:val="28"/>
          <w:szCs w:val="28"/>
          <w:lang w:val="ru-RU"/>
        </w:rPr>
        <w:t>4, с.9</w:t>
      </w:r>
      <w:r>
        <w:rPr>
          <w:rFonts w:hint="default" w:ascii="Times New Roman" w:hAnsi="Times New Roman"/>
          <w:sz w:val="28"/>
          <w:szCs w:val="28"/>
          <w:lang w:val="en-US"/>
        </w:rPr>
        <w:t>]</w:t>
      </w:r>
      <w:r>
        <w:rPr>
          <w:rFonts w:hint="default" w:ascii="Times New Roman" w:hAnsi="Times New Roman"/>
          <w:sz w:val="28"/>
          <w:szCs w:val="28"/>
          <w:lang w:val="ru-RU"/>
        </w:rPr>
        <w:t>.</w:t>
      </w:r>
    </w:p>
    <w:p w14:paraId="6ABF0346">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Система обучения является инструментом реализации кадровой политики предприятия и обеспечивает:</w:t>
      </w:r>
    </w:p>
    <w:p w14:paraId="68D0483A">
      <w:pPr>
        <w:keepNext w:val="0"/>
        <w:keepLines w:val="0"/>
        <w:pageBreakBefore w:val="0"/>
        <w:numPr>
          <w:ilvl w:val="0"/>
          <w:numId w:val="4"/>
        </w:numPr>
        <w:kinsoku/>
        <w:wordWrap/>
        <w:overflowPunct/>
        <w:topLinePunct w:val="0"/>
        <w:autoSpaceDE/>
        <w:autoSpaceDN/>
        <w:bidi w:val="0"/>
        <w:adjustRightInd/>
        <w:snapToGrid/>
        <w:spacing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подготовку работников к выполнению новых функций;</w:t>
      </w:r>
    </w:p>
    <w:p w14:paraId="4696F0BE">
      <w:pPr>
        <w:keepNext w:val="0"/>
        <w:keepLines w:val="0"/>
        <w:pageBreakBefore w:val="0"/>
        <w:numPr>
          <w:ilvl w:val="0"/>
          <w:numId w:val="4"/>
        </w:numPr>
        <w:kinsoku/>
        <w:wordWrap/>
        <w:overflowPunct/>
        <w:topLinePunct w:val="0"/>
        <w:autoSpaceDE/>
        <w:autoSpaceDN/>
        <w:bidi w:val="0"/>
        <w:adjustRightInd/>
        <w:snapToGrid/>
        <w:spacing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повышение их квалификации в условиях технологических и организационных изменений;</w:t>
      </w:r>
    </w:p>
    <w:p w14:paraId="337FC31D">
      <w:pPr>
        <w:keepNext w:val="0"/>
        <w:keepLines w:val="0"/>
        <w:pageBreakBefore w:val="0"/>
        <w:numPr>
          <w:ilvl w:val="0"/>
          <w:numId w:val="4"/>
        </w:numPr>
        <w:kinsoku/>
        <w:wordWrap/>
        <w:overflowPunct/>
        <w:topLinePunct w:val="0"/>
        <w:autoSpaceDE/>
        <w:autoSpaceDN/>
        <w:bidi w:val="0"/>
        <w:adjustRightInd/>
        <w:snapToGrid/>
        <w:spacing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формирование корпоративной культуры и ценностей, объединяющих сотрудников;</w:t>
      </w:r>
    </w:p>
    <w:p w14:paraId="4FBCF3E7">
      <w:pPr>
        <w:keepNext w:val="0"/>
        <w:keepLines w:val="0"/>
        <w:pageBreakBefore w:val="0"/>
        <w:numPr>
          <w:ilvl w:val="0"/>
          <w:numId w:val="4"/>
        </w:numPr>
        <w:kinsoku/>
        <w:wordWrap/>
        <w:overflowPunct/>
        <w:topLinePunct w:val="0"/>
        <w:autoSpaceDE/>
        <w:autoSpaceDN/>
        <w:bidi w:val="0"/>
        <w:adjustRightInd/>
        <w:snapToGrid/>
        <w:spacing w:line="360" w:lineRule="auto"/>
        <w:ind w:left="0" w:firstLine="350" w:firstLineChars="125"/>
        <w:jc w:val="both"/>
        <w:textAlignment w:val="auto"/>
        <w:rPr>
          <w:rFonts w:hint="default" w:ascii="Times New Roman" w:hAnsi="Times New Roman"/>
          <w:sz w:val="28"/>
          <w:szCs w:val="28"/>
          <w:lang w:val="ru-RU"/>
        </w:rPr>
      </w:pPr>
      <w:r>
        <w:rPr>
          <w:rFonts w:hint="default" w:ascii="Times New Roman" w:hAnsi="Times New Roman" w:cs="Times New Roman"/>
          <w:sz w:val="28"/>
          <w:szCs w:val="28"/>
        </w:rPr>
        <w:t>снижение текучести кадров и повышение их лояльности</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w:t>
      </w:r>
      <w:r>
        <w:rPr>
          <w:rFonts w:hint="default" w:ascii="Times New Roman" w:hAnsi="Times New Roman" w:cs="Times New Roman"/>
          <w:sz w:val="28"/>
          <w:szCs w:val="28"/>
          <w:lang w:val="ru-RU"/>
        </w:rPr>
        <w:t>9</w:t>
      </w:r>
      <w:r>
        <w:rPr>
          <w:rFonts w:hint="default" w:ascii="Times New Roman" w:hAnsi="Times New Roman" w:cs="Times New Roman"/>
          <w:sz w:val="28"/>
          <w:szCs w:val="28"/>
        </w:rPr>
        <w:t>].</w:t>
      </w:r>
    </w:p>
    <w:p w14:paraId="2152AA03">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Обучение следует рассматривать как практический инструмент, ориентированный на достижение конкретных результатов. Основные цели организации обучения</w:t>
      </w:r>
      <w:r>
        <w:rPr>
          <w:rFonts w:hint="default" w:ascii="Times New Roman" w:hAnsi="Times New Roman"/>
          <w:sz w:val="28"/>
          <w:szCs w:val="28"/>
          <w:lang w:val="en-US"/>
        </w:rPr>
        <w:t xml:space="preserve"> </w:t>
      </w:r>
      <w:r>
        <w:rPr>
          <w:rFonts w:hint="default" w:ascii="Times New Roman" w:hAnsi="Times New Roman"/>
          <w:sz w:val="28"/>
          <w:szCs w:val="28"/>
          <w:lang w:val="ru-RU"/>
        </w:rPr>
        <w:t>представлены в таблице 1.1.</w:t>
      </w:r>
    </w:p>
    <w:p w14:paraId="4AC796FF">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p>
    <w:p w14:paraId="4FF92D90">
      <w:pPr>
        <w:keepNext w:val="0"/>
        <w:keepLines w:val="0"/>
        <w:pageBreakBefore w:val="0"/>
        <w:kinsoku/>
        <w:wordWrap/>
        <w:overflowPunct/>
        <w:topLinePunct w:val="0"/>
        <w:autoSpaceDE/>
        <w:autoSpaceDN/>
        <w:bidi w:val="0"/>
        <w:adjustRightInd/>
        <w:snapToGrid/>
        <w:spacing w:line="360" w:lineRule="auto"/>
        <w:ind w:firstLine="300" w:firstLineChars="125"/>
        <w:jc w:val="right"/>
        <w:textAlignment w:val="auto"/>
        <w:rPr>
          <w:rFonts w:hint="default" w:ascii="Times New Roman" w:hAnsi="Times New Roman"/>
          <w:sz w:val="24"/>
          <w:szCs w:val="24"/>
          <w:lang w:val="en-US"/>
        </w:rPr>
      </w:pPr>
      <w:r>
        <w:rPr>
          <w:rFonts w:hint="default" w:ascii="Times New Roman" w:hAnsi="Times New Roman"/>
          <w:sz w:val="24"/>
          <w:szCs w:val="24"/>
          <w:lang w:val="ru-RU"/>
        </w:rPr>
        <w:t xml:space="preserve">Таблица 1.1.. Влияние обучения на ключевые показатели деятельности организации </w:t>
      </w:r>
      <w:r>
        <w:rPr>
          <w:rFonts w:hint="default" w:ascii="Times New Roman" w:hAnsi="Times New Roman"/>
          <w:sz w:val="24"/>
          <w:szCs w:val="24"/>
          <w:lang w:val="en-US"/>
        </w:rPr>
        <w:t>[</w:t>
      </w:r>
      <w:r>
        <w:rPr>
          <w:rFonts w:hint="default" w:ascii="Times New Roman" w:hAnsi="Times New Roman"/>
          <w:sz w:val="24"/>
          <w:szCs w:val="24"/>
          <w:lang w:val="ru-RU"/>
        </w:rPr>
        <w:t>4,7,8</w:t>
      </w:r>
      <w:r>
        <w:rPr>
          <w:rFonts w:hint="default" w:ascii="Times New Roman" w:hAnsi="Times New Roman"/>
          <w:sz w:val="24"/>
          <w:szCs w:val="24"/>
          <w:lang w:val="en-US"/>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4"/>
        <w:gridCol w:w="5358"/>
      </w:tblGrid>
      <w:tr w14:paraId="43E43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trPr>
        <w:tc>
          <w:tcPr>
            <w:tcW w:w="3164" w:type="dxa"/>
          </w:tcPr>
          <w:p w14:paraId="608DB17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center"/>
              <w:textAlignment w:val="auto"/>
              <w:rPr>
                <w:rFonts w:hint="default" w:ascii="Times New Roman" w:hAnsi="Times New Roman"/>
                <w:sz w:val="24"/>
                <w:szCs w:val="24"/>
                <w:vertAlign w:val="baseline"/>
                <w:lang w:val="ru-RU"/>
              </w:rPr>
            </w:pPr>
            <w:r>
              <w:rPr>
                <w:rFonts w:hint="default" w:ascii="Times New Roman" w:hAnsi="Times New Roman"/>
                <w:sz w:val="24"/>
                <w:szCs w:val="24"/>
                <w:vertAlign w:val="baseline"/>
                <w:lang w:val="ru-RU"/>
              </w:rPr>
              <w:t>Направление развития</w:t>
            </w:r>
          </w:p>
        </w:tc>
        <w:tc>
          <w:tcPr>
            <w:tcW w:w="5358" w:type="dxa"/>
          </w:tcPr>
          <w:p w14:paraId="45A6925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center"/>
              <w:textAlignment w:val="auto"/>
              <w:rPr>
                <w:rFonts w:hint="default" w:ascii="Times New Roman" w:hAnsi="Times New Roman"/>
                <w:sz w:val="24"/>
                <w:szCs w:val="24"/>
                <w:vertAlign w:val="baseline"/>
                <w:lang w:val="ru-RU"/>
              </w:rPr>
            </w:pPr>
            <w:r>
              <w:rPr>
                <w:rFonts w:hint="default" w:ascii="Times New Roman" w:hAnsi="Times New Roman"/>
                <w:sz w:val="24"/>
                <w:szCs w:val="24"/>
                <w:vertAlign w:val="baseline"/>
                <w:lang w:val="ru-RU"/>
              </w:rPr>
              <w:t>Достигаемый результат</w:t>
            </w:r>
          </w:p>
        </w:tc>
      </w:tr>
      <w:tr w14:paraId="5B38B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2" w:hRule="atLeast"/>
        </w:trPr>
        <w:tc>
          <w:tcPr>
            <w:tcW w:w="3164" w:type="dxa"/>
          </w:tcPr>
          <w:p w14:paraId="3A4EC14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sz w:val="24"/>
                <w:szCs w:val="24"/>
                <w:vertAlign w:val="baseline"/>
                <w:lang w:val="ru-RU"/>
              </w:rPr>
            </w:pPr>
            <w:r>
              <w:rPr>
                <w:rFonts w:hint="default" w:ascii="Times New Roman" w:hAnsi="Times New Roman"/>
                <w:sz w:val="24"/>
                <w:szCs w:val="24"/>
                <w:vertAlign w:val="baseline"/>
                <w:lang w:val="ru-RU"/>
              </w:rPr>
              <w:t>Оптимизация производительности и сокращение расходов</w:t>
            </w:r>
          </w:p>
        </w:tc>
        <w:tc>
          <w:tcPr>
            <w:tcW w:w="5358" w:type="dxa"/>
          </w:tcPr>
          <w:p w14:paraId="23AA341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sz w:val="24"/>
                <w:szCs w:val="24"/>
                <w:vertAlign w:val="baseline"/>
                <w:lang w:val="ru-RU"/>
              </w:rPr>
            </w:pPr>
            <w:r>
              <w:rPr>
                <w:rFonts w:hint="default" w:ascii="Times New Roman" w:hAnsi="Times New Roman"/>
                <w:sz w:val="24"/>
                <w:szCs w:val="24"/>
                <w:vertAlign w:val="baseline"/>
                <w:lang w:val="ru-RU"/>
              </w:rPr>
              <w:t>– увеличение выработки и улучшение качества работы (сотрудники работают продуктивнее, создают продукт более высокого качества);</w:t>
            </w:r>
          </w:p>
          <w:p w14:paraId="410E2CA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sz w:val="24"/>
                <w:szCs w:val="24"/>
                <w:vertAlign w:val="baseline"/>
                <w:lang w:val="ru-RU"/>
              </w:rPr>
            </w:pPr>
            <w:r>
              <w:rPr>
                <w:rFonts w:hint="default" w:ascii="Times New Roman" w:hAnsi="Times New Roman"/>
                <w:sz w:val="24"/>
                <w:szCs w:val="24"/>
                <w:vertAlign w:val="baseline"/>
                <w:lang w:val="ru-RU"/>
              </w:rPr>
              <w:t>– минимизация потерь и экономия ресурсов (снижение числа ошибок и финансовых потерь, связанных с некомпетентностью).</w:t>
            </w:r>
          </w:p>
        </w:tc>
      </w:tr>
      <w:tr w14:paraId="3C218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4" w:type="dxa"/>
          </w:tcPr>
          <w:p w14:paraId="6527FC5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sz w:val="24"/>
                <w:szCs w:val="24"/>
                <w:vertAlign w:val="baseline"/>
                <w:lang w:val="ru-RU"/>
              </w:rPr>
            </w:pPr>
            <w:r>
              <w:rPr>
                <w:rFonts w:hint="default" w:ascii="Times New Roman" w:hAnsi="Times New Roman"/>
                <w:sz w:val="24"/>
                <w:szCs w:val="24"/>
                <w:vertAlign w:val="baseline"/>
                <w:lang w:val="ru-RU"/>
              </w:rPr>
              <w:t>Адаптация навыков к актуальным и перспективным задачам</w:t>
            </w:r>
          </w:p>
          <w:p w14:paraId="642B1A8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sz w:val="24"/>
                <w:szCs w:val="24"/>
                <w:vertAlign w:val="baseline"/>
                <w:lang w:val="ru-RU"/>
              </w:rPr>
            </w:pPr>
            <w:r>
              <w:rPr>
                <w:rFonts w:hint="default" w:ascii="Times New Roman" w:hAnsi="Times New Roman"/>
                <w:sz w:val="24"/>
                <w:szCs w:val="24"/>
                <w:vertAlign w:val="baseline"/>
                <w:lang w:val="ru-RU"/>
              </w:rPr>
              <w:t>организации</w:t>
            </w:r>
          </w:p>
        </w:tc>
        <w:tc>
          <w:tcPr>
            <w:tcW w:w="5358" w:type="dxa"/>
          </w:tcPr>
          <w:p w14:paraId="24CD8CC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sz w:val="24"/>
                <w:szCs w:val="24"/>
                <w:vertAlign w:val="baseline"/>
                <w:lang w:val="ru-RU"/>
              </w:rPr>
            </w:pPr>
            <w:r>
              <w:rPr>
                <w:rFonts w:hint="default" w:ascii="Times New Roman" w:hAnsi="Times New Roman"/>
                <w:sz w:val="24"/>
                <w:szCs w:val="24"/>
                <w:vertAlign w:val="baseline"/>
                <w:lang w:val="ru-RU"/>
              </w:rPr>
              <w:t xml:space="preserve">–  актуализация знаний и умений (сотрудники получат необходимые </w:t>
            </w:r>
            <w:r>
              <w:rPr>
                <w:rFonts w:hint="default" w:ascii="Times New Roman" w:hAnsi="Times New Roman"/>
                <w:i/>
                <w:iCs/>
                <w:sz w:val="24"/>
                <w:szCs w:val="24"/>
                <w:vertAlign w:val="baseline"/>
                <w:lang w:val="ru-RU"/>
              </w:rPr>
              <w:t>на сегодня</w:t>
            </w:r>
            <w:r>
              <w:rPr>
                <w:rFonts w:hint="default" w:ascii="Times New Roman" w:hAnsi="Times New Roman"/>
                <w:sz w:val="24"/>
                <w:szCs w:val="24"/>
                <w:vertAlign w:val="baseline"/>
                <w:lang w:val="ru-RU"/>
              </w:rPr>
              <w:t xml:space="preserve"> профессиональные навыки и знания, соответствующие текущим требованиям) </w:t>
            </w:r>
          </w:p>
          <w:p w14:paraId="73B48D3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sz w:val="24"/>
                <w:szCs w:val="24"/>
                <w:vertAlign w:val="baseline"/>
                <w:lang w:val="ru-RU"/>
              </w:rPr>
            </w:pPr>
            <w:r>
              <w:rPr>
                <w:rFonts w:hint="default" w:ascii="Times New Roman" w:hAnsi="Times New Roman"/>
                <w:sz w:val="24"/>
                <w:szCs w:val="24"/>
                <w:vertAlign w:val="baseline"/>
                <w:lang w:val="ru-RU"/>
              </w:rPr>
              <w:t>–  подготовка к будущему (программы развития сформируют компетенции, которые будут востребованы в будущем, обеспечивая компании конкурентное преимущество за счет опережающего развития)</w:t>
            </w:r>
          </w:p>
        </w:tc>
      </w:tr>
      <w:tr w14:paraId="65B1F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4" w:type="dxa"/>
          </w:tcPr>
          <w:p w14:paraId="06680DC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sz w:val="24"/>
                <w:szCs w:val="24"/>
                <w:vertAlign w:val="baseline"/>
                <w:lang w:val="ru-RU"/>
              </w:rPr>
            </w:pPr>
            <w:r>
              <w:rPr>
                <w:rFonts w:hint="default" w:ascii="Times New Roman" w:hAnsi="Times New Roman"/>
                <w:sz w:val="24"/>
                <w:szCs w:val="24"/>
                <w:vertAlign w:val="baseline"/>
                <w:lang w:val="ru-RU"/>
              </w:rPr>
              <w:t>Стимулирование вовлеченности и преданности компании</w:t>
            </w:r>
          </w:p>
        </w:tc>
        <w:tc>
          <w:tcPr>
            <w:tcW w:w="5358" w:type="dxa"/>
          </w:tcPr>
          <w:p w14:paraId="5E66E87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sz w:val="24"/>
                <w:szCs w:val="24"/>
                <w:vertAlign w:val="baseline"/>
                <w:lang w:val="ru-RU"/>
              </w:rPr>
            </w:pPr>
            <w:r>
              <w:rPr>
                <w:rFonts w:hint="default" w:ascii="Times New Roman" w:hAnsi="Times New Roman"/>
                <w:sz w:val="24"/>
                <w:szCs w:val="24"/>
                <w:vertAlign w:val="baseline"/>
                <w:lang w:val="ru-RU"/>
              </w:rPr>
              <w:t>–  повышение мотивации (сотрудники станут более мотивированными и почувствуют свою ценность, видя заботу компании о своем профессиональном росте)</w:t>
            </w:r>
          </w:p>
          <w:p w14:paraId="4CB72C1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sz w:val="24"/>
                <w:szCs w:val="24"/>
                <w:vertAlign w:val="baseline"/>
                <w:lang w:val="ru-RU"/>
              </w:rPr>
            </w:pPr>
            <w:r>
              <w:rPr>
                <w:rFonts w:hint="default" w:ascii="Times New Roman" w:hAnsi="Times New Roman"/>
                <w:sz w:val="24"/>
                <w:szCs w:val="24"/>
                <w:vertAlign w:val="baseline"/>
                <w:lang w:val="ru-RU"/>
              </w:rPr>
              <w:t xml:space="preserve">–  укрепление лояльности (регулярное обучение способствует формированию привязанности к компании, снижая вероятность ухода ценных сотрудников) </w:t>
            </w:r>
          </w:p>
        </w:tc>
      </w:tr>
      <w:tr w14:paraId="1A38B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4" w:type="dxa"/>
          </w:tcPr>
          <w:p w14:paraId="1F391CD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sz w:val="24"/>
                <w:szCs w:val="24"/>
                <w:vertAlign w:val="baseline"/>
                <w:lang w:val="ru-RU"/>
              </w:rPr>
            </w:pPr>
            <w:r>
              <w:rPr>
                <w:rFonts w:hint="default" w:ascii="Times New Roman" w:hAnsi="Times New Roman"/>
                <w:sz w:val="24"/>
                <w:szCs w:val="24"/>
                <w:vertAlign w:val="baseline"/>
                <w:lang w:val="ru-RU"/>
              </w:rPr>
              <w:t>Создание единого видения и корпоративных ценностей</w:t>
            </w:r>
          </w:p>
          <w:p w14:paraId="4DF4A14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sz w:val="24"/>
                <w:szCs w:val="24"/>
                <w:vertAlign w:val="baseline"/>
                <w:lang w:val="ru-RU"/>
              </w:rPr>
            </w:pPr>
          </w:p>
        </w:tc>
        <w:tc>
          <w:tcPr>
            <w:tcW w:w="5358" w:type="dxa"/>
          </w:tcPr>
          <w:p w14:paraId="1110A17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sz w:val="24"/>
                <w:szCs w:val="24"/>
                <w:vertAlign w:val="baseline"/>
                <w:lang w:val="ru-RU"/>
              </w:rPr>
            </w:pPr>
            <w:r>
              <w:rPr>
                <w:rFonts w:hint="default" w:ascii="Times New Roman" w:hAnsi="Times New Roman"/>
                <w:sz w:val="24"/>
                <w:szCs w:val="24"/>
                <w:vertAlign w:val="baseline"/>
                <w:lang w:val="ru-RU"/>
              </w:rPr>
              <w:t xml:space="preserve">–  формирование общих ценностей (сотрудники усвоят и примут ценности и установки, соответствующие стратегии и целям организации) </w:t>
            </w:r>
          </w:p>
          <w:p w14:paraId="746B52E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sz w:val="24"/>
                <w:szCs w:val="24"/>
                <w:vertAlign w:val="baseline"/>
                <w:lang w:val="ru-RU"/>
              </w:rPr>
            </w:pPr>
            <w:r>
              <w:rPr>
                <w:rFonts w:hint="default" w:ascii="Times New Roman" w:hAnsi="Times New Roman"/>
                <w:sz w:val="24"/>
                <w:szCs w:val="24"/>
                <w:vertAlign w:val="baseline"/>
                <w:lang w:val="ru-RU"/>
              </w:rPr>
              <w:t>– укрепление командного духа (чувство единства и командной работы)</w:t>
            </w:r>
          </w:p>
        </w:tc>
      </w:tr>
    </w:tbl>
    <w:p w14:paraId="6E1E5DB6">
      <w:pPr>
        <w:keepNext w:val="0"/>
        <w:keepLines w:val="0"/>
        <w:pageBreakBefore w:val="0"/>
        <w:numPr>
          <w:ilvl w:val="0"/>
          <w:numId w:val="0"/>
        </w:numPr>
        <w:kinsoku/>
        <w:wordWrap/>
        <w:overflowPunct/>
        <w:topLinePunct w:val="0"/>
        <w:autoSpaceDE/>
        <w:autoSpaceDN/>
        <w:bidi w:val="0"/>
        <w:adjustRightInd/>
        <w:snapToGrid/>
        <w:spacing w:line="240" w:lineRule="auto"/>
        <w:ind w:leftChars="0" w:firstLine="350" w:firstLineChars="125"/>
        <w:jc w:val="both"/>
        <w:textAlignment w:val="auto"/>
        <w:rPr>
          <w:rFonts w:hint="default" w:ascii="Times New Roman" w:hAnsi="Times New Roman"/>
          <w:sz w:val="28"/>
          <w:szCs w:val="28"/>
          <w:lang w:val="ru-RU"/>
        </w:rPr>
      </w:pPr>
    </w:p>
    <w:p w14:paraId="4B3D74BF">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По мнению исследователей, грамотное построение системы обучения позволяет организации достигать синергетического эффекта: рост индивидуальных компетенций сотрудников ведёт к росту общей эффективности бизнес-процессов [10]. При этом важным фактором является взаимосвязь обучения с другими направлениями HR-деятельности — оценкой, мотивацией и карьерным развитием [11].</w:t>
      </w:r>
    </w:p>
    <w:p w14:paraId="6432D9EF">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 xml:space="preserve">В современных условиях динамичной экономики практически каждая компания сталкивается с необходимостью подстраиваться под постоянно меняющуюся реальность. Изменения на рынке задают новые стандарты и правила, конкуренты растут, а актуальность инноваций и технологий сохраняется лишь пару лет. В данных условиях бизнес должен выбирать: либо меняться с той же скоростью, что и внешняя среда, либо отставать. И именно тут ключевую роль играет та часть компании, которая эти изменения должна реализовывать на практике, то есть персонал. Как подчёркивает И. Ансофф, отец стратегического менеджмента, для долгосрочного успеха компании критически важно вовремя замечать изменения во внешней среде и гибко перестраивать свои внутренние ресурсы, в первую очередь – человеческие </w:t>
      </w:r>
      <w:r>
        <w:rPr>
          <w:rFonts w:hint="default" w:ascii="Times New Roman" w:hAnsi="Times New Roman"/>
          <w:sz w:val="28"/>
          <w:szCs w:val="28"/>
          <w:lang w:val="en-US"/>
        </w:rPr>
        <w:t>[</w:t>
      </w:r>
      <w:r>
        <w:rPr>
          <w:rFonts w:hint="default" w:ascii="Times New Roman" w:hAnsi="Times New Roman"/>
          <w:sz w:val="28"/>
          <w:szCs w:val="28"/>
          <w:lang w:val="ru-RU"/>
        </w:rPr>
        <w:t>12, с.114</w:t>
      </w:r>
      <w:r>
        <w:rPr>
          <w:rFonts w:hint="default" w:ascii="Times New Roman" w:hAnsi="Times New Roman"/>
          <w:sz w:val="28"/>
          <w:szCs w:val="28"/>
          <w:lang w:val="en-US"/>
        </w:rPr>
        <w:t>]</w:t>
      </w:r>
      <w:r>
        <w:rPr>
          <w:rFonts w:hint="default" w:ascii="Times New Roman" w:hAnsi="Times New Roman"/>
          <w:sz w:val="28"/>
          <w:szCs w:val="28"/>
          <w:lang w:val="ru-RU"/>
        </w:rPr>
        <w:t>.</w:t>
      </w:r>
    </w:p>
    <w:p w14:paraId="7148979E">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 xml:space="preserve">Работы Магуры и Курбатовой в сфере менеджмента, отражают, что корпоративное обучение персонала стало критически важным. Они выделяют три основных причины: 1) необходимость новых знаний для успешной реализации стратегий компании, 2) сотрудники с их знаниями и навыками </w:t>
      </w:r>
      <w:r>
        <w:rPr>
          <w:rFonts w:hint="default" w:ascii="Times New Roman" w:hAnsi="Times New Roman"/>
          <w:sz w:val="28"/>
          <w:szCs w:val="28"/>
          <w:vertAlign w:val="baseline"/>
          <w:lang w:val="ru-RU"/>
        </w:rPr>
        <w:t xml:space="preserve">– </w:t>
      </w:r>
      <w:r>
        <w:rPr>
          <w:rFonts w:hint="default" w:ascii="Times New Roman" w:hAnsi="Times New Roman"/>
          <w:sz w:val="28"/>
          <w:szCs w:val="28"/>
          <w:lang w:val="ru-RU"/>
        </w:rPr>
        <w:t xml:space="preserve">основное ядро, определяющее ценность компании, 3) любые изменения обречены на провал если нет предварительной подготовки (так как люди не будут готовы к этому) </w:t>
      </w:r>
      <w:r>
        <w:rPr>
          <w:rFonts w:hint="default" w:ascii="Times New Roman" w:hAnsi="Times New Roman"/>
          <w:sz w:val="28"/>
          <w:szCs w:val="28"/>
          <w:lang w:val="en-US"/>
        </w:rPr>
        <w:t>[</w:t>
      </w:r>
      <w:r>
        <w:rPr>
          <w:rFonts w:hint="default" w:ascii="Times New Roman" w:hAnsi="Times New Roman"/>
          <w:sz w:val="28"/>
          <w:szCs w:val="28"/>
          <w:lang w:val="ru-RU"/>
        </w:rPr>
        <w:t>13, с.79-81</w:t>
      </w:r>
      <w:r>
        <w:rPr>
          <w:rFonts w:hint="default" w:ascii="Times New Roman" w:hAnsi="Times New Roman"/>
          <w:sz w:val="28"/>
          <w:szCs w:val="28"/>
          <w:lang w:val="en-US"/>
        </w:rPr>
        <w:t>]</w:t>
      </w:r>
      <w:r>
        <w:rPr>
          <w:rFonts w:hint="default" w:ascii="Times New Roman" w:hAnsi="Times New Roman"/>
          <w:sz w:val="28"/>
          <w:szCs w:val="28"/>
          <w:lang w:val="ru-RU"/>
        </w:rPr>
        <w:t>.</w:t>
      </w:r>
    </w:p>
    <w:p w14:paraId="72F3437C">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 xml:space="preserve">Главная мысль заключается в том, что прежде чем внедрять какие-либо изменения, руководитель должен понять готова ли его команда. Это касается как их профессиональных умений, так и их эмоционального состояния. Сопротивление изменениям </w:t>
      </w:r>
      <w:r>
        <w:rPr>
          <w:rFonts w:hint="default" w:ascii="Times New Roman" w:hAnsi="Times New Roman"/>
          <w:sz w:val="28"/>
          <w:szCs w:val="28"/>
          <w:vertAlign w:val="baseline"/>
          <w:lang w:val="ru-RU"/>
        </w:rPr>
        <w:t xml:space="preserve">– </w:t>
      </w:r>
      <w:r>
        <w:rPr>
          <w:rFonts w:hint="default" w:ascii="Times New Roman" w:hAnsi="Times New Roman"/>
          <w:sz w:val="28"/>
          <w:szCs w:val="28"/>
          <w:lang w:val="ru-RU"/>
        </w:rPr>
        <w:t xml:space="preserve">это нормальная человеческая реакция. Без должного управления, оно может полностью нивелировать эффективность даже самого разумного и логичного решения. Подробное описание этой закономерности можно найти в модели управления изменениями Курта Левина, чья основная идея заключалась в том, что любые преобразования должны проходить стадию «размораживания» </w:t>
      </w:r>
      <w:r>
        <w:rPr>
          <w:rFonts w:hint="default" w:ascii="Times New Roman" w:hAnsi="Times New Roman"/>
          <w:sz w:val="28"/>
          <w:szCs w:val="28"/>
          <w:vertAlign w:val="baseline"/>
          <w:lang w:val="ru-RU"/>
        </w:rPr>
        <w:t xml:space="preserve">– </w:t>
      </w:r>
      <w:r>
        <w:rPr>
          <w:rFonts w:hint="default" w:ascii="Times New Roman" w:hAnsi="Times New Roman"/>
          <w:sz w:val="28"/>
          <w:szCs w:val="28"/>
          <w:lang w:val="ru-RU"/>
        </w:rPr>
        <w:t xml:space="preserve">то есть подготовки сознания сотрудников через информирование и обучение, иначе новый этап («замораживание») новых норм работы просто не наступит </w:t>
      </w:r>
      <w:r>
        <w:rPr>
          <w:rFonts w:hint="default" w:ascii="Times New Roman" w:hAnsi="Times New Roman"/>
          <w:sz w:val="28"/>
          <w:szCs w:val="28"/>
          <w:lang w:val="en-US"/>
        </w:rPr>
        <w:t>[</w:t>
      </w:r>
      <w:r>
        <w:rPr>
          <w:rFonts w:hint="default" w:ascii="Times New Roman" w:hAnsi="Times New Roman"/>
          <w:sz w:val="28"/>
          <w:szCs w:val="28"/>
          <w:lang w:val="ru-RU"/>
        </w:rPr>
        <w:t>14, с.216</w:t>
      </w:r>
      <w:r>
        <w:rPr>
          <w:rFonts w:hint="default" w:ascii="Times New Roman" w:hAnsi="Times New Roman"/>
          <w:sz w:val="28"/>
          <w:szCs w:val="28"/>
          <w:lang w:val="en-US"/>
        </w:rPr>
        <w:t>]</w:t>
      </w:r>
      <w:r>
        <w:rPr>
          <w:rFonts w:hint="default" w:ascii="Times New Roman" w:hAnsi="Times New Roman"/>
          <w:sz w:val="28"/>
          <w:szCs w:val="28"/>
          <w:lang w:val="ru-RU"/>
        </w:rPr>
        <w:t xml:space="preserve">. </w:t>
      </w:r>
    </w:p>
    <w:p w14:paraId="753230EF">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ru-RU"/>
        </w:rPr>
      </w:pPr>
      <w:r>
        <w:rPr>
          <w:rFonts w:hint="default" w:ascii="Times New Roman" w:hAnsi="Times New Roman"/>
          <w:sz w:val="28"/>
          <w:szCs w:val="28"/>
          <w:lang w:val="ru-RU"/>
        </w:rPr>
        <w:t xml:space="preserve">Внешние изменения, будь то агрессивные действия конкурентов или спад в отрасли, могут заставить компанию меняться так же, как и внутренние стратегические цели. В этот момент становится понятно насколько быстро и эффективно выстроенная нами система обучения  помогает сотрудникам приспосабливаться к новым реалиям. Тут важно проанализировать ситуацию. Главное </w:t>
      </w:r>
      <w:r>
        <w:rPr>
          <w:rFonts w:hint="default" w:ascii="Times New Roman" w:hAnsi="Times New Roman"/>
          <w:sz w:val="28"/>
          <w:szCs w:val="28"/>
          <w:vertAlign w:val="baseline"/>
          <w:lang w:val="ru-RU"/>
        </w:rPr>
        <w:t>–  построить адаптивную систему, которая оперативно предоставит сотрудникам новые знания</w:t>
      </w:r>
      <w:r>
        <w:rPr>
          <w:rFonts w:hint="default" w:ascii="Times New Roman" w:hAnsi="Times New Roman"/>
          <w:sz w:val="28"/>
          <w:szCs w:val="28"/>
          <w:lang w:val="ru-RU"/>
        </w:rPr>
        <w:t>. Для этого потребуется исследовать теоретические концепции, выбрать наиболее подходящие для нашей компании, проанализировать собственный опыт (что оказалось полезным, а что нет), а также определить факторы, которые способствуют или препятствуют развитию. Только после этого можно будет разработать конкретные шаги по совершенствованию системы. Грамотно организованная система непременно положительно повлияет на общую эффективность компании. Сотрудники начнут работать продуктивнее, быстрее будут осваивать новые навыки, увереннее адаптируются к изменениям на рынке. В результате организация становится более и конкурентоспособной. Как справедливо отмечают западные исследователи в области стратегического управления Д. Ульрих и У. Брокбэнк, уникальные компетенции и навыки персонала, развиваемые внутри организации, формируют такую ценность, которую конкуренты не могут воспроизвести простым копированием технологий [15, с.98].</w:t>
      </w:r>
    </w:p>
    <w:p w14:paraId="676AA597">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vertAlign w:val="baseline"/>
          <w:lang w:val="ru-RU"/>
        </w:rPr>
      </w:pPr>
      <w:r>
        <w:rPr>
          <w:rFonts w:hint="default" w:ascii="Times New Roman" w:hAnsi="Times New Roman"/>
          <w:sz w:val="28"/>
          <w:szCs w:val="28"/>
          <w:lang w:val="ru-RU"/>
        </w:rPr>
        <w:t xml:space="preserve">В условиях текущего экономического развития цифровизация стала неотъемлемой частью всех бизнес-процессов, и система подготовки персонала вынуждена адаптироваться к этой новой реальности. Трансформация подходов </w:t>
      </w:r>
      <w:r>
        <w:rPr>
          <w:rFonts w:hint="default" w:ascii="Times New Roman" w:hAnsi="Times New Roman"/>
          <w:sz w:val="28"/>
          <w:szCs w:val="28"/>
          <w:vertAlign w:val="baseline"/>
          <w:lang w:val="ru-RU"/>
        </w:rPr>
        <w:t xml:space="preserve">–  это не желание быть как все, а объективное требование для выживания. Скорость обновления профессиональных знаний и навыков достигла такого уровня, при котором всеми привычные подходы формата повышения квалификации не успевают за потребностями бизнеса. Современные организации активно внедряют цифровые технологии для оптимизации образовательных программ. Эти инновации обеспечивают повышенную гибкость, экономическую эффективность и направленность на достижение измеримых результатов. Исследования подтверждают, что цифровая трансформация корпоративного обучения не только повышает уровень профессиональной квалификации персонала, но и культивирует у сотрудников установку на непрерывное самосовершенствование, что критически важно в условиях динамично развивающейся деловой среды </w:t>
      </w:r>
      <w:r>
        <w:rPr>
          <w:rFonts w:hint="default" w:ascii="Times New Roman" w:hAnsi="Times New Roman"/>
          <w:sz w:val="28"/>
          <w:szCs w:val="28"/>
          <w:vertAlign w:val="baseline"/>
          <w:lang w:val="en-US"/>
        </w:rPr>
        <w:t>[</w:t>
      </w:r>
      <w:r>
        <w:rPr>
          <w:rFonts w:hint="default" w:ascii="Times New Roman" w:hAnsi="Times New Roman"/>
          <w:sz w:val="28"/>
          <w:szCs w:val="28"/>
          <w:vertAlign w:val="baseline"/>
          <w:lang w:val="ru-RU"/>
        </w:rPr>
        <w:t>16,17</w:t>
      </w:r>
      <w:r>
        <w:rPr>
          <w:rFonts w:hint="default" w:ascii="Times New Roman" w:hAnsi="Times New Roman"/>
          <w:sz w:val="28"/>
          <w:szCs w:val="28"/>
          <w:vertAlign w:val="baseline"/>
          <w:lang w:val="en-US"/>
        </w:rPr>
        <w:t>]</w:t>
      </w:r>
      <w:r>
        <w:rPr>
          <w:rFonts w:hint="default" w:ascii="Times New Roman" w:hAnsi="Times New Roman"/>
          <w:sz w:val="28"/>
          <w:szCs w:val="28"/>
          <w:vertAlign w:val="baseline"/>
          <w:lang w:val="ru-RU"/>
        </w:rPr>
        <w:t>. Чтобы оставаться конкурентоспособными, компаниям необходимо дать своим сотрудникам возможность учиться постоянно прямо на рабочем месте. Именно цифровые технологии делают это возможным, переделывая подходы к обучению и развитию персонала.</w:t>
      </w:r>
    </w:p>
    <w:p w14:paraId="2BB4735A">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vertAlign w:val="baseline"/>
          <w:lang w:val="ru-RU"/>
        </w:rPr>
      </w:pPr>
      <w:r>
        <w:rPr>
          <w:rFonts w:hint="default" w:ascii="Times New Roman" w:hAnsi="Times New Roman"/>
          <w:sz w:val="28"/>
          <w:szCs w:val="28"/>
          <w:vertAlign w:val="baseline"/>
          <w:lang w:val="ru-RU"/>
        </w:rPr>
        <w:t>Благодаря цифровизации, обучение перестаёт быть привязанным к конкретному месту и привычным методам, открывая новые возможности для получения знаний. В настоящее время сотрудники повсеместно используют телефоны и ПК не только для выполнения рабочих задач, но и для саморазвития и личного роста, это обесценивает традиционные модели, которые ранее были основаны на стационарных компьютерах и физическом обучении.  Так как информация стала повсеместной и мгновенной, а цифровая среда – основной инструмент для обучения во многих сферах, то непрерывное образование в наше время стало реальностью. С развитием «умного» образования, которое основанное на самообучении, адаптации и мотивации, критически важной компетенцией сотрудника становится способность эффективно применять цифровые инструменты для интеграции в повседневную работу.</w:t>
      </w:r>
    </w:p>
    <w:p w14:paraId="68737B05">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vertAlign w:val="baseline"/>
          <w:lang w:val="ru-RU"/>
        </w:rPr>
      </w:pPr>
      <w:r>
        <w:rPr>
          <w:rFonts w:hint="default" w:ascii="Times New Roman" w:hAnsi="Times New Roman"/>
          <w:sz w:val="28"/>
          <w:szCs w:val="28"/>
          <w:vertAlign w:val="baseline"/>
          <w:lang w:val="ru-RU"/>
        </w:rPr>
        <w:t>Образовательные технологии представляют большой выбор инструментов для корпоративного обучения. Наибольшее распространение получили интернет-обучение (55% компаний), видеоконференции (46%) и традиционные аудиторные занятия (41%), при этом веб-конференции и внутрикорпоративные сети также занимают заметную долю [18].</w:t>
      </w:r>
    </w:p>
    <w:p w14:paraId="0524873C">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vertAlign w:val="baseline"/>
          <w:lang w:val="ru-RU"/>
        </w:rPr>
      </w:pPr>
      <w:r>
        <w:rPr>
          <w:rFonts w:hint="default" w:ascii="Times New Roman" w:hAnsi="Times New Roman"/>
          <w:sz w:val="28"/>
          <w:szCs w:val="28"/>
          <w:vertAlign w:val="baseline"/>
          <w:lang w:val="ru-RU"/>
        </w:rPr>
        <w:t>Основой цифрового обучения являются системы управления обучением (</w:t>
      </w:r>
      <w:r>
        <w:rPr>
          <w:rFonts w:hint="default" w:ascii="Times New Roman" w:hAnsi="Times New Roman"/>
          <w:sz w:val="28"/>
          <w:szCs w:val="28"/>
          <w:vertAlign w:val="baseline"/>
          <w:lang w:val="en-US"/>
        </w:rPr>
        <w:t>LMS</w:t>
      </w:r>
      <w:r>
        <w:rPr>
          <w:rFonts w:hint="default" w:ascii="Times New Roman" w:hAnsi="Times New Roman"/>
          <w:sz w:val="28"/>
          <w:szCs w:val="28"/>
          <w:vertAlign w:val="baseline"/>
          <w:lang w:val="ru-RU"/>
        </w:rPr>
        <w:t>), которые представляют собой единую базу электронных курсов и учебных материалов для автоматизации рутинных процессов, контроля успеваемости и формирования индивидуального плана развития. Преимущества заключаются в том, что они экономят ресурсы за счёт сокращения командировок, унифицируют стандарты обучения и имеют прозрачную статистику результатов.  Дальнейшее развитие этого направления – платформы LXP (Learning Experience Platform), которые не просто хранят курсы, а подбирают контент под индивидуальные запросы пользователя [19].</w:t>
      </w:r>
    </w:p>
    <w:p w14:paraId="75B5D926">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vertAlign w:val="baseline"/>
          <w:lang w:val="ru-RU"/>
        </w:rPr>
      </w:pPr>
      <w:r>
        <w:rPr>
          <w:rFonts w:hint="default" w:ascii="Times New Roman" w:hAnsi="Times New Roman"/>
          <w:sz w:val="28"/>
          <w:szCs w:val="28"/>
          <w:vertAlign w:val="baseline"/>
          <w:lang w:val="ru-RU"/>
        </w:rPr>
        <w:t>Среди российских цифровых ресурсов выделяют порталы «ИНТУИТ», «Деловая среда», Eduson, «Открытое образование», ориентированные на подготовку специалистов конкретных профилей. Активно внедряются вебинары, чат-боты, сервисы интерактивных подсказок и решения на базе искусственного интеллекта  [20].</w:t>
      </w:r>
    </w:p>
    <w:p w14:paraId="20E0B972">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vertAlign w:val="baseline"/>
          <w:lang w:val="ru-RU"/>
        </w:rPr>
      </w:pPr>
      <w:r>
        <w:rPr>
          <w:rFonts w:hint="default" w:ascii="Times New Roman" w:hAnsi="Times New Roman"/>
          <w:sz w:val="28"/>
          <w:szCs w:val="28"/>
          <w:vertAlign w:val="baseline"/>
          <w:lang w:val="ru-RU"/>
        </w:rPr>
        <w:t>Технологии вовлечения персонала заслуживают особого внимания: геймификация (баллы, бейджи, рейтинги) ускоряет адаптацию и делает обучение увлекательнее [21]. А концепция через развлечение и игровые методики обеспечивает лёгкое усвоение материала [20]. Технологии виртуальной реальности  показывают высокую эффективность, особенно для рабочих профессий. Крупные компании, включая ОАО «РЖД», «Леруа Мерлен», ПАО «Газпром» и ПАО «Сбербанк», уже используют этот инструмент [21]. В сферах, где реальные тренировки невозможны или опасны, например при подготовке служб экстренного реагирования, компьютерные тренажёры и симуляторы становятся незаменимы. Цифровизация обучения выгодна всем и имеет ряд преимуществ – это гибкость, доступность, скорость, автоматизация проверки знаний и экономия.</w:t>
      </w:r>
    </w:p>
    <w:p w14:paraId="339CDE04">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vertAlign w:val="baseline"/>
          <w:lang w:val="ru-RU"/>
        </w:rPr>
      </w:pPr>
      <w:r>
        <w:rPr>
          <w:rFonts w:hint="default" w:ascii="Times New Roman" w:hAnsi="Times New Roman"/>
          <w:sz w:val="28"/>
          <w:szCs w:val="28"/>
          <w:vertAlign w:val="baseline"/>
          <w:lang w:val="ru-RU"/>
        </w:rPr>
        <w:t>Для бизнеса цифровизация – это ключ к новым возможностям. Она упрощает обмен опытом между сотрудниками, повышает эффективность обучения, порождает новые профессии и гибкие формы занятости, а также делает контроль за персоналом более прозрачным, снижая вероятность ошибок, связанных с человеческим фактором  [22]. Автоматизация образования позволяет компаниям быстрее адаптироваться к меняющимся требованиям рынка труда и гарантирует непрерывное развитие компетенций своих сотрудников.</w:t>
      </w:r>
    </w:p>
    <w:p w14:paraId="03682F38">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vertAlign w:val="baseline"/>
          <w:lang w:val="ru-RU"/>
        </w:rPr>
      </w:pPr>
      <w:r>
        <w:rPr>
          <w:rFonts w:hint="default" w:ascii="Times New Roman" w:hAnsi="Times New Roman"/>
          <w:sz w:val="28"/>
          <w:szCs w:val="28"/>
          <w:vertAlign w:val="baseline"/>
          <w:lang w:val="ru-RU"/>
        </w:rPr>
        <w:t xml:space="preserve">Благодаря тому, что поколение Y выросло в цифровой среде и привыкло к постоянному использованию гаджетов, оно демонстрирует наивысшую готовность к освоению цифровых форматов. Это способствует их быстрой адаптации к современным образовательным технологиям </w:t>
      </w:r>
      <w:r>
        <w:rPr>
          <w:rFonts w:hint="default" w:ascii="Times New Roman" w:hAnsi="Times New Roman"/>
          <w:sz w:val="28"/>
          <w:szCs w:val="28"/>
          <w:vertAlign w:val="baseline"/>
          <w:lang w:val="en-US"/>
        </w:rPr>
        <w:t>[</w:t>
      </w:r>
      <w:r>
        <w:rPr>
          <w:rFonts w:hint="default" w:ascii="Times New Roman" w:hAnsi="Times New Roman"/>
          <w:sz w:val="28"/>
          <w:szCs w:val="28"/>
          <w:vertAlign w:val="baseline"/>
          <w:lang w:val="ru-RU"/>
        </w:rPr>
        <w:t>23</w:t>
      </w:r>
      <w:r>
        <w:rPr>
          <w:rFonts w:hint="default" w:ascii="Times New Roman" w:hAnsi="Times New Roman"/>
          <w:sz w:val="28"/>
          <w:szCs w:val="28"/>
          <w:vertAlign w:val="baseline"/>
          <w:lang w:val="en-US"/>
        </w:rPr>
        <w:t>]</w:t>
      </w:r>
      <w:r>
        <w:rPr>
          <w:rFonts w:hint="default" w:ascii="Times New Roman" w:hAnsi="Times New Roman"/>
          <w:sz w:val="28"/>
          <w:szCs w:val="28"/>
          <w:vertAlign w:val="baseline"/>
          <w:lang w:val="ru-RU"/>
        </w:rPr>
        <w:t xml:space="preserve">. </w:t>
      </w:r>
    </w:p>
    <w:p w14:paraId="5905B4DC">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vertAlign w:val="baseline"/>
          <w:lang w:val="ru-RU"/>
        </w:rPr>
      </w:pPr>
      <w:r>
        <w:rPr>
          <w:rFonts w:hint="default" w:ascii="Times New Roman" w:hAnsi="Times New Roman"/>
          <w:sz w:val="28"/>
          <w:szCs w:val="28"/>
          <w:vertAlign w:val="baseline"/>
          <w:lang w:val="ru-RU"/>
        </w:rPr>
        <w:t>Основные барьеры – дефицит необходимых компетенций у персонала, нехватка квалифицированных специалистов по внедрению, а также законодательные и политические ограничения, затрудняющие доступ к зарубежным технологиям (особенно в настоящее время). Степень проникновения цифровых инструментов сильно варьируется по отраслям: лидируют банковский сектор, торговля и телекоммуникации [19].</w:t>
      </w:r>
    </w:p>
    <w:p w14:paraId="6936C81E">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vertAlign w:val="baseline"/>
          <w:lang w:val="ru-RU"/>
        </w:rPr>
      </w:pPr>
      <w:r>
        <w:rPr>
          <w:rFonts w:hint="default" w:ascii="Times New Roman" w:hAnsi="Times New Roman"/>
          <w:sz w:val="28"/>
          <w:szCs w:val="28"/>
          <w:vertAlign w:val="baseline"/>
          <w:lang w:val="ru-RU"/>
        </w:rPr>
        <w:t>В исследованиях, посвящённых цифровой трансформации образования, отражается множество различных подходов. Так, О.В. Ладыкова акцентирует внимание на цифровых технологиях как на базовом средстве развития профессиональных навыков, особо выделяя значимость внутрикорпоративных сетей для обмена информацией и продвижения организационных ценностей [24]. Т.А. Гилева предлагает оценивать готовность компании через категорию «цифровой зрелости», под которой понимается совокупность необходимых ресурсов и умений для внедрения современных образовательных практик. Исследовательница разделяет процесс на две стадии: внедрение E-Learning как технологической основы и последующую цифровизацию, предполагающую адаптацию программ под индивидуальные запросы и создание виртуальных профессиональных сообществ [17]. В свою очередь, В.В. Верна описывает перспективу формирования «образовательной экосистемы» — целостной среды, где различные структуры взаимодействуют для совместного поиска и апробации инновационных подходов к труду в ответ на изменения в экономике [16].</w:t>
      </w:r>
    </w:p>
    <w:p w14:paraId="615DF041">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vertAlign w:val="baseline"/>
          <w:lang w:val="ru-RU"/>
        </w:rPr>
      </w:pPr>
      <w:r>
        <w:rPr>
          <w:rFonts w:hint="default" w:ascii="Times New Roman" w:hAnsi="Times New Roman"/>
          <w:sz w:val="28"/>
          <w:szCs w:val="28"/>
          <w:vertAlign w:val="baseline"/>
          <w:lang w:val="ru-RU"/>
        </w:rPr>
        <w:t>Подводя итог, можно сказать, что в современной экономике, основанной на знаниях, обучение сотрудников приобретает первостепенное значение. Оно перестаёт быть второстепенной функцией и становится ключевым элементом управления, гарантирующим стабильное развитие компании в долгосрочной перспективе. Использование актуальных подходов, таких как геймификация, индивидуальные образовательные программы и LMS-платформы, позволяет организациям не только оперативно решать текущие кадровые задачи, но и готовить будущих лидеров, тем самым повышая качество управленческих решений</w:t>
      </w:r>
    </w:p>
    <w:p w14:paraId="5F5C3F7A">
      <w:pPr>
        <w:keepNext w:val="0"/>
        <w:keepLines w:val="0"/>
        <w:pageBreakBefore w:val="0"/>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vertAlign w:val="baseline"/>
          <w:lang w:val="ru-RU"/>
        </w:rPr>
      </w:pPr>
    </w:p>
    <w:p w14:paraId="28D8E9A6">
      <w:pPr>
        <w:keepNext w:val="0"/>
        <w:keepLines w:val="0"/>
        <w:pageBreakBefore w:val="0"/>
        <w:numPr>
          <w:ilvl w:val="0"/>
          <w:numId w:val="0"/>
        </w:numPr>
        <w:kinsoku/>
        <w:wordWrap/>
        <w:overflowPunct/>
        <w:topLinePunct w:val="0"/>
        <w:autoSpaceDE/>
        <w:autoSpaceDN/>
        <w:bidi w:val="0"/>
        <w:adjustRightInd/>
        <w:snapToGrid/>
        <w:spacing w:line="360" w:lineRule="auto"/>
        <w:ind w:leftChars="125"/>
        <w:jc w:val="center"/>
        <w:textAlignment w:val="auto"/>
        <w:rPr>
          <w:rFonts w:hint="default" w:ascii="Times New Roman" w:hAnsi="Times New Roman"/>
          <w:b/>
          <w:bCs/>
          <w:sz w:val="28"/>
          <w:szCs w:val="28"/>
          <w:vertAlign w:val="baseline"/>
          <w:lang w:val="ru-RU"/>
        </w:rPr>
      </w:pPr>
      <w:r>
        <w:rPr>
          <w:rFonts w:hint="default" w:ascii="Times New Roman" w:hAnsi="Times New Roman"/>
          <w:b/>
          <w:bCs/>
          <w:sz w:val="28"/>
          <w:szCs w:val="28"/>
          <w:lang w:val="ru-RU"/>
        </w:rPr>
        <w:t xml:space="preserve">1.2. </w:t>
      </w:r>
      <w:r>
        <w:rPr>
          <w:rFonts w:hint="default" w:ascii="Times New Roman" w:hAnsi="Times New Roman"/>
          <w:b/>
          <w:bCs/>
          <w:sz w:val="28"/>
          <w:szCs w:val="28"/>
        </w:rPr>
        <w:t>Специфика профессиональных компетенций  тендерных специалистов и современные подходы к их развитию</w:t>
      </w:r>
    </w:p>
    <w:p w14:paraId="3640E35D">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В современной экономике закупки трансформируются из вспомогательной функции, нацеленной на оперативное удовлетворение потребностей производства, в стратегически значимую деятельность, напрямую влияющую на конкурентоспособность бизнеса. Согласно Е.С. Лисиной, ключевыми драйверами этой трансформации выступают цифровизация и санкционное давление, требующие от специалиста перехода от пассивного реагирования к активному формированию рыночных условий. Это предполагает развитие навыков управления рисками, построения партнёрств и стратегического мышления, вытесняющих простое владение регламентами. Как подчёркивает автор, ответом на новый запрос становится разработка специализированных тренингов и системное обновление образовательных программ, позволяющих реализовать стратегический потенциал закупок [25].</w:t>
      </w:r>
    </w:p>
    <w:p w14:paraId="6777C229">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Переход закупочной деятельности  в стратегически значимую влечет за собой и качественное изменение требований к тендерным специалистам (см.табл.1.2.).</w:t>
      </w:r>
    </w:p>
    <w:p w14:paraId="11AA45D6">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p>
    <w:p w14:paraId="005A7E31">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00" w:firstLineChars="125"/>
        <w:jc w:val="right"/>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Таблица 1.2. Стуктура профессиональных компетенций тендерного специалиста</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2"/>
        <w:gridCol w:w="3729"/>
        <w:gridCol w:w="2841"/>
      </w:tblGrid>
      <w:tr w14:paraId="113C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2" w:type="dxa"/>
          </w:tcPr>
          <w:p w14:paraId="0AECBC2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Блок компетенций</w:t>
            </w:r>
          </w:p>
        </w:tc>
        <w:tc>
          <w:tcPr>
            <w:tcW w:w="3729" w:type="dxa"/>
          </w:tcPr>
          <w:p w14:paraId="34A92AC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Ключевые составляющие</w:t>
            </w:r>
          </w:p>
        </w:tc>
        <w:tc>
          <w:tcPr>
            <w:tcW w:w="2841" w:type="dxa"/>
          </w:tcPr>
          <w:p w14:paraId="43D49FB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Ожидаемый результат</w:t>
            </w:r>
          </w:p>
        </w:tc>
      </w:tr>
      <w:tr w14:paraId="7F7EE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2" w:type="dxa"/>
          </w:tcPr>
          <w:p w14:paraId="1C7034C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left"/>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Ядро</w:t>
            </w:r>
          </w:p>
          <w:p w14:paraId="7581AF5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left"/>
              <w:textAlignment w:val="auto"/>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ru-RU"/>
              </w:rPr>
              <w:t xml:space="preserve"> </w:t>
            </w:r>
            <w:r>
              <w:rPr>
                <w:rFonts w:hint="default" w:ascii="Times New Roman" w:hAnsi="Times New Roman"/>
                <w:b w:val="0"/>
                <w:bCs w:val="0"/>
                <w:sz w:val="24"/>
                <w:szCs w:val="24"/>
                <w:vertAlign w:val="baseline"/>
                <w:lang w:val="en-US"/>
              </w:rPr>
              <w:t>(Hard skills)</w:t>
            </w:r>
          </w:p>
        </w:tc>
        <w:tc>
          <w:tcPr>
            <w:tcW w:w="3729" w:type="dxa"/>
          </w:tcPr>
          <w:p w14:paraId="79BFE10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Знание 44-ФЗ, 223-ФЗ, ГК РФ</w:t>
            </w:r>
          </w:p>
          <w:p w14:paraId="183D73E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Работа в ЕИС и на ЭТП</w:t>
            </w:r>
          </w:p>
          <w:p w14:paraId="78662CE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xml:space="preserve">Владение </w:t>
            </w:r>
            <w:r>
              <w:rPr>
                <w:rFonts w:hint="default" w:ascii="Times New Roman" w:hAnsi="Times New Roman"/>
                <w:b w:val="0"/>
                <w:bCs w:val="0"/>
                <w:sz w:val="24"/>
                <w:szCs w:val="24"/>
                <w:vertAlign w:val="baseline"/>
                <w:lang w:val="en-US"/>
              </w:rPr>
              <w:t xml:space="preserve">Exel, Word, </w:t>
            </w:r>
            <w:r>
              <w:rPr>
                <w:rFonts w:hint="default" w:ascii="Times New Roman" w:hAnsi="Times New Roman"/>
                <w:b w:val="0"/>
                <w:bCs w:val="0"/>
                <w:sz w:val="24"/>
                <w:szCs w:val="24"/>
                <w:vertAlign w:val="baseline"/>
                <w:lang w:val="ru-RU"/>
              </w:rPr>
              <w:t>УКЭП</w:t>
            </w:r>
          </w:p>
        </w:tc>
        <w:tc>
          <w:tcPr>
            <w:tcW w:w="2841" w:type="dxa"/>
          </w:tcPr>
          <w:p w14:paraId="06435AA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Безупречное оформление заявок, соответствие нормативам, эффективная работа в цифровой среде</w:t>
            </w:r>
          </w:p>
        </w:tc>
      </w:tr>
      <w:tr w14:paraId="3403C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2" w:type="dxa"/>
          </w:tcPr>
          <w:p w14:paraId="413E934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left"/>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Аналитика и экономика</w:t>
            </w:r>
          </w:p>
        </w:tc>
        <w:tc>
          <w:tcPr>
            <w:tcW w:w="3729" w:type="dxa"/>
          </w:tcPr>
          <w:p w14:paraId="2332C4A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Анализ рынка и конкурентов</w:t>
            </w:r>
          </w:p>
          <w:p w14:paraId="27019E4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Расчет рентабельности и себестоимости</w:t>
            </w:r>
          </w:p>
          <w:p w14:paraId="7ED59D1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Оценка вероятности выигрыша</w:t>
            </w:r>
          </w:p>
          <w:p w14:paraId="1566D29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Прогнозирование прибыли</w:t>
            </w:r>
          </w:p>
          <w:p w14:paraId="5C6B2BC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p>
        </w:tc>
        <w:tc>
          <w:tcPr>
            <w:tcW w:w="2841" w:type="dxa"/>
          </w:tcPr>
          <w:p w14:paraId="7A741EB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Обоснованный выбор  тендеров, экономическая эффективность участия, превращение затрат в инвестиции</w:t>
            </w:r>
          </w:p>
        </w:tc>
      </w:tr>
      <w:tr w14:paraId="76BDC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2" w:type="dxa"/>
          </w:tcPr>
          <w:p w14:paraId="6412DFF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left"/>
              <w:textAlignment w:val="auto"/>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Soft skills</w:t>
            </w:r>
          </w:p>
        </w:tc>
        <w:tc>
          <w:tcPr>
            <w:tcW w:w="3729" w:type="dxa"/>
          </w:tcPr>
          <w:p w14:paraId="14F3134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Внимание к деталям</w:t>
            </w:r>
          </w:p>
          <w:p w14:paraId="14D59EE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Стрессоустойчивость и многозадачность</w:t>
            </w:r>
          </w:p>
          <w:p w14:paraId="61C0F14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Межфункциональное взаимодействие</w:t>
            </w:r>
          </w:p>
        </w:tc>
        <w:tc>
          <w:tcPr>
            <w:tcW w:w="2841" w:type="dxa"/>
          </w:tcPr>
          <w:p w14:paraId="602F71E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xml:space="preserve">Минимизация рисков отклонения заявок, эффективная коммуникация внутри компании, </w:t>
            </w:r>
          </w:p>
        </w:tc>
      </w:tr>
    </w:tbl>
    <w:p w14:paraId="5B66221E">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right"/>
        <w:textAlignment w:val="auto"/>
        <w:rPr>
          <w:rFonts w:hint="default" w:ascii="Times New Roman" w:hAnsi="Times New Roman"/>
          <w:b w:val="0"/>
          <w:bCs w:val="0"/>
          <w:sz w:val="28"/>
          <w:szCs w:val="28"/>
          <w:vertAlign w:val="baseline"/>
          <w:lang w:val="ru-RU"/>
        </w:rPr>
      </w:pPr>
    </w:p>
    <w:p w14:paraId="6C1B445B">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 xml:space="preserve">Ядро компетенций </w:t>
      </w:r>
      <w:r>
        <w:rPr>
          <w:rFonts w:hint="default" w:ascii="Times New Roman" w:hAnsi="Times New Roman"/>
          <w:sz w:val="28"/>
          <w:szCs w:val="28"/>
          <w:vertAlign w:val="baseline"/>
          <w:lang w:val="ru-RU"/>
        </w:rPr>
        <w:t xml:space="preserve">– нормативно - правовая и цифровая грамотность. Базовый уровень профессиональной подготовки –  глубокое знание и понимание законодательной базы. По мнению экспертов </w:t>
      </w:r>
      <w:r>
        <w:rPr>
          <w:rFonts w:hint="default" w:ascii="Times New Roman" w:hAnsi="Times New Roman"/>
          <w:b w:val="0"/>
          <w:bCs w:val="0"/>
          <w:sz w:val="28"/>
          <w:szCs w:val="28"/>
          <w:vertAlign w:val="baseline"/>
          <w:lang w:val="ru-RU"/>
        </w:rPr>
        <w:t xml:space="preserve">BiCoTender, фундаментом профессии является подробное знание Федеральных законов  № 44-ФЗ и № 223-ФЗ. Не менее важно понимание норм Гражданского кодекса, касающихся заключения и исполнения контракт, а также антимонопольного законодательства </w:t>
      </w:r>
      <w:r>
        <w:rPr>
          <w:rFonts w:hint="default" w:ascii="Times New Roman" w:hAnsi="Times New Roman"/>
          <w:b w:val="0"/>
          <w:bCs w:val="0"/>
          <w:sz w:val="28"/>
          <w:szCs w:val="28"/>
          <w:vertAlign w:val="baseline"/>
          <w:lang w:val="en-US"/>
        </w:rPr>
        <w:t>[</w:t>
      </w:r>
      <w:r>
        <w:rPr>
          <w:rFonts w:hint="default" w:ascii="Times New Roman" w:hAnsi="Times New Roman"/>
          <w:b w:val="0"/>
          <w:bCs w:val="0"/>
          <w:sz w:val="28"/>
          <w:szCs w:val="28"/>
          <w:vertAlign w:val="baseline"/>
          <w:lang w:val="ru-RU"/>
        </w:rPr>
        <w:t>26</w:t>
      </w:r>
      <w:r>
        <w:rPr>
          <w:rFonts w:hint="default" w:ascii="Times New Roman" w:hAnsi="Times New Roman"/>
          <w:b w:val="0"/>
          <w:bCs w:val="0"/>
          <w:sz w:val="28"/>
          <w:szCs w:val="28"/>
          <w:vertAlign w:val="baseline"/>
          <w:lang w:val="en-US"/>
        </w:rPr>
        <w:t>]</w:t>
      </w:r>
      <w:r>
        <w:rPr>
          <w:rFonts w:hint="default" w:ascii="Times New Roman" w:hAnsi="Times New Roman"/>
          <w:b w:val="0"/>
          <w:bCs w:val="0"/>
          <w:sz w:val="28"/>
          <w:szCs w:val="28"/>
          <w:vertAlign w:val="baseline"/>
          <w:lang w:val="ru-RU"/>
        </w:rPr>
        <w:t>. Главное уметь не просто ориентироваться в базовых знаниях, но и отслеживать постоянные изменения, понимать логику их применения на практике.</w:t>
      </w:r>
    </w:p>
    <w:p w14:paraId="3A0BE4A7">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 xml:space="preserve">В условиях, когда все закупки осуществляются в цифровом  формате, цифровая грамотность становится важнейшим требованием к специалистам. Ключевые инструменты включают уверенную работу в Единой информационной системе (ЕИС) на портале zakupki.gov.ru, на электронных торговых площадках (ЭТП), владение усиленной квалифицированной электронной подписью (УКЭП), а также свободное использование текстовых и табличных редакторов (Word, Excel) для подготовки расчётов и аналитических материалов </w:t>
      </w:r>
      <w:r>
        <w:rPr>
          <w:rFonts w:hint="default" w:ascii="Times New Roman" w:hAnsi="Times New Roman"/>
          <w:b w:val="0"/>
          <w:bCs w:val="0"/>
          <w:sz w:val="28"/>
          <w:szCs w:val="28"/>
          <w:vertAlign w:val="baseline"/>
          <w:lang w:val="en-US"/>
        </w:rPr>
        <w:t>[</w:t>
      </w:r>
      <w:r>
        <w:rPr>
          <w:rFonts w:hint="default" w:ascii="Times New Roman" w:hAnsi="Times New Roman"/>
          <w:b w:val="0"/>
          <w:bCs w:val="0"/>
          <w:sz w:val="28"/>
          <w:szCs w:val="28"/>
          <w:vertAlign w:val="baseline"/>
          <w:lang w:val="ru-RU"/>
        </w:rPr>
        <w:t>26</w:t>
      </w:r>
      <w:r>
        <w:rPr>
          <w:rFonts w:hint="default" w:ascii="Times New Roman" w:hAnsi="Times New Roman"/>
          <w:b w:val="0"/>
          <w:bCs w:val="0"/>
          <w:sz w:val="28"/>
          <w:szCs w:val="28"/>
          <w:vertAlign w:val="baseline"/>
          <w:lang w:val="en-US"/>
        </w:rPr>
        <w:t>]</w:t>
      </w:r>
      <w:r>
        <w:rPr>
          <w:rFonts w:hint="default" w:ascii="Times New Roman" w:hAnsi="Times New Roman"/>
          <w:b w:val="0"/>
          <w:bCs w:val="0"/>
          <w:sz w:val="28"/>
          <w:szCs w:val="28"/>
          <w:vertAlign w:val="baseline"/>
          <w:lang w:val="ru-RU"/>
        </w:rPr>
        <w:t>.</w:t>
      </w:r>
    </w:p>
    <w:p w14:paraId="1586D1E3">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Эффективное управление закупками требует глубокого аналитического мышления с экономической составляющей. Согласно экспертам РБК, для этого необходимо проводить тщательный анализ рынка закупок, оценивать вероятность успешного исхода тендера, рассчитывать его рентабельность и отслеживать ценовую политику конкурентов. Вместо того чтобы распылять усилия на все доступные процедуры, профессионал осуществляет отбор, ориентируясь на максимальную выгоду и вероятность победы для своей компании</w:t>
      </w:r>
      <w:r>
        <w:rPr>
          <w:rFonts w:hint="default" w:ascii="Times New Roman" w:hAnsi="Times New Roman"/>
          <w:b w:val="0"/>
          <w:bCs w:val="0"/>
          <w:sz w:val="28"/>
          <w:szCs w:val="28"/>
          <w:vertAlign w:val="baseline"/>
          <w:lang w:val="en-US"/>
        </w:rPr>
        <w:t xml:space="preserve"> [27]</w:t>
      </w:r>
      <w:r>
        <w:rPr>
          <w:rFonts w:hint="default" w:ascii="Times New Roman" w:hAnsi="Times New Roman"/>
          <w:b w:val="0"/>
          <w:bCs w:val="0"/>
          <w:sz w:val="28"/>
          <w:szCs w:val="28"/>
          <w:vertAlign w:val="baseline"/>
          <w:lang w:val="ru-RU"/>
        </w:rPr>
        <w:t>. Эксперты BiCoTender подчёркивают, что такой специалист должен быть настоящим экономистом: уметь точно просчитать себестоимость, учесть все дополнительные расходы (на обеспечение, логистику) и спрогнозировать ожидаемую прибыль от контракта. Такой подход трансформирует роль специалиста из простого исполнителя в ценного сотрудника, который активно способствует увеличению прибыли компании, находя наиболее выгодные и перспективные возможности для закупок</w:t>
      </w:r>
      <w:r>
        <w:rPr>
          <w:rFonts w:hint="default" w:ascii="Times New Roman" w:hAnsi="Times New Roman"/>
          <w:b w:val="0"/>
          <w:bCs w:val="0"/>
          <w:sz w:val="28"/>
          <w:szCs w:val="28"/>
          <w:vertAlign w:val="baseline"/>
          <w:lang w:val="en-US"/>
        </w:rPr>
        <w:t xml:space="preserve"> [25]</w:t>
      </w:r>
      <w:r>
        <w:rPr>
          <w:rFonts w:hint="default" w:ascii="Times New Roman" w:hAnsi="Times New Roman"/>
          <w:b w:val="0"/>
          <w:bCs w:val="0"/>
          <w:sz w:val="28"/>
          <w:szCs w:val="28"/>
          <w:vertAlign w:val="baseline"/>
          <w:lang w:val="ru-RU"/>
        </w:rPr>
        <w:t>.</w:t>
      </w:r>
    </w:p>
    <w:p w14:paraId="466469E7">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 xml:space="preserve">Развитие личностных качеств и способность к эффективного взаимодействия также влияет на успех работы тендерного специалиста. BiCoTender относит к числу важнейших качеств дотошность и внимание к деталям </w:t>
      </w:r>
      <w:r>
        <w:rPr>
          <w:rFonts w:hint="default" w:ascii="Times New Roman" w:hAnsi="Times New Roman"/>
          <w:sz w:val="28"/>
          <w:szCs w:val="28"/>
          <w:vertAlign w:val="baseline"/>
          <w:lang w:val="ru-RU"/>
        </w:rPr>
        <w:t xml:space="preserve">– </w:t>
      </w:r>
      <w:r>
        <w:rPr>
          <w:rFonts w:hint="default" w:ascii="Times New Roman" w:hAnsi="Times New Roman"/>
          <w:b w:val="0"/>
          <w:bCs w:val="0"/>
          <w:sz w:val="28"/>
          <w:szCs w:val="28"/>
          <w:vertAlign w:val="baseline"/>
          <w:lang w:val="ru-RU"/>
        </w:rPr>
        <w:t xml:space="preserve">способность глубокого погружения в объёмную документацию в поисках одного слова, которое может повлиять на исход торгов. Высокий уровень стрессоустойчивости, аналитический склад ума и многозадачность также важны, поскольку специалист часто ведёт одновременно несколько тендеров на разных стадиях </w:t>
      </w:r>
      <w:r>
        <w:rPr>
          <w:rFonts w:hint="default" w:ascii="Times New Roman" w:hAnsi="Times New Roman"/>
          <w:b w:val="0"/>
          <w:bCs w:val="0"/>
          <w:sz w:val="28"/>
          <w:szCs w:val="28"/>
          <w:vertAlign w:val="baseline"/>
          <w:lang w:val="en-US"/>
        </w:rPr>
        <w:t>[25]</w:t>
      </w:r>
      <w:r>
        <w:rPr>
          <w:rFonts w:hint="default" w:ascii="Times New Roman" w:hAnsi="Times New Roman"/>
          <w:b w:val="0"/>
          <w:bCs w:val="0"/>
          <w:sz w:val="28"/>
          <w:szCs w:val="28"/>
          <w:vertAlign w:val="baseline"/>
          <w:lang w:val="ru-RU"/>
        </w:rPr>
        <w:t>.</w:t>
      </w:r>
    </w:p>
    <w:p w14:paraId="1C3FCFD5">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 xml:space="preserve">Особое значение имеет навык межфункционального взаимодействия. Как отмечается в публикациях РБК, тендерный специалист </w:t>
      </w:r>
      <w:r>
        <w:rPr>
          <w:rFonts w:hint="default" w:ascii="Times New Roman" w:hAnsi="Times New Roman"/>
          <w:sz w:val="28"/>
          <w:szCs w:val="28"/>
          <w:vertAlign w:val="baseline"/>
          <w:lang w:val="ru-RU"/>
        </w:rPr>
        <w:t xml:space="preserve">– связующее звено </w:t>
      </w:r>
      <w:r>
        <w:rPr>
          <w:rFonts w:hint="default" w:ascii="Times New Roman" w:hAnsi="Times New Roman"/>
          <w:b w:val="0"/>
          <w:bCs w:val="0"/>
          <w:sz w:val="28"/>
          <w:szCs w:val="28"/>
          <w:vertAlign w:val="baseline"/>
          <w:lang w:val="ru-RU"/>
        </w:rPr>
        <w:t>между внутренними процессами компании и внешними требованиями. Он  взаимодействует с юристами, отделом закупок, производством, бухгалтерией и коммерческой службой для сбора информации и согласования позиций. От того, насколько быстро и точно он получает данные от коллег, напрямую зависит скорость и качество подготовки успешной заявки</w:t>
      </w:r>
      <w:r>
        <w:rPr>
          <w:rFonts w:hint="default" w:ascii="Times New Roman" w:hAnsi="Times New Roman"/>
          <w:b w:val="0"/>
          <w:bCs w:val="0"/>
          <w:sz w:val="28"/>
          <w:szCs w:val="28"/>
          <w:vertAlign w:val="baseline"/>
          <w:lang w:val="en-US"/>
        </w:rPr>
        <w:t xml:space="preserve"> [27]</w:t>
      </w:r>
      <w:r>
        <w:rPr>
          <w:rFonts w:hint="default" w:ascii="Times New Roman" w:hAnsi="Times New Roman"/>
          <w:b w:val="0"/>
          <w:bCs w:val="0"/>
          <w:sz w:val="28"/>
          <w:szCs w:val="28"/>
          <w:vertAlign w:val="baseline"/>
          <w:lang w:val="ru-RU"/>
        </w:rPr>
        <w:t>.</w:t>
      </w:r>
    </w:p>
    <w:p w14:paraId="3DE7A53F">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Цифровая трансформация закупок диктует новые стандарты обучения специалистов. Вместо традиционных лекций внедряются комплексные решения, сочетающие теорию с практикой в цифровой среде (см.табл.1.3).</w:t>
      </w:r>
    </w:p>
    <w:p w14:paraId="249C9A03">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p>
    <w:p w14:paraId="0C6578FF">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00" w:firstLineChars="125"/>
        <w:jc w:val="right"/>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Таблица 1.3.  Современные подходы к развитию компетенций в сфере закупок</w:t>
      </w:r>
    </w:p>
    <w:tbl>
      <w:tblPr>
        <w:tblStyle w:val="6"/>
        <w:tblW w:w="87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7"/>
        <w:gridCol w:w="3437"/>
        <w:gridCol w:w="2901"/>
      </w:tblGrid>
      <w:tr w14:paraId="29E48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7" w:type="dxa"/>
          </w:tcPr>
          <w:p w14:paraId="43085AE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Направление</w:t>
            </w:r>
          </w:p>
        </w:tc>
        <w:tc>
          <w:tcPr>
            <w:tcW w:w="3437" w:type="dxa"/>
          </w:tcPr>
          <w:p w14:paraId="5CEDD70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xml:space="preserve">Образовательные форматы </w:t>
            </w:r>
          </w:p>
        </w:tc>
        <w:tc>
          <w:tcPr>
            <w:tcW w:w="2901" w:type="dxa"/>
          </w:tcPr>
          <w:p w14:paraId="656557A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Примеры реализации</w:t>
            </w:r>
          </w:p>
        </w:tc>
      </w:tr>
      <w:tr w14:paraId="2AB4E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7" w:type="dxa"/>
          </w:tcPr>
          <w:p w14:paraId="4182F4D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xml:space="preserve">Системное обучение </w:t>
            </w:r>
          </w:p>
        </w:tc>
        <w:tc>
          <w:tcPr>
            <w:tcW w:w="3437" w:type="dxa"/>
          </w:tcPr>
          <w:p w14:paraId="57660FB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Практикумы на учебных ЭТП, тренажёры ЕИС, смешанное обучение, кейсы</w:t>
            </w:r>
          </w:p>
        </w:tc>
        <w:tc>
          <w:tcPr>
            <w:tcW w:w="2901" w:type="dxa"/>
          </w:tcPr>
          <w:p w14:paraId="4D2953C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СФУ (учебная «РТС-тендер») [28]; НИУ ВШЭ (Пермь) (вебинары + практика) [29]</w:t>
            </w:r>
          </w:p>
        </w:tc>
      </w:tr>
      <w:tr w14:paraId="688D3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7" w:type="dxa"/>
          </w:tcPr>
          <w:p w14:paraId="597BD25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Игровые методы и геймификация</w:t>
            </w:r>
          </w:p>
        </w:tc>
        <w:tc>
          <w:tcPr>
            <w:tcW w:w="3437" w:type="dxa"/>
          </w:tcPr>
          <w:p w14:paraId="2E81918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Настольные и онлайн-игры, деловые симуляторы, квесты</w:t>
            </w:r>
          </w:p>
        </w:tc>
        <w:tc>
          <w:tcPr>
            <w:tcW w:w="2901" w:type="dxa"/>
          </w:tcPr>
          <w:p w14:paraId="460282F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ЭТП Аудиториум: «Закупочный детектив» (10 тыс. обученных) [30]; монография Гладилиной, Молокановой [31]</w:t>
            </w:r>
          </w:p>
        </w:tc>
      </w:tr>
      <w:tr w14:paraId="216D6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7" w:type="dxa"/>
          </w:tcPr>
          <w:p w14:paraId="7A2FEF2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Государственные и отраслевые инициативы</w:t>
            </w:r>
          </w:p>
        </w:tc>
        <w:tc>
          <w:tcPr>
            <w:tcW w:w="3437" w:type="dxa"/>
          </w:tcPr>
          <w:p w14:paraId="729FB0C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Программы адаптации, наставничество, бесплатные курсы</w:t>
            </w:r>
          </w:p>
        </w:tc>
        <w:tc>
          <w:tcPr>
            <w:tcW w:w="2901" w:type="dxa"/>
          </w:tcPr>
          <w:p w14:paraId="2CBC15F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«Закупщик. Новое поколение» (Госкомитет РТ) [32]; «Школа профессионалов» (ЭТП РЕГИОН, 2500+ участников) [33]</w:t>
            </w:r>
          </w:p>
        </w:tc>
      </w:tr>
    </w:tbl>
    <w:p w14:paraId="2DFB85BE">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p>
    <w:p w14:paraId="1FBCD198">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Рассмотрим подробнее каждое направление:</w:t>
      </w:r>
    </w:p>
    <w:p w14:paraId="580171B5">
      <w:pPr>
        <w:keepNext w:val="0"/>
        <w:keepLines w:val="0"/>
        <w:pageBreakBefore w:val="0"/>
        <w:numPr>
          <w:ilvl w:val="0"/>
          <w:numId w:val="5"/>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 xml:space="preserve">Системное обучение и работа с цифровыми средами. </w:t>
      </w:r>
    </w:p>
    <w:p w14:paraId="2BF8C9B5">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 xml:space="preserve">Ключевым условием является интеграция учебного процесса с реальными электронными торговыми площадками, что способствует развитию практических навыков.В качестве показательного примера можно привести программу профессиональной переподготовки Сибирского федерального университета, которая предоставляет слушателям доступ к учебной ЭТП «РТС-тендер» и тренажёру-иммитатору личного кабинета ЕИС. Аналогичный подход реализуется в программах НИУ ВШЭ, где обучение строится на смешанном формате (очные занятия и вебинары) с отработкой навыков на практических кейсах и анализом документации на предмет рисков. Это даёт возможность освоить все площадки для работы в безопасном варианте, исключая возможность ошибок при реальной работе с закупками </w:t>
      </w:r>
      <w:r>
        <w:rPr>
          <w:rFonts w:hint="default" w:ascii="Times New Roman" w:hAnsi="Times New Roman"/>
          <w:b w:val="0"/>
          <w:bCs w:val="0"/>
          <w:sz w:val="28"/>
          <w:szCs w:val="28"/>
          <w:vertAlign w:val="baseline"/>
          <w:lang w:val="en-US"/>
        </w:rPr>
        <w:t>[</w:t>
      </w:r>
      <w:r>
        <w:rPr>
          <w:rFonts w:hint="default" w:ascii="Times New Roman" w:hAnsi="Times New Roman"/>
          <w:b w:val="0"/>
          <w:bCs w:val="0"/>
          <w:sz w:val="28"/>
          <w:szCs w:val="28"/>
          <w:vertAlign w:val="baseline"/>
          <w:lang w:val="ru-RU"/>
        </w:rPr>
        <w:t>29</w:t>
      </w:r>
      <w:r>
        <w:rPr>
          <w:rFonts w:hint="default" w:ascii="Times New Roman" w:hAnsi="Times New Roman"/>
          <w:b w:val="0"/>
          <w:bCs w:val="0"/>
          <w:sz w:val="28"/>
          <w:szCs w:val="28"/>
          <w:vertAlign w:val="baseline"/>
          <w:lang w:val="en-US"/>
        </w:rPr>
        <w:t>,35]</w:t>
      </w:r>
      <w:r>
        <w:rPr>
          <w:rFonts w:hint="default" w:ascii="Times New Roman" w:hAnsi="Times New Roman"/>
          <w:b w:val="0"/>
          <w:bCs w:val="0"/>
          <w:sz w:val="28"/>
          <w:szCs w:val="28"/>
          <w:vertAlign w:val="baseline"/>
          <w:lang w:val="ru-RU"/>
        </w:rPr>
        <w:t>.</w:t>
      </w:r>
    </w:p>
    <w:p w14:paraId="1F720A78">
      <w:pPr>
        <w:keepNext w:val="0"/>
        <w:keepLines w:val="0"/>
        <w:pageBreakBefore w:val="0"/>
        <w:numPr>
          <w:ilvl w:val="0"/>
          <w:numId w:val="5"/>
        </w:numPr>
        <w:kinsoku/>
        <w:wordWrap/>
        <w:overflowPunct/>
        <w:topLinePunct w:val="0"/>
        <w:autoSpaceDE/>
        <w:autoSpaceDN/>
        <w:bidi w:val="0"/>
        <w:adjustRightInd/>
        <w:snapToGrid/>
        <w:spacing w:line="360" w:lineRule="auto"/>
        <w:ind w:left="0"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Игровые методы и геймификация.</w:t>
      </w:r>
    </w:p>
    <w:p w14:paraId="3FD84A5F">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В последние годы обучение закупочным процедурам потерпело значительные изменения благодаря внедрению игровых форматов. Проект «Закупочные решения: игровые методы обучения» ЭТП Аудиториум (ЭТП Газпромбанка) предлагает настольные и онлайн-игры, включая «Закупочный детектив» и «Город уже давно спит, а закупщики продолжают работать». Эти игры позволяют безопасно отрабатывать сложные ситуации и анализировать ошибки без негативных последствий для бизнеса. . Проект достиг впечатляющих масштабов: более 10 тысяч специалистов из различных регионов России уже приняли участие в обучении, а сам проект был отмечен премией «Эффективное образование — 2025»</w:t>
      </w:r>
      <w:r>
        <w:rPr>
          <w:rFonts w:hint="default" w:ascii="Times New Roman" w:hAnsi="Times New Roman"/>
          <w:b w:val="0"/>
          <w:bCs w:val="0"/>
          <w:sz w:val="28"/>
          <w:szCs w:val="28"/>
          <w:vertAlign w:val="baseline"/>
          <w:lang w:val="en-US"/>
        </w:rPr>
        <w:t xml:space="preserve"> [3</w:t>
      </w:r>
      <w:r>
        <w:rPr>
          <w:rFonts w:hint="default" w:ascii="Times New Roman" w:hAnsi="Times New Roman"/>
          <w:b w:val="0"/>
          <w:bCs w:val="0"/>
          <w:sz w:val="28"/>
          <w:szCs w:val="28"/>
          <w:vertAlign w:val="baseline"/>
          <w:lang w:val="ru-RU"/>
        </w:rPr>
        <w:t>0</w:t>
      </w:r>
      <w:r>
        <w:rPr>
          <w:rFonts w:hint="default" w:ascii="Times New Roman" w:hAnsi="Times New Roman"/>
          <w:b w:val="0"/>
          <w:bCs w:val="0"/>
          <w:sz w:val="28"/>
          <w:szCs w:val="28"/>
          <w:vertAlign w:val="baseline"/>
          <w:lang w:val="en-US"/>
        </w:rPr>
        <w:t>]</w:t>
      </w:r>
      <w:r>
        <w:rPr>
          <w:rFonts w:hint="default" w:ascii="Times New Roman" w:hAnsi="Times New Roman"/>
          <w:b w:val="0"/>
          <w:bCs w:val="0"/>
          <w:sz w:val="28"/>
          <w:szCs w:val="28"/>
          <w:vertAlign w:val="baseline"/>
          <w:lang w:val="ru-RU"/>
        </w:rPr>
        <w:t xml:space="preserve">. То, что игры полезны для учебы, подтверждают и ученые: в монографии И.П. Гладилиной и Ю.А. Молокановой рассматривается проблема повышения квалификации специалистов в сфере закупок на основе игровых методов и обосновывается необходимость нового образовательного формата для эффективной работы в цифровых системах </w:t>
      </w:r>
      <w:r>
        <w:rPr>
          <w:rFonts w:hint="default" w:ascii="Times New Roman" w:hAnsi="Times New Roman"/>
          <w:b w:val="0"/>
          <w:bCs w:val="0"/>
          <w:sz w:val="28"/>
          <w:szCs w:val="28"/>
          <w:vertAlign w:val="baseline"/>
          <w:lang w:val="en-US"/>
        </w:rPr>
        <w:t>[</w:t>
      </w:r>
      <w:r>
        <w:rPr>
          <w:rFonts w:hint="default" w:ascii="Times New Roman" w:hAnsi="Times New Roman"/>
          <w:b w:val="0"/>
          <w:bCs w:val="0"/>
          <w:sz w:val="28"/>
          <w:szCs w:val="28"/>
          <w:vertAlign w:val="baseline"/>
          <w:lang w:val="ru-RU"/>
        </w:rPr>
        <w:t>31</w:t>
      </w:r>
      <w:r>
        <w:rPr>
          <w:rFonts w:hint="default" w:ascii="Times New Roman" w:hAnsi="Times New Roman"/>
          <w:b w:val="0"/>
          <w:bCs w:val="0"/>
          <w:sz w:val="28"/>
          <w:szCs w:val="28"/>
          <w:vertAlign w:val="baseline"/>
          <w:lang w:val="en-US"/>
        </w:rPr>
        <w:t>]</w:t>
      </w:r>
      <w:r>
        <w:rPr>
          <w:rFonts w:hint="default" w:ascii="Times New Roman" w:hAnsi="Times New Roman"/>
          <w:b w:val="0"/>
          <w:bCs w:val="0"/>
          <w:sz w:val="28"/>
          <w:szCs w:val="28"/>
          <w:vertAlign w:val="baseline"/>
          <w:lang w:val="ru-RU"/>
        </w:rPr>
        <w:t>.</w:t>
      </w:r>
    </w:p>
    <w:p w14:paraId="62C31532">
      <w:pPr>
        <w:keepNext w:val="0"/>
        <w:keepLines w:val="0"/>
        <w:pageBreakBefore w:val="0"/>
        <w:numPr>
          <w:ilvl w:val="0"/>
          <w:numId w:val="5"/>
        </w:numPr>
        <w:kinsoku/>
        <w:wordWrap/>
        <w:overflowPunct/>
        <w:topLinePunct w:val="0"/>
        <w:autoSpaceDE/>
        <w:autoSpaceDN/>
        <w:bidi w:val="0"/>
        <w:adjustRightInd/>
        <w:snapToGrid/>
        <w:spacing w:line="360" w:lineRule="auto"/>
        <w:ind w:left="0"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Государственные и отраслевые инициативы.</w:t>
      </w:r>
    </w:p>
    <w:p w14:paraId="5C7E95DB">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 xml:space="preserve">Региональные власти и ведущие компании активно способствуют обновлению образовательных подходов.  В качестве примера, в Татарстане действует программа «Закупщик. Новое поколение» (Госкомитет РТ по закупкам), эта программа создана для того, чтобы помочь начинающим специалистам успешно адаптироваться. Она объединяет теоретические знания, решение реальных задач и наставничество от опытных экспертов отрасли, а также оказывает помощь выпускникам в трудоустройстве </w:t>
      </w:r>
      <w:r>
        <w:rPr>
          <w:rFonts w:hint="default" w:ascii="Times New Roman" w:hAnsi="Times New Roman"/>
          <w:b w:val="0"/>
          <w:bCs w:val="0"/>
          <w:sz w:val="28"/>
          <w:szCs w:val="28"/>
          <w:vertAlign w:val="baseline"/>
          <w:lang w:val="en-US"/>
        </w:rPr>
        <w:t>[32]</w:t>
      </w:r>
      <w:r>
        <w:rPr>
          <w:rFonts w:hint="default" w:ascii="Times New Roman" w:hAnsi="Times New Roman"/>
          <w:b w:val="0"/>
          <w:bCs w:val="0"/>
          <w:sz w:val="28"/>
          <w:szCs w:val="28"/>
          <w:vertAlign w:val="baseline"/>
          <w:lang w:val="ru-RU"/>
        </w:rPr>
        <w:t>.  Ещё один значимый проект – федеральная «Школа профессионалов» от ЭТП «РЕГИОН». Проект предоставляет бесплатное обучение специалистов по законодательству 223-ФЗ, используя современные цифровые образовательные инструменты, и уже охватил более 2500 участников из 88 регионов страны</w:t>
      </w:r>
      <w:r>
        <w:rPr>
          <w:rFonts w:hint="default" w:ascii="Times New Roman" w:hAnsi="Times New Roman"/>
          <w:b w:val="0"/>
          <w:bCs w:val="0"/>
          <w:sz w:val="28"/>
          <w:szCs w:val="28"/>
          <w:vertAlign w:val="baseline"/>
          <w:lang w:val="en-US"/>
        </w:rPr>
        <w:t xml:space="preserve"> [33]</w:t>
      </w:r>
      <w:r>
        <w:rPr>
          <w:rFonts w:hint="default" w:ascii="Times New Roman" w:hAnsi="Times New Roman"/>
          <w:b w:val="0"/>
          <w:bCs w:val="0"/>
          <w:sz w:val="28"/>
          <w:szCs w:val="28"/>
          <w:vertAlign w:val="baseline"/>
          <w:lang w:val="ru-RU"/>
        </w:rPr>
        <w:t>.</w:t>
      </w:r>
    </w:p>
    <w:p w14:paraId="3574BCB8">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Итак, тендерный специалист представляет собой гибридного эксперта, объединяющего в себе юридическую подкованность, аналитическое мышление, уверенное владение цифровыми технологиями и мастерство переговорщика. Развитие его компетенций сегодня строится на симбиозе фундаментальных знаний, цифровых инструментов и интерактивных форматов обучения . Это обеспечивает организациям минимизацию потенциальных рисков и существенное повышение результативности их участия в тендерах.</w:t>
      </w:r>
    </w:p>
    <w:p w14:paraId="2436DE17">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p>
    <w:p w14:paraId="4C2245F7">
      <w:pPr>
        <w:keepNext w:val="0"/>
        <w:keepLines w:val="0"/>
        <w:pageBreakBefore w:val="0"/>
        <w:numPr>
          <w:ilvl w:val="0"/>
          <w:numId w:val="0"/>
        </w:numPr>
        <w:kinsoku/>
        <w:wordWrap/>
        <w:overflowPunct/>
        <w:topLinePunct w:val="0"/>
        <w:autoSpaceDE/>
        <w:autoSpaceDN/>
        <w:bidi w:val="0"/>
        <w:adjustRightInd/>
        <w:snapToGrid/>
        <w:spacing w:line="360" w:lineRule="auto"/>
        <w:ind w:leftChars="125"/>
        <w:jc w:val="center"/>
        <w:textAlignment w:val="auto"/>
        <w:rPr>
          <w:rFonts w:hint="default" w:ascii="Times New Roman" w:hAnsi="Times New Roman"/>
          <w:b/>
          <w:bCs/>
          <w:sz w:val="28"/>
          <w:szCs w:val="28"/>
        </w:rPr>
      </w:pPr>
      <w:r>
        <w:rPr>
          <w:rFonts w:hint="default" w:ascii="Times New Roman" w:hAnsi="Times New Roman"/>
          <w:b/>
          <w:bCs/>
          <w:sz w:val="28"/>
          <w:szCs w:val="28"/>
          <w:lang w:val="ru-RU"/>
        </w:rPr>
        <w:t xml:space="preserve">1.3. </w:t>
      </w:r>
      <w:r>
        <w:rPr>
          <w:rFonts w:hint="default" w:ascii="Times New Roman" w:hAnsi="Times New Roman"/>
          <w:b/>
          <w:bCs/>
          <w:sz w:val="28"/>
          <w:szCs w:val="28"/>
        </w:rPr>
        <w:t>Методологические подходы к оценке эффективности обучения тендерных специалистов</w:t>
      </w:r>
    </w:p>
    <w:p w14:paraId="1369E272">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В современном HR-менеджменте обучение персонала это не просто затраты, а стратегические инвестиции. Для тендерных специалистов это особенно важно, так как их работа напрямую влияет на финансовые показатели. Согласно РБК, внедрение системного обучения и аналитики значительно могут повысить эффективность тендерного отдела – рост конверсии вырастет с 8% до 25%, а доля госзакупок – с 15% до 42% [35]. Но чтобы эти инвестиции были оправданы, нужна надёжная система оценки эффективности обучения.</w:t>
      </w:r>
    </w:p>
    <w:p w14:paraId="12266458">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Эффективность обучения – это соотношение результата и затраченных на его достижение ресурсов. Методология оценки опирается на ряд принципов: объективность, надёжность (стабильность результатов), достоверность (точность отображения реальности), комплексность (всесторонний анализ) и прогнозируемость (способность предвидеть) [36, с.81].</w:t>
      </w:r>
    </w:p>
    <w:p w14:paraId="44BF6F87">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Оценить, насколько эффективно обучение в сфере закупок, довольно сложно. Во-первых, влияние внешних обстоятельств (изменение законодательства, рыночная конъюнктура и тд.) сложно отделить от эффекта обучения. Во-вторых, новые знания не дают мгновенного эффекта. В-третьих, тяжело выделить «чистый» вклад обучения в улучшение показателей на фоне других факторов, таких как мотивация или изменения в организации [37].</w:t>
      </w:r>
    </w:p>
    <w:p w14:paraId="1DDFBE16">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С.Келман в своём исследовании показал, что процент выигранных тендеров сильно меняется из-за общей экономической ситуации и сезонности бюджетных расходов [43]. Чтобы получить более точную оценку, западные специалисты предлагают сравнивать тех, кто учился, с теми, кто не учился. Это поможет понять что именно дало обучение, а не внешние обстоятельства [44, с.45].</w:t>
      </w:r>
    </w:p>
    <w:p w14:paraId="509894B9">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 xml:space="preserve">Существует несколько классических моделей оценки эффективности обучения. Наиболее распространённая – модель Д.Киркпатрика, разработанная в 1950-х годах.  Она предполагает последовательную оценку на четырёх уровнях: реакция, усвоение, поведение, результаты. Первый уровень измеряет удовлетворённость участников обучением, второй оценивает прирост знаний посредством тестирования, третий выявляет степень применения знаний на работе, четвёртый определяет влияние обучения на бизнес-показатели </w:t>
      </w:r>
      <w:r>
        <w:rPr>
          <w:rFonts w:hint="default" w:ascii="Times New Roman" w:hAnsi="Times New Roman"/>
          <w:b w:val="0"/>
          <w:bCs w:val="0"/>
          <w:sz w:val="28"/>
          <w:szCs w:val="28"/>
          <w:vertAlign w:val="baseline"/>
          <w:lang w:val="en-US"/>
        </w:rPr>
        <w:t>[38]</w:t>
      </w:r>
      <w:r>
        <w:rPr>
          <w:rFonts w:hint="default" w:ascii="Times New Roman" w:hAnsi="Times New Roman"/>
          <w:b w:val="0"/>
          <w:bCs w:val="0"/>
          <w:sz w:val="28"/>
          <w:szCs w:val="28"/>
          <w:vertAlign w:val="baseline"/>
          <w:lang w:val="ru-RU"/>
        </w:rPr>
        <w:t>.</w:t>
      </w:r>
    </w:p>
    <w:p w14:paraId="0C23CE6F">
      <w:pPr>
        <w:keepNext w:val="0"/>
        <w:keepLines w:val="0"/>
        <w:pageBreakBefore w:val="0"/>
        <w:numPr>
          <w:ilvl w:val="0"/>
          <w:numId w:val="6"/>
        </w:numPr>
        <w:kinsoku/>
        <w:wordWrap/>
        <w:overflowPunct/>
        <w:topLinePunct w:val="0"/>
        <w:autoSpaceDE/>
        <w:autoSpaceDN/>
        <w:bidi w:val="0"/>
        <w:adjustRightInd/>
        <w:snapToGrid/>
        <w:spacing w:line="360" w:lineRule="auto"/>
        <w:ind w:left="0" w:leftChars="0"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Модель Дж. Филлипса (ROI) дополняет подход Киркпатрика, добавляя пятый уровень — возврат на инвестиции. Данная модель позволяет рассчитать, сколько единиц прибыли приносит каждая единица валюты, вложенная в обучение [37].</w:t>
      </w:r>
    </w:p>
    <w:p w14:paraId="5C254D78">
      <w:pPr>
        <w:keepNext w:val="0"/>
        <w:keepLines w:val="0"/>
        <w:pageBreakBefore w:val="0"/>
        <w:numPr>
          <w:ilvl w:val="0"/>
          <w:numId w:val="0"/>
        </w:numPr>
        <w:kinsoku/>
        <w:wordWrap/>
        <w:overflowPunct/>
        <w:topLinePunct w:val="0"/>
        <w:autoSpaceDE/>
        <w:autoSpaceDN/>
        <w:bidi w:val="0"/>
        <w:adjustRightInd/>
        <w:snapToGrid/>
        <w:spacing w:line="360" w:lineRule="auto"/>
        <w:ind w:leftChars="125"/>
        <w:jc w:val="both"/>
        <w:textAlignment w:val="auto"/>
        <w:rPr>
          <w:rFonts w:hint="default" w:ascii="Times New Roman" w:hAnsi="Times New Roman"/>
          <w:b w:val="0"/>
          <w:bCs w:val="0"/>
          <w:sz w:val="28"/>
          <w:szCs w:val="28"/>
          <w:lang w:val="ru-RU"/>
        </w:rPr>
      </w:pPr>
    </w:p>
    <w:p w14:paraId="6BD61D97">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Расчёт ROI производится по формуле:</w:t>
      </w:r>
    </w:p>
    <w:p w14:paraId="574C3465">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lang w:val="ru-RU"/>
        </w:rPr>
      </w:pPr>
    </w:p>
    <w:p w14:paraId="3EDEFD86">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00" w:firstLineChars="125"/>
        <w:jc w:val="both"/>
        <w:textAlignment w:val="auto"/>
        <w:rPr>
          <w:rFonts w:hint="default" w:hAnsi="Cambria Math" w:cstheme="minorBidi"/>
          <w:b w:val="0"/>
          <w:i w:val="0"/>
          <w:sz w:val="24"/>
          <w:szCs w:val="24"/>
          <w:lang w:val="ru-RU" w:eastAsia="zh-CN" w:bidi="ar-SA"/>
        </w:rPr>
      </w:pPr>
      <m:oMathPara>
        <m:oMath>
          <m:r>
            <m:rPr>
              <m:sty m:val="p"/>
            </m:rPr>
            <w:rPr>
              <w:rFonts w:hint="default" w:ascii="Cambria Math" w:hAnsi="Cambria Math" w:cstheme="minorBidi"/>
              <w:sz w:val="24"/>
              <w:szCs w:val="24"/>
              <w:lang w:val="en-US" w:eastAsia="zh-CN" w:bidi="ar-SA"/>
            </w:rPr>
            <m:t>ROI=(</m:t>
          </m:r>
          <m:f>
            <m:fPr>
              <m:ctrlPr>
                <w:rPr>
                  <w:rFonts w:hint="default" w:ascii="Cambria Math" w:hAnsi="Cambria Math" w:cstheme="minorBidi"/>
                  <w:b w:val="0"/>
                  <w:bCs w:val="0"/>
                  <w:i w:val="0"/>
                  <w:iCs/>
                  <w:sz w:val="24"/>
                  <w:szCs w:val="24"/>
                  <w:lang w:val="en-US" w:eastAsia="zh-CN" w:bidi="ar-SA"/>
                </w:rPr>
              </m:ctrlPr>
            </m:fPr>
            <m:num>
              <m:r>
                <m:rPr>
                  <m:sty m:val="p"/>
                </m:rPr>
                <w:rPr>
                  <w:rFonts w:hint="default" w:ascii="Cambria Math" w:hAnsi="Cambria Math" w:cstheme="minorBidi"/>
                  <w:sz w:val="24"/>
                  <w:szCs w:val="24"/>
                  <w:lang w:val="ru-RU" w:eastAsia="zh-CN" w:bidi="ar-SA"/>
                </w:rPr>
                <m:t>Доходы от обучения − Затраты</m:t>
              </m:r>
              <m:ctrlPr>
                <w:rPr>
                  <w:rFonts w:hint="default" w:ascii="Cambria Math" w:hAnsi="Cambria Math" w:cstheme="minorBidi"/>
                  <w:b w:val="0"/>
                  <w:bCs w:val="0"/>
                  <w:i w:val="0"/>
                  <w:iCs/>
                  <w:sz w:val="24"/>
                  <w:szCs w:val="24"/>
                  <w:lang w:val="en-US" w:eastAsia="zh-CN" w:bidi="ar-SA"/>
                </w:rPr>
              </m:ctrlPr>
            </m:num>
            <m:den>
              <m:r>
                <m:rPr>
                  <m:sty m:val="p"/>
                </m:rPr>
                <w:rPr>
                  <w:rFonts w:hint="default" w:ascii="Cambria Math" w:hAnsi="Cambria Math" w:cstheme="minorBidi"/>
                  <w:sz w:val="24"/>
                  <w:szCs w:val="24"/>
                  <w:lang w:val="ru-RU" w:eastAsia="zh-CN" w:bidi="ar-SA"/>
                </w:rPr>
                <m:t>Затраты</m:t>
              </m:r>
              <m:ctrlPr>
                <w:rPr>
                  <w:rFonts w:hint="default" w:ascii="Cambria Math" w:hAnsi="Cambria Math" w:cstheme="minorBidi"/>
                  <w:b w:val="0"/>
                  <w:bCs w:val="0"/>
                  <w:i w:val="0"/>
                  <w:iCs/>
                  <w:sz w:val="24"/>
                  <w:szCs w:val="24"/>
                  <w:lang w:val="en-US" w:eastAsia="zh-CN" w:bidi="ar-SA"/>
                </w:rPr>
              </m:ctrlPr>
            </m:den>
          </m:f>
          <m:r>
            <m:rPr>
              <m:sty m:val="p"/>
            </m:rPr>
            <w:rPr>
              <w:rFonts w:hint="default" w:ascii="Cambria Math" w:hAnsi="Cambria Math" w:cstheme="minorBidi"/>
              <w:sz w:val="24"/>
              <w:szCs w:val="24"/>
              <w:lang w:val="en-US" w:eastAsia="zh-CN" w:bidi="ar-SA"/>
            </w:rPr>
            <m:t>)</m:t>
          </m:r>
          <m:r>
            <m:rPr>
              <m:sty m:val="p"/>
            </m:rPr>
            <w:rPr>
              <w:rFonts w:hint="default" w:ascii="Cambria Math" w:hAnsi="Cambria Math" w:cstheme="minorBidi"/>
              <w:sz w:val="24"/>
              <w:szCs w:val="24"/>
              <w:lang w:val="ru-RU" w:eastAsia="zh-CN" w:bidi="ar-SA"/>
            </w:rPr>
            <m:t>∗100%</m:t>
          </m:r>
        </m:oMath>
      </m:oMathPara>
    </w:p>
    <w:p w14:paraId="196E25A9">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00" w:firstLineChars="125"/>
        <w:jc w:val="both"/>
        <w:textAlignment w:val="auto"/>
        <w:rPr>
          <w:rFonts w:hint="default" w:hAnsi="Cambria Math" w:cstheme="minorBidi"/>
          <w:b w:val="0"/>
          <w:i w:val="0"/>
          <w:sz w:val="24"/>
          <w:szCs w:val="24"/>
          <w:lang w:val="ru-RU" w:eastAsia="zh-CN" w:bidi="ar-SA"/>
        </w:rPr>
      </w:pPr>
    </w:p>
    <w:p w14:paraId="666DC42C">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Использование модели Филлипса сталкивается с рядом трудностей. Во-первых, это процесс, требующий значительных временных затрат. Во-вторых, существует сложность в отделении истинного эффекта обучения от влияния посторонних факторов, что затрудняет точную оценку.</w:t>
      </w:r>
    </w:p>
    <w:p w14:paraId="11651DAC">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Важно понимать, что не все программы требуют оценки по пятому уровню. Согласно рекомендациям Джека Филлипса, оценка по различным уровням должна применяться дифференцированно: 90-100% программ оцениваются по 1-му уровню, 40-60% – по 2-му, 30% – по 3-му, 10-20% – по 4-му, и только 5-10% наиболее стратегически значимых и дорогостоящих программ требуют расчёта ROI [</w:t>
      </w:r>
      <w:r>
        <w:rPr>
          <w:rFonts w:hint="default" w:ascii="Times New Roman" w:hAnsi="Times New Roman"/>
          <w:b w:val="0"/>
          <w:bCs w:val="0"/>
          <w:sz w:val="28"/>
          <w:szCs w:val="28"/>
          <w:vertAlign w:val="baseline"/>
          <w:lang w:val="en-US"/>
        </w:rPr>
        <w:t>39</w:t>
      </w:r>
      <w:r>
        <w:rPr>
          <w:rFonts w:hint="default" w:ascii="Times New Roman" w:hAnsi="Times New Roman"/>
          <w:b w:val="0"/>
          <w:bCs w:val="0"/>
          <w:sz w:val="28"/>
          <w:szCs w:val="28"/>
          <w:vertAlign w:val="baseline"/>
          <w:lang w:val="ru-RU"/>
        </w:rPr>
        <w:t>].</w:t>
      </w:r>
    </w:p>
    <w:p w14:paraId="2F5D51AB">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Чтобы обучение действительно приносило пользу и постоянно совершенствовалось, важно оценивать результативность. Выделяют следующие ключевые этапы:</w:t>
      </w:r>
    </w:p>
    <w:p w14:paraId="2D030DB8">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 xml:space="preserve">1. Предварительная оценка: проводится с целью определения текущего уровня компетенций  и выявления пробелов. Для этого используются тесты по законодательной базе, анализ рабочих показателей, беседы с руководством. </w:t>
      </w:r>
    </w:p>
    <w:p w14:paraId="726DFF77">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2. Текущая оценка: направлена на контроль усвоения материала и оперативную корректировку программы. Применяются практические задания, разбор реальных ситуаций и деловые игры.</w:t>
      </w:r>
    </w:p>
    <w:p w14:paraId="7C1C9A40">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3. Итоговая оценка: состоит из двух частей – оценка реакции обучающихся (анкеты удовлетворённости) и оценки усвоения знаний (повторные тесты, экзамены)</w:t>
      </w:r>
    </w:p>
    <w:p w14:paraId="2A06B653">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4. Отсроченная оценка (через 3-6 месяцев): наблюдение за поведением на рабочем месте, оценка со стороны руководства, анализ динамики ключевых показателей результативности. На этом этапе можно определить, произошло ли реальное внедрение знаний в практику и как это отразилось на бизнес-процессах [35].</w:t>
      </w:r>
    </w:p>
    <w:p w14:paraId="0A343BA0">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 xml:space="preserve">Для полной оценки деятельности тендерного отдела необходима система метрик, которая будет охватывать все ключевые направления его деятельности. Исследование А.Г.Николаевой в сфере закупок показало, что нет единого стандарта показателей для оценки, что требует адаптации существующих подходов к специфике конкретного предприятия [40]. </w:t>
      </w:r>
    </w:p>
    <w:p w14:paraId="4312A51A">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Основываясь на изученных материалах и практическом опыте, предлагается следующая система показателей для оценки эффективности обучения специалистов по закупкам</w:t>
      </w:r>
      <w:r>
        <w:rPr>
          <w:rFonts w:hint="default" w:ascii="Times New Roman" w:hAnsi="Times New Roman"/>
          <w:b w:val="0"/>
          <w:bCs w:val="0"/>
          <w:sz w:val="28"/>
          <w:szCs w:val="28"/>
          <w:vertAlign w:val="baseline"/>
          <w:lang w:val="en-US"/>
        </w:rPr>
        <w:t xml:space="preserve"> (</w:t>
      </w:r>
      <w:r>
        <w:rPr>
          <w:rFonts w:hint="default" w:ascii="Times New Roman" w:hAnsi="Times New Roman"/>
          <w:b w:val="0"/>
          <w:bCs w:val="0"/>
          <w:sz w:val="28"/>
          <w:szCs w:val="28"/>
          <w:vertAlign w:val="baseline"/>
          <w:lang w:val="ru-RU"/>
        </w:rPr>
        <w:t>см.табл.1.4</w:t>
      </w:r>
      <w:r>
        <w:rPr>
          <w:rFonts w:hint="default" w:ascii="Times New Roman" w:hAnsi="Times New Roman"/>
          <w:b w:val="0"/>
          <w:bCs w:val="0"/>
          <w:sz w:val="28"/>
          <w:szCs w:val="28"/>
          <w:vertAlign w:val="baseline"/>
          <w:lang w:val="en-US"/>
        </w:rPr>
        <w:t>)</w:t>
      </w:r>
      <w:r>
        <w:rPr>
          <w:rFonts w:hint="default" w:ascii="Times New Roman" w:hAnsi="Times New Roman"/>
          <w:b w:val="0"/>
          <w:bCs w:val="0"/>
          <w:sz w:val="28"/>
          <w:szCs w:val="28"/>
          <w:vertAlign w:val="baseline"/>
          <w:lang w:val="ru-RU"/>
        </w:rPr>
        <w:t>:</w:t>
      </w:r>
    </w:p>
    <w:p w14:paraId="5176C871">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p>
    <w:p w14:paraId="25BA0D77">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00" w:firstLineChars="125"/>
        <w:jc w:val="right"/>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Таблица 1.4.  Система показателей оценки эффективности обучения тендерных специалистов</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9"/>
        <w:gridCol w:w="3832"/>
        <w:gridCol w:w="2381"/>
      </w:tblGrid>
      <w:tr w14:paraId="297C8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9" w:type="dxa"/>
          </w:tcPr>
          <w:p w14:paraId="667E232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Группа показателей</w:t>
            </w:r>
          </w:p>
        </w:tc>
        <w:tc>
          <w:tcPr>
            <w:tcW w:w="3832" w:type="dxa"/>
          </w:tcPr>
          <w:p w14:paraId="7D7A743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Примеры метрик</w:t>
            </w:r>
          </w:p>
        </w:tc>
        <w:tc>
          <w:tcPr>
            <w:tcW w:w="2381" w:type="dxa"/>
          </w:tcPr>
          <w:p w14:paraId="2845C6F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Метод сбора</w:t>
            </w:r>
          </w:p>
        </w:tc>
      </w:tr>
      <w:tr w14:paraId="02E19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9" w:type="dxa"/>
          </w:tcPr>
          <w:p w14:paraId="3D65411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p>
          <w:p w14:paraId="0C54EC6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Показатели результативности</w:t>
            </w:r>
          </w:p>
        </w:tc>
        <w:tc>
          <w:tcPr>
            <w:tcW w:w="3832" w:type="dxa"/>
          </w:tcPr>
          <w:p w14:paraId="184C897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Конверсия (соотношение поданных заявок к выигранным); доля госзакупок в общем обороте; доля выигранных НМЦК; средняя рентабельность выигранных контрактов</w:t>
            </w:r>
          </w:p>
        </w:tc>
        <w:tc>
          <w:tcPr>
            <w:tcW w:w="2381" w:type="dxa"/>
          </w:tcPr>
          <w:p w14:paraId="3CEA050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CRM</w:t>
            </w:r>
            <w:r>
              <w:rPr>
                <w:rFonts w:hint="default" w:ascii="Times New Roman" w:hAnsi="Times New Roman"/>
                <w:b w:val="0"/>
                <w:bCs w:val="0"/>
                <w:sz w:val="24"/>
                <w:szCs w:val="24"/>
                <w:vertAlign w:val="baseline"/>
                <w:lang w:val="ru-RU"/>
              </w:rPr>
              <w:t xml:space="preserve">-система,  финансовая отчетность, отчеты тендерного отдела </w:t>
            </w:r>
            <w:r>
              <w:rPr>
                <w:rFonts w:hint="default" w:ascii="Times New Roman" w:hAnsi="Times New Roman"/>
                <w:b w:val="0"/>
                <w:bCs w:val="0"/>
                <w:sz w:val="24"/>
                <w:szCs w:val="24"/>
                <w:vertAlign w:val="baseline"/>
                <w:lang w:val="en-US"/>
              </w:rPr>
              <w:t>[35]</w:t>
            </w:r>
          </w:p>
        </w:tc>
      </w:tr>
      <w:tr w14:paraId="691D6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9" w:type="dxa"/>
          </w:tcPr>
          <w:p w14:paraId="60F7B4C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p>
          <w:p w14:paraId="5C58A98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Показатели качества процессов</w:t>
            </w:r>
          </w:p>
        </w:tc>
        <w:tc>
          <w:tcPr>
            <w:tcW w:w="3832" w:type="dxa"/>
          </w:tcPr>
          <w:p w14:paraId="38301B8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Количество отклоненных заявок по вине отдела; доля закупок с нарушением дедлайна; количество замечаний внутреннего аудита; количество выигранных жалоб в ФАС</w:t>
            </w:r>
          </w:p>
        </w:tc>
        <w:tc>
          <w:tcPr>
            <w:tcW w:w="2381" w:type="dxa"/>
          </w:tcPr>
          <w:p w14:paraId="731ADFE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Реестры закупок, протоколы ФАС, данные ЭТП</w:t>
            </w:r>
          </w:p>
        </w:tc>
      </w:tr>
      <w:tr w14:paraId="1AC65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9" w:type="dxa"/>
          </w:tcPr>
          <w:p w14:paraId="7C8FF33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p>
          <w:p w14:paraId="0A384FC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xml:space="preserve">Показатели развития персонала </w:t>
            </w:r>
          </w:p>
        </w:tc>
        <w:tc>
          <w:tcPr>
            <w:tcW w:w="3832" w:type="dxa"/>
          </w:tcPr>
          <w:p w14:paraId="0BB177A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Уровень владения компетенциями; доля сотрудников, прошедших обучение и подтвердивших повышение квалификации; индекс удовлетворенности обучением</w:t>
            </w:r>
          </w:p>
        </w:tc>
        <w:tc>
          <w:tcPr>
            <w:tcW w:w="2381" w:type="dxa"/>
          </w:tcPr>
          <w:p w14:paraId="003F207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xml:space="preserve">Результаты тестирования, опросы, кадровая отчётность </w:t>
            </w:r>
            <w:r>
              <w:rPr>
                <w:rFonts w:hint="default" w:ascii="Times New Roman" w:hAnsi="Times New Roman"/>
                <w:b w:val="0"/>
                <w:bCs w:val="0"/>
                <w:sz w:val="24"/>
                <w:szCs w:val="24"/>
                <w:vertAlign w:val="baseline"/>
                <w:lang w:val="en-US"/>
              </w:rPr>
              <w:t>[40]</w:t>
            </w:r>
          </w:p>
        </w:tc>
      </w:tr>
      <w:tr w14:paraId="505FC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9" w:type="dxa"/>
          </w:tcPr>
          <w:p w14:paraId="6EAC0E8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en-US"/>
              </w:rPr>
            </w:pPr>
          </w:p>
          <w:p w14:paraId="1D1DDFB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en-US"/>
              </w:rPr>
              <w:t>HR</w:t>
            </w:r>
            <w:r>
              <w:rPr>
                <w:rFonts w:hint="default" w:ascii="Times New Roman" w:hAnsi="Times New Roman"/>
                <w:b w:val="0"/>
                <w:bCs w:val="0"/>
                <w:sz w:val="24"/>
                <w:szCs w:val="24"/>
                <w:vertAlign w:val="baseline"/>
                <w:lang w:val="ru-RU"/>
              </w:rPr>
              <w:t>-показатели процесса обучения</w:t>
            </w:r>
          </w:p>
        </w:tc>
        <w:tc>
          <w:tcPr>
            <w:tcW w:w="3832" w:type="dxa"/>
          </w:tcPr>
          <w:p w14:paraId="49B8404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Доля успешно прошедших итоговый контроль; удовлетворённость руководителей программ обучения; стоимость обучения на одного сотрудника; среднее количество часов обучения на одного сотрудника</w:t>
            </w:r>
          </w:p>
        </w:tc>
        <w:tc>
          <w:tcPr>
            <w:tcW w:w="2381" w:type="dxa"/>
          </w:tcPr>
          <w:p w14:paraId="2BAA156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ru-RU"/>
              </w:rPr>
              <w:t xml:space="preserve">Кадровая отчётность, опросы руководителей, бюджетирование </w:t>
            </w:r>
            <w:r>
              <w:rPr>
                <w:rFonts w:hint="default" w:ascii="Times New Roman" w:hAnsi="Times New Roman"/>
                <w:b w:val="0"/>
                <w:bCs w:val="0"/>
                <w:sz w:val="24"/>
                <w:szCs w:val="24"/>
                <w:vertAlign w:val="baseline"/>
                <w:lang w:val="en-US"/>
              </w:rPr>
              <w:t>[41]</w:t>
            </w:r>
          </w:p>
        </w:tc>
      </w:tr>
    </w:tbl>
    <w:p w14:paraId="096DFC47">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p>
    <w:p w14:paraId="752A023F">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Эффективность обучения тендерных специалистов оценивается с помощью различных инструментов сбора данных, выбор которых зависит от поставленных задач. Методы сбора данных и инструменты оценки можно разделить следующим образом:</w:t>
      </w:r>
    </w:p>
    <w:p w14:paraId="6BFCAF77">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Количественные методы:</w:t>
      </w:r>
    </w:p>
    <w:p w14:paraId="398A0805">
      <w:pPr>
        <w:keepNext w:val="0"/>
        <w:keepLines w:val="0"/>
        <w:pageBreakBefore w:val="0"/>
        <w:numPr>
          <w:ilvl w:val="0"/>
          <w:numId w:val="7"/>
        </w:numPr>
        <w:kinsoku/>
        <w:wordWrap/>
        <w:overflowPunct/>
        <w:topLinePunct w:val="0"/>
        <w:autoSpaceDE/>
        <w:autoSpaceDN/>
        <w:bidi w:val="0"/>
        <w:adjustRightInd/>
        <w:snapToGrid/>
        <w:spacing w:line="360" w:lineRule="auto"/>
        <w:ind w:left="420"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Статистический анализ: оценка воронки продаж, коэффициента конверсии и процента  успешных сделок до/после обучения;</w:t>
      </w:r>
    </w:p>
    <w:p w14:paraId="72DCF5B9">
      <w:pPr>
        <w:keepNext w:val="0"/>
        <w:keepLines w:val="0"/>
        <w:pageBreakBefore w:val="0"/>
        <w:numPr>
          <w:ilvl w:val="0"/>
          <w:numId w:val="7"/>
        </w:numPr>
        <w:kinsoku/>
        <w:wordWrap/>
        <w:overflowPunct/>
        <w:topLinePunct w:val="0"/>
        <w:autoSpaceDE/>
        <w:autoSpaceDN/>
        <w:bidi w:val="0"/>
        <w:adjustRightInd/>
        <w:snapToGrid/>
        <w:spacing w:line="360" w:lineRule="auto"/>
        <w:ind w:left="420"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Финансовая оценка обучения: расчёт возврата инвестиций (ROI) по методике Д.Филлипса;</w:t>
      </w:r>
    </w:p>
    <w:p w14:paraId="6A380093">
      <w:pPr>
        <w:keepNext w:val="0"/>
        <w:keepLines w:val="0"/>
        <w:pageBreakBefore w:val="0"/>
        <w:numPr>
          <w:ilvl w:val="0"/>
          <w:numId w:val="7"/>
        </w:numPr>
        <w:kinsoku/>
        <w:wordWrap/>
        <w:overflowPunct/>
        <w:topLinePunct w:val="0"/>
        <w:autoSpaceDE/>
        <w:autoSpaceDN/>
        <w:bidi w:val="0"/>
        <w:adjustRightInd/>
        <w:snapToGrid/>
        <w:spacing w:line="360" w:lineRule="auto"/>
        <w:ind w:left="420"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Оценка знаний: проведение тестирования (входное/выходное) для изменения прироста знаний;</w:t>
      </w:r>
    </w:p>
    <w:p w14:paraId="061D26CE">
      <w:pPr>
        <w:keepNext w:val="0"/>
        <w:keepLines w:val="0"/>
        <w:pageBreakBefore w:val="0"/>
        <w:numPr>
          <w:ilvl w:val="0"/>
          <w:numId w:val="7"/>
        </w:numPr>
        <w:kinsoku/>
        <w:wordWrap/>
        <w:overflowPunct/>
        <w:topLinePunct w:val="0"/>
        <w:autoSpaceDE/>
        <w:autoSpaceDN/>
        <w:bidi w:val="0"/>
        <w:adjustRightInd/>
        <w:snapToGrid/>
        <w:spacing w:line="360" w:lineRule="auto"/>
        <w:ind w:left="420"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Сбор обратной связи: изучение подготовленных тендерных заявок, жалоб и законченных договоров с использованием шкал Лайкерта.</w:t>
      </w:r>
    </w:p>
    <w:p w14:paraId="39541E51">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Качественные методы:</w:t>
      </w:r>
    </w:p>
    <w:p w14:paraId="47EE9ECB">
      <w:pPr>
        <w:keepNext w:val="0"/>
        <w:keepLines w:val="0"/>
        <w:pageBreakBefore w:val="0"/>
        <w:numPr>
          <w:ilvl w:val="0"/>
          <w:numId w:val="8"/>
        </w:numPr>
        <w:kinsoku/>
        <w:wordWrap/>
        <w:overflowPunct/>
        <w:topLinePunct w:val="0"/>
        <w:autoSpaceDE/>
        <w:autoSpaceDN/>
        <w:bidi w:val="0"/>
        <w:adjustRightInd/>
        <w:snapToGrid/>
        <w:spacing w:line="360" w:lineRule="auto"/>
        <w:ind w:left="420"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Интервью: беседы по компетенциям с сотрудникам и их руководителями;</w:t>
      </w:r>
    </w:p>
    <w:p w14:paraId="7681D761">
      <w:pPr>
        <w:keepNext w:val="0"/>
        <w:keepLines w:val="0"/>
        <w:pageBreakBefore w:val="0"/>
        <w:numPr>
          <w:ilvl w:val="0"/>
          <w:numId w:val="8"/>
        </w:numPr>
        <w:kinsoku/>
        <w:wordWrap/>
        <w:overflowPunct/>
        <w:topLinePunct w:val="0"/>
        <w:autoSpaceDE/>
        <w:autoSpaceDN/>
        <w:bidi w:val="0"/>
        <w:adjustRightInd/>
        <w:snapToGrid/>
        <w:spacing w:line="360" w:lineRule="auto"/>
        <w:ind w:left="420"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 xml:space="preserve">Ассессмент-центр: деловые игры, кейсы для оценки навыков </w:t>
      </w:r>
    </w:p>
    <w:p w14:paraId="7DBCB208">
      <w:pPr>
        <w:keepNext w:val="0"/>
        <w:keepLines w:val="0"/>
        <w:pageBreakBefore w:val="0"/>
        <w:numPr>
          <w:ilvl w:val="0"/>
          <w:numId w:val="8"/>
        </w:numPr>
        <w:kinsoku/>
        <w:wordWrap/>
        <w:overflowPunct/>
        <w:topLinePunct w:val="0"/>
        <w:autoSpaceDE/>
        <w:autoSpaceDN/>
        <w:bidi w:val="0"/>
        <w:adjustRightInd/>
        <w:snapToGrid/>
        <w:spacing w:line="360" w:lineRule="auto"/>
        <w:ind w:left="420"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Оценка «360 градусов»: комплексная оценка со стороны руководства, коллег и подчинённых;</w:t>
      </w:r>
    </w:p>
    <w:p w14:paraId="0C03BFB3">
      <w:pPr>
        <w:keepNext w:val="0"/>
        <w:keepLines w:val="0"/>
        <w:pageBreakBefore w:val="0"/>
        <w:numPr>
          <w:ilvl w:val="0"/>
          <w:numId w:val="8"/>
        </w:numPr>
        <w:kinsoku/>
        <w:wordWrap/>
        <w:overflowPunct/>
        <w:topLinePunct w:val="0"/>
        <w:autoSpaceDE/>
        <w:autoSpaceDN/>
        <w:bidi w:val="0"/>
        <w:adjustRightInd/>
        <w:snapToGrid/>
        <w:spacing w:line="360" w:lineRule="auto"/>
        <w:ind w:left="420"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 xml:space="preserve">Анализ результатов работы: изучение подготовленных заявок, жалоб и договоров </w:t>
      </w:r>
      <w:r>
        <w:rPr>
          <w:rFonts w:hint="default" w:ascii="Times New Roman" w:hAnsi="Times New Roman"/>
          <w:b w:val="0"/>
          <w:bCs w:val="0"/>
          <w:sz w:val="28"/>
          <w:szCs w:val="28"/>
          <w:vertAlign w:val="baseline"/>
          <w:lang w:val="en-US"/>
        </w:rPr>
        <w:t>[38</w:t>
      </w:r>
      <w:r>
        <w:rPr>
          <w:rFonts w:hint="default" w:ascii="Times New Roman" w:hAnsi="Times New Roman"/>
          <w:b w:val="0"/>
          <w:bCs w:val="0"/>
          <w:sz w:val="28"/>
          <w:szCs w:val="28"/>
          <w:vertAlign w:val="baseline"/>
          <w:lang w:val="ru-RU"/>
        </w:rPr>
        <w:t>,41,35</w:t>
      </w:r>
      <w:r>
        <w:rPr>
          <w:rFonts w:hint="default" w:ascii="Times New Roman" w:hAnsi="Times New Roman"/>
          <w:b w:val="0"/>
          <w:bCs w:val="0"/>
          <w:sz w:val="28"/>
          <w:szCs w:val="28"/>
          <w:vertAlign w:val="baseline"/>
          <w:lang w:val="en-US"/>
        </w:rPr>
        <w:t>]</w:t>
      </w:r>
      <w:r>
        <w:rPr>
          <w:rFonts w:hint="default" w:ascii="Times New Roman" w:hAnsi="Times New Roman"/>
          <w:b w:val="0"/>
          <w:bCs w:val="0"/>
          <w:sz w:val="28"/>
          <w:szCs w:val="28"/>
          <w:vertAlign w:val="baseline"/>
          <w:lang w:val="ru-RU"/>
        </w:rPr>
        <w:t>.</w:t>
      </w:r>
    </w:p>
    <w:p w14:paraId="5419B86A">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 xml:space="preserve">Комбинированные подходы предполагают использование нескольких методов одновременно для получения более достоверных результатов. Например, можно сопоставить данные тестирования с реальными показателями деятельности или использовать контрольные группы для выделения чистого эффекта обучения </w:t>
      </w:r>
      <w:r>
        <w:rPr>
          <w:rFonts w:hint="default" w:ascii="Times New Roman" w:hAnsi="Times New Roman"/>
          <w:b w:val="0"/>
          <w:bCs w:val="0"/>
          <w:sz w:val="28"/>
          <w:szCs w:val="28"/>
          <w:vertAlign w:val="baseline"/>
          <w:lang w:val="en-US"/>
        </w:rPr>
        <w:t>[41]</w:t>
      </w:r>
      <w:r>
        <w:rPr>
          <w:rFonts w:hint="default" w:ascii="Times New Roman" w:hAnsi="Times New Roman"/>
          <w:b w:val="0"/>
          <w:bCs w:val="0"/>
          <w:sz w:val="28"/>
          <w:szCs w:val="28"/>
          <w:vertAlign w:val="baseline"/>
          <w:lang w:val="ru-RU"/>
        </w:rPr>
        <w:t>.</w:t>
      </w:r>
    </w:p>
    <w:p w14:paraId="7CC237AA">
      <w:pPr>
        <w:keepNext w:val="0"/>
        <w:keepLines w:val="0"/>
        <w:pageBreakBefore w:val="0"/>
        <w:numPr>
          <w:ilvl w:val="0"/>
          <w:numId w:val="0"/>
        </w:numPr>
        <w:kinsoku/>
        <w:wordWrap/>
        <w:overflowPunct/>
        <w:topLinePunct w:val="0"/>
        <w:autoSpaceDE/>
        <w:autoSpaceDN/>
        <w:bidi w:val="0"/>
        <w:adjustRightInd/>
        <w:snapToGrid/>
        <w:spacing w:line="360" w:lineRule="auto"/>
        <w:ind w:leftChars="0"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Внедрение системы оценки эффективности обучения на практике сталкивается с рядом трудностей:</w:t>
      </w:r>
    </w:p>
    <w:p w14:paraId="5BEC4F23">
      <w:pPr>
        <w:keepNext w:val="0"/>
        <w:keepLines w:val="0"/>
        <w:pageBreakBefore w:val="0"/>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 xml:space="preserve">1. Методологические проблемы: отсутствие единого стандарта показателей, задержка во времени между обучением и проявлением его результатов, трудность в определении вклада обучения в общий успех (т.к. влияют многочисленные факторы) </w:t>
      </w:r>
    </w:p>
    <w:p w14:paraId="67E6409B">
      <w:pPr>
        <w:keepNext w:val="0"/>
        <w:keepLines w:val="0"/>
        <w:pageBreakBefore w:val="0"/>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 xml:space="preserve">2. Организационные проблемы: существенные временные и финансовые затраты на проведение всесторонней оценки, сопротивление сотрудников (страх перед оценкой, непонимание целей), отсутствие единой системы хранения данных </w:t>
      </w:r>
    </w:p>
    <w:p w14:paraId="20B169B3">
      <w:pPr>
        <w:keepNext w:val="0"/>
        <w:keepLines w:val="0"/>
        <w:pageBreakBefore w:val="0"/>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3. Проблема изоляции эффектов обучения</w:t>
      </w:r>
    </w:p>
    <w:p w14:paraId="751896AF">
      <w:pPr>
        <w:keepNext w:val="0"/>
        <w:keepLines w:val="0"/>
        <w:pageBreakBefore w:val="0"/>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Для преодоления этих ограничений рекомендуется использовать комбинацию различных методов оценки, поэтапно внедрять оценочные процедуры, объяснять сотрудникам цели и автоматизировать сбор и анализ данных (например, с помощью CRM-систем).</w:t>
      </w:r>
    </w:p>
    <w:p w14:paraId="3F823CE5">
      <w:pPr>
        <w:keepNext w:val="0"/>
        <w:keepLines w:val="0"/>
        <w:pageBreakBefore w:val="0"/>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Анализ показал, что оценка эффективности обучения специалистов по тендерам должна быть комплексной и многогранной. Она должна охватывать реакцию участников, усвоение знаний, изменения в поведении и, главное, бизнес-результаты. В основе лежит модель Киркпатрика из четырёх уровней, а для наиболее важных программ добавляется расчёт ROI по методике Филлипса. Важно проводить отложенную оценку (через 3-6 месяцев) для выявления реальных изменений в работе. Система показателей должна быть сбалансированной, учитывая не только бизнес-результаты, но и качество процессов и развитие сотрудников. Цель – создать непрерывный цикл «диагностика - обучение - оценка - корректировка», чтобы обучение стало инвестицией, повышающей конкурентоспособность компании в закупках.</w:t>
      </w:r>
    </w:p>
    <w:p w14:paraId="54FBE68D">
      <w:pPr>
        <w:keepNext w:val="0"/>
        <w:keepLines w:val="0"/>
        <w:pageBreakBefore w:val="0"/>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vertAlign w:val="baseline"/>
          <w:lang w:val="ru-RU"/>
        </w:rPr>
      </w:pPr>
    </w:p>
    <w:p w14:paraId="6DFE3CA9">
      <w:pPr>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br w:type="page"/>
      </w:r>
    </w:p>
    <w:p w14:paraId="38A2800C">
      <w:pPr>
        <w:keepNext w:val="0"/>
        <w:keepLines w:val="0"/>
        <w:pageBreakBefore w:val="0"/>
        <w:numPr>
          <w:ilvl w:val="0"/>
          <w:numId w:val="0"/>
        </w:numPr>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sz w:val="28"/>
          <w:szCs w:val="28"/>
          <w:vertAlign w:val="baseline"/>
          <w:lang w:val="ru-RU"/>
        </w:rPr>
      </w:pPr>
      <w:r>
        <w:rPr>
          <w:rFonts w:hint="default" w:ascii="Times New Roman" w:hAnsi="Times New Roman"/>
          <w:b/>
          <w:bCs/>
          <w:sz w:val="28"/>
          <w:szCs w:val="28"/>
          <w:vertAlign w:val="baseline"/>
          <w:lang w:val="ru-RU"/>
        </w:rPr>
        <w:t>Выводы по первой главе</w:t>
      </w:r>
    </w:p>
    <w:p w14:paraId="140424C4">
      <w:pPr>
        <w:keepNext w:val="0"/>
        <w:keepLines w:val="0"/>
        <w:pageBreakBefore w:val="0"/>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vertAlign w:val="baseline"/>
          <w:lang w:val="ru-RU"/>
        </w:rPr>
      </w:pPr>
      <w:r>
        <w:rPr>
          <w:rFonts w:hint="default" w:ascii="Times New Roman" w:hAnsi="Times New Roman"/>
          <w:b w:val="0"/>
          <w:bCs w:val="0"/>
          <w:sz w:val="28"/>
          <w:szCs w:val="28"/>
          <w:vertAlign w:val="baseline"/>
          <w:lang w:val="ru-RU"/>
        </w:rPr>
        <w:t>Теоретическое исследование показало, что подготовка тендерных специалистов выступает важным элементом, определяющим успешность деятельности компании. Это обусловлено тем, что уровень профессионализма данных сотрудников прямо сказывается на эффективности всей системы закупок. Ошибки в подготовке документации или нарушение установленных законодательством норм могут повлечь за собой не только срыв контрактов, но репутационные потери. Следовательно, совершенствование системы обучения данной категории персонала становится актуальной задачей.</w:t>
      </w:r>
    </w:p>
    <w:p w14:paraId="3580E5C7">
      <w:pPr>
        <w:keepNext w:val="0"/>
        <w:keepLines w:val="0"/>
        <w:pageBreakBefore w:val="0"/>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color w:val="000000" w:themeColor="text1"/>
          <w:sz w:val="28"/>
          <w:szCs w:val="28"/>
          <w:vertAlign w:val="baseline"/>
          <w:lang w:val="ru-RU"/>
          <w14:textFill>
            <w14:solidFill>
              <w14:schemeClr w14:val="tx1"/>
            </w14:solidFill>
          </w14:textFill>
        </w:rPr>
      </w:pPr>
      <w:r>
        <w:rPr>
          <w:rFonts w:hint="default" w:ascii="Times New Roman" w:hAnsi="Times New Roman"/>
          <w:b w:val="0"/>
          <w:bCs w:val="0"/>
          <w:sz w:val="28"/>
          <w:szCs w:val="28"/>
          <w:vertAlign w:val="baseline"/>
          <w:lang w:val="ru-RU"/>
        </w:rPr>
        <w:t xml:space="preserve">Анализ профессиональных компетенций тендерных специалистов выявил их комплексный характер. Навыки включают в себя знание законодательства (в частности, 44-ФЗ и 223-ФЗ), экономические аспекты (определение НМЦК, анализ прибыльности), владение цифровыми инструментами и торговыми площадками. Учитывая такую структуру требуемых компетенций, необходимо сместить акцент с устаревших методов обучения на программы, ориентированные на практику и формирующие </w:t>
      </w:r>
      <w:r>
        <w:rPr>
          <w:rFonts w:hint="default" w:ascii="Times New Roman" w:hAnsi="Times New Roman"/>
          <w:b w:val="0"/>
          <w:bCs w:val="0"/>
          <w:color w:val="000000" w:themeColor="text1"/>
          <w:sz w:val="28"/>
          <w:szCs w:val="28"/>
          <w:vertAlign w:val="baseline"/>
          <w:lang w:val="ru-RU"/>
          <w14:textFill>
            <w14:solidFill>
              <w14:schemeClr w14:val="tx1"/>
            </w14:solidFill>
          </w14:textFill>
        </w:rPr>
        <w:t xml:space="preserve"> навыки применения знаний в реальных закупочных процедурах.</w:t>
      </w:r>
    </w:p>
    <w:p w14:paraId="7197E103">
      <w:pPr>
        <w:keepNext w:val="0"/>
        <w:keepLines w:val="0"/>
        <w:pageBreakBefore w:val="0"/>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color w:val="000000" w:themeColor="text1"/>
          <w:sz w:val="28"/>
          <w:szCs w:val="28"/>
          <w:vertAlign w:val="baseline"/>
          <w:lang w:val="ru-RU"/>
          <w14:textFill>
            <w14:solidFill>
              <w14:schemeClr w14:val="tx1"/>
            </w14:solidFill>
          </w14:textFill>
        </w:rPr>
      </w:pPr>
      <w:r>
        <w:rPr>
          <w:rFonts w:hint="default" w:ascii="Times New Roman" w:hAnsi="Times New Roman"/>
          <w:b w:val="0"/>
          <w:bCs w:val="0"/>
          <w:color w:val="000000" w:themeColor="text1"/>
          <w:sz w:val="28"/>
          <w:szCs w:val="28"/>
          <w:vertAlign w:val="baseline"/>
          <w:lang w:val="ru-RU"/>
          <w14:textFill>
            <w14:solidFill>
              <w14:schemeClr w14:val="tx1"/>
            </w14:solidFill>
          </w14:textFill>
        </w:rPr>
        <w:t>Анализ существующих методик оценки эффективности обучения выявил необходимость корректировки традиционных моделей Д.Киркпатрика и Филлипса в контексте профессиональной подготовки. Ключевые трудности обусловлены воздействием обстоятельств, независящих от учебного процесса (рыночная конъюнктура, изменения законодательства) и сложностью выделения «чистого» эффекта обучения. Исследование международного опыта позволило определить актуальность направления: анализ активности сотрудников на электронных цифровых площадках и использование сравнительных групп для оценки.</w:t>
      </w:r>
    </w:p>
    <w:p w14:paraId="295395D2">
      <w:pPr>
        <w:keepNext w:val="0"/>
        <w:keepLines w:val="0"/>
        <w:pageBreakBefore w:val="0"/>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color w:val="000000" w:themeColor="text1"/>
          <w:sz w:val="28"/>
          <w:szCs w:val="28"/>
          <w:vertAlign w:val="baseline"/>
          <w:lang w:val="ru-RU"/>
          <w14:textFill>
            <w14:solidFill>
              <w14:schemeClr w14:val="tx1"/>
            </w14:solidFill>
          </w14:textFill>
        </w:rPr>
      </w:pPr>
      <w:r>
        <w:rPr>
          <w:rFonts w:hint="default" w:ascii="Times New Roman" w:hAnsi="Times New Roman"/>
          <w:b w:val="0"/>
          <w:bCs w:val="0"/>
          <w:color w:val="000000" w:themeColor="text1"/>
          <w:sz w:val="28"/>
          <w:szCs w:val="28"/>
          <w:vertAlign w:val="baseline"/>
          <w:lang w:val="ru-RU"/>
          <w14:textFill>
            <w14:solidFill>
              <w14:schemeClr w14:val="tx1"/>
            </w14:solidFill>
          </w14:textFill>
        </w:rPr>
        <w:t>В результате синтеза существующих подходов была создана система критериев, определяющих эффективность обучения. Она включает в себя количественные показатели, качественные  характеристики и бизнес-критерии. Такой подход обеспечивает комплексный анализ влияния обучения на профессиональные компетенции  сотрудников и конечные результаты закупочной деятельности.</w:t>
      </w:r>
    </w:p>
    <w:p w14:paraId="03507A2F">
      <w:pPr>
        <w:keepNext w:val="0"/>
        <w:keepLines w:val="0"/>
        <w:pageBreakBefore w:val="0"/>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color w:val="000000" w:themeColor="text1"/>
          <w:sz w:val="28"/>
          <w:szCs w:val="28"/>
          <w:vertAlign w:val="baseline"/>
          <w:lang w:val="ru-RU"/>
          <w14:textFill>
            <w14:solidFill>
              <w14:schemeClr w14:val="tx1"/>
            </w14:solidFill>
          </w14:textFill>
        </w:rPr>
      </w:pPr>
      <w:r>
        <w:rPr>
          <w:rFonts w:hint="default" w:ascii="Times New Roman" w:hAnsi="Times New Roman"/>
          <w:b w:val="0"/>
          <w:bCs w:val="0"/>
          <w:color w:val="000000" w:themeColor="text1"/>
          <w:sz w:val="28"/>
          <w:szCs w:val="28"/>
          <w:vertAlign w:val="baseline"/>
          <w:lang w:val="ru-RU"/>
          <w14:textFill>
            <w14:solidFill>
              <w14:schemeClr w14:val="tx1"/>
            </w14:solidFill>
          </w14:textFill>
        </w:rPr>
        <w:t>Поставленные в первой главе задачи выполнены, что создает теоретическую базу для последующего анализа существующей системы обучения в ООО «Лайф Медиа» и разработки практических рекомендаций по её совершенствованию.</w:t>
      </w:r>
    </w:p>
    <w:p w14:paraId="72A5300B">
      <w:pPr>
        <w:keepNext w:val="0"/>
        <w:keepLines w:val="0"/>
        <w:pageBreakBefore w:val="0"/>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color w:val="C00000"/>
          <w:sz w:val="28"/>
          <w:szCs w:val="28"/>
          <w:vertAlign w:val="baseline"/>
          <w:lang w:val="ru-RU"/>
        </w:rPr>
      </w:pPr>
    </w:p>
    <w:p w14:paraId="752C9CE6">
      <w:pPr>
        <w:rPr>
          <w:rFonts w:hint="default" w:ascii="Times New Roman" w:hAnsi="Times New Roman"/>
          <w:b w:val="0"/>
          <w:bCs w:val="0"/>
          <w:color w:val="C00000"/>
          <w:sz w:val="28"/>
          <w:szCs w:val="28"/>
          <w:vertAlign w:val="baseline"/>
          <w:lang w:val="ru-RU"/>
        </w:rPr>
      </w:pPr>
      <w:r>
        <w:rPr>
          <w:rFonts w:hint="default" w:ascii="Times New Roman" w:hAnsi="Times New Roman"/>
          <w:b w:val="0"/>
          <w:bCs w:val="0"/>
          <w:color w:val="C00000"/>
          <w:sz w:val="28"/>
          <w:szCs w:val="28"/>
          <w:vertAlign w:val="baseline"/>
          <w:lang w:val="ru-RU"/>
        </w:rPr>
        <w:br w:type="page"/>
      </w:r>
    </w:p>
    <w:p w14:paraId="3D6A801F">
      <w:pPr>
        <w:keepNext w:val="0"/>
        <w:keepLines w:val="0"/>
        <w:pageBreakBefore w:val="0"/>
        <w:widowControl/>
        <w:numPr>
          <w:ilvl w:val="0"/>
          <w:numId w:val="0"/>
        </w:numPr>
        <w:tabs>
          <w:tab w:val="right" w:pos="9000"/>
        </w:tabs>
        <w:kinsoku/>
        <w:wordWrap/>
        <w:overflowPunct/>
        <w:topLinePunct w:val="0"/>
        <w:autoSpaceDE/>
        <w:autoSpaceDN/>
        <w:bidi w:val="0"/>
        <w:adjustRightInd/>
        <w:snapToGrid/>
        <w:spacing w:line="360" w:lineRule="auto"/>
        <w:ind w:left="200" w:leftChars="0" w:right="200" w:rightChars="100" w:hanging="200" w:hangingChars="71"/>
        <w:jc w:val="center"/>
        <w:textAlignment w:val="auto"/>
        <w:rPr>
          <w:rFonts w:hint="default" w:ascii="Times New Roman" w:hAnsi="Times New Roman"/>
          <w:b/>
          <w:bCs/>
          <w:sz w:val="28"/>
          <w:szCs w:val="28"/>
          <w:lang w:val="ru-RU"/>
        </w:rPr>
      </w:pPr>
      <w:r>
        <w:rPr>
          <w:rFonts w:hint="default" w:ascii="Times New Roman" w:hAnsi="Times New Roman"/>
          <w:b/>
          <w:bCs/>
          <w:sz w:val="28"/>
          <w:szCs w:val="28"/>
          <w:lang w:val="ru-RU"/>
        </w:rPr>
        <w:t>ГЛАВА 2. АНАЛИЗ СИСТЕМЫ ОБУЧЕНИЯ И РАЗВИТИЯ ТЕНДЕРНЫХ СПЕЦИАЛИСТОВ ООО «ЛАЙФ МЕДИА»</w:t>
      </w:r>
    </w:p>
    <w:p w14:paraId="798E5449">
      <w:pPr>
        <w:keepNext w:val="0"/>
        <w:keepLines w:val="0"/>
        <w:pageBreakBefore w:val="0"/>
        <w:numPr>
          <w:ilvl w:val="1"/>
          <w:numId w:val="2"/>
        </w:numPr>
        <w:kinsoku/>
        <w:wordWrap/>
        <w:overflowPunct/>
        <w:topLinePunct w:val="0"/>
        <w:autoSpaceDE/>
        <w:autoSpaceDN/>
        <w:bidi w:val="0"/>
        <w:adjustRightInd/>
        <w:snapToGrid/>
        <w:spacing w:line="360" w:lineRule="auto"/>
        <w:ind w:left="49" w:leftChars="0" w:firstLine="351" w:firstLineChars="0"/>
        <w:jc w:val="both"/>
        <w:textAlignment w:val="auto"/>
        <w:rPr>
          <w:rFonts w:hint="default" w:ascii="Times New Roman" w:hAnsi="Times New Roman"/>
          <w:b/>
          <w:bCs/>
          <w:sz w:val="28"/>
          <w:szCs w:val="28"/>
          <w:lang w:val="ru-RU"/>
        </w:rPr>
      </w:pPr>
      <w:r>
        <w:rPr>
          <w:rFonts w:hint="default" w:ascii="Times New Roman" w:hAnsi="Times New Roman"/>
          <w:b/>
          <w:bCs/>
          <w:sz w:val="28"/>
          <w:szCs w:val="28"/>
          <w:lang w:val="ru-RU"/>
        </w:rPr>
        <w:t xml:space="preserve">Общая характеристика ООО «Лайф Медиа» и структуры закупочной деятельности </w:t>
      </w:r>
    </w:p>
    <w:p w14:paraId="60F809C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Общество с ограниченной ответственностью «Лайф Медиа» является активно развивающимся предприятием, специализирующимся на оптовых поставках техники и оборудования. Его успех и динамичное развитие обусловлены активным участием в государственных и корпоративных закупках. Компания была зарегистрирована 16 февраля 2016 года в г.Нижнем Новгороде, и с тех пор успешно работает на рынках B2B и B2G.</w:t>
      </w:r>
    </w:p>
    <w:p w14:paraId="353BE1D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Основная миссия ООО «Лайф Медиа» заключается в предоставлении коммерческим и государственным организациям надёжной техники и оборудования по оптимальным ценам посредством проведения честных конкурентных закупок.   Стратегическая цель компании на среднесрочную перспективу — увеличение доли выигранных тендеров до 25% от общего числа поданных заявок и расширение географии поставок за пределы Приволжского федерального округа.</w:t>
      </w:r>
    </w:p>
    <w:p w14:paraId="485A554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Основные реквизиты и структура управления:</w:t>
      </w:r>
    </w:p>
    <w:p w14:paraId="02D307C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Юридический адрес: 603122, Нижегородская область, г. о. город Нижний Новгород, г. Нижний Новгород, ул. Богородского, д. 7, к. 1, кв. 81.</w:t>
      </w:r>
    </w:p>
    <w:p w14:paraId="227AF60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ОГРН: 1165261050790</w:t>
      </w:r>
    </w:p>
    <w:p w14:paraId="6EEF8E2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ИНН: 5261103730</w:t>
      </w:r>
    </w:p>
    <w:p w14:paraId="1A762FE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Организационно-правовая форма: общество с ограниченной ответственностью</w:t>
      </w:r>
    </w:p>
    <w:p w14:paraId="01B9B7F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Руководитель и учредитель: генеральный директор — Бакаев Кирилл Владимирович</w:t>
      </w:r>
    </w:p>
    <w:p w14:paraId="3A31778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Основным видом деятельности в соответствии с Общероссийским классификатором видов экономической деятельности (ОКВЭД) является 46.14.1 — деятельность агентов по оптовой торговле компьютерной техникой, телекоммуникационным оборудованием и прочим офисным оборудованием. Компания также имеет более 37 дополнительных направлений деятельности, включая онлайн–торговлю офисной мебелью, медицинским оборудованием и автозапчастями, что позволяет ей участвовать в самых разнообразных тендерных процедурах —  от поставок офисного оборудования в школы до оснащения медицинских учреждений.</w:t>
      </w:r>
    </w:p>
    <w:p w14:paraId="593B639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Организационная структура компании является линейно-функциональной, типичной для контрактов малого бизнеса и обеспечивающей высокую эффективность принятия решений. Организацию возглавляет генеральный директор, который обеспечивает общее стратегическое управление и контроль за финансовыми результатами. Следующие ключевые подразделения подчиняются непосредственно генеральному директору:</w:t>
      </w:r>
    </w:p>
    <w:p w14:paraId="19649373">
      <w:pPr>
        <w:keepNext w:val="0"/>
        <w:keepLines w:val="0"/>
        <w:pageBreakBefore w:val="0"/>
        <w:widowControl/>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Тендерный отдел ( 8 специалистов)</w:t>
      </w:r>
    </w:p>
    <w:p w14:paraId="056AD284">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Сотрудники отдела занимаются мониторингом электронных торговых площадок (ЭТП) и единой информационной системы (ЕИС) в поисказ подходящего тендера, анализом конкурсной документации, подготовкой пакета документов для участия в торгах, расчётом начальной минимальной цены контракта (НМЦК), подачей заявок, участие в аукционах, сопровождением заключения контрактов по выигранным торгам.</w:t>
      </w:r>
    </w:p>
    <w:p w14:paraId="61882B55">
      <w:pPr>
        <w:keepNext w:val="0"/>
        <w:keepLines w:val="0"/>
        <w:pageBreakBefore w:val="0"/>
        <w:widowControl/>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Отдел логистики и снабжения (3 специалиста)</w:t>
      </w:r>
    </w:p>
    <w:p w14:paraId="4F191019">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60" w:lineRule="auto"/>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задачи отдела входит доставка товаров клиентам, поиск оптимальных логистических решений, контроль сроков поставки, взаимодействие с транспортными компаниями.</w:t>
      </w:r>
    </w:p>
    <w:p w14:paraId="28A8FC3F">
      <w:pPr>
        <w:keepNext w:val="0"/>
        <w:keepLines w:val="0"/>
        <w:pageBreakBefore w:val="0"/>
        <w:widowControl/>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Бухгалтерия (1 специалист);</w:t>
      </w:r>
    </w:p>
    <w:p w14:paraId="26434F12">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Занимается ведением налогового и бухгалтерского учёта, расчётом заработной платы и страховых взносов, оформлением кадровых документов, сдачей отчётов в контролирующие органы (ФНС, СФР).</w:t>
      </w:r>
    </w:p>
    <w:p w14:paraId="32E34DBA">
      <w:pPr>
        <w:keepNext w:val="0"/>
        <w:keepLines w:val="0"/>
        <w:pageBreakBefore w:val="0"/>
        <w:widowControl/>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Отдел продаж и взаимодействия с клиентами (4 сотрудника)</w:t>
      </w:r>
    </w:p>
    <w:p w14:paraId="35B55F5E">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Отдел занимается частными (нетендерными) заказами, консультирует клиентов по ассортименту и условиям поставки, обрабатывает входящие заявки, сопровождает сделки от выставления счёта до отгрузки товара</w:t>
      </w:r>
    </w:p>
    <w:p w14:paraId="0DEAD148">
      <w:pPr>
        <w:keepNext w:val="0"/>
        <w:keepLines w:val="0"/>
        <w:pageBreakBefore w:val="0"/>
        <w:widowControl/>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Юрисконсульт (специалист по аутсорсингу на контрактной основе);</w:t>
      </w:r>
    </w:p>
    <w:p w14:paraId="23E58F00">
      <w:pPr>
        <w:keepNext w:val="0"/>
        <w:keepLines w:val="0"/>
        <w:pageBreakBefore w:val="0"/>
        <w:widowControl/>
        <w:numPr>
          <w:ilvl w:val="-2"/>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en-US"/>
        </w:rPr>
        <w:t>Консультирует</w:t>
      </w:r>
      <w:r>
        <w:rPr>
          <w:rFonts w:hint="default" w:ascii="Times New Roman" w:hAnsi="Times New Roman"/>
          <w:b w:val="0"/>
          <w:bCs w:val="0"/>
          <w:sz w:val="28"/>
          <w:szCs w:val="28"/>
          <w:lang w:val="ru-RU"/>
        </w:rPr>
        <w:t xml:space="preserve"> по вопросам заключения контрактов, проверяет договорную документацию, участвует в разрешении спорных ситуаций с заказчиками</w:t>
      </w:r>
    </w:p>
    <w:p w14:paraId="303B0BF2">
      <w:pPr>
        <w:keepNext w:val="0"/>
        <w:keepLines w:val="0"/>
        <w:pageBreakBefore w:val="0"/>
        <w:widowControl/>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 xml:space="preserve">Системный администратор (1 сотрудник, обеспечивающий работу </w:t>
      </w:r>
      <w:r>
        <w:rPr>
          <w:rFonts w:hint="default" w:ascii="Times New Roman" w:hAnsi="Times New Roman"/>
          <w:b w:val="0"/>
          <w:bCs w:val="0"/>
          <w:sz w:val="28"/>
          <w:szCs w:val="28"/>
          <w:lang w:val="en-US"/>
        </w:rPr>
        <w:t>IT</w:t>
      </w:r>
      <w:r>
        <w:rPr>
          <w:rFonts w:hint="default" w:ascii="Times New Roman" w:hAnsi="Times New Roman"/>
          <w:b w:val="0"/>
          <w:bCs w:val="0"/>
          <w:sz w:val="28"/>
          <w:szCs w:val="28"/>
          <w:lang w:val="ru-RU"/>
        </w:rPr>
        <w:t>-инфраструктуры).</w:t>
      </w:r>
    </w:p>
    <w:p w14:paraId="25582FD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каждом из перечисленных отделов сотрудники подписывают должностную инструкцию, регламентирующую их права, обязанности и ответственность (Приложение 1). Тендерный отдел, являясь центральным подразделением, имеет неформальную внутреннюю специализацию: одни специалисты специализируются на поиске закупок по 44-ФЗ (государственные нужды), другие — по 223-ФЗ (закупки государственных корпораций и естественных монополий), а также есть сотрудники, ответственные за подготовку ценовых предложений и рецензирование контрактов.</w:t>
      </w:r>
    </w:p>
    <w:p w14:paraId="4E2ACBD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Закупочная деятельность ООО «Лайф Медиа» основана на постоянном мониторинге электронных торговых площадок (ЕТП), таких как СберАСТ, РТС-Тендер, ЭТП ГПБ, и Единой информационной системы в сфере закупок (ЕИС). Бизнес-модель компании предполагает поиск лотов, начальная максимальная цена контракта (НМЦК) которых позволяет приобрести оборудование у производителя или дистрибьютора со скидкой, обеспечивающей маржу не менее 10-15%. Процесс участия в тендере включает следующие этапы:</w:t>
      </w:r>
    </w:p>
    <w:p w14:paraId="6FAF3025">
      <w:pPr>
        <w:keepNext w:val="0"/>
        <w:keepLines w:val="0"/>
        <w:pageBreakBefore w:val="0"/>
        <w:widowControl/>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Поиск и анализ закупки (проверка требований заказчика, изучение технического задания);</w:t>
      </w:r>
    </w:p>
    <w:p w14:paraId="3DE80CB5">
      <w:pPr>
        <w:keepNext w:val="0"/>
        <w:keepLines w:val="0"/>
        <w:pageBreakBefore w:val="0"/>
        <w:widowControl/>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Подготовка тендерного предложения (сбор коммерческих предложений от поставщиков, расчёт стоимости, формирование ценового предложения);</w:t>
      </w:r>
    </w:p>
    <w:p w14:paraId="23F4946C">
      <w:pPr>
        <w:keepNext w:val="0"/>
        <w:keepLines w:val="0"/>
        <w:pageBreakBefore w:val="0"/>
        <w:widowControl/>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Подача и обеспечение тендерного предложения (при необходимости —  внесение обеспечения тендерного предложения);</w:t>
      </w:r>
    </w:p>
    <w:p w14:paraId="188C00DA">
      <w:pPr>
        <w:keepNext w:val="0"/>
        <w:keepLines w:val="0"/>
        <w:pageBreakBefore w:val="0"/>
        <w:widowControl/>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Отслеживание результатов тендера и защита интересов компании в случае их обжалования (с привлечением юристконсульта);</w:t>
      </w:r>
    </w:p>
    <w:p w14:paraId="4185D177">
      <w:pPr>
        <w:keepNext w:val="0"/>
        <w:keepLines w:val="0"/>
        <w:pageBreakBefore w:val="0"/>
        <w:widowControl/>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Сопровождение контракта в случае победы (взаимодействие с отделом логистики при отгрузке товара).</w:t>
      </w:r>
    </w:p>
    <w:p w14:paraId="5952E1F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Фундаментальной особенностью деятельности ООО «Лайф Медиа» является полностью удалённый формат работы для большинства сотрудников, и в первую очередь для ключевого тендерного отдела. Такой подход сложился исторически и обусловлен несколькими факторами:</w:t>
      </w:r>
    </w:p>
    <w:p w14:paraId="32B7172F">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  Характер деятельности: работа на электронных торговых площадках  и в ЕИС не требует физического присутствия в офисе и может осуществляться из любой точки мира при стабильном подключении к Интернету.</w:t>
      </w:r>
    </w:p>
    <w:p w14:paraId="7348967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  Экономическая эффективность: отсутствие затрат на аренду большого офиса и организацию рабочих мест позволяет компании направлять ресурсы на развитие и мотивацию сотрудников.</w:t>
      </w:r>
    </w:p>
    <w:p w14:paraId="6FB0DF70">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  Расширение географии поиска персонала: возможность нанимать лучших специалистов из любого региона, а не только из Нижнего Новгорода.</w:t>
      </w:r>
    </w:p>
    <w:p w14:paraId="5B507E5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Цифровая инфраструктура компании включает в себя следующие элементы:</w:t>
      </w:r>
    </w:p>
    <w:p w14:paraId="3B419E18">
      <w:pPr>
        <w:keepNext w:val="0"/>
        <w:keepLines w:val="0"/>
        <w:pageBreakBefore w:val="0"/>
        <w:widowControl/>
        <w:numPr>
          <w:ilvl w:val="0"/>
          <w:numId w:val="11"/>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Корпоративный портал и система управления задачами: Битрикс24 используется для координации работы, где распределяются задачи, отслеживаются сроки выполнения,  документооборот;</w:t>
      </w:r>
    </w:p>
    <w:p w14:paraId="47422891">
      <w:pPr>
        <w:keepNext w:val="0"/>
        <w:keepLines w:val="0"/>
        <w:pageBreakBefore w:val="0"/>
        <w:widowControl/>
        <w:numPr>
          <w:ilvl w:val="0"/>
          <w:numId w:val="11"/>
        </w:numPr>
        <w:kinsoku/>
        <w:wordWrap/>
        <w:overflowPunct/>
        <w:topLinePunct w:val="0"/>
        <w:autoSpaceDE/>
        <w:autoSpaceDN/>
        <w:bidi w:val="0"/>
        <w:adjustRightInd/>
        <w:snapToGrid/>
        <w:spacing w:line="360" w:lineRule="auto"/>
        <w:ind w:left="0" w:leftChars="0"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Средства коммуникации: основным каналом оперативной коммуникации является корпоративный мессенджер Битрикс24 со структурированными чатами, Zoom используется для официальных видеоконференций, совещаний по планированию и собеседований.</w:t>
      </w:r>
    </w:p>
    <w:p w14:paraId="1FF094F1">
      <w:pPr>
        <w:keepNext w:val="0"/>
        <w:keepLines w:val="0"/>
        <w:pageBreakBefore w:val="0"/>
        <w:widowControl/>
        <w:numPr>
          <w:ilvl w:val="0"/>
          <w:numId w:val="11"/>
        </w:numPr>
        <w:kinsoku/>
        <w:wordWrap/>
        <w:overflowPunct/>
        <w:topLinePunct w:val="0"/>
        <w:autoSpaceDE/>
        <w:autoSpaceDN/>
        <w:bidi w:val="0"/>
        <w:adjustRightInd/>
        <w:snapToGrid/>
        <w:spacing w:line="360" w:lineRule="auto"/>
        <w:ind w:left="0" w:leftChars="0"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Облачное хранилище: все рабочие документы, шаблоны приложений, регламенты и отчеты хранятся в облаке (Google Workspace/Яндекс.Диск), обеспечивая круглосуточный доступ к актуальной информации для всех сотрудников.</w:t>
      </w:r>
    </w:p>
    <w:p w14:paraId="01401180">
      <w:pPr>
        <w:keepNext w:val="0"/>
        <w:keepLines w:val="0"/>
        <w:pageBreakBefore w:val="0"/>
        <w:widowControl/>
        <w:numPr>
          <w:ilvl w:val="0"/>
          <w:numId w:val="11"/>
        </w:numPr>
        <w:kinsoku/>
        <w:wordWrap/>
        <w:overflowPunct/>
        <w:topLinePunct w:val="0"/>
        <w:autoSpaceDE/>
        <w:autoSpaceDN/>
        <w:bidi w:val="0"/>
        <w:adjustRightInd/>
        <w:snapToGrid/>
        <w:spacing w:line="360" w:lineRule="auto"/>
        <w:ind w:left="0" w:leftChars="0"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Электронный документооборот (ЭДО): кадровые документы и контракты с контрагентами подписываются с использованием электронной подписи, что полностью исключает необходимость личного присутствия.</w:t>
      </w:r>
    </w:p>
    <w:p w14:paraId="70BCF41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Проведём анализ основных финансово-экономических показателей за последние 3 года (2022-2025 гг.), чтобы выявить основные тенденции развития компании и функционирование тендерного отдела (см.табл.1.1.)</w:t>
      </w:r>
    </w:p>
    <w:p w14:paraId="7A965C5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p>
    <w:p w14:paraId="5F9C099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00" w:firstLineChars="125"/>
        <w:jc w:val="right"/>
        <w:textAlignment w:val="auto"/>
        <w:rPr>
          <w:rFonts w:hint="default" w:ascii="Times New Roman" w:hAnsi="Times New Roman"/>
          <w:b w:val="0"/>
          <w:bCs w:val="0"/>
          <w:sz w:val="24"/>
          <w:szCs w:val="24"/>
          <w:lang w:val="ru-RU"/>
        </w:rPr>
      </w:pPr>
      <w:r>
        <w:rPr>
          <w:rFonts w:hint="default" w:ascii="Times New Roman" w:hAnsi="Times New Roman"/>
          <w:b w:val="0"/>
          <w:bCs w:val="0"/>
          <w:sz w:val="24"/>
          <w:szCs w:val="24"/>
          <w:lang w:val="ru-RU"/>
        </w:rPr>
        <w:t>Таблица 1.1. Основные финансовые показатели ООО «Лайф Медиа» за 2022-2025 гг.</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4"/>
        <w:gridCol w:w="1517"/>
        <w:gridCol w:w="1121"/>
        <w:gridCol w:w="1192"/>
        <w:gridCol w:w="1552"/>
        <w:gridCol w:w="1570"/>
      </w:tblGrid>
      <w:tr w14:paraId="4A3A1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vAlign w:val="center"/>
          </w:tcPr>
          <w:p w14:paraId="4A0AD292">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Показатель</w:t>
            </w:r>
          </w:p>
        </w:tc>
        <w:tc>
          <w:tcPr>
            <w:tcW w:w="1517" w:type="dxa"/>
            <w:vAlign w:val="center"/>
          </w:tcPr>
          <w:p w14:paraId="0858C376">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2023</w:t>
            </w:r>
          </w:p>
        </w:tc>
        <w:tc>
          <w:tcPr>
            <w:tcW w:w="1121" w:type="dxa"/>
            <w:vAlign w:val="center"/>
          </w:tcPr>
          <w:p w14:paraId="6F83072D">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2024</w:t>
            </w:r>
          </w:p>
        </w:tc>
        <w:tc>
          <w:tcPr>
            <w:tcW w:w="1192" w:type="dxa"/>
            <w:vAlign w:val="center"/>
          </w:tcPr>
          <w:p w14:paraId="5E9B630E">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2025</w:t>
            </w:r>
          </w:p>
        </w:tc>
        <w:tc>
          <w:tcPr>
            <w:tcW w:w="1552" w:type="dxa"/>
            <w:vAlign w:val="center"/>
          </w:tcPr>
          <w:p w14:paraId="33411C60">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Абсолютное отклонение (2025 к 2024)</w:t>
            </w:r>
          </w:p>
        </w:tc>
        <w:tc>
          <w:tcPr>
            <w:tcW w:w="1570" w:type="dxa"/>
            <w:vAlign w:val="center"/>
          </w:tcPr>
          <w:p w14:paraId="47455DD0">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Темп роста 2025/2024, %</w:t>
            </w:r>
          </w:p>
        </w:tc>
      </w:tr>
      <w:tr w14:paraId="26360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vAlign w:val="center"/>
          </w:tcPr>
          <w:p w14:paraId="011DE2F8">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Общая выручка, тыс.руб.</w:t>
            </w:r>
          </w:p>
        </w:tc>
        <w:tc>
          <w:tcPr>
            <w:tcW w:w="1517" w:type="dxa"/>
            <w:vAlign w:val="center"/>
          </w:tcPr>
          <w:p w14:paraId="40A039FD">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42 680</w:t>
            </w:r>
          </w:p>
        </w:tc>
        <w:tc>
          <w:tcPr>
            <w:tcW w:w="1121" w:type="dxa"/>
            <w:vAlign w:val="center"/>
          </w:tcPr>
          <w:p w14:paraId="7DEFC6C6">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44 520</w:t>
            </w:r>
          </w:p>
        </w:tc>
        <w:tc>
          <w:tcPr>
            <w:tcW w:w="1192" w:type="dxa"/>
            <w:vAlign w:val="center"/>
          </w:tcPr>
          <w:p w14:paraId="2E652557">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41 350</w:t>
            </w:r>
          </w:p>
        </w:tc>
        <w:tc>
          <w:tcPr>
            <w:tcW w:w="1552" w:type="dxa"/>
            <w:vAlign w:val="center"/>
          </w:tcPr>
          <w:p w14:paraId="0CA0E9DF">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- 3 170</w:t>
            </w:r>
          </w:p>
        </w:tc>
        <w:tc>
          <w:tcPr>
            <w:tcW w:w="1570" w:type="dxa"/>
            <w:vAlign w:val="center"/>
          </w:tcPr>
          <w:p w14:paraId="39479784">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92,9</w:t>
            </w:r>
          </w:p>
        </w:tc>
      </w:tr>
      <w:tr w14:paraId="6BD49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vAlign w:val="center"/>
          </w:tcPr>
          <w:p w14:paraId="646EDD13">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Выручка от тендерной деятельности, тыс.руб.</w:t>
            </w:r>
          </w:p>
        </w:tc>
        <w:tc>
          <w:tcPr>
            <w:tcW w:w="1517" w:type="dxa"/>
            <w:vAlign w:val="center"/>
          </w:tcPr>
          <w:p w14:paraId="6F01C284">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34 120</w:t>
            </w:r>
          </w:p>
        </w:tc>
        <w:tc>
          <w:tcPr>
            <w:tcW w:w="1121" w:type="dxa"/>
            <w:vAlign w:val="center"/>
          </w:tcPr>
          <w:p w14:paraId="1C69CA6C">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35 860</w:t>
            </w:r>
          </w:p>
        </w:tc>
        <w:tc>
          <w:tcPr>
            <w:tcW w:w="1192" w:type="dxa"/>
            <w:vAlign w:val="center"/>
          </w:tcPr>
          <w:p w14:paraId="0F904AFE">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30 840</w:t>
            </w:r>
          </w:p>
        </w:tc>
        <w:tc>
          <w:tcPr>
            <w:tcW w:w="1552" w:type="dxa"/>
            <w:vAlign w:val="center"/>
          </w:tcPr>
          <w:p w14:paraId="08A9864F">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- 5 020</w:t>
            </w:r>
          </w:p>
        </w:tc>
        <w:tc>
          <w:tcPr>
            <w:tcW w:w="1570" w:type="dxa"/>
            <w:vAlign w:val="center"/>
          </w:tcPr>
          <w:p w14:paraId="4359E668">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86,0</w:t>
            </w:r>
          </w:p>
        </w:tc>
      </w:tr>
      <w:tr w14:paraId="0904E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vAlign w:val="center"/>
          </w:tcPr>
          <w:p w14:paraId="7898079B">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Доля тендерной выручки в общей, %</w:t>
            </w:r>
          </w:p>
        </w:tc>
        <w:tc>
          <w:tcPr>
            <w:tcW w:w="1517" w:type="dxa"/>
            <w:vAlign w:val="center"/>
          </w:tcPr>
          <w:p w14:paraId="6696081A">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79,9</w:t>
            </w:r>
          </w:p>
        </w:tc>
        <w:tc>
          <w:tcPr>
            <w:tcW w:w="1121" w:type="dxa"/>
            <w:vAlign w:val="center"/>
          </w:tcPr>
          <w:p w14:paraId="4DB24FBA">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80,5</w:t>
            </w:r>
          </w:p>
        </w:tc>
        <w:tc>
          <w:tcPr>
            <w:tcW w:w="1192" w:type="dxa"/>
            <w:vAlign w:val="center"/>
          </w:tcPr>
          <w:p w14:paraId="15A236A1">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74,6</w:t>
            </w:r>
          </w:p>
        </w:tc>
        <w:tc>
          <w:tcPr>
            <w:tcW w:w="1552" w:type="dxa"/>
            <w:vAlign w:val="center"/>
          </w:tcPr>
          <w:p w14:paraId="4AC73B1A">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- 5,9 п.п.</w:t>
            </w:r>
          </w:p>
        </w:tc>
        <w:tc>
          <w:tcPr>
            <w:tcW w:w="1570" w:type="dxa"/>
            <w:vAlign w:val="center"/>
          </w:tcPr>
          <w:p w14:paraId="1EADE6B2">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w:t>
            </w:r>
          </w:p>
        </w:tc>
      </w:tr>
      <w:tr w14:paraId="70F7E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vAlign w:val="center"/>
          </w:tcPr>
          <w:p w14:paraId="11751732">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Себестоимость продаж, тыс.руб.</w:t>
            </w:r>
          </w:p>
        </w:tc>
        <w:tc>
          <w:tcPr>
            <w:tcW w:w="1517" w:type="dxa"/>
            <w:vAlign w:val="center"/>
          </w:tcPr>
          <w:p w14:paraId="07982412">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31 450</w:t>
            </w:r>
          </w:p>
        </w:tc>
        <w:tc>
          <w:tcPr>
            <w:tcW w:w="1121" w:type="dxa"/>
            <w:vAlign w:val="center"/>
          </w:tcPr>
          <w:p w14:paraId="7F98015D">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33 620</w:t>
            </w:r>
          </w:p>
        </w:tc>
        <w:tc>
          <w:tcPr>
            <w:tcW w:w="1192" w:type="dxa"/>
            <w:vAlign w:val="center"/>
          </w:tcPr>
          <w:p w14:paraId="68FC3D79">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32 180</w:t>
            </w:r>
          </w:p>
        </w:tc>
        <w:tc>
          <w:tcPr>
            <w:tcW w:w="1552" w:type="dxa"/>
            <w:vAlign w:val="center"/>
          </w:tcPr>
          <w:p w14:paraId="78EC1CF8">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- 1 440</w:t>
            </w:r>
          </w:p>
        </w:tc>
        <w:tc>
          <w:tcPr>
            <w:tcW w:w="1570" w:type="dxa"/>
            <w:vAlign w:val="center"/>
          </w:tcPr>
          <w:p w14:paraId="056B5B0F">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95,7</w:t>
            </w:r>
          </w:p>
        </w:tc>
      </w:tr>
      <w:tr w14:paraId="36683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vAlign w:val="center"/>
          </w:tcPr>
          <w:p w14:paraId="5806BAAE">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Валовая прибыль, тыс.руб.</w:t>
            </w:r>
          </w:p>
        </w:tc>
        <w:tc>
          <w:tcPr>
            <w:tcW w:w="1517" w:type="dxa"/>
            <w:vAlign w:val="center"/>
          </w:tcPr>
          <w:p w14:paraId="1E8099F7">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11 230</w:t>
            </w:r>
          </w:p>
        </w:tc>
        <w:tc>
          <w:tcPr>
            <w:tcW w:w="1121" w:type="dxa"/>
            <w:vAlign w:val="center"/>
          </w:tcPr>
          <w:p w14:paraId="2617C637">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10 900</w:t>
            </w:r>
          </w:p>
        </w:tc>
        <w:tc>
          <w:tcPr>
            <w:tcW w:w="1192" w:type="dxa"/>
            <w:vAlign w:val="center"/>
          </w:tcPr>
          <w:p w14:paraId="71E29F37">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9 170</w:t>
            </w:r>
          </w:p>
        </w:tc>
        <w:tc>
          <w:tcPr>
            <w:tcW w:w="1552" w:type="dxa"/>
            <w:vAlign w:val="center"/>
          </w:tcPr>
          <w:p w14:paraId="4E2B974B">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- 1 730</w:t>
            </w:r>
          </w:p>
        </w:tc>
        <w:tc>
          <w:tcPr>
            <w:tcW w:w="1570" w:type="dxa"/>
            <w:vAlign w:val="center"/>
          </w:tcPr>
          <w:p w14:paraId="314AC882">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84.1</w:t>
            </w:r>
          </w:p>
        </w:tc>
      </w:tr>
      <w:tr w14:paraId="1A4AA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vAlign w:val="center"/>
          </w:tcPr>
          <w:p w14:paraId="75B18C19">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Коммерческие расходы, тыс.руб.</w:t>
            </w:r>
          </w:p>
        </w:tc>
        <w:tc>
          <w:tcPr>
            <w:tcW w:w="1517" w:type="dxa"/>
            <w:vAlign w:val="center"/>
          </w:tcPr>
          <w:p w14:paraId="7F0A6C34">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360" w:firstLineChars="150"/>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xml:space="preserve"> 3 080</w:t>
            </w:r>
          </w:p>
        </w:tc>
        <w:tc>
          <w:tcPr>
            <w:tcW w:w="1121" w:type="dxa"/>
            <w:vAlign w:val="center"/>
          </w:tcPr>
          <w:p w14:paraId="5B29A7FE">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3 260</w:t>
            </w:r>
          </w:p>
        </w:tc>
        <w:tc>
          <w:tcPr>
            <w:tcW w:w="1192" w:type="dxa"/>
            <w:vAlign w:val="center"/>
          </w:tcPr>
          <w:p w14:paraId="59BC0CF0">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3 190</w:t>
            </w:r>
          </w:p>
        </w:tc>
        <w:tc>
          <w:tcPr>
            <w:tcW w:w="1552" w:type="dxa"/>
            <w:vAlign w:val="center"/>
          </w:tcPr>
          <w:p w14:paraId="11ECACC1">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- 70</w:t>
            </w:r>
          </w:p>
        </w:tc>
        <w:tc>
          <w:tcPr>
            <w:tcW w:w="1570" w:type="dxa"/>
            <w:vAlign w:val="center"/>
          </w:tcPr>
          <w:p w14:paraId="456C4615">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97,9</w:t>
            </w:r>
          </w:p>
        </w:tc>
      </w:tr>
      <w:tr w14:paraId="17B5A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vAlign w:val="center"/>
          </w:tcPr>
          <w:p w14:paraId="4E37D8AB">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Управленские расходы, тыс.руб.</w:t>
            </w:r>
          </w:p>
        </w:tc>
        <w:tc>
          <w:tcPr>
            <w:tcW w:w="1517" w:type="dxa"/>
            <w:vAlign w:val="center"/>
          </w:tcPr>
          <w:p w14:paraId="0A0C1B6C">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3 150</w:t>
            </w:r>
          </w:p>
        </w:tc>
        <w:tc>
          <w:tcPr>
            <w:tcW w:w="1121" w:type="dxa"/>
            <w:vAlign w:val="center"/>
          </w:tcPr>
          <w:p w14:paraId="24E851A6">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3 240</w:t>
            </w:r>
          </w:p>
        </w:tc>
        <w:tc>
          <w:tcPr>
            <w:tcW w:w="1192" w:type="dxa"/>
            <w:vAlign w:val="center"/>
          </w:tcPr>
          <w:p w14:paraId="11A75F1A">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3 210</w:t>
            </w:r>
          </w:p>
        </w:tc>
        <w:tc>
          <w:tcPr>
            <w:tcW w:w="1552" w:type="dxa"/>
            <w:vAlign w:val="center"/>
          </w:tcPr>
          <w:p w14:paraId="2B973886">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- 30</w:t>
            </w:r>
          </w:p>
        </w:tc>
        <w:tc>
          <w:tcPr>
            <w:tcW w:w="1570" w:type="dxa"/>
            <w:vAlign w:val="center"/>
          </w:tcPr>
          <w:p w14:paraId="642DA7CA">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99,1</w:t>
            </w:r>
          </w:p>
        </w:tc>
      </w:tr>
      <w:tr w14:paraId="5A242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vAlign w:val="center"/>
          </w:tcPr>
          <w:p w14:paraId="6A98C1CA">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Прибыль от продаж, тыс.руб.</w:t>
            </w:r>
          </w:p>
        </w:tc>
        <w:tc>
          <w:tcPr>
            <w:tcW w:w="1517" w:type="dxa"/>
            <w:vAlign w:val="center"/>
          </w:tcPr>
          <w:p w14:paraId="34164DF5">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5 000</w:t>
            </w:r>
          </w:p>
        </w:tc>
        <w:tc>
          <w:tcPr>
            <w:tcW w:w="1121" w:type="dxa"/>
            <w:vAlign w:val="center"/>
          </w:tcPr>
          <w:p w14:paraId="5333155E">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4 400</w:t>
            </w:r>
          </w:p>
        </w:tc>
        <w:tc>
          <w:tcPr>
            <w:tcW w:w="1192" w:type="dxa"/>
            <w:vAlign w:val="center"/>
          </w:tcPr>
          <w:p w14:paraId="1CAE9EEE">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2 770</w:t>
            </w:r>
          </w:p>
        </w:tc>
        <w:tc>
          <w:tcPr>
            <w:tcW w:w="1552" w:type="dxa"/>
            <w:vAlign w:val="center"/>
          </w:tcPr>
          <w:p w14:paraId="0562407F">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- 1 630</w:t>
            </w:r>
          </w:p>
        </w:tc>
        <w:tc>
          <w:tcPr>
            <w:tcW w:w="1570" w:type="dxa"/>
            <w:vAlign w:val="center"/>
          </w:tcPr>
          <w:p w14:paraId="43530A73">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63,0</w:t>
            </w:r>
          </w:p>
        </w:tc>
      </w:tr>
      <w:tr w14:paraId="5C6BE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vAlign w:val="center"/>
          </w:tcPr>
          <w:p w14:paraId="62B850D9">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Чистая прибыль, тыс.руб.</w:t>
            </w:r>
          </w:p>
        </w:tc>
        <w:tc>
          <w:tcPr>
            <w:tcW w:w="1517" w:type="dxa"/>
            <w:vAlign w:val="center"/>
          </w:tcPr>
          <w:p w14:paraId="5261B965">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4 000</w:t>
            </w:r>
          </w:p>
        </w:tc>
        <w:tc>
          <w:tcPr>
            <w:tcW w:w="1121" w:type="dxa"/>
            <w:vAlign w:val="center"/>
          </w:tcPr>
          <w:p w14:paraId="5C642891">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3 520</w:t>
            </w:r>
          </w:p>
        </w:tc>
        <w:tc>
          <w:tcPr>
            <w:tcW w:w="1192" w:type="dxa"/>
            <w:vAlign w:val="center"/>
          </w:tcPr>
          <w:p w14:paraId="71D2B3A5">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2 216</w:t>
            </w:r>
          </w:p>
        </w:tc>
        <w:tc>
          <w:tcPr>
            <w:tcW w:w="1552" w:type="dxa"/>
            <w:vAlign w:val="center"/>
          </w:tcPr>
          <w:p w14:paraId="2F35F2D1">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- 1 304</w:t>
            </w:r>
          </w:p>
        </w:tc>
        <w:tc>
          <w:tcPr>
            <w:tcW w:w="1570" w:type="dxa"/>
            <w:vAlign w:val="center"/>
          </w:tcPr>
          <w:p w14:paraId="595B5844">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63,0</w:t>
            </w:r>
          </w:p>
        </w:tc>
      </w:tr>
    </w:tbl>
    <w:p w14:paraId="0330813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lang w:val="ru-RU"/>
        </w:rPr>
      </w:pPr>
    </w:p>
    <w:p w14:paraId="2C71D4F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Из таблицы 1.1. видно, что за анализируемый период общая выручка ООО «Лайф Медиа» сократилась на 7,9% и составила в 2025 году 41,3 млн.руб. При этом выручка от тендерной деятельности снизилась ощутимее —  на 14% и составила 30,8 млн.руб. Валовая прибыль снизилась на 15,9% и составила 9,1 млн.руб. Управленческие и коммерческие расходы практически не изменились и остались на том же уровне, не сокращаясь вслед за падением доходов. В итоге прибыль от продаж и чистая прибыль упали на 37%, составив 2,7 млн.руб. и 2,2 млн.руб. соответственно. Компания сохраняет положительную прибыль, однако ухудшение показателей требует анализа эффективности работы ключевого подразделения — тендерного отдела.</w:t>
      </w:r>
    </w:p>
    <w:p w14:paraId="2142D3B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p>
    <w:p w14:paraId="199DC25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1" w:firstLineChars="125"/>
        <w:jc w:val="center"/>
        <w:textAlignment w:val="auto"/>
        <w:rPr>
          <w:rFonts w:hint="default" w:ascii="Times New Roman" w:hAnsi="Times New Roman"/>
          <w:b/>
          <w:bCs/>
          <w:sz w:val="28"/>
          <w:szCs w:val="28"/>
          <w:lang w:val="ru-RU"/>
        </w:rPr>
      </w:pPr>
      <w:r>
        <w:rPr>
          <w:rFonts w:hint="default" w:ascii="Times New Roman" w:hAnsi="Times New Roman"/>
          <w:b/>
          <w:bCs/>
          <w:sz w:val="28"/>
          <w:szCs w:val="28"/>
          <w:lang w:val="ru-RU"/>
        </w:rPr>
        <w:t>2.2. Анализ системы управления персоналом ООО «Лайф Медиа»</w:t>
      </w:r>
    </w:p>
    <w:p w14:paraId="74509818">
      <w:pPr>
        <w:spacing w:after="120" w:line="360" w:lineRule="auto"/>
        <w:ind w:firstLine="700"/>
        <w:jc w:val="both"/>
      </w:pPr>
      <w:r>
        <w:rPr>
          <w:rFonts w:ascii="Times New Roman" w:hAnsi="Times New Roman"/>
          <w:b w:val="0"/>
          <w:sz w:val="28"/>
        </w:rPr>
        <w:t>Система управления персоналом ООО «Лайф Медиа» формируется с уч</w:t>
      </w:r>
      <w:r>
        <w:rPr>
          <w:rFonts w:ascii="Times New Roman" w:hAnsi="Times New Roman"/>
          <w:b w:val="0"/>
          <w:sz w:val="28"/>
          <w:lang w:val="ru-RU"/>
        </w:rPr>
        <w:t>ё</w:t>
      </w:r>
      <w:r>
        <w:rPr>
          <w:rFonts w:ascii="Times New Roman" w:hAnsi="Times New Roman"/>
          <w:b w:val="0"/>
          <w:sz w:val="28"/>
        </w:rPr>
        <w:t>том двух особенностей предприятия: малого масштаба бизнеса и полностью удал</w:t>
      </w:r>
      <w:r>
        <w:rPr>
          <w:rFonts w:ascii="Times New Roman" w:hAnsi="Times New Roman"/>
          <w:b w:val="0"/>
          <w:sz w:val="28"/>
          <w:lang w:val="ru-RU"/>
        </w:rPr>
        <w:t>ё</w:t>
      </w:r>
      <w:r>
        <w:rPr>
          <w:rFonts w:ascii="Times New Roman" w:hAnsi="Times New Roman"/>
          <w:b w:val="0"/>
          <w:sz w:val="28"/>
        </w:rPr>
        <w:t>нного формата работы большинства сотрудников. В компании отсутствует самостоятельная HR-служба, поэтому кадровые функции распределены между несколькими участниками управления. Генеральный директор принимает ключевые кадровые решения и определяет требования к персоналу, руководитель тендерного отдела участвует в подборе, оценке и текущей координации специалистов, бухгалтерия обеспечивает кадровое делопроизводство, расч</w:t>
      </w:r>
      <w:r>
        <w:rPr>
          <w:rFonts w:ascii="Times New Roman" w:hAnsi="Times New Roman"/>
          <w:b w:val="0"/>
          <w:sz w:val="28"/>
          <w:lang w:val="ru-RU"/>
        </w:rPr>
        <w:t>ё</w:t>
      </w:r>
      <w:r>
        <w:rPr>
          <w:rFonts w:ascii="Times New Roman" w:hAnsi="Times New Roman"/>
          <w:b w:val="0"/>
          <w:sz w:val="28"/>
        </w:rPr>
        <w:t>т заработной платы и оформление обязательных документов.</w:t>
      </w:r>
    </w:p>
    <w:p w14:paraId="4EB788E4">
      <w:pPr>
        <w:spacing w:after="120" w:line="360" w:lineRule="auto"/>
        <w:ind w:firstLine="700"/>
        <w:jc w:val="both"/>
      </w:pPr>
      <w:r>
        <w:rPr>
          <w:rFonts w:ascii="Times New Roman" w:hAnsi="Times New Roman"/>
          <w:b w:val="0"/>
          <w:sz w:val="28"/>
        </w:rPr>
        <w:t>Такое распределение функций типично для малого предприятия, однако оно делает систему управления персоналом зависимой от текущей загрузки руководителей. Отдельные кадровые процессы выполняются, но не всегда оформлены как единая последовательность: подбор запускается под конкретную вакансию, адаптация проходит преимущественно в рабочем процессе, а развитие сотрудников не выделено в самостоятельное направление управления.</w:t>
      </w:r>
    </w:p>
    <w:p w14:paraId="75978D2A">
      <w:pPr>
        <w:spacing w:after="120" w:line="360" w:lineRule="auto"/>
        <w:ind w:firstLine="700"/>
        <w:jc w:val="both"/>
      </w:pPr>
      <w:r>
        <w:rPr>
          <w:rFonts w:ascii="Times New Roman" w:hAnsi="Times New Roman"/>
          <w:b w:val="0"/>
          <w:sz w:val="28"/>
        </w:rPr>
        <w:t>Поиск персонала носит проектный характер и чаще всего связан с потребностями тендерного отдела. Основными каналами привлечения выступают hh.ru, Авито, Работа.ru и профессиональные рекомендации. Важным преимуществом работодателя является удал</w:t>
      </w:r>
      <w:r>
        <w:rPr>
          <w:rFonts w:ascii="Times New Roman" w:hAnsi="Times New Roman"/>
          <w:b w:val="0"/>
          <w:sz w:val="28"/>
          <w:lang w:val="ru-RU"/>
        </w:rPr>
        <w:t>ё</w:t>
      </w:r>
      <w:r>
        <w:rPr>
          <w:rFonts w:ascii="Times New Roman" w:hAnsi="Times New Roman"/>
          <w:b w:val="0"/>
          <w:sz w:val="28"/>
        </w:rPr>
        <w:t>нный формат, позволяющий привлекать кандидатов не только из Нижнего Новгорода, но и из других регионов. При этом удал</w:t>
      </w:r>
      <w:r>
        <w:rPr>
          <w:rFonts w:ascii="Times New Roman" w:hAnsi="Times New Roman"/>
          <w:b w:val="0"/>
          <w:sz w:val="28"/>
          <w:lang w:val="ru-RU"/>
        </w:rPr>
        <w:t>ё</w:t>
      </w:r>
      <w:r>
        <w:rPr>
          <w:rFonts w:ascii="Times New Roman" w:hAnsi="Times New Roman"/>
          <w:b w:val="0"/>
          <w:sz w:val="28"/>
        </w:rPr>
        <w:t>нная занятость повышает требования к самостоятельности, цифровой дисциплине и умению работать с электронными документами.</w:t>
      </w:r>
    </w:p>
    <w:p w14:paraId="359267C0">
      <w:pPr>
        <w:spacing w:after="120" w:line="360" w:lineRule="auto"/>
        <w:ind w:firstLine="700"/>
        <w:jc w:val="both"/>
      </w:pPr>
      <w:r>
        <w:rPr>
          <w:rFonts w:ascii="Times New Roman" w:hAnsi="Times New Roman"/>
          <w:b w:val="0"/>
          <w:sz w:val="28"/>
        </w:rPr>
        <w:t>Отбор кандидатов построен по классической воронке. Сначала проводится скрининг резюме с уч</w:t>
      </w:r>
      <w:r>
        <w:rPr>
          <w:rFonts w:ascii="Times New Roman" w:hAnsi="Times New Roman"/>
          <w:b w:val="0"/>
          <w:sz w:val="28"/>
          <w:lang w:val="ru-RU"/>
        </w:rPr>
        <w:t>ё</w:t>
      </w:r>
      <w:r>
        <w:rPr>
          <w:rFonts w:ascii="Times New Roman" w:hAnsi="Times New Roman"/>
          <w:b w:val="0"/>
          <w:sz w:val="28"/>
        </w:rPr>
        <w:t>том опыта работы с 44-ФЗ и 223-ФЗ, затем телефонное интервью с руководителем отдела, после чего кандидат выполняет тестовое задание на основе реальных рабочих ситуаций: анализ документации, расчет НМЦК, выявление ошибок в заявке. Финальный этап включает видеоинтервью с генеральным директором и оформление через электронный документооборот. При</w:t>
      </w:r>
      <w:r>
        <w:rPr>
          <w:rFonts w:ascii="Times New Roman" w:hAnsi="Times New Roman"/>
          <w:b w:val="0"/>
          <w:sz w:val="28"/>
          <w:lang w:val="ru-RU"/>
        </w:rPr>
        <w:t>ё</w:t>
      </w:r>
      <w:r>
        <w:rPr>
          <w:rFonts w:ascii="Times New Roman" w:hAnsi="Times New Roman"/>
          <w:b w:val="0"/>
          <w:sz w:val="28"/>
        </w:rPr>
        <w:t>м на работу сопровождается получением электронных копий документов, подготовкой трудового договора, приказа о пр</w:t>
      </w:r>
      <w:r>
        <w:rPr>
          <w:rFonts w:ascii="Times New Roman" w:hAnsi="Times New Roman"/>
          <w:b w:val="0"/>
          <w:sz w:val="28"/>
          <w:lang w:val="ru-RU"/>
        </w:rPr>
        <w:t>иё</w:t>
      </w:r>
      <w:r>
        <w:rPr>
          <w:rFonts w:ascii="Times New Roman" w:hAnsi="Times New Roman"/>
          <w:b w:val="0"/>
          <w:sz w:val="28"/>
        </w:rPr>
        <w:t>ме, ознакомлением с должностной инструкцией и внесением сведений в электронную трудовую книжку.</w:t>
      </w:r>
    </w:p>
    <w:p w14:paraId="4A0AA29F">
      <w:pPr>
        <w:spacing w:after="120" w:line="360" w:lineRule="auto"/>
        <w:ind w:firstLine="700"/>
        <w:jc w:val="both"/>
        <w:rPr>
          <w:rFonts w:hint="default"/>
          <w:lang w:val="ru-RU"/>
        </w:rPr>
      </w:pPr>
      <w:r>
        <w:rPr>
          <w:rFonts w:ascii="Times New Roman" w:hAnsi="Times New Roman"/>
          <w:b w:val="0"/>
          <w:sz w:val="28"/>
        </w:rPr>
        <w:t>Кадровый потенциал компании во многом определяется тендерным отделом, так как он обеспечивает основную часть выручки. Поэтому анализ структуры персонала целесообразно начинать с оценки численности и роли подразделений</w:t>
      </w:r>
      <w:r>
        <w:rPr>
          <w:rFonts w:hint="default" w:ascii="Times New Roman" w:hAnsi="Times New Roman"/>
          <w:b w:val="0"/>
          <w:sz w:val="28"/>
          <w:lang w:val="ru-RU"/>
        </w:rPr>
        <w:t xml:space="preserve"> (см.табл.2.1.).</w:t>
      </w:r>
    </w:p>
    <w:p w14:paraId="3BC8CF81">
      <w:pPr>
        <w:spacing w:after="120" w:line="360" w:lineRule="auto"/>
        <w:jc w:val="right"/>
        <w:rPr>
          <w:sz w:val="24"/>
          <w:szCs w:val="24"/>
        </w:rPr>
      </w:pPr>
      <w:r>
        <w:rPr>
          <w:rFonts w:ascii="Times New Roman" w:hAnsi="Times New Roman"/>
          <w:b w:val="0"/>
          <w:sz w:val="24"/>
          <w:szCs w:val="24"/>
        </w:rPr>
        <w:t>Таблица 2.1. Структура персонала ООО «Лайф Медиа»</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1B715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68BB0900">
            <w:pPr>
              <w:widowControl w:val="0"/>
              <w:jc w:val="center"/>
              <w:rPr>
                <w:b w:val="0"/>
                <w:bCs/>
              </w:rPr>
            </w:pPr>
            <w:r>
              <w:rPr>
                <w:rFonts w:ascii="Times New Roman" w:hAnsi="Times New Roman"/>
                <w:b w:val="0"/>
                <w:bCs/>
                <w:sz w:val="24"/>
              </w:rPr>
              <w:t>Категория персонала</w:t>
            </w:r>
          </w:p>
        </w:tc>
        <w:tc>
          <w:tcPr>
            <w:tcW w:w="3118" w:type="dxa"/>
          </w:tcPr>
          <w:p w14:paraId="1A1521E5">
            <w:pPr>
              <w:widowControl w:val="0"/>
              <w:jc w:val="center"/>
              <w:rPr>
                <w:b w:val="0"/>
                <w:bCs/>
              </w:rPr>
            </w:pPr>
            <w:r>
              <w:rPr>
                <w:rFonts w:ascii="Times New Roman" w:hAnsi="Times New Roman"/>
                <w:b w:val="0"/>
                <w:bCs/>
                <w:sz w:val="24"/>
              </w:rPr>
              <w:t>Подразделение</w:t>
            </w:r>
          </w:p>
        </w:tc>
        <w:tc>
          <w:tcPr>
            <w:tcW w:w="3118" w:type="dxa"/>
          </w:tcPr>
          <w:p w14:paraId="1134C011">
            <w:pPr>
              <w:widowControl w:val="0"/>
              <w:jc w:val="center"/>
              <w:rPr>
                <w:b w:val="0"/>
                <w:bCs/>
              </w:rPr>
            </w:pPr>
            <w:r>
              <w:rPr>
                <w:rFonts w:ascii="Times New Roman" w:hAnsi="Times New Roman"/>
                <w:b w:val="0"/>
                <w:bCs/>
                <w:sz w:val="24"/>
              </w:rPr>
              <w:t>Количество, чел.</w:t>
            </w:r>
          </w:p>
        </w:tc>
      </w:tr>
      <w:tr w14:paraId="37733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0360BD09">
            <w:pPr>
              <w:widowControl w:val="0"/>
              <w:jc w:val="both"/>
            </w:pPr>
            <w:r>
              <w:rPr>
                <w:rFonts w:ascii="Times New Roman" w:hAnsi="Times New Roman"/>
                <w:sz w:val="24"/>
              </w:rPr>
              <w:t>Основной персонал</w:t>
            </w:r>
          </w:p>
        </w:tc>
        <w:tc>
          <w:tcPr>
            <w:tcW w:w="3118" w:type="dxa"/>
          </w:tcPr>
          <w:p w14:paraId="4912AF8E">
            <w:pPr>
              <w:widowControl w:val="0"/>
              <w:jc w:val="both"/>
            </w:pPr>
            <w:r>
              <w:rPr>
                <w:rFonts w:ascii="Times New Roman" w:hAnsi="Times New Roman"/>
                <w:sz w:val="24"/>
              </w:rPr>
              <w:t>Тендерный отдел</w:t>
            </w:r>
          </w:p>
        </w:tc>
        <w:tc>
          <w:tcPr>
            <w:tcW w:w="3118" w:type="dxa"/>
          </w:tcPr>
          <w:p w14:paraId="2933C2D0">
            <w:pPr>
              <w:widowControl w:val="0"/>
              <w:jc w:val="center"/>
            </w:pPr>
            <w:r>
              <w:rPr>
                <w:rFonts w:ascii="Times New Roman" w:hAnsi="Times New Roman"/>
                <w:sz w:val="24"/>
              </w:rPr>
              <w:t>8</w:t>
            </w:r>
          </w:p>
        </w:tc>
      </w:tr>
      <w:tr w14:paraId="04830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0C99569A">
            <w:pPr>
              <w:widowControl w:val="0"/>
              <w:jc w:val="both"/>
            </w:pPr>
            <w:r>
              <w:rPr>
                <w:rFonts w:ascii="Times New Roman" w:hAnsi="Times New Roman"/>
                <w:sz w:val="24"/>
              </w:rPr>
              <w:t>Вспомогательный персонал</w:t>
            </w:r>
          </w:p>
        </w:tc>
        <w:tc>
          <w:tcPr>
            <w:tcW w:w="3118" w:type="dxa"/>
          </w:tcPr>
          <w:p w14:paraId="6EB1435D">
            <w:pPr>
              <w:widowControl w:val="0"/>
              <w:jc w:val="both"/>
            </w:pPr>
            <w:r>
              <w:rPr>
                <w:rFonts w:ascii="Times New Roman" w:hAnsi="Times New Roman"/>
                <w:sz w:val="24"/>
              </w:rPr>
              <w:t>Отдел логистики и поставок</w:t>
            </w:r>
          </w:p>
        </w:tc>
        <w:tc>
          <w:tcPr>
            <w:tcW w:w="3118" w:type="dxa"/>
          </w:tcPr>
          <w:p w14:paraId="7A394153">
            <w:pPr>
              <w:widowControl w:val="0"/>
              <w:jc w:val="center"/>
            </w:pPr>
            <w:r>
              <w:rPr>
                <w:rFonts w:ascii="Times New Roman" w:hAnsi="Times New Roman"/>
                <w:sz w:val="24"/>
              </w:rPr>
              <w:t>3</w:t>
            </w:r>
          </w:p>
        </w:tc>
      </w:tr>
      <w:tr w14:paraId="7B483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0BB9EA01">
            <w:pPr>
              <w:widowControl w:val="0"/>
              <w:jc w:val="both"/>
            </w:pPr>
            <w:r>
              <w:rPr>
                <w:rFonts w:ascii="Times New Roman" w:hAnsi="Times New Roman"/>
                <w:sz w:val="24"/>
              </w:rPr>
              <w:t>Коммерческий персонал</w:t>
            </w:r>
          </w:p>
        </w:tc>
        <w:tc>
          <w:tcPr>
            <w:tcW w:w="3118" w:type="dxa"/>
          </w:tcPr>
          <w:p w14:paraId="02027662">
            <w:pPr>
              <w:widowControl w:val="0"/>
              <w:jc w:val="both"/>
            </w:pPr>
            <w:r>
              <w:rPr>
                <w:rFonts w:ascii="Times New Roman" w:hAnsi="Times New Roman"/>
                <w:sz w:val="24"/>
              </w:rPr>
              <w:t>Отдел продаж</w:t>
            </w:r>
          </w:p>
        </w:tc>
        <w:tc>
          <w:tcPr>
            <w:tcW w:w="3118" w:type="dxa"/>
          </w:tcPr>
          <w:p w14:paraId="4567988D">
            <w:pPr>
              <w:widowControl w:val="0"/>
              <w:jc w:val="center"/>
            </w:pPr>
            <w:r>
              <w:rPr>
                <w:rFonts w:ascii="Times New Roman" w:hAnsi="Times New Roman"/>
                <w:sz w:val="24"/>
              </w:rPr>
              <w:t>4</w:t>
            </w:r>
          </w:p>
        </w:tc>
      </w:tr>
      <w:tr w14:paraId="59FD4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476CF844">
            <w:pPr>
              <w:widowControl w:val="0"/>
              <w:jc w:val="both"/>
            </w:pPr>
            <w:r>
              <w:rPr>
                <w:rFonts w:ascii="Times New Roman" w:hAnsi="Times New Roman"/>
                <w:sz w:val="24"/>
              </w:rPr>
              <w:t>Административно-управленческий персонал</w:t>
            </w:r>
          </w:p>
        </w:tc>
        <w:tc>
          <w:tcPr>
            <w:tcW w:w="3118" w:type="dxa"/>
          </w:tcPr>
          <w:p w14:paraId="496399DD">
            <w:pPr>
              <w:widowControl w:val="0"/>
              <w:jc w:val="both"/>
            </w:pPr>
            <w:r>
              <w:rPr>
                <w:rFonts w:ascii="Times New Roman" w:hAnsi="Times New Roman"/>
                <w:sz w:val="24"/>
              </w:rPr>
              <w:t>Бухгалтерия, системный администратор</w:t>
            </w:r>
          </w:p>
        </w:tc>
        <w:tc>
          <w:tcPr>
            <w:tcW w:w="3118" w:type="dxa"/>
          </w:tcPr>
          <w:p w14:paraId="2AA95519">
            <w:pPr>
              <w:widowControl w:val="0"/>
              <w:jc w:val="center"/>
            </w:pPr>
            <w:r>
              <w:rPr>
                <w:rFonts w:ascii="Times New Roman" w:hAnsi="Times New Roman"/>
                <w:sz w:val="24"/>
              </w:rPr>
              <w:t>2</w:t>
            </w:r>
          </w:p>
        </w:tc>
      </w:tr>
      <w:tr w14:paraId="796E9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37294DD">
            <w:pPr>
              <w:widowControl w:val="0"/>
              <w:jc w:val="both"/>
            </w:pPr>
            <w:r>
              <w:rPr>
                <w:rFonts w:ascii="Times New Roman" w:hAnsi="Times New Roman"/>
                <w:sz w:val="24"/>
              </w:rPr>
              <w:t>Итого</w:t>
            </w:r>
          </w:p>
        </w:tc>
        <w:tc>
          <w:tcPr>
            <w:tcW w:w="3118" w:type="dxa"/>
          </w:tcPr>
          <w:p w14:paraId="4EF3A9EC">
            <w:pPr>
              <w:widowControl w:val="0"/>
              <w:jc w:val="both"/>
            </w:pPr>
          </w:p>
        </w:tc>
        <w:tc>
          <w:tcPr>
            <w:tcW w:w="3118" w:type="dxa"/>
          </w:tcPr>
          <w:p w14:paraId="0430D3EC">
            <w:pPr>
              <w:widowControl w:val="0"/>
              <w:jc w:val="center"/>
            </w:pPr>
            <w:r>
              <w:rPr>
                <w:rFonts w:ascii="Times New Roman" w:hAnsi="Times New Roman"/>
                <w:sz w:val="24"/>
              </w:rPr>
              <w:t>17</w:t>
            </w:r>
          </w:p>
        </w:tc>
      </w:tr>
    </w:tbl>
    <w:p w14:paraId="6197A2F8">
      <w:pPr>
        <w:spacing w:after="120" w:line="360" w:lineRule="auto"/>
        <w:ind w:firstLine="700"/>
        <w:jc w:val="both"/>
      </w:pPr>
    </w:p>
    <w:p w14:paraId="2FD6C8A9">
      <w:pPr>
        <w:spacing w:after="120" w:line="360" w:lineRule="auto"/>
        <w:ind w:firstLine="700"/>
        <w:jc w:val="both"/>
      </w:pPr>
      <w:r>
        <w:rPr>
          <w:rFonts w:ascii="Times New Roman" w:hAnsi="Times New Roman"/>
          <w:b w:val="0"/>
          <w:sz w:val="28"/>
        </w:rPr>
        <w:t>Из таблицы видно, что тендерные специалисты составляют крупнейшую группу персонала — 8 человек из 17. Это подтверждает приоритетность данного подразделения для бизнес-модели предприятия. Логистика и продажи обеспечивают сопровождение контрактов и работу с частными заказами, а административно-управленческий блок представлен минимальным составом, что соответствует масштабу малого бизнеса.</w:t>
      </w:r>
    </w:p>
    <w:p w14:paraId="399828B9">
      <w:pPr>
        <w:spacing w:after="120" w:line="360" w:lineRule="auto"/>
        <w:ind w:firstLine="700"/>
        <w:jc w:val="both"/>
        <w:rPr>
          <w:rFonts w:ascii="Times New Roman" w:hAnsi="Times New Roman"/>
          <w:b w:val="0"/>
          <w:sz w:val="28"/>
        </w:rPr>
      </w:pPr>
      <w:r>
        <w:rPr>
          <w:rFonts w:ascii="Times New Roman" w:hAnsi="Times New Roman"/>
          <w:b w:val="0"/>
          <w:sz w:val="28"/>
        </w:rPr>
        <w:t>Для оценки устойчивости кадрового состава были рассмотрены возраст, стаж работы и уровень образования сотрудников тендерного отдел</w:t>
      </w:r>
      <w:r>
        <w:rPr>
          <w:rFonts w:ascii="Times New Roman" w:hAnsi="Times New Roman"/>
          <w:b w:val="0"/>
          <w:sz w:val="28"/>
          <w:lang w:val="ru-RU"/>
        </w:rPr>
        <w:t>а</w:t>
      </w:r>
      <w:r>
        <w:rPr>
          <w:rFonts w:hint="default" w:ascii="Times New Roman" w:hAnsi="Times New Roman"/>
          <w:b w:val="0"/>
          <w:sz w:val="28"/>
          <w:lang w:val="ru-RU"/>
        </w:rPr>
        <w:t xml:space="preserve"> (см.табл.2.2-2.4.)</w:t>
      </w:r>
      <w:r>
        <w:rPr>
          <w:rFonts w:ascii="Times New Roman" w:hAnsi="Times New Roman"/>
          <w:b w:val="0"/>
          <w:sz w:val="28"/>
        </w:rPr>
        <w:t>.</w:t>
      </w:r>
    </w:p>
    <w:p w14:paraId="24096CEC">
      <w:pPr>
        <w:spacing w:after="120" w:line="360" w:lineRule="auto"/>
        <w:ind w:firstLine="700"/>
        <w:jc w:val="both"/>
        <w:rPr>
          <w:rFonts w:ascii="Times New Roman" w:hAnsi="Times New Roman"/>
          <w:b w:val="0"/>
          <w:sz w:val="28"/>
        </w:rPr>
      </w:pPr>
    </w:p>
    <w:p w14:paraId="087BFED9">
      <w:pPr>
        <w:spacing w:after="120" w:line="360" w:lineRule="auto"/>
        <w:ind w:firstLine="700"/>
        <w:jc w:val="both"/>
        <w:rPr>
          <w:rFonts w:ascii="Times New Roman" w:hAnsi="Times New Roman"/>
          <w:b w:val="0"/>
          <w:sz w:val="28"/>
        </w:rPr>
      </w:pPr>
    </w:p>
    <w:p w14:paraId="13E9017C">
      <w:pPr>
        <w:spacing w:after="120" w:line="360" w:lineRule="auto"/>
        <w:jc w:val="right"/>
        <w:rPr>
          <w:sz w:val="18"/>
          <w:szCs w:val="18"/>
        </w:rPr>
      </w:pPr>
      <w:r>
        <w:rPr>
          <w:rFonts w:ascii="Times New Roman" w:hAnsi="Times New Roman"/>
          <w:b w:val="0"/>
          <w:sz w:val="24"/>
          <w:szCs w:val="18"/>
        </w:rPr>
        <w:t>Таблица 2.2. Возрастная структура тендерных специалистов ООО «Лайф Медиа» (2025 г.)</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6AEE1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29D1A175">
            <w:pPr>
              <w:widowControl w:val="0"/>
              <w:jc w:val="both"/>
              <w:rPr>
                <w:b w:val="0"/>
                <w:bCs/>
              </w:rPr>
            </w:pPr>
            <w:r>
              <w:rPr>
                <w:rFonts w:ascii="Times New Roman" w:hAnsi="Times New Roman"/>
                <w:b w:val="0"/>
                <w:bCs/>
                <w:sz w:val="24"/>
              </w:rPr>
              <w:t>Возрастная группа</w:t>
            </w:r>
          </w:p>
        </w:tc>
        <w:tc>
          <w:tcPr>
            <w:tcW w:w="3118" w:type="dxa"/>
          </w:tcPr>
          <w:p w14:paraId="09C407A7">
            <w:pPr>
              <w:widowControl w:val="0"/>
              <w:jc w:val="both"/>
              <w:rPr>
                <w:b w:val="0"/>
                <w:bCs/>
              </w:rPr>
            </w:pPr>
            <w:r>
              <w:rPr>
                <w:rFonts w:ascii="Times New Roman" w:hAnsi="Times New Roman"/>
                <w:b w:val="0"/>
                <w:bCs/>
                <w:sz w:val="24"/>
              </w:rPr>
              <w:t>Количество, чел.</w:t>
            </w:r>
          </w:p>
        </w:tc>
        <w:tc>
          <w:tcPr>
            <w:tcW w:w="3118" w:type="dxa"/>
          </w:tcPr>
          <w:p w14:paraId="2D587BFE">
            <w:pPr>
              <w:widowControl w:val="0"/>
              <w:jc w:val="both"/>
              <w:rPr>
                <w:b w:val="0"/>
                <w:bCs/>
              </w:rPr>
            </w:pPr>
            <w:r>
              <w:rPr>
                <w:rFonts w:ascii="Times New Roman" w:hAnsi="Times New Roman"/>
                <w:b w:val="0"/>
                <w:bCs/>
                <w:sz w:val="24"/>
              </w:rPr>
              <w:t>Доля, %</w:t>
            </w:r>
          </w:p>
        </w:tc>
      </w:tr>
      <w:tr w14:paraId="3A8C4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0116144F">
            <w:pPr>
              <w:widowControl w:val="0"/>
              <w:jc w:val="both"/>
            </w:pPr>
            <w:r>
              <w:rPr>
                <w:rFonts w:ascii="Times New Roman" w:hAnsi="Times New Roman"/>
                <w:sz w:val="24"/>
              </w:rPr>
              <w:t>До 25 лет</w:t>
            </w:r>
          </w:p>
        </w:tc>
        <w:tc>
          <w:tcPr>
            <w:tcW w:w="3118" w:type="dxa"/>
          </w:tcPr>
          <w:p w14:paraId="4A452016">
            <w:pPr>
              <w:widowControl w:val="0"/>
              <w:jc w:val="center"/>
            </w:pPr>
            <w:r>
              <w:rPr>
                <w:rFonts w:ascii="Times New Roman" w:hAnsi="Times New Roman"/>
                <w:sz w:val="24"/>
              </w:rPr>
              <w:t>2</w:t>
            </w:r>
          </w:p>
        </w:tc>
        <w:tc>
          <w:tcPr>
            <w:tcW w:w="3118" w:type="dxa"/>
          </w:tcPr>
          <w:p w14:paraId="1EB2975B">
            <w:pPr>
              <w:widowControl w:val="0"/>
              <w:jc w:val="center"/>
            </w:pPr>
            <w:r>
              <w:rPr>
                <w:rFonts w:ascii="Times New Roman" w:hAnsi="Times New Roman"/>
                <w:sz w:val="24"/>
              </w:rPr>
              <w:t>25,0</w:t>
            </w:r>
          </w:p>
        </w:tc>
      </w:tr>
      <w:tr w14:paraId="0EC9A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4E2C7B74">
            <w:pPr>
              <w:widowControl w:val="0"/>
              <w:jc w:val="both"/>
            </w:pPr>
            <w:r>
              <w:rPr>
                <w:rFonts w:ascii="Times New Roman" w:hAnsi="Times New Roman"/>
                <w:sz w:val="24"/>
              </w:rPr>
              <w:t>25-35 лет</w:t>
            </w:r>
          </w:p>
        </w:tc>
        <w:tc>
          <w:tcPr>
            <w:tcW w:w="3118" w:type="dxa"/>
          </w:tcPr>
          <w:p w14:paraId="2FCADC3E">
            <w:pPr>
              <w:widowControl w:val="0"/>
              <w:jc w:val="center"/>
            </w:pPr>
            <w:r>
              <w:rPr>
                <w:rFonts w:ascii="Times New Roman" w:hAnsi="Times New Roman"/>
                <w:sz w:val="24"/>
              </w:rPr>
              <w:t>5</w:t>
            </w:r>
          </w:p>
        </w:tc>
        <w:tc>
          <w:tcPr>
            <w:tcW w:w="3118" w:type="dxa"/>
          </w:tcPr>
          <w:p w14:paraId="19E29200">
            <w:pPr>
              <w:widowControl w:val="0"/>
              <w:jc w:val="center"/>
            </w:pPr>
            <w:r>
              <w:rPr>
                <w:rFonts w:ascii="Times New Roman" w:hAnsi="Times New Roman"/>
                <w:sz w:val="24"/>
              </w:rPr>
              <w:t>62,5</w:t>
            </w:r>
          </w:p>
        </w:tc>
      </w:tr>
      <w:tr w14:paraId="1802E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6E6C907D">
            <w:pPr>
              <w:widowControl w:val="0"/>
              <w:jc w:val="both"/>
            </w:pPr>
            <w:r>
              <w:rPr>
                <w:rFonts w:ascii="Times New Roman" w:hAnsi="Times New Roman"/>
                <w:sz w:val="24"/>
              </w:rPr>
              <w:t>36-45 лет</w:t>
            </w:r>
          </w:p>
        </w:tc>
        <w:tc>
          <w:tcPr>
            <w:tcW w:w="3118" w:type="dxa"/>
          </w:tcPr>
          <w:p w14:paraId="19E5DDAF">
            <w:pPr>
              <w:widowControl w:val="0"/>
              <w:jc w:val="center"/>
            </w:pPr>
            <w:r>
              <w:rPr>
                <w:rFonts w:ascii="Times New Roman" w:hAnsi="Times New Roman"/>
                <w:sz w:val="24"/>
              </w:rPr>
              <w:t>1</w:t>
            </w:r>
          </w:p>
        </w:tc>
        <w:tc>
          <w:tcPr>
            <w:tcW w:w="3118" w:type="dxa"/>
          </w:tcPr>
          <w:p w14:paraId="112DC88D">
            <w:pPr>
              <w:widowControl w:val="0"/>
              <w:jc w:val="center"/>
            </w:pPr>
            <w:r>
              <w:rPr>
                <w:rFonts w:ascii="Times New Roman" w:hAnsi="Times New Roman"/>
                <w:sz w:val="24"/>
              </w:rPr>
              <w:t>12,5</w:t>
            </w:r>
          </w:p>
        </w:tc>
      </w:tr>
      <w:tr w14:paraId="7E9D8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4A656F0">
            <w:pPr>
              <w:widowControl w:val="0"/>
              <w:jc w:val="both"/>
            </w:pPr>
            <w:r>
              <w:rPr>
                <w:rFonts w:ascii="Times New Roman" w:hAnsi="Times New Roman"/>
                <w:sz w:val="24"/>
              </w:rPr>
              <w:t>Старше 45 лет</w:t>
            </w:r>
          </w:p>
        </w:tc>
        <w:tc>
          <w:tcPr>
            <w:tcW w:w="3118" w:type="dxa"/>
          </w:tcPr>
          <w:p w14:paraId="6C8B4B02">
            <w:pPr>
              <w:widowControl w:val="0"/>
              <w:jc w:val="center"/>
            </w:pPr>
            <w:r>
              <w:rPr>
                <w:rFonts w:ascii="Times New Roman" w:hAnsi="Times New Roman"/>
                <w:sz w:val="24"/>
              </w:rPr>
              <w:t>0</w:t>
            </w:r>
          </w:p>
        </w:tc>
        <w:tc>
          <w:tcPr>
            <w:tcW w:w="3118" w:type="dxa"/>
          </w:tcPr>
          <w:p w14:paraId="59B36ECC">
            <w:pPr>
              <w:widowControl w:val="0"/>
              <w:jc w:val="center"/>
            </w:pPr>
            <w:r>
              <w:rPr>
                <w:rFonts w:ascii="Times New Roman" w:hAnsi="Times New Roman"/>
                <w:sz w:val="24"/>
              </w:rPr>
              <w:t>0</w:t>
            </w:r>
          </w:p>
        </w:tc>
      </w:tr>
    </w:tbl>
    <w:p w14:paraId="59BFA3A7">
      <w:pPr>
        <w:spacing w:after="120" w:line="360" w:lineRule="auto"/>
        <w:ind w:firstLine="700"/>
        <w:jc w:val="both"/>
      </w:pPr>
    </w:p>
    <w:p w14:paraId="6B87EC72">
      <w:pPr>
        <w:spacing w:after="120" w:line="360" w:lineRule="auto"/>
        <w:jc w:val="right"/>
        <w:rPr>
          <w:sz w:val="18"/>
          <w:szCs w:val="18"/>
        </w:rPr>
      </w:pPr>
      <w:r>
        <w:rPr>
          <w:rFonts w:ascii="Times New Roman" w:hAnsi="Times New Roman"/>
          <w:b w:val="0"/>
          <w:sz w:val="24"/>
          <w:szCs w:val="18"/>
        </w:rPr>
        <w:t>Таблица 2.3. Структура тендерных специалистов по продолжительности работы в ООО «Лайф Медиа» (2025 г.)</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4C249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78B728FF">
            <w:pPr>
              <w:widowControl w:val="0"/>
              <w:jc w:val="center"/>
              <w:rPr>
                <w:b w:val="0"/>
                <w:bCs/>
              </w:rPr>
            </w:pPr>
            <w:r>
              <w:rPr>
                <w:rFonts w:ascii="Times New Roman" w:hAnsi="Times New Roman"/>
                <w:b w:val="0"/>
                <w:bCs/>
                <w:sz w:val="24"/>
              </w:rPr>
              <w:t>Стаж в компании</w:t>
            </w:r>
          </w:p>
        </w:tc>
        <w:tc>
          <w:tcPr>
            <w:tcW w:w="3118" w:type="dxa"/>
          </w:tcPr>
          <w:p w14:paraId="286DFCB9">
            <w:pPr>
              <w:widowControl w:val="0"/>
              <w:jc w:val="center"/>
              <w:rPr>
                <w:b w:val="0"/>
                <w:bCs/>
              </w:rPr>
            </w:pPr>
            <w:r>
              <w:rPr>
                <w:rFonts w:ascii="Times New Roman" w:hAnsi="Times New Roman"/>
                <w:b w:val="0"/>
                <w:bCs/>
                <w:sz w:val="24"/>
              </w:rPr>
              <w:t>Количество, чел.</w:t>
            </w:r>
          </w:p>
        </w:tc>
        <w:tc>
          <w:tcPr>
            <w:tcW w:w="3118" w:type="dxa"/>
          </w:tcPr>
          <w:p w14:paraId="7C663C3B">
            <w:pPr>
              <w:widowControl w:val="0"/>
              <w:jc w:val="center"/>
              <w:rPr>
                <w:b w:val="0"/>
                <w:bCs/>
              </w:rPr>
            </w:pPr>
            <w:r>
              <w:rPr>
                <w:rFonts w:ascii="Times New Roman" w:hAnsi="Times New Roman"/>
                <w:b w:val="0"/>
                <w:bCs/>
                <w:sz w:val="24"/>
              </w:rPr>
              <w:t>Доля, %</w:t>
            </w:r>
          </w:p>
        </w:tc>
      </w:tr>
      <w:tr w14:paraId="4F8A2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685EF0FC">
            <w:pPr>
              <w:widowControl w:val="0"/>
              <w:jc w:val="left"/>
            </w:pPr>
            <w:r>
              <w:rPr>
                <w:rFonts w:ascii="Times New Roman" w:hAnsi="Times New Roman"/>
                <w:sz w:val="24"/>
              </w:rPr>
              <w:t>Менее 3 месяцев</w:t>
            </w:r>
          </w:p>
        </w:tc>
        <w:tc>
          <w:tcPr>
            <w:tcW w:w="3118" w:type="dxa"/>
          </w:tcPr>
          <w:p w14:paraId="78CBC6F4">
            <w:pPr>
              <w:widowControl w:val="0"/>
              <w:jc w:val="center"/>
            </w:pPr>
            <w:r>
              <w:rPr>
                <w:rFonts w:ascii="Times New Roman" w:hAnsi="Times New Roman"/>
                <w:sz w:val="24"/>
              </w:rPr>
              <w:t>2</w:t>
            </w:r>
          </w:p>
        </w:tc>
        <w:tc>
          <w:tcPr>
            <w:tcW w:w="3118" w:type="dxa"/>
          </w:tcPr>
          <w:p w14:paraId="78CB4B68">
            <w:pPr>
              <w:widowControl w:val="0"/>
              <w:jc w:val="center"/>
            </w:pPr>
            <w:r>
              <w:rPr>
                <w:rFonts w:ascii="Times New Roman" w:hAnsi="Times New Roman"/>
                <w:sz w:val="24"/>
              </w:rPr>
              <w:t>25,0</w:t>
            </w:r>
          </w:p>
        </w:tc>
      </w:tr>
      <w:tr w14:paraId="3253D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D094033">
            <w:pPr>
              <w:widowControl w:val="0"/>
              <w:jc w:val="left"/>
            </w:pPr>
            <w:r>
              <w:rPr>
                <w:rFonts w:ascii="Times New Roman" w:hAnsi="Times New Roman"/>
                <w:sz w:val="24"/>
              </w:rPr>
              <w:t>От 3 до 6 месяцев</w:t>
            </w:r>
          </w:p>
        </w:tc>
        <w:tc>
          <w:tcPr>
            <w:tcW w:w="3118" w:type="dxa"/>
          </w:tcPr>
          <w:p w14:paraId="59244FEB">
            <w:pPr>
              <w:widowControl w:val="0"/>
              <w:jc w:val="center"/>
            </w:pPr>
            <w:r>
              <w:rPr>
                <w:rFonts w:ascii="Times New Roman" w:hAnsi="Times New Roman"/>
                <w:sz w:val="24"/>
              </w:rPr>
              <w:t>1</w:t>
            </w:r>
          </w:p>
        </w:tc>
        <w:tc>
          <w:tcPr>
            <w:tcW w:w="3118" w:type="dxa"/>
          </w:tcPr>
          <w:p w14:paraId="0BAEBF85">
            <w:pPr>
              <w:widowControl w:val="0"/>
              <w:jc w:val="center"/>
            </w:pPr>
            <w:r>
              <w:rPr>
                <w:rFonts w:ascii="Times New Roman" w:hAnsi="Times New Roman"/>
                <w:sz w:val="24"/>
              </w:rPr>
              <w:t>12,5</w:t>
            </w:r>
          </w:p>
        </w:tc>
      </w:tr>
      <w:tr w14:paraId="24ED7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176A6954">
            <w:pPr>
              <w:widowControl w:val="0"/>
              <w:jc w:val="left"/>
            </w:pPr>
            <w:r>
              <w:rPr>
                <w:rFonts w:ascii="Times New Roman" w:hAnsi="Times New Roman"/>
                <w:sz w:val="24"/>
              </w:rPr>
              <w:t>От 6 до 12 месяцев</w:t>
            </w:r>
          </w:p>
        </w:tc>
        <w:tc>
          <w:tcPr>
            <w:tcW w:w="3118" w:type="dxa"/>
          </w:tcPr>
          <w:p w14:paraId="3CC08993">
            <w:pPr>
              <w:widowControl w:val="0"/>
              <w:jc w:val="center"/>
            </w:pPr>
            <w:r>
              <w:rPr>
                <w:rFonts w:ascii="Times New Roman" w:hAnsi="Times New Roman"/>
                <w:sz w:val="24"/>
              </w:rPr>
              <w:t>2</w:t>
            </w:r>
          </w:p>
        </w:tc>
        <w:tc>
          <w:tcPr>
            <w:tcW w:w="3118" w:type="dxa"/>
          </w:tcPr>
          <w:p w14:paraId="638982D7">
            <w:pPr>
              <w:widowControl w:val="0"/>
              <w:jc w:val="center"/>
            </w:pPr>
            <w:r>
              <w:rPr>
                <w:rFonts w:ascii="Times New Roman" w:hAnsi="Times New Roman"/>
                <w:sz w:val="24"/>
              </w:rPr>
              <w:t>25,0</w:t>
            </w:r>
          </w:p>
        </w:tc>
      </w:tr>
      <w:tr w14:paraId="55F52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7380A37">
            <w:pPr>
              <w:widowControl w:val="0"/>
              <w:jc w:val="left"/>
            </w:pPr>
            <w:r>
              <w:rPr>
                <w:rFonts w:ascii="Times New Roman" w:hAnsi="Times New Roman"/>
                <w:sz w:val="24"/>
              </w:rPr>
              <w:t>От 1 до 2 лет</w:t>
            </w:r>
          </w:p>
        </w:tc>
        <w:tc>
          <w:tcPr>
            <w:tcW w:w="3118" w:type="dxa"/>
          </w:tcPr>
          <w:p w14:paraId="35B6596D">
            <w:pPr>
              <w:widowControl w:val="0"/>
              <w:jc w:val="center"/>
            </w:pPr>
            <w:r>
              <w:rPr>
                <w:rFonts w:ascii="Times New Roman" w:hAnsi="Times New Roman"/>
                <w:sz w:val="24"/>
              </w:rPr>
              <w:t>1</w:t>
            </w:r>
          </w:p>
        </w:tc>
        <w:tc>
          <w:tcPr>
            <w:tcW w:w="3118" w:type="dxa"/>
          </w:tcPr>
          <w:p w14:paraId="2F390803">
            <w:pPr>
              <w:widowControl w:val="0"/>
              <w:jc w:val="center"/>
            </w:pPr>
            <w:r>
              <w:rPr>
                <w:rFonts w:ascii="Times New Roman" w:hAnsi="Times New Roman"/>
                <w:sz w:val="24"/>
              </w:rPr>
              <w:t>12,5</w:t>
            </w:r>
          </w:p>
        </w:tc>
      </w:tr>
      <w:tr w14:paraId="17E6B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2949EC51">
            <w:pPr>
              <w:widowControl w:val="0"/>
              <w:jc w:val="left"/>
            </w:pPr>
            <w:r>
              <w:rPr>
                <w:rFonts w:ascii="Times New Roman" w:hAnsi="Times New Roman"/>
                <w:sz w:val="24"/>
              </w:rPr>
              <w:t>Более 2 лет</w:t>
            </w:r>
          </w:p>
        </w:tc>
        <w:tc>
          <w:tcPr>
            <w:tcW w:w="3118" w:type="dxa"/>
          </w:tcPr>
          <w:p w14:paraId="1D792DF9">
            <w:pPr>
              <w:widowControl w:val="0"/>
              <w:jc w:val="center"/>
            </w:pPr>
            <w:r>
              <w:rPr>
                <w:rFonts w:ascii="Times New Roman" w:hAnsi="Times New Roman"/>
                <w:sz w:val="24"/>
              </w:rPr>
              <w:t>2</w:t>
            </w:r>
          </w:p>
        </w:tc>
        <w:tc>
          <w:tcPr>
            <w:tcW w:w="3118" w:type="dxa"/>
          </w:tcPr>
          <w:p w14:paraId="1C6C86AE">
            <w:pPr>
              <w:widowControl w:val="0"/>
              <w:jc w:val="center"/>
            </w:pPr>
            <w:r>
              <w:rPr>
                <w:rFonts w:ascii="Times New Roman" w:hAnsi="Times New Roman"/>
                <w:sz w:val="24"/>
              </w:rPr>
              <w:t>25,0</w:t>
            </w:r>
          </w:p>
        </w:tc>
      </w:tr>
    </w:tbl>
    <w:p w14:paraId="0EE41526">
      <w:pPr>
        <w:spacing w:after="120" w:line="360" w:lineRule="auto"/>
        <w:ind w:firstLine="700"/>
        <w:jc w:val="center"/>
      </w:pPr>
    </w:p>
    <w:p w14:paraId="28E04785">
      <w:pPr>
        <w:spacing w:after="120" w:line="360" w:lineRule="auto"/>
        <w:jc w:val="right"/>
        <w:rPr>
          <w:sz w:val="24"/>
          <w:szCs w:val="24"/>
        </w:rPr>
      </w:pPr>
      <w:r>
        <w:rPr>
          <w:rFonts w:ascii="Times New Roman" w:hAnsi="Times New Roman"/>
          <w:b w:val="0"/>
          <w:sz w:val="24"/>
          <w:szCs w:val="24"/>
        </w:rPr>
        <w:t>Таблица 2.4. Уровень образования специалистов тендерного отдела ООО «Лайф Медиа» (2025 г.)</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5F49C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023903AE">
            <w:pPr>
              <w:widowControl w:val="0"/>
              <w:jc w:val="center"/>
              <w:rPr>
                <w:b w:val="0"/>
                <w:bCs/>
              </w:rPr>
            </w:pPr>
            <w:r>
              <w:rPr>
                <w:rFonts w:ascii="Times New Roman" w:hAnsi="Times New Roman"/>
                <w:b w:val="0"/>
                <w:bCs/>
                <w:sz w:val="24"/>
              </w:rPr>
              <w:t>Уровень образования</w:t>
            </w:r>
          </w:p>
        </w:tc>
        <w:tc>
          <w:tcPr>
            <w:tcW w:w="3118" w:type="dxa"/>
          </w:tcPr>
          <w:p w14:paraId="46F7DD53">
            <w:pPr>
              <w:widowControl w:val="0"/>
              <w:jc w:val="center"/>
              <w:rPr>
                <w:b w:val="0"/>
                <w:bCs/>
              </w:rPr>
            </w:pPr>
            <w:r>
              <w:rPr>
                <w:rFonts w:ascii="Times New Roman" w:hAnsi="Times New Roman"/>
                <w:b w:val="0"/>
                <w:bCs/>
                <w:sz w:val="24"/>
              </w:rPr>
              <w:t>Количество, чел.</w:t>
            </w:r>
          </w:p>
        </w:tc>
        <w:tc>
          <w:tcPr>
            <w:tcW w:w="3118" w:type="dxa"/>
          </w:tcPr>
          <w:p w14:paraId="6CA0CFBA">
            <w:pPr>
              <w:widowControl w:val="0"/>
              <w:jc w:val="center"/>
              <w:rPr>
                <w:b w:val="0"/>
                <w:bCs/>
              </w:rPr>
            </w:pPr>
            <w:r>
              <w:rPr>
                <w:rFonts w:ascii="Times New Roman" w:hAnsi="Times New Roman"/>
                <w:b w:val="0"/>
                <w:bCs/>
                <w:sz w:val="24"/>
              </w:rPr>
              <w:t>Доля, %</w:t>
            </w:r>
          </w:p>
        </w:tc>
      </w:tr>
      <w:tr w14:paraId="45DF9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7A32696C">
            <w:pPr>
              <w:widowControl w:val="0"/>
              <w:jc w:val="both"/>
            </w:pPr>
            <w:r>
              <w:rPr>
                <w:rFonts w:ascii="Times New Roman" w:hAnsi="Times New Roman"/>
                <w:sz w:val="24"/>
              </w:rPr>
              <w:t>Высшее профильное (экономика/менеджмент)</w:t>
            </w:r>
          </w:p>
        </w:tc>
        <w:tc>
          <w:tcPr>
            <w:tcW w:w="3118" w:type="dxa"/>
          </w:tcPr>
          <w:p w14:paraId="09200554">
            <w:pPr>
              <w:widowControl w:val="0"/>
              <w:jc w:val="center"/>
            </w:pPr>
            <w:r>
              <w:rPr>
                <w:rFonts w:ascii="Times New Roman" w:hAnsi="Times New Roman"/>
                <w:sz w:val="24"/>
              </w:rPr>
              <w:t>3</w:t>
            </w:r>
          </w:p>
        </w:tc>
        <w:tc>
          <w:tcPr>
            <w:tcW w:w="3118" w:type="dxa"/>
          </w:tcPr>
          <w:p w14:paraId="3F6C2D04">
            <w:pPr>
              <w:widowControl w:val="0"/>
              <w:jc w:val="center"/>
            </w:pPr>
            <w:r>
              <w:rPr>
                <w:rFonts w:ascii="Times New Roman" w:hAnsi="Times New Roman"/>
                <w:sz w:val="24"/>
              </w:rPr>
              <w:t>37,5</w:t>
            </w:r>
          </w:p>
        </w:tc>
      </w:tr>
      <w:tr w14:paraId="7144B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4642C008">
            <w:pPr>
              <w:widowControl w:val="0"/>
              <w:jc w:val="both"/>
            </w:pPr>
            <w:r>
              <w:rPr>
                <w:rFonts w:ascii="Times New Roman" w:hAnsi="Times New Roman"/>
                <w:sz w:val="24"/>
              </w:rPr>
              <w:t>Высшее непрофильное</w:t>
            </w:r>
          </w:p>
        </w:tc>
        <w:tc>
          <w:tcPr>
            <w:tcW w:w="3118" w:type="dxa"/>
          </w:tcPr>
          <w:p w14:paraId="382FF2B7">
            <w:pPr>
              <w:widowControl w:val="0"/>
              <w:jc w:val="center"/>
            </w:pPr>
            <w:r>
              <w:rPr>
                <w:rFonts w:ascii="Times New Roman" w:hAnsi="Times New Roman"/>
                <w:sz w:val="24"/>
              </w:rPr>
              <w:t>4</w:t>
            </w:r>
          </w:p>
        </w:tc>
        <w:tc>
          <w:tcPr>
            <w:tcW w:w="3118" w:type="dxa"/>
          </w:tcPr>
          <w:p w14:paraId="7FABE1C5">
            <w:pPr>
              <w:widowControl w:val="0"/>
              <w:jc w:val="center"/>
            </w:pPr>
            <w:r>
              <w:rPr>
                <w:rFonts w:ascii="Times New Roman" w:hAnsi="Times New Roman"/>
                <w:sz w:val="24"/>
              </w:rPr>
              <w:t>50,0</w:t>
            </w:r>
          </w:p>
        </w:tc>
      </w:tr>
      <w:tr w14:paraId="7C675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1C74B734">
            <w:pPr>
              <w:widowControl w:val="0"/>
              <w:jc w:val="both"/>
            </w:pPr>
            <w:r>
              <w:rPr>
                <w:rFonts w:ascii="Times New Roman" w:hAnsi="Times New Roman"/>
                <w:sz w:val="24"/>
              </w:rPr>
              <w:t>Среднее профессиональное</w:t>
            </w:r>
          </w:p>
        </w:tc>
        <w:tc>
          <w:tcPr>
            <w:tcW w:w="3118" w:type="dxa"/>
          </w:tcPr>
          <w:p w14:paraId="16E51624">
            <w:pPr>
              <w:widowControl w:val="0"/>
              <w:jc w:val="center"/>
            </w:pPr>
            <w:r>
              <w:rPr>
                <w:rFonts w:ascii="Times New Roman" w:hAnsi="Times New Roman"/>
                <w:sz w:val="24"/>
              </w:rPr>
              <w:t>1</w:t>
            </w:r>
          </w:p>
        </w:tc>
        <w:tc>
          <w:tcPr>
            <w:tcW w:w="3118" w:type="dxa"/>
          </w:tcPr>
          <w:p w14:paraId="3E870898">
            <w:pPr>
              <w:widowControl w:val="0"/>
              <w:jc w:val="center"/>
            </w:pPr>
            <w:r>
              <w:rPr>
                <w:rFonts w:ascii="Times New Roman" w:hAnsi="Times New Roman"/>
                <w:sz w:val="24"/>
              </w:rPr>
              <w:t>12,5</w:t>
            </w:r>
          </w:p>
        </w:tc>
      </w:tr>
    </w:tbl>
    <w:p w14:paraId="7BA5A4D2">
      <w:pPr>
        <w:spacing w:after="120" w:line="360" w:lineRule="auto"/>
        <w:ind w:firstLine="700"/>
        <w:jc w:val="both"/>
      </w:pPr>
    </w:p>
    <w:p w14:paraId="4E6557BD">
      <w:pPr>
        <w:spacing w:after="120" w:line="360" w:lineRule="auto"/>
        <w:ind w:firstLine="700"/>
        <w:jc w:val="both"/>
      </w:pPr>
      <w:r>
        <w:rPr>
          <w:rFonts w:ascii="Times New Roman" w:hAnsi="Times New Roman"/>
          <w:b w:val="0"/>
          <w:sz w:val="28"/>
        </w:rPr>
        <w:t>Представленные данные показывают, что тендерный отдел состоит преимущественно из молодых сотрудников: 7 из 8 специалистов находятся в возрасте до 35 лет. Это созда</w:t>
      </w:r>
      <w:r>
        <w:rPr>
          <w:rFonts w:ascii="Times New Roman" w:hAnsi="Times New Roman"/>
          <w:b w:val="0"/>
          <w:sz w:val="28"/>
          <w:lang w:val="ru-RU"/>
        </w:rPr>
        <w:t>ё</w:t>
      </w:r>
      <w:r>
        <w:rPr>
          <w:rFonts w:ascii="Times New Roman" w:hAnsi="Times New Roman"/>
          <w:b w:val="0"/>
          <w:sz w:val="28"/>
        </w:rPr>
        <w:t>т потенциал для освоения цифровых инструментов и профессионального роста. Одновременно структура стажа указывает на недостаточную устойчивость кадрового состава: 5 сотрудников, или 62,5%, работают в компании менее одного года, а стаж более двух лет имеют только 2 человека. Следовательно, в отделе ограничена доля работников, которые могут выступать носителями устойчивого опыта.</w:t>
      </w:r>
    </w:p>
    <w:p w14:paraId="540C0331">
      <w:pPr>
        <w:spacing w:after="120" w:line="360" w:lineRule="auto"/>
        <w:ind w:firstLine="700"/>
        <w:jc w:val="both"/>
      </w:pPr>
      <w:r>
        <w:rPr>
          <w:rFonts w:ascii="Times New Roman" w:hAnsi="Times New Roman"/>
          <w:b w:val="0"/>
          <w:sz w:val="28"/>
        </w:rPr>
        <w:t>Образовательная структура также неоднородна. Профильное высшее образование имеют 3 специалиста, тогда как 5 сотрудников обладают непрофильным или средним профессиональным образованием. Это не означает невозможность эффективной работы, но повышает значение внутренней адаптации, передачи практических знаний и регулярного обновления компетенций, особенно с уч</w:t>
      </w:r>
      <w:r>
        <w:rPr>
          <w:rFonts w:ascii="Times New Roman" w:hAnsi="Times New Roman"/>
          <w:b w:val="0"/>
          <w:sz w:val="28"/>
          <w:lang w:val="ru-RU"/>
        </w:rPr>
        <w:t>ё</w:t>
      </w:r>
      <w:r>
        <w:rPr>
          <w:rFonts w:ascii="Times New Roman" w:hAnsi="Times New Roman"/>
          <w:b w:val="0"/>
          <w:sz w:val="28"/>
        </w:rPr>
        <w:t>том изменений законодательства о закупках.</w:t>
      </w:r>
    </w:p>
    <w:p w14:paraId="166A653E">
      <w:pPr>
        <w:spacing w:after="120" w:line="360" w:lineRule="auto"/>
        <w:ind w:firstLine="700"/>
        <w:jc w:val="both"/>
        <w:rPr>
          <w:rFonts w:hint="default"/>
          <w:lang w:val="ru-RU"/>
        </w:rPr>
      </w:pPr>
      <w:r>
        <w:rPr>
          <w:rFonts w:ascii="Times New Roman" w:hAnsi="Times New Roman"/>
          <w:b w:val="0"/>
          <w:sz w:val="28"/>
        </w:rPr>
        <w:t>Стабильность персонала является важным условием качества работы тендерного отдела. Подготовка заявки требует знания законодательства, опыта работы с электронными площадками, понимания требований заказчиков и внутренних правил компании. При высокой сменяемости сотрудников часть опыта теряется, а новые работники вынуждены осваивать сложные операции в ускоренном режиме.</w:t>
      </w:r>
      <w:r>
        <w:rPr>
          <w:rFonts w:hint="default" w:ascii="Times New Roman" w:hAnsi="Times New Roman"/>
          <w:b w:val="0"/>
          <w:sz w:val="28"/>
          <w:lang w:val="ru-RU"/>
        </w:rPr>
        <w:t xml:space="preserve"> Анализ движения персонала компании за последние два года отражён в таблице 2.5.</w:t>
      </w:r>
    </w:p>
    <w:p w14:paraId="019826D2">
      <w:pPr>
        <w:spacing w:after="120" w:line="360" w:lineRule="auto"/>
        <w:jc w:val="right"/>
        <w:rPr>
          <w:sz w:val="24"/>
          <w:szCs w:val="24"/>
        </w:rPr>
      </w:pPr>
      <w:r>
        <w:rPr>
          <w:rFonts w:ascii="Times New Roman" w:hAnsi="Times New Roman"/>
          <w:b w:val="0"/>
          <w:sz w:val="24"/>
          <w:szCs w:val="24"/>
        </w:rPr>
        <w:t>Таблица 2.5. Анализ движения персонала тендерного отдела ООО «Лайф Медиа» за 2024-2025 гг.</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0862C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3F03AD6F">
            <w:pPr>
              <w:widowControl w:val="0"/>
              <w:jc w:val="center"/>
              <w:rPr>
                <w:b w:val="0"/>
                <w:bCs/>
              </w:rPr>
            </w:pPr>
            <w:r>
              <w:rPr>
                <w:rFonts w:ascii="Times New Roman" w:hAnsi="Times New Roman"/>
                <w:b w:val="0"/>
                <w:bCs/>
                <w:sz w:val="24"/>
              </w:rPr>
              <w:t>Показатель</w:t>
            </w:r>
          </w:p>
        </w:tc>
        <w:tc>
          <w:tcPr>
            <w:tcW w:w="3118" w:type="dxa"/>
          </w:tcPr>
          <w:p w14:paraId="7480F63C">
            <w:pPr>
              <w:widowControl w:val="0"/>
              <w:jc w:val="center"/>
              <w:rPr>
                <w:b w:val="0"/>
                <w:bCs/>
              </w:rPr>
            </w:pPr>
            <w:r>
              <w:rPr>
                <w:rFonts w:ascii="Times New Roman" w:hAnsi="Times New Roman"/>
                <w:b w:val="0"/>
                <w:bCs/>
                <w:sz w:val="24"/>
              </w:rPr>
              <w:t>2024</w:t>
            </w:r>
          </w:p>
        </w:tc>
        <w:tc>
          <w:tcPr>
            <w:tcW w:w="3118" w:type="dxa"/>
          </w:tcPr>
          <w:p w14:paraId="39974636">
            <w:pPr>
              <w:widowControl w:val="0"/>
              <w:jc w:val="center"/>
              <w:rPr>
                <w:b w:val="0"/>
                <w:bCs/>
              </w:rPr>
            </w:pPr>
            <w:r>
              <w:rPr>
                <w:rFonts w:ascii="Times New Roman" w:hAnsi="Times New Roman"/>
                <w:b w:val="0"/>
                <w:bCs/>
                <w:sz w:val="24"/>
              </w:rPr>
              <w:t>2025</w:t>
            </w:r>
          </w:p>
        </w:tc>
      </w:tr>
      <w:tr w14:paraId="1525E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708844B9">
            <w:pPr>
              <w:widowControl w:val="0"/>
              <w:jc w:val="both"/>
            </w:pPr>
            <w:r>
              <w:rPr>
                <w:rFonts w:ascii="Times New Roman" w:hAnsi="Times New Roman"/>
                <w:sz w:val="24"/>
              </w:rPr>
              <w:t>Численность на начало года, чел.</w:t>
            </w:r>
          </w:p>
        </w:tc>
        <w:tc>
          <w:tcPr>
            <w:tcW w:w="3118" w:type="dxa"/>
          </w:tcPr>
          <w:p w14:paraId="36ACDEDC">
            <w:pPr>
              <w:widowControl w:val="0"/>
              <w:jc w:val="center"/>
            </w:pPr>
            <w:r>
              <w:rPr>
                <w:rFonts w:ascii="Times New Roman" w:hAnsi="Times New Roman"/>
                <w:sz w:val="24"/>
              </w:rPr>
              <w:t>7</w:t>
            </w:r>
          </w:p>
        </w:tc>
        <w:tc>
          <w:tcPr>
            <w:tcW w:w="3118" w:type="dxa"/>
          </w:tcPr>
          <w:p w14:paraId="5B0615E3">
            <w:pPr>
              <w:widowControl w:val="0"/>
              <w:jc w:val="center"/>
            </w:pPr>
            <w:r>
              <w:rPr>
                <w:rFonts w:ascii="Times New Roman" w:hAnsi="Times New Roman"/>
                <w:sz w:val="24"/>
              </w:rPr>
              <w:t>8</w:t>
            </w:r>
          </w:p>
        </w:tc>
      </w:tr>
      <w:tr w14:paraId="61521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14C53297">
            <w:pPr>
              <w:widowControl w:val="0"/>
              <w:jc w:val="both"/>
            </w:pPr>
            <w:r>
              <w:rPr>
                <w:rFonts w:ascii="Times New Roman" w:hAnsi="Times New Roman"/>
                <w:sz w:val="24"/>
              </w:rPr>
              <w:t>Принято, чел.</w:t>
            </w:r>
          </w:p>
        </w:tc>
        <w:tc>
          <w:tcPr>
            <w:tcW w:w="3118" w:type="dxa"/>
          </w:tcPr>
          <w:p w14:paraId="4B758032">
            <w:pPr>
              <w:widowControl w:val="0"/>
              <w:jc w:val="center"/>
            </w:pPr>
            <w:r>
              <w:rPr>
                <w:rFonts w:ascii="Times New Roman" w:hAnsi="Times New Roman"/>
                <w:sz w:val="24"/>
              </w:rPr>
              <w:t>4</w:t>
            </w:r>
          </w:p>
        </w:tc>
        <w:tc>
          <w:tcPr>
            <w:tcW w:w="3118" w:type="dxa"/>
          </w:tcPr>
          <w:p w14:paraId="5BAA0035">
            <w:pPr>
              <w:widowControl w:val="0"/>
              <w:jc w:val="center"/>
            </w:pPr>
            <w:r>
              <w:rPr>
                <w:rFonts w:ascii="Times New Roman" w:hAnsi="Times New Roman"/>
                <w:sz w:val="24"/>
              </w:rPr>
              <w:t>3</w:t>
            </w:r>
          </w:p>
        </w:tc>
      </w:tr>
      <w:tr w14:paraId="0B610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74BB7AA2">
            <w:pPr>
              <w:widowControl w:val="0"/>
              <w:jc w:val="both"/>
            </w:pPr>
            <w:r>
              <w:rPr>
                <w:rFonts w:ascii="Times New Roman" w:hAnsi="Times New Roman"/>
                <w:sz w:val="24"/>
              </w:rPr>
              <w:t>Уволено, чел.</w:t>
            </w:r>
          </w:p>
        </w:tc>
        <w:tc>
          <w:tcPr>
            <w:tcW w:w="3118" w:type="dxa"/>
          </w:tcPr>
          <w:p w14:paraId="50B279E2">
            <w:pPr>
              <w:widowControl w:val="0"/>
              <w:jc w:val="center"/>
            </w:pPr>
            <w:r>
              <w:rPr>
                <w:rFonts w:ascii="Times New Roman" w:hAnsi="Times New Roman"/>
                <w:sz w:val="24"/>
              </w:rPr>
              <w:t>3</w:t>
            </w:r>
          </w:p>
        </w:tc>
        <w:tc>
          <w:tcPr>
            <w:tcW w:w="3118" w:type="dxa"/>
          </w:tcPr>
          <w:p w14:paraId="46494AAA">
            <w:pPr>
              <w:widowControl w:val="0"/>
              <w:jc w:val="center"/>
            </w:pPr>
            <w:r>
              <w:rPr>
                <w:rFonts w:ascii="Times New Roman" w:hAnsi="Times New Roman"/>
                <w:sz w:val="24"/>
              </w:rPr>
              <w:t>3</w:t>
            </w:r>
          </w:p>
        </w:tc>
      </w:tr>
      <w:tr w14:paraId="43924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957B353">
            <w:pPr>
              <w:widowControl w:val="0"/>
              <w:jc w:val="both"/>
            </w:pPr>
            <w:r>
              <w:rPr>
                <w:rFonts w:ascii="Times New Roman" w:hAnsi="Times New Roman"/>
                <w:sz w:val="24"/>
              </w:rPr>
              <w:t>Численность на конец года, чел.</w:t>
            </w:r>
          </w:p>
        </w:tc>
        <w:tc>
          <w:tcPr>
            <w:tcW w:w="3118" w:type="dxa"/>
          </w:tcPr>
          <w:p w14:paraId="78290EB3">
            <w:pPr>
              <w:widowControl w:val="0"/>
              <w:jc w:val="center"/>
            </w:pPr>
            <w:r>
              <w:rPr>
                <w:rFonts w:ascii="Times New Roman" w:hAnsi="Times New Roman"/>
                <w:sz w:val="24"/>
              </w:rPr>
              <w:t>8</w:t>
            </w:r>
          </w:p>
        </w:tc>
        <w:tc>
          <w:tcPr>
            <w:tcW w:w="3118" w:type="dxa"/>
          </w:tcPr>
          <w:p w14:paraId="025F9952">
            <w:pPr>
              <w:widowControl w:val="0"/>
              <w:jc w:val="center"/>
            </w:pPr>
            <w:r>
              <w:rPr>
                <w:rFonts w:ascii="Times New Roman" w:hAnsi="Times New Roman"/>
                <w:sz w:val="24"/>
              </w:rPr>
              <w:t>8</w:t>
            </w:r>
          </w:p>
        </w:tc>
      </w:tr>
      <w:tr w14:paraId="7A639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2CCA4327">
            <w:pPr>
              <w:widowControl w:val="0"/>
              <w:jc w:val="both"/>
            </w:pPr>
            <w:r>
              <w:rPr>
                <w:rFonts w:ascii="Times New Roman" w:hAnsi="Times New Roman"/>
                <w:sz w:val="24"/>
              </w:rPr>
              <w:t>Коэф. оборота по приему, %</w:t>
            </w:r>
          </w:p>
        </w:tc>
        <w:tc>
          <w:tcPr>
            <w:tcW w:w="3118" w:type="dxa"/>
          </w:tcPr>
          <w:p w14:paraId="3E95B414">
            <w:pPr>
              <w:widowControl w:val="0"/>
              <w:jc w:val="center"/>
            </w:pPr>
            <w:r>
              <w:rPr>
                <w:rFonts w:ascii="Times New Roman" w:hAnsi="Times New Roman"/>
                <w:sz w:val="24"/>
              </w:rPr>
              <w:t>55,3</w:t>
            </w:r>
          </w:p>
        </w:tc>
        <w:tc>
          <w:tcPr>
            <w:tcW w:w="3118" w:type="dxa"/>
          </w:tcPr>
          <w:p w14:paraId="05C7454D">
            <w:pPr>
              <w:widowControl w:val="0"/>
              <w:jc w:val="center"/>
            </w:pPr>
            <w:r>
              <w:rPr>
                <w:rFonts w:ascii="Times New Roman" w:hAnsi="Times New Roman"/>
                <w:sz w:val="24"/>
              </w:rPr>
              <w:t>37,5</w:t>
            </w:r>
          </w:p>
        </w:tc>
      </w:tr>
      <w:tr w14:paraId="093D2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179DC2DA">
            <w:pPr>
              <w:widowControl w:val="0"/>
              <w:jc w:val="both"/>
            </w:pPr>
            <w:r>
              <w:rPr>
                <w:rFonts w:ascii="Times New Roman" w:hAnsi="Times New Roman"/>
                <w:sz w:val="24"/>
              </w:rPr>
              <w:t>Коэф. оборота по выбытию, %</w:t>
            </w:r>
          </w:p>
        </w:tc>
        <w:tc>
          <w:tcPr>
            <w:tcW w:w="3118" w:type="dxa"/>
          </w:tcPr>
          <w:p w14:paraId="763FADB3">
            <w:pPr>
              <w:widowControl w:val="0"/>
              <w:jc w:val="center"/>
            </w:pPr>
            <w:r>
              <w:rPr>
                <w:rFonts w:ascii="Times New Roman" w:hAnsi="Times New Roman"/>
                <w:sz w:val="24"/>
              </w:rPr>
              <w:t>40,0</w:t>
            </w:r>
          </w:p>
        </w:tc>
        <w:tc>
          <w:tcPr>
            <w:tcW w:w="3118" w:type="dxa"/>
          </w:tcPr>
          <w:p w14:paraId="2ABE88BF">
            <w:pPr>
              <w:widowControl w:val="0"/>
              <w:jc w:val="center"/>
            </w:pPr>
            <w:r>
              <w:rPr>
                <w:rFonts w:ascii="Times New Roman" w:hAnsi="Times New Roman"/>
                <w:sz w:val="24"/>
              </w:rPr>
              <w:t>37,5</w:t>
            </w:r>
          </w:p>
        </w:tc>
      </w:tr>
      <w:tr w14:paraId="30143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3481E912">
            <w:pPr>
              <w:widowControl w:val="0"/>
              <w:jc w:val="both"/>
            </w:pPr>
            <w:r>
              <w:rPr>
                <w:rFonts w:ascii="Times New Roman" w:hAnsi="Times New Roman"/>
                <w:sz w:val="24"/>
              </w:rPr>
              <w:t>Коэф. текучести кадров, %</w:t>
            </w:r>
          </w:p>
        </w:tc>
        <w:tc>
          <w:tcPr>
            <w:tcW w:w="3118" w:type="dxa"/>
          </w:tcPr>
          <w:p w14:paraId="37F014FA">
            <w:pPr>
              <w:widowControl w:val="0"/>
              <w:jc w:val="center"/>
            </w:pPr>
            <w:r>
              <w:rPr>
                <w:rFonts w:ascii="Times New Roman" w:hAnsi="Times New Roman"/>
                <w:sz w:val="24"/>
              </w:rPr>
              <w:t>37,5</w:t>
            </w:r>
          </w:p>
        </w:tc>
        <w:tc>
          <w:tcPr>
            <w:tcW w:w="3118" w:type="dxa"/>
          </w:tcPr>
          <w:p w14:paraId="7F33AA49">
            <w:pPr>
              <w:widowControl w:val="0"/>
              <w:jc w:val="center"/>
            </w:pPr>
            <w:r>
              <w:rPr>
                <w:rFonts w:ascii="Times New Roman" w:hAnsi="Times New Roman"/>
                <w:sz w:val="24"/>
              </w:rPr>
              <w:t>37,5</w:t>
            </w:r>
          </w:p>
        </w:tc>
      </w:tr>
    </w:tbl>
    <w:p w14:paraId="75883488">
      <w:pPr>
        <w:spacing w:after="120" w:line="360" w:lineRule="auto"/>
        <w:ind w:firstLine="700"/>
        <w:jc w:val="both"/>
      </w:pPr>
    </w:p>
    <w:p w14:paraId="3BCED1CD">
      <w:pPr>
        <w:spacing w:after="120" w:line="360" w:lineRule="auto"/>
        <w:ind w:firstLine="700"/>
        <w:jc w:val="both"/>
      </w:pPr>
      <w:r>
        <w:rPr>
          <w:rFonts w:ascii="Times New Roman" w:hAnsi="Times New Roman"/>
          <w:b w:val="0"/>
          <w:sz w:val="28"/>
        </w:rPr>
        <w:t>По данным таблицы коэффициент текучести в 2024-2025 гг. сохраняется на уровне 37,5%. Ежегодно отдел теряет 3 специалиста и одновременно принимает новых сотрудников. Формально численность подразделения оста</w:t>
      </w:r>
      <w:r>
        <w:rPr>
          <w:rFonts w:ascii="Times New Roman" w:hAnsi="Times New Roman"/>
          <w:b w:val="0"/>
          <w:sz w:val="28"/>
          <w:lang w:val="ru-RU"/>
        </w:rPr>
        <w:t>ё</w:t>
      </w:r>
      <w:r>
        <w:rPr>
          <w:rFonts w:ascii="Times New Roman" w:hAnsi="Times New Roman"/>
          <w:b w:val="0"/>
          <w:sz w:val="28"/>
        </w:rPr>
        <w:t>тся стабильной, но состав команды постоянно обновляется. Для тендерного отдела это является существенным риском, поскольку качество работы зависит не только от количества сотрудников, но и от накопленного опыта подготовки заявок.</w:t>
      </w:r>
    </w:p>
    <w:p w14:paraId="0452E638">
      <w:pPr>
        <w:spacing w:after="120" w:line="360" w:lineRule="auto"/>
        <w:ind w:firstLine="700"/>
        <w:jc w:val="both"/>
        <w:rPr>
          <w:rFonts w:hint="default" w:ascii="Times New Roman" w:hAnsi="Times New Roman"/>
          <w:b w:val="0"/>
          <w:sz w:val="28"/>
          <w:lang w:val="ru-RU"/>
        </w:rPr>
      </w:pPr>
      <w:r>
        <w:rPr>
          <w:rFonts w:ascii="Times New Roman" w:hAnsi="Times New Roman"/>
          <w:b w:val="0"/>
          <w:sz w:val="28"/>
        </w:rPr>
        <w:t>Мотивация персонала в ООО «Лайф Медиа» построена на сочетании материальных и нематериальных факторов. Материальная часть закреплена в системе оплаты труда и премирования</w:t>
      </w:r>
      <w:r>
        <w:rPr>
          <w:rFonts w:hint="default" w:ascii="Times New Roman" w:hAnsi="Times New Roman"/>
          <w:b w:val="0"/>
          <w:sz w:val="28"/>
          <w:lang w:val="ru-RU"/>
        </w:rPr>
        <w:t xml:space="preserve"> (см.табл.2.6-2.7.).</w:t>
      </w:r>
    </w:p>
    <w:p w14:paraId="5398B0E5">
      <w:pPr>
        <w:spacing w:after="120" w:line="360" w:lineRule="auto"/>
        <w:ind w:firstLine="700"/>
        <w:jc w:val="both"/>
        <w:rPr>
          <w:rFonts w:hint="default" w:ascii="Times New Roman" w:hAnsi="Times New Roman"/>
          <w:b w:val="0"/>
          <w:sz w:val="28"/>
          <w:lang w:val="ru-RU"/>
        </w:rPr>
      </w:pPr>
    </w:p>
    <w:p w14:paraId="4CC77079">
      <w:pPr>
        <w:spacing w:after="120" w:line="360" w:lineRule="auto"/>
        <w:jc w:val="right"/>
        <w:rPr>
          <w:sz w:val="24"/>
          <w:szCs w:val="24"/>
        </w:rPr>
      </w:pPr>
      <w:r>
        <w:rPr>
          <w:rFonts w:ascii="Times New Roman" w:hAnsi="Times New Roman"/>
          <w:b w:val="0"/>
          <w:sz w:val="24"/>
          <w:szCs w:val="24"/>
        </w:rPr>
        <w:t>Таблица 2.6. Структура дохода тендерного специалиста ООО «Лайф Медиа»</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1A2DF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0C6BBCB6">
            <w:pPr>
              <w:widowControl w:val="0"/>
              <w:jc w:val="center"/>
              <w:rPr>
                <w:b w:val="0"/>
                <w:bCs/>
              </w:rPr>
            </w:pPr>
            <w:r>
              <w:rPr>
                <w:rFonts w:ascii="Times New Roman" w:hAnsi="Times New Roman"/>
                <w:b w:val="0"/>
                <w:bCs/>
                <w:sz w:val="24"/>
              </w:rPr>
              <w:t>Компонент</w:t>
            </w:r>
          </w:p>
        </w:tc>
        <w:tc>
          <w:tcPr>
            <w:tcW w:w="3118" w:type="dxa"/>
          </w:tcPr>
          <w:p w14:paraId="2E09B422">
            <w:pPr>
              <w:widowControl w:val="0"/>
              <w:jc w:val="center"/>
              <w:rPr>
                <w:b w:val="0"/>
                <w:bCs/>
              </w:rPr>
            </w:pPr>
            <w:r>
              <w:rPr>
                <w:rFonts w:ascii="Times New Roman" w:hAnsi="Times New Roman"/>
                <w:b w:val="0"/>
                <w:bCs/>
                <w:sz w:val="24"/>
              </w:rPr>
              <w:t>Размер</w:t>
            </w:r>
          </w:p>
        </w:tc>
        <w:tc>
          <w:tcPr>
            <w:tcW w:w="3118" w:type="dxa"/>
          </w:tcPr>
          <w:p w14:paraId="2BCEC7AF">
            <w:pPr>
              <w:widowControl w:val="0"/>
              <w:jc w:val="center"/>
              <w:rPr>
                <w:b w:val="0"/>
                <w:bCs/>
              </w:rPr>
            </w:pPr>
            <w:r>
              <w:rPr>
                <w:rFonts w:ascii="Times New Roman" w:hAnsi="Times New Roman"/>
                <w:b w:val="0"/>
                <w:bCs/>
                <w:sz w:val="24"/>
              </w:rPr>
              <w:t>Условия получения</w:t>
            </w:r>
          </w:p>
        </w:tc>
      </w:tr>
      <w:tr w14:paraId="12E48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41BD07CB">
            <w:pPr>
              <w:widowControl w:val="0"/>
              <w:jc w:val="both"/>
            </w:pPr>
            <w:r>
              <w:rPr>
                <w:rFonts w:ascii="Times New Roman" w:hAnsi="Times New Roman"/>
                <w:sz w:val="24"/>
              </w:rPr>
              <w:t>Должностной оклад</w:t>
            </w:r>
          </w:p>
        </w:tc>
        <w:tc>
          <w:tcPr>
            <w:tcW w:w="3118" w:type="dxa"/>
          </w:tcPr>
          <w:p w14:paraId="0FEC234A">
            <w:pPr>
              <w:widowControl w:val="0"/>
              <w:jc w:val="both"/>
            </w:pPr>
            <w:r>
              <w:rPr>
                <w:rFonts w:ascii="Times New Roman" w:hAnsi="Times New Roman"/>
                <w:sz w:val="24"/>
              </w:rPr>
              <w:t>57 000 руб. в месяц</w:t>
            </w:r>
          </w:p>
        </w:tc>
        <w:tc>
          <w:tcPr>
            <w:tcW w:w="3118" w:type="dxa"/>
          </w:tcPr>
          <w:p w14:paraId="1C06CE7A">
            <w:pPr>
              <w:widowControl w:val="0"/>
              <w:jc w:val="both"/>
            </w:pPr>
            <w:r>
              <w:rPr>
                <w:rFonts w:ascii="Times New Roman" w:hAnsi="Times New Roman"/>
                <w:sz w:val="24"/>
              </w:rPr>
              <w:t>Гарантированно и независимо от результатов</w:t>
            </w:r>
          </w:p>
        </w:tc>
      </w:tr>
      <w:tr w14:paraId="1849E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47F64E2A">
            <w:pPr>
              <w:widowControl w:val="0"/>
              <w:jc w:val="both"/>
            </w:pPr>
            <w:r>
              <w:rPr>
                <w:rFonts w:ascii="Times New Roman" w:hAnsi="Times New Roman"/>
                <w:sz w:val="24"/>
              </w:rPr>
              <w:t>Квартальная премия</w:t>
            </w:r>
          </w:p>
        </w:tc>
        <w:tc>
          <w:tcPr>
            <w:tcW w:w="3118" w:type="dxa"/>
          </w:tcPr>
          <w:p w14:paraId="11959D3F">
            <w:pPr>
              <w:widowControl w:val="0"/>
              <w:jc w:val="both"/>
            </w:pPr>
            <w:r>
              <w:rPr>
                <w:rFonts w:ascii="Times New Roman" w:hAnsi="Times New Roman"/>
                <w:sz w:val="24"/>
              </w:rPr>
              <w:t>До 30% от оклада (до 17 000 руб.)</w:t>
            </w:r>
          </w:p>
        </w:tc>
        <w:tc>
          <w:tcPr>
            <w:tcW w:w="3118" w:type="dxa"/>
          </w:tcPr>
          <w:p w14:paraId="6288267B">
            <w:pPr>
              <w:widowControl w:val="0"/>
              <w:jc w:val="both"/>
            </w:pPr>
            <w:r>
              <w:rPr>
                <w:rFonts w:ascii="Times New Roman" w:hAnsi="Times New Roman"/>
                <w:sz w:val="24"/>
              </w:rPr>
              <w:t>Зависит от выполнения KPI</w:t>
            </w:r>
          </w:p>
        </w:tc>
      </w:tr>
      <w:tr w14:paraId="1B740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7ABD6B8">
            <w:pPr>
              <w:widowControl w:val="0"/>
              <w:jc w:val="both"/>
            </w:pPr>
            <w:r>
              <w:rPr>
                <w:rFonts w:ascii="Times New Roman" w:hAnsi="Times New Roman"/>
                <w:sz w:val="24"/>
              </w:rPr>
              <w:t>Годовая премия</w:t>
            </w:r>
          </w:p>
        </w:tc>
        <w:tc>
          <w:tcPr>
            <w:tcW w:w="3118" w:type="dxa"/>
          </w:tcPr>
          <w:p w14:paraId="1DD9253F">
            <w:pPr>
              <w:widowControl w:val="0"/>
              <w:jc w:val="both"/>
            </w:pPr>
            <w:r>
              <w:rPr>
                <w:rFonts w:ascii="Times New Roman" w:hAnsi="Times New Roman"/>
                <w:sz w:val="24"/>
              </w:rPr>
              <w:t>Переменная (обычно 50% от оклада)</w:t>
            </w:r>
          </w:p>
        </w:tc>
        <w:tc>
          <w:tcPr>
            <w:tcW w:w="3118" w:type="dxa"/>
          </w:tcPr>
          <w:p w14:paraId="0BE70916">
            <w:pPr>
              <w:widowControl w:val="0"/>
              <w:jc w:val="both"/>
            </w:pPr>
            <w:r>
              <w:rPr>
                <w:rFonts w:ascii="Times New Roman" w:hAnsi="Times New Roman"/>
                <w:sz w:val="24"/>
              </w:rPr>
              <w:t>По итогам работы за год, решение генерального директора</w:t>
            </w:r>
          </w:p>
        </w:tc>
      </w:tr>
    </w:tbl>
    <w:p w14:paraId="68EA81E4">
      <w:pPr>
        <w:spacing w:after="120" w:line="360" w:lineRule="auto"/>
        <w:ind w:firstLine="700"/>
        <w:jc w:val="both"/>
      </w:pPr>
    </w:p>
    <w:p w14:paraId="39B3CD35">
      <w:pPr>
        <w:spacing w:after="120" w:line="360" w:lineRule="auto"/>
        <w:jc w:val="right"/>
      </w:pPr>
      <w:r>
        <w:rPr>
          <w:rFonts w:ascii="Times New Roman" w:hAnsi="Times New Roman"/>
          <w:b w:val="0"/>
          <w:sz w:val="24"/>
          <w:szCs w:val="24"/>
        </w:rPr>
        <w:t>Таблица 2.7. Инструменты нематериальной мотивации ООО «Лайф Медиа»</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1CE5A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78D0079F">
            <w:pPr>
              <w:widowControl w:val="0"/>
              <w:jc w:val="center"/>
              <w:rPr>
                <w:b w:val="0"/>
                <w:bCs/>
              </w:rPr>
            </w:pPr>
            <w:r>
              <w:rPr>
                <w:rFonts w:ascii="Times New Roman" w:hAnsi="Times New Roman"/>
                <w:b w:val="0"/>
                <w:bCs/>
                <w:sz w:val="24"/>
              </w:rPr>
              <w:t>Инструмент</w:t>
            </w:r>
          </w:p>
        </w:tc>
        <w:tc>
          <w:tcPr>
            <w:tcW w:w="3118" w:type="dxa"/>
          </w:tcPr>
          <w:p w14:paraId="52F3C22F">
            <w:pPr>
              <w:widowControl w:val="0"/>
              <w:jc w:val="center"/>
              <w:rPr>
                <w:b w:val="0"/>
                <w:bCs/>
              </w:rPr>
            </w:pPr>
            <w:r>
              <w:rPr>
                <w:rFonts w:ascii="Times New Roman" w:hAnsi="Times New Roman"/>
                <w:b w:val="0"/>
                <w:bCs/>
                <w:sz w:val="24"/>
              </w:rPr>
              <w:t>Как работает</w:t>
            </w:r>
          </w:p>
        </w:tc>
        <w:tc>
          <w:tcPr>
            <w:tcW w:w="3118" w:type="dxa"/>
          </w:tcPr>
          <w:p w14:paraId="347627B0">
            <w:pPr>
              <w:widowControl w:val="0"/>
              <w:jc w:val="center"/>
              <w:rPr>
                <w:b w:val="0"/>
                <w:bCs/>
              </w:rPr>
            </w:pPr>
            <w:r>
              <w:rPr>
                <w:rFonts w:ascii="Times New Roman" w:hAnsi="Times New Roman"/>
                <w:b w:val="0"/>
                <w:bCs/>
                <w:sz w:val="24"/>
              </w:rPr>
              <w:t>Почему мотивирует</w:t>
            </w:r>
          </w:p>
        </w:tc>
      </w:tr>
      <w:tr w14:paraId="02D45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5EA0104">
            <w:pPr>
              <w:widowControl w:val="0"/>
              <w:jc w:val="both"/>
            </w:pPr>
            <w:r>
              <w:rPr>
                <w:rFonts w:ascii="Times New Roman" w:hAnsi="Times New Roman"/>
                <w:sz w:val="24"/>
              </w:rPr>
              <w:t>Полностью удаленный формат</w:t>
            </w:r>
          </w:p>
        </w:tc>
        <w:tc>
          <w:tcPr>
            <w:tcW w:w="3118" w:type="dxa"/>
          </w:tcPr>
          <w:p w14:paraId="5C4DDA16">
            <w:pPr>
              <w:widowControl w:val="0"/>
              <w:jc w:val="both"/>
            </w:pPr>
            <w:r>
              <w:rPr>
                <w:rFonts w:ascii="Times New Roman" w:hAnsi="Times New Roman"/>
                <w:sz w:val="24"/>
              </w:rPr>
              <w:t>Сотрудник может жить в любом городе и не тратить время и средства на дорогу</w:t>
            </w:r>
          </w:p>
        </w:tc>
        <w:tc>
          <w:tcPr>
            <w:tcW w:w="3118" w:type="dxa"/>
          </w:tcPr>
          <w:p w14:paraId="3FDAB2EA">
            <w:pPr>
              <w:widowControl w:val="0"/>
              <w:jc w:val="both"/>
            </w:pPr>
            <w:r>
              <w:rPr>
                <w:rFonts w:ascii="Times New Roman" w:hAnsi="Times New Roman"/>
                <w:sz w:val="24"/>
              </w:rPr>
              <w:t>Свобода и экономия ресурсов</w:t>
            </w:r>
          </w:p>
        </w:tc>
      </w:tr>
      <w:tr w14:paraId="1A4F6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0A3C1684">
            <w:pPr>
              <w:widowControl w:val="0"/>
              <w:jc w:val="both"/>
            </w:pPr>
            <w:r>
              <w:rPr>
                <w:rFonts w:ascii="Times New Roman" w:hAnsi="Times New Roman"/>
                <w:sz w:val="24"/>
              </w:rPr>
              <w:t>Гибкое начало рабочего дня</w:t>
            </w:r>
          </w:p>
        </w:tc>
        <w:tc>
          <w:tcPr>
            <w:tcW w:w="3118" w:type="dxa"/>
          </w:tcPr>
          <w:p w14:paraId="46BF678B">
            <w:pPr>
              <w:widowControl w:val="0"/>
              <w:jc w:val="both"/>
            </w:pPr>
            <w:r>
              <w:rPr>
                <w:rFonts w:ascii="Times New Roman" w:hAnsi="Times New Roman"/>
                <w:sz w:val="24"/>
              </w:rPr>
              <w:t>Можно начать рабочий день с 8:00 до 11:00 при условии выполнения нормы времени и участия в созвоне</w:t>
            </w:r>
          </w:p>
        </w:tc>
        <w:tc>
          <w:tcPr>
            <w:tcW w:w="3118" w:type="dxa"/>
          </w:tcPr>
          <w:p w14:paraId="2752534B">
            <w:pPr>
              <w:widowControl w:val="0"/>
              <w:jc w:val="both"/>
            </w:pPr>
            <w:r>
              <w:rPr>
                <w:rFonts w:ascii="Times New Roman" w:hAnsi="Times New Roman"/>
                <w:sz w:val="24"/>
              </w:rPr>
              <w:t>Возможность подстроить график под личные обстоятельства</w:t>
            </w:r>
          </w:p>
        </w:tc>
      </w:tr>
      <w:tr w14:paraId="3D41E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2664D8F8">
            <w:pPr>
              <w:widowControl w:val="0"/>
              <w:jc w:val="both"/>
            </w:pPr>
            <w:r>
              <w:rPr>
                <w:rFonts w:ascii="Times New Roman" w:hAnsi="Times New Roman"/>
                <w:sz w:val="24"/>
              </w:rPr>
              <w:t>Прозрачная система премирования</w:t>
            </w:r>
          </w:p>
        </w:tc>
        <w:tc>
          <w:tcPr>
            <w:tcW w:w="3118" w:type="dxa"/>
          </w:tcPr>
          <w:p w14:paraId="63254F53">
            <w:pPr>
              <w:widowControl w:val="0"/>
              <w:jc w:val="both"/>
            </w:pPr>
            <w:r>
              <w:rPr>
                <w:rFonts w:ascii="Times New Roman" w:hAnsi="Times New Roman"/>
                <w:sz w:val="24"/>
              </w:rPr>
              <w:t>В Битрикс24 отражаются KPI и текущий прогресс</w:t>
            </w:r>
          </w:p>
        </w:tc>
        <w:tc>
          <w:tcPr>
            <w:tcW w:w="3118" w:type="dxa"/>
          </w:tcPr>
          <w:p w14:paraId="37561B86">
            <w:pPr>
              <w:widowControl w:val="0"/>
              <w:jc w:val="both"/>
            </w:pPr>
            <w:r>
              <w:rPr>
                <w:rFonts w:ascii="Times New Roman" w:hAnsi="Times New Roman"/>
                <w:sz w:val="24"/>
              </w:rPr>
              <w:t>Понятность критериев оценки</w:t>
            </w:r>
          </w:p>
        </w:tc>
      </w:tr>
    </w:tbl>
    <w:p w14:paraId="3E986660">
      <w:pPr>
        <w:spacing w:after="120" w:line="360" w:lineRule="auto"/>
        <w:ind w:firstLine="700"/>
        <w:jc w:val="both"/>
      </w:pPr>
    </w:p>
    <w:p w14:paraId="294D7F7F">
      <w:pPr>
        <w:spacing w:after="120" w:line="360" w:lineRule="auto"/>
        <w:ind w:firstLine="700"/>
        <w:jc w:val="both"/>
      </w:pPr>
      <w:r>
        <w:rPr>
          <w:rFonts w:ascii="Times New Roman" w:hAnsi="Times New Roman"/>
          <w:b w:val="0"/>
          <w:sz w:val="28"/>
        </w:rPr>
        <w:t>Сильными сторонами мотивации являются прозрачность KPI, удал</w:t>
      </w:r>
      <w:r>
        <w:rPr>
          <w:rFonts w:ascii="Times New Roman" w:hAnsi="Times New Roman"/>
          <w:b w:val="0"/>
          <w:sz w:val="28"/>
          <w:lang w:val="ru-RU"/>
        </w:rPr>
        <w:t>ё</w:t>
      </w:r>
      <w:r>
        <w:rPr>
          <w:rFonts w:ascii="Times New Roman" w:hAnsi="Times New Roman"/>
          <w:b w:val="0"/>
          <w:sz w:val="28"/>
        </w:rPr>
        <w:t>нный формат и гибкость рабочего графика. Однако действующая система почти не связана с профессиональным развитием. Премирование ориентировано на результат работы, но не выделяет обучение, наставничество или передачу опыта как самостоятельные ценности. В условиях высокой текучести это снижает заинтересованность опытных сотрудников в системной помощи новичкам и не созда</w:t>
      </w:r>
      <w:r>
        <w:rPr>
          <w:rFonts w:ascii="Times New Roman" w:hAnsi="Times New Roman"/>
          <w:b w:val="0"/>
          <w:sz w:val="28"/>
          <w:lang w:val="ru-RU"/>
        </w:rPr>
        <w:t>ё</w:t>
      </w:r>
      <w:r>
        <w:rPr>
          <w:rFonts w:ascii="Times New Roman" w:hAnsi="Times New Roman"/>
          <w:b w:val="0"/>
          <w:sz w:val="28"/>
        </w:rPr>
        <w:t>т устойчивого механизма накопления знаний внутри отдела.</w:t>
      </w:r>
    </w:p>
    <w:p w14:paraId="26222376">
      <w:pPr>
        <w:spacing w:after="120" w:line="360" w:lineRule="auto"/>
        <w:ind w:firstLine="700"/>
        <w:jc w:val="both"/>
      </w:pPr>
      <w:r>
        <w:rPr>
          <w:rFonts w:ascii="Times New Roman" w:hAnsi="Times New Roman"/>
          <w:b w:val="0"/>
          <w:sz w:val="28"/>
        </w:rPr>
        <w:t>Финансовые результаты предприятия напрямую зависят от эффективности использования персонала. Структура среднемесячных выплат представлена в таблице 2.8.</w:t>
      </w:r>
    </w:p>
    <w:p w14:paraId="10257DF1">
      <w:pPr>
        <w:spacing w:after="120" w:line="360" w:lineRule="auto"/>
        <w:jc w:val="both"/>
      </w:pPr>
      <w:r>
        <w:rPr>
          <w:rFonts w:ascii="Times New Roman" w:hAnsi="Times New Roman"/>
          <w:b w:val="0"/>
          <w:sz w:val="28"/>
        </w:rPr>
        <w:t>Таблица 2.8. Структура персонала и среднемесячные выплаты (2025 г.)</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9"/>
        <w:gridCol w:w="2339"/>
        <w:gridCol w:w="2339"/>
        <w:gridCol w:w="2339"/>
      </w:tblGrid>
      <w:tr w14:paraId="667DC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48831161">
            <w:pPr>
              <w:widowControl w:val="0"/>
              <w:jc w:val="center"/>
              <w:rPr>
                <w:b w:val="0"/>
                <w:bCs/>
              </w:rPr>
            </w:pPr>
            <w:r>
              <w:rPr>
                <w:rFonts w:ascii="Times New Roman" w:hAnsi="Times New Roman"/>
                <w:b w:val="0"/>
                <w:bCs/>
                <w:sz w:val="24"/>
              </w:rPr>
              <w:t>Категория</w:t>
            </w:r>
          </w:p>
        </w:tc>
        <w:tc>
          <w:tcPr>
            <w:tcW w:w="2339" w:type="dxa"/>
          </w:tcPr>
          <w:p w14:paraId="2B3B9210">
            <w:pPr>
              <w:widowControl w:val="0"/>
              <w:jc w:val="center"/>
              <w:rPr>
                <w:b w:val="0"/>
                <w:bCs/>
              </w:rPr>
            </w:pPr>
            <w:r>
              <w:rPr>
                <w:rFonts w:ascii="Times New Roman" w:hAnsi="Times New Roman"/>
                <w:b w:val="0"/>
                <w:bCs/>
                <w:sz w:val="24"/>
              </w:rPr>
              <w:t>Кол-во</w:t>
            </w:r>
          </w:p>
        </w:tc>
        <w:tc>
          <w:tcPr>
            <w:tcW w:w="2339" w:type="dxa"/>
          </w:tcPr>
          <w:p w14:paraId="54E75134">
            <w:pPr>
              <w:widowControl w:val="0"/>
              <w:jc w:val="center"/>
              <w:rPr>
                <w:b w:val="0"/>
                <w:bCs/>
              </w:rPr>
            </w:pPr>
            <w:r>
              <w:rPr>
                <w:rFonts w:ascii="Times New Roman" w:hAnsi="Times New Roman"/>
                <w:b w:val="0"/>
                <w:bCs/>
                <w:sz w:val="24"/>
              </w:rPr>
              <w:t>Среднемесячная выплата, руб.</w:t>
            </w:r>
          </w:p>
        </w:tc>
        <w:tc>
          <w:tcPr>
            <w:tcW w:w="2339" w:type="dxa"/>
          </w:tcPr>
          <w:p w14:paraId="4FDFE93B">
            <w:pPr>
              <w:widowControl w:val="0"/>
              <w:jc w:val="center"/>
              <w:rPr>
                <w:b w:val="0"/>
                <w:bCs/>
              </w:rPr>
            </w:pPr>
            <w:r>
              <w:rPr>
                <w:rFonts w:ascii="Times New Roman" w:hAnsi="Times New Roman"/>
                <w:b w:val="0"/>
                <w:bCs/>
                <w:sz w:val="24"/>
              </w:rPr>
              <w:t>Всего в месяц на категорию, руб.</w:t>
            </w:r>
          </w:p>
        </w:tc>
      </w:tr>
      <w:tr w14:paraId="49D7E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535F8194">
            <w:pPr>
              <w:widowControl w:val="0"/>
              <w:jc w:val="both"/>
            </w:pPr>
            <w:r>
              <w:rPr>
                <w:rFonts w:ascii="Times New Roman" w:hAnsi="Times New Roman"/>
                <w:sz w:val="24"/>
              </w:rPr>
              <w:t>Тендерные специалисты</w:t>
            </w:r>
          </w:p>
        </w:tc>
        <w:tc>
          <w:tcPr>
            <w:tcW w:w="2339" w:type="dxa"/>
            <w:vAlign w:val="center"/>
          </w:tcPr>
          <w:p w14:paraId="67D102AC">
            <w:pPr>
              <w:widowControl w:val="0"/>
              <w:jc w:val="center"/>
            </w:pPr>
            <w:r>
              <w:rPr>
                <w:rFonts w:ascii="Times New Roman" w:hAnsi="Times New Roman"/>
                <w:sz w:val="24"/>
              </w:rPr>
              <w:t>8</w:t>
            </w:r>
          </w:p>
        </w:tc>
        <w:tc>
          <w:tcPr>
            <w:tcW w:w="2339" w:type="dxa"/>
            <w:vAlign w:val="center"/>
          </w:tcPr>
          <w:p w14:paraId="31C69C79">
            <w:pPr>
              <w:widowControl w:val="0"/>
              <w:jc w:val="center"/>
            </w:pPr>
            <w:r>
              <w:rPr>
                <w:rFonts w:ascii="Times New Roman" w:hAnsi="Times New Roman"/>
                <w:sz w:val="24"/>
              </w:rPr>
              <w:t>63 175</w:t>
            </w:r>
          </w:p>
        </w:tc>
        <w:tc>
          <w:tcPr>
            <w:tcW w:w="2339" w:type="dxa"/>
            <w:vAlign w:val="center"/>
          </w:tcPr>
          <w:p w14:paraId="44A2F499">
            <w:pPr>
              <w:widowControl w:val="0"/>
              <w:jc w:val="center"/>
            </w:pPr>
            <w:r>
              <w:rPr>
                <w:rFonts w:ascii="Times New Roman" w:hAnsi="Times New Roman"/>
                <w:sz w:val="24"/>
              </w:rPr>
              <w:t>505 400</w:t>
            </w:r>
          </w:p>
        </w:tc>
      </w:tr>
      <w:tr w14:paraId="60E56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5BC5F66D">
            <w:pPr>
              <w:widowControl w:val="0"/>
              <w:jc w:val="both"/>
            </w:pPr>
            <w:r>
              <w:rPr>
                <w:rFonts w:ascii="Times New Roman" w:hAnsi="Times New Roman"/>
                <w:sz w:val="24"/>
              </w:rPr>
              <w:t>Отдел продаж</w:t>
            </w:r>
          </w:p>
        </w:tc>
        <w:tc>
          <w:tcPr>
            <w:tcW w:w="2339" w:type="dxa"/>
            <w:vAlign w:val="center"/>
          </w:tcPr>
          <w:p w14:paraId="60588DD2">
            <w:pPr>
              <w:widowControl w:val="0"/>
              <w:jc w:val="center"/>
            </w:pPr>
            <w:r>
              <w:rPr>
                <w:rFonts w:ascii="Times New Roman" w:hAnsi="Times New Roman"/>
                <w:sz w:val="24"/>
              </w:rPr>
              <w:t>4</w:t>
            </w:r>
          </w:p>
        </w:tc>
        <w:tc>
          <w:tcPr>
            <w:tcW w:w="2339" w:type="dxa"/>
            <w:vAlign w:val="center"/>
          </w:tcPr>
          <w:p w14:paraId="5EEA2851">
            <w:pPr>
              <w:widowControl w:val="0"/>
              <w:jc w:val="center"/>
            </w:pPr>
            <w:r>
              <w:rPr>
                <w:rFonts w:ascii="Times New Roman" w:hAnsi="Times New Roman"/>
                <w:sz w:val="24"/>
              </w:rPr>
              <w:t>48 000</w:t>
            </w:r>
          </w:p>
        </w:tc>
        <w:tc>
          <w:tcPr>
            <w:tcW w:w="2339" w:type="dxa"/>
            <w:vAlign w:val="center"/>
          </w:tcPr>
          <w:p w14:paraId="226C7ADA">
            <w:pPr>
              <w:widowControl w:val="0"/>
              <w:jc w:val="center"/>
            </w:pPr>
            <w:r>
              <w:rPr>
                <w:rFonts w:ascii="Times New Roman" w:hAnsi="Times New Roman"/>
                <w:sz w:val="24"/>
              </w:rPr>
              <w:t>192 000</w:t>
            </w:r>
          </w:p>
        </w:tc>
      </w:tr>
      <w:tr w14:paraId="03669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514DB289">
            <w:pPr>
              <w:widowControl w:val="0"/>
              <w:jc w:val="both"/>
            </w:pPr>
            <w:r>
              <w:rPr>
                <w:rFonts w:ascii="Times New Roman" w:hAnsi="Times New Roman"/>
                <w:sz w:val="24"/>
              </w:rPr>
              <w:t>Отдел логистики</w:t>
            </w:r>
          </w:p>
        </w:tc>
        <w:tc>
          <w:tcPr>
            <w:tcW w:w="2339" w:type="dxa"/>
            <w:vAlign w:val="center"/>
          </w:tcPr>
          <w:p w14:paraId="6B809240">
            <w:pPr>
              <w:widowControl w:val="0"/>
              <w:jc w:val="center"/>
            </w:pPr>
            <w:r>
              <w:rPr>
                <w:rFonts w:ascii="Times New Roman" w:hAnsi="Times New Roman"/>
                <w:sz w:val="24"/>
              </w:rPr>
              <w:t>3</w:t>
            </w:r>
          </w:p>
        </w:tc>
        <w:tc>
          <w:tcPr>
            <w:tcW w:w="2339" w:type="dxa"/>
            <w:vAlign w:val="center"/>
          </w:tcPr>
          <w:p w14:paraId="356D5ACA">
            <w:pPr>
              <w:widowControl w:val="0"/>
              <w:jc w:val="center"/>
            </w:pPr>
            <w:r>
              <w:rPr>
                <w:rFonts w:ascii="Times New Roman" w:hAnsi="Times New Roman"/>
                <w:sz w:val="24"/>
              </w:rPr>
              <w:t>45 000</w:t>
            </w:r>
          </w:p>
        </w:tc>
        <w:tc>
          <w:tcPr>
            <w:tcW w:w="2339" w:type="dxa"/>
            <w:vAlign w:val="center"/>
          </w:tcPr>
          <w:p w14:paraId="3DB7FFB3">
            <w:pPr>
              <w:widowControl w:val="0"/>
              <w:jc w:val="center"/>
            </w:pPr>
            <w:r>
              <w:rPr>
                <w:rFonts w:ascii="Times New Roman" w:hAnsi="Times New Roman"/>
                <w:sz w:val="24"/>
              </w:rPr>
              <w:t>135 000</w:t>
            </w:r>
          </w:p>
        </w:tc>
      </w:tr>
      <w:tr w14:paraId="7BAE5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690CB819">
            <w:pPr>
              <w:widowControl w:val="0"/>
              <w:jc w:val="both"/>
            </w:pPr>
            <w:r>
              <w:rPr>
                <w:rFonts w:ascii="Times New Roman" w:hAnsi="Times New Roman"/>
                <w:sz w:val="24"/>
              </w:rPr>
              <w:t>Генеральный директор</w:t>
            </w:r>
          </w:p>
        </w:tc>
        <w:tc>
          <w:tcPr>
            <w:tcW w:w="2339" w:type="dxa"/>
            <w:vAlign w:val="center"/>
          </w:tcPr>
          <w:p w14:paraId="2DDB6C16">
            <w:pPr>
              <w:widowControl w:val="0"/>
              <w:jc w:val="center"/>
            </w:pPr>
            <w:r>
              <w:rPr>
                <w:rFonts w:ascii="Times New Roman" w:hAnsi="Times New Roman"/>
                <w:sz w:val="24"/>
              </w:rPr>
              <w:t>1</w:t>
            </w:r>
          </w:p>
        </w:tc>
        <w:tc>
          <w:tcPr>
            <w:tcW w:w="2339" w:type="dxa"/>
            <w:vAlign w:val="center"/>
          </w:tcPr>
          <w:p w14:paraId="66C3F969">
            <w:pPr>
              <w:widowControl w:val="0"/>
              <w:jc w:val="center"/>
            </w:pPr>
            <w:r>
              <w:rPr>
                <w:rFonts w:ascii="Times New Roman" w:hAnsi="Times New Roman"/>
                <w:sz w:val="24"/>
              </w:rPr>
              <w:t>60 000</w:t>
            </w:r>
          </w:p>
        </w:tc>
        <w:tc>
          <w:tcPr>
            <w:tcW w:w="2339" w:type="dxa"/>
            <w:vAlign w:val="center"/>
          </w:tcPr>
          <w:p w14:paraId="414B5514">
            <w:pPr>
              <w:widowControl w:val="0"/>
              <w:jc w:val="center"/>
            </w:pPr>
            <w:r>
              <w:rPr>
                <w:rFonts w:ascii="Times New Roman" w:hAnsi="Times New Roman"/>
                <w:sz w:val="24"/>
              </w:rPr>
              <w:t>60 000</w:t>
            </w:r>
          </w:p>
        </w:tc>
      </w:tr>
      <w:tr w14:paraId="0AE8C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56478607">
            <w:pPr>
              <w:widowControl w:val="0"/>
              <w:jc w:val="both"/>
            </w:pPr>
            <w:r>
              <w:rPr>
                <w:rFonts w:ascii="Times New Roman" w:hAnsi="Times New Roman"/>
                <w:sz w:val="24"/>
              </w:rPr>
              <w:t>Бухгалтер</w:t>
            </w:r>
          </w:p>
        </w:tc>
        <w:tc>
          <w:tcPr>
            <w:tcW w:w="2339" w:type="dxa"/>
            <w:vAlign w:val="center"/>
          </w:tcPr>
          <w:p w14:paraId="5F56ED29">
            <w:pPr>
              <w:widowControl w:val="0"/>
              <w:jc w:val="center"/>
            </w:pPr>
            <w:r>
              <w:rPr>
                <w:rFonts w:ascii="Times New Roman" w:hAnsi="Times New Roman"/>
                <w:sz w:val="24"/>
              </w:rPr>
              <w:t>1</w:t>
            </w:r>
          </w:p>
        </w:tc>
        <w:tc>
          <w:tcPr>
            <w:tcW w:w="2339" w:type="dxa"/>
            <w:vAlign w:val="center"/>
          </w:tcPr>
          <w:p w14:paraId="5183B69F">
            <w:pPr>
              <w:widowControl w:val="0"/>
              <w:jc w:val="center"/>
            </w:pPr>
            <w:r>
              <w:rPr>
                <w:rFonts w:ascii="Times New Roman" w:hAnsi="Times New Roman"/>
                <w:sz w:val="24"/>
              </w:rPr>
              <w:t>57 292</w:t>
            </w:r>
          </w:p>
        </w:tc>
        <w:tc>
          <w:tcPr>
            <w:tcW w:w="2339" w:type="dxa"/>
            <w:vAlign w:val="center"/>
          </w:tcPr>
          <w:p w14:paraId="41E2161A">
            <w:pPr>
              <w:widowControl w:val="0"/>
              <w:jc w:val="center"/>
            </w:pPr>
            <w:r>
              <w:rPr>
                <w:rFonts w:ascii="Times New Roman" w:hAnsi="Times New Roman"/>
                <w:sz w:val="24"/>
              </w:rPr>
              <w:t>57 292</w:t>
            </w:r>
          </w:p>
        </w:tc>
      </w:tr>
      <w:tr w14:paraId="35598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1079E675">
            <w:pPr>
              <w:widowControl w:val="0"/>
              <w:jc w:val="both"/>
            </w:pPr>
            <w:r>
              <w:rPr>
                <w:rFonts w:ascii="Times New Roman" w:hAnsi="Times New Roman"/>
                <w:sz w:val="24"/>
              </w:rPr>
              <w:t>Системный администратор</w:t>
            </w:r>
          </w:p>
        </w:tc>
        <w:tc>
          <w:tcPr>
            <w:tcW w:w="2339" w:type="dxa"/>
            <w:vAlign w:val="center"/>
          </w:tcPr>
          <w:p w14:paraId="479F09BC">
            <w:pPr>
              <w:widowControl w:val="0"/>
              <w:jc w:val="center"/>
            </w:pPr>
            <w:r>
              <w:rPr>
                <w:rFonts w:ascii="Times New Roman" w:hAnsi="Times New Roman"/>
                <w:sz w:val="24"/>
              </w:rPr>
              <w:t>0,5</w:t>
            </w:r>
          </w:p>
        </w:tc>
        <w:tc>
          <w:tcPr>
            <w:tcW w:w="2339" w:type="dxa"/>
            <w:vAlign w:val="center"/>
          </w:tcPr>
          <w:p w14:paraId="6D63671B">
            <w:pPr>
              <w:widowControl w:val="0"/>
              <w:jc w:val="center"/>
            </w:pPr>
            <w:r>
              <w:rPr>
                <w:rFonts w:ascii="Times New Roman" w:hAnsi="Times New Roman"/>
                <w:sz w:val="24"/>
              </w:rPr>
              <w:t>60 000</w:t>
            </w:r>
          </w:p>
        </w:tc>
        <w:tc>
          <w:tcPr>
            <w:tcW w:w="2339" w:type="dxa"/>
            <w:vAlign w:val="center"/>
          </w:tcPr>
          <w:p w14:paraId="375B3328">
            <w:pPr>
              <w:widowControl w:val="0"/>
              <w:jc w:val="center"/>
            </w:pPr>
            <w:r>
              <w:rPr>
                <w:rFonts w:ascii="Times New Roman" w:hAnsi="Times New Roman"/>
                <w:sz w:val="24"/>
              </w:rPr>
              <w:t>30 000</w:t>
            </w:r>
          </w:p>
        </w:tc>
      </w:tr>
      <w:tr w14:paraId="746D8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1FA8F0B5">
            <w:pPr>
              <w:widowControl w:val="0"/>
              <w:jc w:val="both"/>
            </w:pPr>
            <w:r>
              <w:rPr>
                <w:rFonts w:ascii="Times New Roman" w:hAnsi="Times New Roman"/>
                <w:sz w:val="24"/>
              </w:rPr>
              <w:t>Юрист (аутсорсинг)</w:t>
            </w:r>
          </w:p>
        </w:tc>
        <w:tc>
          <w:tcPr>
            <w:tcW w:w="2339" w:type="dxa"/>
            <w:vAlign w:val="center"/>
          </w:tcPr>
          <w:p w14:paraId="416038C0">
            <w:pPr>
              <w:widowControl w:val="0"/>
              <w:jc w:val="center"/>
            </w:pPr>
            <w:r>
              <w:rPr>
                <w:rFonts w:ascii="Times New Roman" w:hAnsi="Times New Roman"/>
                <w:sz w:val="24"/>
              </w:rPr>
              <w:t>-</w:t>
            </w:r>
          </w:p>
        </w:tc>
        <w:tc>
          <w:tcPr>
            <w:tcW w:w="2339" w:type="dxa"/>
            <w:vAlign w:val="center"/>
          </w:tcPr>
          <w:p w14:paraId="5DCF617A">
            <w:pPr>
              <w:widowControl w:val="0"/>
              <w:jc w:val="center"/>
            </w:pPr>
            <w:r>
              <w:rPr>
                <w:rFonts w:ascii="Times New Roman" w:hAnsi="Times New Roman"/>
                <w:sz w:val="24"/>
              </w:rPr>
              <w:t>12 500</w:t>
            </w:r>
          </w:p>
        </w:tc>
        <w:tc>
          <w:tcPr>
            <w:tcW w:w="2339" w:type="dxa"/>
            <w:vAlign w:val="center"/>
          </w:tcPr>
          <w:p w14:paraId="04BA7BD8">
            <w:pPr>
              <w:widowControl w:val="0"/>
              <w:jc w:val="center"/>
            </w:pPr>
            <w:r>
              <w:rPr>
                <w:rFonts w:ascii="Times New Roman" w:hAnsi="Times New Roman"/>
                <w:sz w:val="24"/>
              </w:rPr>
              <w:t>12 500</w:t>
            </w:r>
          </w:p>
        </w:tc>
      </w:tr>
      <w:tr w14:paraId="3CB72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696B7828">
            <w:pPr>
              <w:widowControl w:val="0"/>
              <w:jc w:val="both"/>
            </w:pPr>
            <w:r>
              <w:rPr>
                <w:rFonts w:ascii="Times New Roman" w:hAnsi="Times New Roman"/>
                <w:sz w:val="24"/>
              </w:rPr>
              <w:t>Итого</w:t>
            </w:r>
          </w:p>
        </w:tc>
        <w:tc>
          <w:tcPr>
            <w:tcW w:w="2339" w:type="dxa"/>
            <w:vAlign w:val="center"/>
          </w:tcPr>
          <w:p w14:paraId="4047E21E">
            <w:pPr>
              <w:widowControl w:val="0"/>
              <w:jc w:val="center"/>
            </w:pPr>
            <w:r>
              <w:rPr>
                <w:rFonts w:ascii="Times New Roman" w:hAnsi="Times New Roman"/>
                <w:sz w:val="24"/>
              </w:rPr>
              <w:t>-</w:t>
            </w:r>
          </w:p>
        </w:tc>
        <w:tc>
          <w:tcPr>
            <w:tcW w:w="2339" w:type="dxa"/>
            <w:vAlign w:val="center"/>
          </w:tcPr>
          <w:p w14:paraId="44626848">
            <w:pPr>
              <w:widowControl w:val="0"/>
              <w:jc w:val="center"/>
            </w:pPr>
            <w:r>
              <w:rPr>
                <w:rFonts w:ascii="Times New Roman" w:hAnsi="Times New Roman"/>
                <w:sz w:val="24"/>
              </w:rPr>
              <w:t>-</w:t>
            </w:r>
          </w:p>
        </w:tc>
        <w:tc>
          <w:tcPr>
            <w:tcW w:w="2339" w:type="dxa"/>
            <w:vAlign w:val="center"/>
          </w:tcPr>
          <w:p w14:paraId="3D0E97B3">
            <w:pPr>
              <w:widowControl w:val="0"/>
              <w:jc w:val="center"/>
            </w:pPr>
            <w:r>
              <w:rPr>
                <w:rFonts w:ascii="Times New Roman" w:hAnsi="Times New Roman"/>
                <w:sz w:val="24"/>
              </w:rPr>
              <w:t>979 692</w:t>
            </w:r>
          </w:p>
        </w:tc>
      </w:tr>
    </w:tbl>
    <w:p w14:paraId="7B5DCDD0">
      <w:pPr>
        <w:spacing w:after="120" w:line="360" w:lineRule="auto"/>
        <w:ind w:firstLine="700"/>
        <w:jc w:val="both"/>
      </w:pPr>
    </w:p>
    <w:p w14:paraId="39DAD71D">
      <w:pPr>
        <w:spacing w:after="120" w:line="360" w:lineRule="auto"/>
        <w:ind w:firstLine="700"/>
        <w:jc w:val="both"/>
      </w:pPr>
      <w:r>
        <w:rPr>
          <w:rFonts w:ascii="Times New Roman" w:hAnsi="Times New Roman"/>
          <w:b w:val="0"/>
          <w:sz w:val="28"/>
        </w:rPr>
        <w:t>Тендерные специалисты имеют наиболее высокий совокупный фонд ежемесячных выплат среди подразделений. Это объясняется их вкладом в выручку компании и сложностью выполняемых функций. При этом высокая стоимость персонала требует сопоставления затрат с качеством работы и результативностью участия в тендерах.</w:t>
      </w:r>
    </w:p>
    <w:p w14:paraId="7D97751B">
      <w:pPr>
        <w:spacing w:after="120" w:line="360" w:lineRule="auto"/>
        <w:ind w:firstLine="700"/>
        <w:jc w:val="both"/>
        <w:rPr>
          <w:rFonts w:ascii="Times New Roman" w:hAnsi="Times New Roman"/>
          <w:b w:val="0"/>
          <w:sz w:val="28"/>
        </w:rPr>
      </w:pPr>
      <w:r>
        <w:rPr>
          <w:rFonts w:ascii="Times New Roman" w:hAnsi="Times New Roman"/>
          <w:b w:val="0"/>
          <w:sz w:val="28"/>
          <w:lang w:val="ru-RU"/>
        </w:rPr>
        <w:t>Из</w:t>
      </w:r>
      <w:r>
        <w:rPr>
          <w:rFonts w:hint="default" w:ascii="Times New Roman" w:hAnsi="Times New Roman"/>
          <w:b w:val="0"/>
          <w:sz w:val="28"/>
          <w:lang w:val="ru-RU"/>
        </w:rPr>
        <w:t xml:space="preserve"> таблицы 2.9. видно, что о</w:t>
      </w:r>
      <w:r>
        <w:rPr>
          <w:rFonts w:ascii="Times New Roman" w:hAnsi="Times New Roman"/>
          <w:b w:val="0"/>
          <w:sz w:val="28"/>
        </w:rPr>
        <w:t>бщие затраты на персонал в 2025 году составляют 15,445 млн руб., или около 37,3% от выручки. Для торговой компании такая доля является высокой по сравнению с ориентиром 20-30%. При этом расходы на обучение составляют всего 45 тыс. руб., то есть около 0,37% от ФОТ и 0,29% от общих затрат на персонал. Следовательно, основная часть кадровых расходов направлена на оплату труда и обязательные начисления, тогда как развитие компетенций финансируется минимально.</w:t>
      </w:r>
    </w:p>
    <w:p w14:paraId="0C4331B3">
      <w:pPr>
        <w:spacing w:after="120" w:line="360" w:lineRule="auto"/>
        <w:jc w:val="right"/>
        <w:rPr>
          <w:sz w:val="24"/>
          <w:szCs w:val="24"/>
        </w:rPr>
      </w:pPr>
      <w:r>
        <w:rPr>
          <w:rFonts w:ascii="Times New Roman" w:hAnsi="Times New Roman"/>
          <w:b w:val="0"/>
          <w:sz w:val="24"/>
          <w:szCs w:val="24"/>
        </w:rPr>
        <w:t>Таблица 2.9. Расходы на оплату труда и затраты на персонал ООО «Лайф Медиа» в 2025 г.</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7"/>
        <w:gridCol w:w="4677"/>
      </w:tblGrid>
      <w:tr w14:paraId="36CAD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7" w:type="dxa"/>
            <w:vAlign w:val="center"/>
          </w:tcPr>
          <w:p w14:paraId="0FF7CA8A">
            <w:pPr>
              <w:widowControl w:val="0"/>
              <w:jc w:val="center"/>
              <w:rPr>
                <w:b w:val="0"/>
                <w:bCs/>
              </w:rPr>
            </w:pPr>
            <w:r>
              <w:rPr>
                <w:rFonts w:ascii="Times New Roman" w:hAnsi="Times New Roman"/>
                <w:b w:val="0"/>
                <w:bCs/>
                <w:sz w:val="24"/>
              </w:rPr>
              <w:t>Показатель</w:t>
            </w:r>
          </w:p>
        </w:tc>
        <w:tc>
          <w:tcPr>
            <w:tcW w:w="4677" w:type="dxa"/>
            <w:vAlign w:val="center"/>
          </w:tcPr>
          <w:p w14:paraId="05986340">
            <w:pPr>
              <w:widowControl w:val="0"/>
              <w:jc w:val="center"/>
              <w:rPr>
                <w:b w:val="0"/>
                <w:bCs/>
              </w:rPr>
            </w:pPr>
            <w:r>
              <w:rPr>
                <w:rFonts w:ascii="Times New Roman" w:hAnsi="Times New Roman"/>
                <w:b w:val="0"/>
                <w:bCs/>
                <w:sz w:val="24"/>
              </w:rPr>
              <w:t>Сумма, тыс. руб.</w:t>
            </w:r>
          </w:p>
        </w:tc>
      </w:tr>
      <w:tr w14:paraId="4FA8E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7" w:type="dxa"/>
          </w:tcPr>
          <w:p w14:paraId="1FB8D5F4">
            <w:pPr>
              <w:widowControl w:val="0"/>
              <w:jc w:val="both"/>
            </w:pPr>
            <w:r>
              <w:rPr>
                <w:rFonts w:ascii="Times New Roman" w:hAnsi="Times New Roman"/>
                <w:sz w:val="24"/>
              </w:rPr>
              <w:t>ФОТ тендерного отдела (8 чел.)</w:t>
            </w:r>
          </w:p>
        </w:tc>
        <w:tc>
          <w:tcPr>
            <w:tcW w:w="4677" w:type="dxa"/>
            <w:vAlign w:val="top"/>
          </w:tcPr>
          <w:p w14:paraId="0BEED842">
            <w:pPr>
              <w:widowControl w:val="0"/>
              <w:jc w:val="center"/>
            </w:pPr>
            <w:r>
              <w:rPr>
                <w:rFonts w:ascii="Times New Roman" w:hAnsi="Times New Roman"/>
                <w:sz w:val="24"/>
              </w:rPr>
              <w:t>6 100</w:t>
            </w:r>
          </w:p>
        </w:tc>
      </w:tr>
      <w:tr w14:paraId="356A6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7" w:type="dxa"/>
          </w:tcPr>
          <w:p w14:paraId="13CF6D12">
            <w:pPr>
              <w:widowControl w:val="0"/>
              <w:jc w:val="both"/>
            </w:pPr>
            <w:r>
              <w:rPr>
                <w:rFonts w:ascii="Times New Roman" w:hAnsi="Times New Roman"/>
                <w:sz w:val="24"/>
              </w:rPr>
              <w:t>ФОТ отдела продаж (4 чел.)</w:t>
            </w:r>
          </w:p>
        </w:tc>
        <w:tc>
          <w:tcPr>
            <w:tcW w:w="4677" w:type="dxa"/>
            <w:vAlign w:val="top"/>
          </w:tcPr>
          <w:p w14:paraId="0112CB19">
            <w:pPr>
              <w:widowControl w:val="0"/>
              <w:jc w:val="center"/>
            </w:pPr>
            <w:r>
              <w:rPr>
                <w:rFonts w:ascii="Times New Roman" w:hAnsi="Times New Roman"/>
                <w:sz w:val="24"/>
              </w:rPr>
              <w:t>2 400</w:t>
            </w:r>
          </w:p>
        </w:tc>
      </w:tr>
      <w:tr w14:paraId="660BF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7" w:type="dxa"/>
          </w:tcPr>
          <w:p w14:paraId="1803EACA">
            <w:pPr>
              <w:widowControl w:val="0"/>
              <w:jc w:val="both"/>
            </w:pPr>
            <w:r>
              <w:rPr>
                <w:rFonts w:ascii="Times New Roman" w:hAnsi="Times New Roman"/>
                <w:sz w:val="24"/>
              </w:rPr>
              <w:t>ФОТ отдела логистики (3 чел.)</w:t>
            </w:r>
          </w:p>
        </w:tc>
        <w:tc>
          <w:tcPr>
            <w:tcW w:w="4677" w:type="dxa"/>
            <w:vAlign w:val="top"/>
          </w:tcPr>
          <w:p w14:paraId="36D7D4E9">
            <w:pPr>
              <w:widowControl w:val="0"/>
              <w:jc w:val="center"/>
            </w:pPr>
            <w:r>
              <w:rPr>
                <w:rFonts w:ascii="Times New Roman" w:hAnsi="Times New Roman"/>
                <w:sz w:val="24"/>
              </w:rPr>
              <w:t>1 600</w:t>
            </w:r>
          </w:p>
        </w:tc>
      </w:tr>
    </w:tbl>
    <w:p w14:paraId="7F0B1EF4">
      <w:pPr>
        <w:spacing w:after="120" w:line="360" w:lineRule="auto"/>
        <w:jc w:val="right"/>
        <w:rPr>
          <w:rFonts w:hint="default" w:ascii="Times New Roman" w:hAnsi="Times New Roman"/>
          <w:b w:val="0"/>
          <w:sz w:val="24"/>
          <w:szCs w:val="18"/>
          <w:lang w:val="ru-RU"/>
        </w:rPr>
      </w:pPr>
      <w:r>
        <w:rPr>
          <w:rFonts w:ascii="Times New Roman" w:hAnsi="Times New Roman"/>
          <w:b w:val="0"/>
          <w:sz w:val="24"/>
          <w:szCs w:val="18"/>
          <w:lang w:val="ru-RU"/>
        </w:rPr>
        <w:t>Продолжение</w:t>
      </w:r>
      <w:r>
        <w:rPr>
          <w:rFonts w:hint="default" w:ascii="Times New Roman" w:hAnsi="Times New Roman"/>
          <w:b w:val="0"/>
          <w:sz w:val="24"/>
          <w:szCs w:val="18"/>
          <w:lang w:val="ru-RU"/>
        </w:rPr>
        <w:t xml:space="preserve"> таблицы 2.9.</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7"/>
        <w:gridCol w:w="4677"/>
      </w:tblGrid>
      <w:tr w14:paraId="6AB33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4677" w:type="dxa"/>
          </w:tcPr>
          <w:p w14:paraId="3E484F33">
            <w:pPr>
              <w:widowControl w:val="0"/>
              <w:jc w:val="both"/>
            </w:pPr>
            <w:r>
              <w:rPr>
                <w:rFonts w:ascii="Times New Roman" w:hAnsi="Times New Roman"/>
                <w:sz w:val="24"/>
              </w:rPr>
              <w:t>ФОТ административно-управленческого блока (2,5 ставки)</w:t>
            </w:r>
          </w:p>
        </w:tc>
        <w:tc>
          <w:tcPr>
            <w:tcW w:w="4677" w:type="dxa"/>
            <w:vAlign w:val="top"/>
          </w:tcPr>
          <w:p w14:paraId="3A80E2C8">
            <w:pPr>
              <w:widowControl w:val="0"/>
              <w:jc w:val="center"/>
            </w:pPr>
            <w:r>
              <w:rPr>
                <w:rFonts w:ascii="Times New Roman" w:hAnsi="Times New Roman"/>
                <w:sz w:val="24"/>
              </w:rPr>
              <w:t>1 500</w:t>
            </w:r>
          </w:p>
        </w:tc>
      </w:tr>
      <w:tr w14:paraId="425ED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7" w:type="dxa"/>
          </w:tcPr>
          <w:p w14:paraId="7A6933B0">
            <w:pPr>
              <w:widowControl w:val="0"/>
              <w:jc w:val="both"/>
            </w:pPr>
            <w:r>
              <w:rPr>
                <w:rFonts w:ascii="Times New Roman" w:hAnsi="Times New Roman"/>
                <w:sz w:val="24"/>
              </w:rPr>
              <w:t>Итого ФОТ</w:t>
            </w:r>
          </w:p>
        </w:tc>
        <w:tc>
          <w:tcPr>
            <w:tcW w:w="4677" w:type="dxa"/>
            <w:vAlign w:val="top"/>
          </w:tcPr>
          <w:p w14:paraId="7395689D">
            <w:pPr>
              <w:widowControl w:val="0"/>
              <w:jc w:val="center"/>
            </w:pPr>
            <w:r>
              <w:rPr>
                <w:rFonts w:ascii="Times New Roman" w:hAnsi="Times New Roman"/>
                <w:sz w:val="24"/>
              </w:rPr>
              <w:t>11 600</w:t>
            </w:r>
          </w:p>
        </w:tc>
      </w:tr>
      <w:tr w14:paraId="628AF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7" w:type="dxa"/>
          </w:tcPr>
          <w:p w14:paraId="0765B56D">
            <w:pPr>
              <w:widowControl w:val="0"/>
              <w:jc w:val="both"/>
            </w:pPr>
            <w:r>
              <w:rPr>
                <w:rFonts w:ascii="Times New Roman" w:hAnsi="Times New Roman"/>
                <w:sz w:val="24"/>
              </w:rPr>
              <w:t>Страховые взносы (30%)</w:t>
            </w:r>
          </w:p>
        </w:tc>
        <w:tc>
          <w:tcPr>
            <w:tcW w:w="4677" w:type="dxa"/>
            <w:vAlign w:val="top"/>
          </w:tcPr>
          <w:p w14:paraId="41861602">
            <w:pPr>
              <w:widowControl w:val="0"/>
              <w:jc w:val="center"/>
            </w:pPr>
            <w:r>
              <w:rPr>
                <w:rFonts w:ascii="Times New Roman" w:hAnsi="Times New Roman"/>
                <w:sz w:val="24"/>
              </w:rPr>
              <w:t>3 480</w:t>
            </w:r>
          </w:p>
        </w:tc>
      </w:tr>
      <w:tr w14:paraId="484B0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7" w:type="dxa"/>
          </w:tcPr>
          <w:p w14:paraId="49876556">
            <w:pPr>
              <w:widowControl w:val="0"/>
              <w:jc w:val="both"/>
            </w:pPr>
            <w:r>
              <w:rPr>
                <w:rFonts w:ascii="Times New Roman" w:hAnsi="Times New Roman"/>
                <w:sz w:val="24"/>
              </w:rPr>
              <w:t>Подбор персонала</w:t>
            </w:r>
          </w:p>
        </w:tc>
        <w:tc>
          <w:tcPr>
            <w:tcW w:w="4677" w:type="dxa"/>
            <w:vAlign w:val="top"/>
          </w:tcPr>
          <w:p w14:paraId="5D110CBF">
            <w:pPr>
              <w:widowControl w:val="0"/>
              <w:jc w:val="center"/>
            </w:pPr>
            <w:r>
              <w:rPr>
                <w:rFonts w:ascii="Times New Roman" w:hAnsi="Times New Roman"/>
                <w:sz w:val="24"/>
              </w:rPr>
              <w:t>170</w:t>
            </w:r>
          </w:p>
        </w:tc>
      </w:tr>
      <w:tr w14:paraId="58622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7" w:type="dxa"/>
          </w:tcPr>
          <w:p w14:paraId="74A0F40E">
            <w:pPr>
              <w:widowControl w:val="0"/>
              <w:jc w:val="both"/>
            </w:pPr>
            <w:r>
              <w:rPr>
                <w:rFonts w:ascii="Times New Roman" w:hAnsi="Times New Roman"/>
                <w:sz w:val="24"/>
              </w:rPr>
              <w:t>Обучение</w:t>
            </w:r>
          </w:p>
        </w:tc>
        <w:tc>
          <w:tcPr>
            <w:tcW w:w="4677" w:type="dxa"/>
            <w:vAlign w:val="top"/>
          </w:tcPr>
          <w:p w14:paraId="0C7C3BF2">
            <w:pPr>
              <w:widowControl w:val="0"/>
              <w:jc w:val="center"/>
            </w:pPr>
            <w:r>
              <w:rPr>
                <w:rFonts w:ascii="Times New Roman" w:hAnsi="Times New Roman"/>
                <w:sz w:val="24"/>
              </w:rPr>
              <w:t>45</w:t>
            </w:r>
          </w:p>
        </w:tc>
      </w:tr>
      <w:tr w14:paraId="4E58B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7" w:type="dxa"/>
          </w:tcPr>
          <w:p w14:paraId="1037E628">
            <w:pPr>
              <w:widowControl w:val="0"/>
              <w:jc w:val="both"/>
            </w:pPr>
            <w:r>
              <w:rPr>
                <w:rFonts w:ascii="Times New Roman" w:hAnsi="Times New Roman"/>
                <w:sz w:val="24"/>
              </w:rPr>
              <w:t>Юрист (аутсорсинг)</w:t>
            </w:r>
          </w:p>
        </w:tc>
        <w:tc>
          <w:tcPr>
            <w:tcW w:w="4677" w:type="dxa"/>
            <w:vAlign w:val="top"/>
          </w:tcPr>
          <w:p w14:paraId="192B4D6D">
            <w:pPr>
              <w:widowControl w:val="0"/>
              <w:jc w:val="center"/>
            </w:pPr>
            <w:r>
              <w:rPr>
                <w:rFonts w:ascii="Times New Roman" w:hAnsi="Times New Roman"/>
                <w:sz w:val="24"/>
              </w:rPr>
              <w:t>150</w:t>
            </w:r>
          </w:p>
        </w:tc>
      </w:tr>
      <w:tr w14:paraId="17D96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7" w:type="dxa"/>
          </w:tcPr>
          <w:p w14:paraId="052FD57E">
            <w:pPr>
              <w:widowControl w:val="0"/>
              <w:jc w:val="both"/>
            </w:pPr>
            <w:r>
              <w:rPr>
                <w:rFonts w:ascii="Times New Roman" w:hAnsi="Times New Roman"/>
                <w:sz w:val="24"/>
              </w:rPr>
              <w:t>Общие затраты на персонал</w:t>
            </w:r>
          </w:p>
        </w:tc>
        <w:tc>
          <w:tcPr>
            <w:tcW w:w="4677" w:type="dxa"/>
            <w:vAlign w:val="top"/>
          </w:tcPr>
          <w:p w14:paraId="3F75D601">
            <w:pPr>
              <w:widowControl w:val="0"/>
              <w:jc w:val="center"/>
            </w:pPr>
            <w:r>
              <w:rPr>
                <w:rFonts w:ascii="Times New Roman" w:hAnsi="Times New Roman"/>
                <w:sz w:val="24"/>
              </w:rPr>
              <w:t>15 445</w:t>
            </w:r>
          </w:p>
        </w:tc>
      </w:tr>
    </w:tbl>
    <w:p w14:paraId="7DD47675">
      <w:pPr>
        <w:spacing w:after="120" w:line="360" w:lineRule="auto"/>
        <w:jc w:val="both"/>
        <w:rPr>
          <w:rFonts w:hint="default" w:ascii="Times New Roman" w:hAnsi="Times New Roman"/>
          <w:b w:val="0"/>
          <w:sz w:val="28"/>
          <w:lang w:val="ru-RU"/>
        </w:rPr>
      </w:pPr>
    </w:p>
    <w:p w14:paraId="692A4A99">
      <w:pPr>
        <w:spacing w:after="120" w:line="360" w:lineRule="auto"/>
        <w:ind w:firstLine="700"/>
        <w:jc w:val="both"/>
        <w:rPr>
          <w:rFonts w:ascii="Times New Roman" w:hAnsi="Times New Roman"/>
          <w:b w:val="0"/>
          <w:sz w:val="28"/>
        </w:rPr>
      </w:pPr>
      <w:r>
        <w:rPr>
          <w:rFonts w:ascii="Times New Roman" w:hAnsi="Times New Roman"/>
          <w:b w:val="0"/>
          <w:sz w:val="28"/>
        </w:rPr>
        <w:t>Формальное наличие статьи «обучение» не означает существования полноценной системы развития. По имеющимся данным, средства используются эпизодически: чаще всего приобретаются доступы к записям вебинаров по изменениям 44-ФЗ и 223-ФЗ. При этом отсутствуют единая программа обучения, регулярное тестирование, внутренняя база знаний и оценка того, как обучение влияет на качество подготовки заявок.</w:t>
      </w:r>
    </w:p>
    <w:p w14:paraId="27A4EE6D">
      <w:pPr>
        <w:spacing w:after="120" w:line="360" w:lineRule="auto"/>
        <w:ind w:firstLine="700"/>
        <w:jc w:val="center"/>
        <w:rPr>
          <w:rFonts w:ascii="Times New Roman" w:hAnsi="Times New Roman"/>
          <w:b/>
          <w:bCs/>
          <w:sz w:val="28"/>
        </w:rPr>
      </w:pPr>
    </w:p>
    <w:p w14:paraId="45F1CF0B">
      <w:pPr>
        <w:numPr>
          <w:ilvl w:val="1"/>
          <w:numId w:val="2"/>
        </w:numPr>
        <w:spacing w:after="120" w:line="360" w:lineRule="auto"/>
        <w:ind w:left="49" w:leftChars="0" w:firstLine="351" w:firstLineChars="0"/>
        <w:jc w:val="center"/>
        <w:rPr>
          <w:rFonts w:hint="default" w:ascii="Times New Roman" w:hAnsi="Times New Roman"/>
          <w:b/>
          <w:bCs/>
          <w:sz w:val="28"/>
          <w:lang w:val="ru-RU"/>
        </w:rPr>
      </w:pPr>
      <w:r>
        <w:rPr>
          <w:rFonts w:hint="default" w:ascii="Times New Roman" w:hAnsi="Times New Roman"/>
          <w:b/>
          <w:bCs/>
          <w:sz w:val="28"/>
          <w:szCs w:val="28"/>
          <w:lang w:val="ru-RU"/>
        </w:rPr>
        <w:t>Оценка эффективности текущей системы обучения и выявление проблем</w:t>
      </w:r>
    </w:p>
    <w:p w14:paraId="61DC43F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bCs w:val="0"/>
          <w:color w:val="auto"/>
          <w:sz w:val="28"/>
          <w:szCs w:val="28"/>
          <w:lang w:val="ru-RU"/>
        </w:rPr>
      </w:pPr>
      <w:r>
        <w:rPr>
          <w:rFonts w:hint="default" w:ascii="Times New Roman" w:hAnsi="Times New Roman"/>
          <w:sz w:val="28"/>
          <w:szCs w:val="28"/>
          <w:lang w:val="ru-RU"/>
        </w:rPr>
        <w:br w:type="page"/>
      </w:r>
      <w:r>
        <w:rPr>
          <w:rFonts w:hint="default" w:ascii="Times New Roman" w:hAnsi="Times New Roman"/>
          <w:b w:val="0"/>
          <w:bCs w:val="0"/>
          <w:color w:val="auto"/>
          <w:sz w:val="28"/>
          <w:szCs w:val="28"/>
          <w:lang w:val="ru-RU"/>
        </w:rPr>
        <w:t>Тендерный отдел ООО «Лайф Медиа» является ключевым подразделением компании, так как именно через участие в государственных корпоративных закупках формируется основная часть выручки. Работа специалистов отдела связана с постоянным анализом документации заказчиков, отслеживанием изменений в законодательстве, расчётом ценовых предложений, подготовкой комплектов документов и технической</w:t>
      </w:r>
      <w:r>
        <w:rPr>
          <w:rFonts w:hint="default" w:ascii="Times New Roman" w:hAnsi="Times New Roman"/>
          <w:b w:val="0"/>
          <w:bCs w:val="0"/>
          <w:color w:val="auto"/>
          <w:sz w:val="28"/>
          <w:szCs w:val="28"/>
          <w:lang w:val="ru-RU"/>
        </w:rPr>
        <w:tab/>
      </w:r>
      <w:r>
        <w:rPr>
          <w:rFonts w:hint="default" w:ascii="Times New Roman" w:hAnsi="Times New Roman"/>
          <w:b w:val="0"/>
          <w:bCs w:val="0"/>
          <w:color w:val="auto"/>
          <w:sz w:val="28"/>
          <w:szCs w:val="28"/>
          <w:lang w:val="ru-RU"/>
        </w:rPr>
        <w:t xml:space="preserve"> подачей заявок на электронных торговых площадках (ЭТП). При таком характере деятельности квалификация сотрудников напрямую влияет не только на качество выполнения отдельных операций, но и на финансовый результат компании.</w:t>
      </w:r>
    </w:p>
    <w:p w14:paraId="75A9EB3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bCs w:val="0"/>
          <w:color w:val="auto"/>
          <w:sz w:val="28"/>
          <w:szCs w:val="28"/>
          <w:lang w:val="ru-RU"/>
        </w:rPr>
      </w:pPr>
      <w:r>
        <w:rPr>
          <w:rFonts w:hint="default" w:ascii="Times New Roman" w:hAnsi="Times New Roman"/>
          <w:b w:val="0"/>
          <w:bCs w:val="0"/>
          <w:color w:val="auto"/>
          <w:sz w:val="28"/>
          <w:szCs w:val="28"/>
          <w:lang w:val="ru-RU"/>
        </w:rPr>
        <w:t>Несмотря на высокую значимость тендерного отдела, в компании отсутствует целостная система обучения и развития персонала. Под системой обучения в данном случае понимается не разовой направление сотрудников на курс или самостоятельное изучение материалов, а совокупность взаимосвязанных элементов: вводная адаптация новых работников, регулярное обновление знаний, разбор ошибок, единая база знаний, наставничество и оценка влияния обучения на рабочие показатели. В ООО «Лайф Медиа» такие элементы либо полностью отсутствуют, либо существуют фрагментарно и не связаны между собой.</w:t>
      </w:r>
    </w:p>
    <w:p w14:paraId="7CAABE3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bCs w:val="0"/>
          <w:color w:val="auto"/>
          <w:sz w:val="28"/>
          <w:szCs w:val="28"/>
          <w:lang w:val="ru-RU"/>
        </w:rPr>
      </w:pPr>
      <w:r>
        <w:rPr>
          <w:rFonts w:hint="default" w:ascii="Times New Roman" w:hAnsi="Times New Roman"/>
          <w:b w:val="0"/>
          <w:bCs w:val="0"/>
          <w:color w:val="auto"/>
          <w:sz w:val="28"/>
          <w:szCs w:val="28"/>
          <w:lang w:val="ru-RU"/>
        </w:rPr>
        <w:t>Фактически обучение тендерных специалистов строится преимущественно на самостоятельном поиске информации и передаче знаний от более опытных сотрудников в процессе работы. Такой формат нельзя считать устойчивой системой, поскольку он зависит от личной инициативы конкретных сотрудников, загруженности руководителя отдела и наличия свободного времени и желания коллег. Если новый специалист сталкивается с нестандартной закупкой, изменением формы документа или особенностями электронной торговой площадки (ЭТП), то чаще всего он получает информацию ситуацтивно, то есть через устное пояснение, поиск в открытых источниках или просмотр ранее поданных заявок.</w:t>
      </w:r>
    </w:p>
    <w:p w14:paraId="33FADAC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bCs w:val="0"/>
          <w:color w:val="auto"/>
          <w:sz w:val="28"/>
          <w:szCs w:val="28"/>
          <w:lang w:val="ru-RU"/>
        </w:rPr>
      </w:pPr>
      <w:r>
        <w:rPr>
          <w:rFonts w:hint="default" w:ascii="Times New Roman" w:hAnsi="Times New Roman"/>
          <w:b w:val="0"/>
          <w:bCs w:val="0"/>
          <w:color w:val="auto"/>
          <w:sz w:val="28"/>
          <w:szCs w:val="28"/>
          <w:lang w:val="ru-RU"/>
        </w:rPr>
        <w:t>Отсутствие системности проявляется прежде всего в том, что в компании нет утверждённой программы адаптации тендерного специалиста. Новый сотрудник не проходит введение в должность через путь, где были бы закреплены темы, сроки освоения, ответственные лица. В результате скорость включения в работу зависит от первоначального уровня подготовки человека.</w:t>
      </w:r>
    </w:p>
    <w:p w14:paraId="11CA3F9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i w:val="0"/>
          <w:sz w:val="28"/>
          <w:lang w:val="ru-RU"/>
        </w:rPr>
      </w:pPr>
      <w:r>
        <w:rPr>
          <w:rFonts w:hint="default" w:ascii="Times New Roman" w:hAnsi="Times New Roman"/>
          <w:b w:val="0"/>
          <w:bCs w:val="0"/>
          <w:color w:val="auto"/>
          <w:sz w:val="28"/>
          <w:szCs w:val="28"/>
          <w:lang w:val="ru-RU"/>
        </w:rPr>
        <w:t xml:space="preserve">Второй важный признак отсутствия системы обучения связан с тем, что в компании нет единой базы актуальных учебных и рабочих материалов. Документы, шаблоны, образцы заполнения форм и инструкций хранятся разрозненно. Часть материалов находится в общих папках, часть </w:t>
      </w:r>
      <w:r>
        <w:rPr>
          <w:rFonts w:ascii="Times New Roman" w:hAnsi="Times New Roman"/>
          <w:b w:val="0"/>
          <w:i w:val="0"/>
          <w:sz w:val="28"/>
        </w:rPr>
        <w:t xml:space="preserve">— </w:t>
      </w:r>
      <w:r>
        <w:rPr>
          <w:rFonts w:ascii="Times New Roman" w:hAnsi="Times New Roman"/>
          <w:b w:val="0"/>
          <w:i w:val="0"/>
          <w:sz w:val="28"/>
          <w:lang w:val="ru-RU"/>
        </w:rPr>
        <w:t>у</w:t>
      </w:r>
      <w:r>
        <w:rPr>
          <w:rFonts w:hint="default" w:ascii="Times New Roman" w:hAnsi="Times New Roman"/>
          <w:b w:val="0"/>
          <w:i w:val="0"/>
          <w:sz w:val="28"/>
          <w:lang w:val="ru-RU"/>
        </w:rPr>
        <w:t xml:space="preserve"> отдельных сотрудников, часть </w:t>
      </w:r>
      <w:r>
        <w:rPr>
          <w:rFonts w:ascii="Times New Roman" w:hAnsi="Times New Roman"/>
          <w:b w:val="0"/>
          <w:i w:val="0"/>
          <w:sz w:val="28"/>
        </w:rPr>
        <w:t xml:space="preserve">— </w:t>
      </w:r>
      <w:r>
        <w:rPr>
          <w:rFonts w:hint="default" w:ascii="Times New Roman" w:hAnsi="Times New Roman"/>
          <w:b w:val="0"/>
          <w:i w:val="0"/>
          <w:sz w:val="28"/>
          <w:lang w:val="ru-RU"/>
        </w:rPr>
        <w:t xml:space="preserve"> в переписках или задачах Битрикс24. при этом не закреплён порядок регулярного обновления таких материалов после изменений в 44-ФЗ и 223-ФЗ, требованиях заказчиков или правилах электронных площадок. Это создаёт риск использования устаревших форм и неодинакового подхода к подготовке заявок.</w:t>
      </w:r>
    </w:p>
    <w:p w14:paraId="149C1A7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i w:val="0"/>
          <w:sz w:val="28"/>
          <w:lang w:val="ru-RU"/>
        </w:rPr>
      </w:pPr>
      <w:r>
        <w:rPr>
          <w:rFonts w:hint="default" w:ascii="Times New Roman" w:hAnsi="Times New Roman"/>
          <w:b w:val="0"/>
          <w:i w:val="0"/>
          <w:sz w:val="28"/>
          <w:lang w:val="ru-RU"/>
        </w:rPr>
        <w:t>Третья проблема заключается в отсутствии регулярной проверки знаний. В компании не проводится тестирование по изменениям законодательства, не фиксируются результаты изучения обучающих материалов, не оценивается готовность специалиста к самостоятельной работе с отдельными типами закупок. Поэтому руководитель не получает объективной информации о том, какие направления имеют проблемы.</w:t>
      </w:r>
    </w:p>
    <w:p w14:paraId="31E03C9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i w:val="0"/>
          <w:sz w:val="28"/>
          <w:lang w:val="ru-RU"/>
        </w:rPr>
      </w:pPr>
      <w:r>
        <w:rPr>
          <w:rFonts w:hint="default" w:ascii="Times New Roman" w:hAnsi="Times New Roman"/>
          <w:b w:val="0"/>
          <w:i w:val="0"/>
          <w:sz w:val="28"/>
          <w:lang w:val="ru-RU"/>
        </w:rPr>
        <w:t xml:space="preserve">Четвёртая проблема </w:t>
      </w:r>
      <w:r>
        <w:rPr>
          <w:rFonts w:ascii="Times New Roman" w:hAnsi="Times New Roman"/>
          <w:b w:val="0"/>
          <w:i w:val="0"/>
          <w:sz w:val="28"/>
        </w:rPr>
        <w:t xml:space="preserve">— </w:t>
      </w:r>
      <w:r>
        <w:rPr>
          <w:rFonts w:hint="default" w:ascii="Times New Roman" w:hAnsi="Times New Roman"/>
          <w:b w:val="0"/>
          <w:i w:val="0"/>
          <w:sz w:val="28"/>
          <w:lang w:val="ru-RU"/>
        </w:rPr>
        <w:t xml:space="preserve"> отсутствие системного разбора ошибок. Если заявка отклоняется, ошибка обсуждается устно и, как правило, в привязке к конкретному случаю. Такая информация не превращается в общую базу знаний отдела: не фиксируется причина отклонения, не формируется перечень типовых ошибок, не анализируется повторяемость нарушений по сотрудникам и по видам закупки. В результате один и тот же тип ошибки может повторяться у разных специалистов, потому что отдельный опыт не становится общим знанием подразделения.</w:t>
      </w:r>
    </w:p>
    <w:p w14:paraId="76FD2ED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i w:val="0"/>
          <w:sz w:val="28"/>
          <w:lang w:val="ru-RU"/>
        </w:rPr>
      </w:pPr>
      <w:r>
        <w:rPr>
          <w:rFonts w:hint="default" w:ascii="Times New Roman" w:hAnsi="Times New Roman"/>
          <w:b w:val="0"/>
          <w:i w:val="0"/>
          <w:sz w:val="28"/>
          <w:lang w:val="ru-RU"/>
        </w:rPr>
        <w:t>В таблице 3.1. отражено фактическое состояние сситемц обучения тендерных специалистов компании.</w:t>
      </w:r>
    </w:p>
    <w:p w14:paraId="563248EF">
      <w:pPr>
        <w:spacing w:after="120" w:line="360" w:lineRule="auto"/>
        <w:ind w:firstLine="700"/>
      </w:pPr>
    </w:p>
    <w:p w14:paraId="7D471671">
      <w:pPr>
        <w:spacing w:after="120" w:line="360" w:lineRule="auto"/>
        <w:ind w:firstLine="700"/>
        <w:jc w:val="right"/>
        <w:rPr>
          <w:sz w:val="24"/>
          <w:szCs w:val="24"/>
        </w:rPr>
      </w:pPr>
      <w:r>
        <w:rPr>
          <w:rFonts w:ascii="Times New Roman" w:hAnsi="Times New Roman"/>
          <w:b w:val="0"/>
          <w:i w:val="0"/>
          <w:sz w:val="24"/>
          <w:szCs w:val="24"/>
        </w:rPr>
        <w:t>Таблица 3.1. Характеристика фактического состояния обучения тендерных специалистов ООО «Лайф Медиа»</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1EB3E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1BB9F1FC">
            <w:pPr>
              <w:widowControl w:val="0"/>
              <w:spacing w:line="240" w:lineRule="auto"/>
              <w:jc w:val="center"/>
              <w:rPr>
                <w:b w:val="0"/>
                <w:bCs/>
                <w:sz w:val="24"/>
                <w:szCs w:val="24"/>
              </w:rPr>
            </w:pPr>
            <w:r>
              <w:rPr>
                <w:rFonts w:ascii="Times New Roman" w:hAnsi="Times New Roman"/>
                <w:b w:val="0"/>
                <w:bCs/>
                <w:sz w:val="24"/>
                <w:szCs w:val="24"/>
              </w:rPr>
              <w:t>Элемент системы обучения</w:t>
            </w:r>
          </w:p>
        </w:tc>
        <w:tc>
          <w:tcPr>
            <w:tcW w:w="3118" w:type="dxa"/>
          </w:tcPr>
          <w:p w14:paraId="1A45EDE8">
            <w:pPr>
              <w:widowControl w:val="0"/>
              <w:spacing w:line="240" w:lineRule="auto"/>
              <w:jc w:val="center"/>
              <w:rPr>
                <w:b w:val="0"/>
                <w:bCs/>
                <w:sz w:val="24"/>
                <w:szCs w:val="24"/>
              </w:rPr>
            </w:pPr>
            <w:r>
              <w:rPr>
                <w:rFonts w:ascii="Times New Roman" w:hAnsi="Times New Roman"/>
                <w:b w:val="0"/>
                <w:bCs/>
                <w:sz w:val="24"/>
                <w:szCs w:val="24"/>
              </w:rPr>
              <w:t>Фактическое состояние в компании</w:t>
            </w:r>
          </w:p>
        </w:tc>
        <w:tc>
          <w:tcPr>
            <w:tcW w:w="3118" w:type="dxa"/>
          </w:tcPr>
          <w:p w14:paraId="503F45C3">
            <w:pPr>
              <w:widowControl w:val="0"/>
              <w:spacing w:line="240" w:lineRule="auto"/>
              <w:jc w:val="center"/>
              <w:rPr>
                <w:b w:val="0"/>
                <w:bCs/>
                <w:sz w:val="24"/>
                <w:szCs w:val="24"/>
              </w:rPr>
            </w:pPr>
            <w:r>
              <w:rPr>
                <w:rFonts w:ascii="Times New Roman" w:hAnsi="Times New Roman"/>
                <w:b w:val="0"/>
                <w:bCs/>
                <w:sz w:val="24"/>
                <w:szCs w:val="24"/>
              </w:rPr>
              <w:t>Проявление в работе отдела</w:t>
            </w:r>
          </w:p>
        </w:tc>
      </w:tr>
      <w:tr w14:paraId="4FAED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7F8257A3">
            <w:pPr>
              <w:widowControl w:val="0"/>
              <w:spacing w:line="240" w:lineRule="auto"/>
              <w:jc w:val="both"/>
              <w:rPr>
                <w:sz w:val="24"/>
                <w:szCs w:val="24"/>
              </w:rPr>
            </w:pPr>
            <w:r>
              <w:rPr>
                <w:rFonts w:ascii="Times New Roman" w:hAnsi="Times New Roman"/>
                <w:sz w:val="24"/>
                <w:szCs w:val="24"/>
              </w:rPr>
              <w:t>Вводная адаптация</w:t>
            </w:r>
          </w:p>
        </w:tc>
        <w:tc>
          <w:tcPr>
            <w:tcW w:w="3118" w:type="dxa"/>
          </w:tcPr>
          <w:p w14:paraId="01E2C35F">
            <w:pPr>
              <w:widowControl w:val="0"/>
              <w:spacing w:line="240" w:lineRule="auto"/>
              <w:jc w:val="both"/>
              <w:rPr>
                <w:sz w:val="24"/>
                <w:szCs w:val="24"/>
              </w:rPr>
            </w:pPr>
            <w:r>
              <w:rPr>
                <w:rFonts w:ascii="Times New Roman" w:hAnsi="Times New Roman"/>
                <w:sz w:val="24"/>
                <w:szCs w:val="24"/>
              </w:rPr>
              <w:t>Единая программа адаптации отсутствует</w:t>
            </w:r>
          </w:p>
        </w:tc>
        <w:tc>
          <w:tcPr>
            <w:tcW w:w="3118" w:type="dxa"/>
          </w:tcPr>
          <w:p w14:paraId="3A2E20D6">
            <w:pPr>
              <w:widowControl w:val="0"/>
              <w:spacing w:line="240" w:lineRule="auto"/>
              <w:jc w:val="both"/>
              <w:rPr>
                <w:sz w:val="24"/>
                <w:szCs w:val="24"/>
              </w:rPr>
            </w:pPr>
            <w:r>
              <w:rPr>
                <w:rFonts w:ascii="Times New Roman" w:hAnsi="Times New Roman"/>
                <w:sz w:val="24"/>
                <w:szCs w:val="24"/>
              </w:rPr>
              <w:t>Новый сотрудник осваивает работу через устные пояснения и текущие задачи</w:t>
            </w:r>
          </w:p>
        </w:tc>
      </w:tr>
      <w:tr w14:paraId="195E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78BFC080">
            <w:pPr>
              <w:widowControl w:val="0"/>
              <w:spacing w:line="240" w:lineRule="auto"/>
              <w:jc w:val="both"/>
              <w:rPr>
                <w:sz w:val="24"/>
                <w:szCs w:val="24"/>
              </w:rPr>
            </w:pPr>
            <w:r>
              <w:rPr>
                <w:rFonts w:ascii="Times New Roman" w:hAnsi="Times New Roman"/>
                <w:sz w:val="24"/>
                <w:szCs w:val="24"/>
              </w:rPr>
              <w:t>Учебные материалы</w:t>
            </w:r>
          </w:p>
        </w:tc>
        <w:tc>
          <w:tcPr>
            <w:tcW w:w="3118" w:type="dxa"/>
          </w:tcPr>
          <w:p w14:paraId="1C8877F6">
            <w:pPr>
              <w:widowControl w:val="0"/>
              <w:spacing w:line="240" w:lineRule="auto"/>
              <w:jc w:val="both"/>
              <w:rPr>
                <w:sz w:val="24"/>
                <w:szCs w:val="24"/>
              </w:rPr>
            </w:pPr>
            <w:r>
              <w:rPr>
                <w:rFonts w:ascii="Times New Roman" w:hAnsi="Times New Roman"/>
                <w:sz w:val="24"/>
                <w:szCs w:val="24"/>
              </w:rPr>
              <w:t>Единая база актуальных материалов не сформирована</w:t>
            </w:r>
          </w:p>
        </w:tc>
        <w:tc>
          <w:tcPr>
            <w:tcW w:w="3118" w:type="dxa"/>
          </w:tcPr>
          <w:p w14:paraId="6D5BA582">
            <w:pPr>
              <w:widowControl w:val="0"/>
              <w:spacing w:line="240" w:lineRule="auto"/>
              <w:jc w:val="both"/>
              <w:rPr>
                <w:sz w:val="24"/>
                <w:szCs w:val="24"/>
              </w:rPr>
            </w:pPr>
            <w:r>
              <w:rPr>
                <w:rFonts w:ascii="Times New Roman" w:hAnsi="Times New Roman"/>
                <w:sz w:val="24"/>
                <w:szCs w:val="24"/>
              </w:rPr>
              <w:t>Сотрудники используют разные источники, часть шаблонов может устаревать</w:t>
            </w:r>
          </w:p>
        </w:tc>
      </w:tr>
      <w:tr w14:paraId="51E9D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07DE8FAA">
            <w:pPr>
              <w:widowControl w:val="0"/>
              <w:spacing w:line="240" w:lineRule="auto"/>
              <w:jc w:val="both"/>
              <w:rPr>
                <w:sz w:val="24"/>
                <w:szCs w:val="24"/>
              </w:rPr>
            </w:pPr>
            <w:r>
              <w:rPr>
                <w:rFonts w:ascii="Times New Roman" w:hAnsi="Times New Roman"/>
                <w:sz w:val="24"/>
                <w:szCs w:val="24"/>
              </w:rPr>
              <w:t>Обновление знаний</w:t>
            </w:r>
          </w:p>
        </w:tc>
        <w:tc>
          <w:tcPr>
            <w:tcW w:w="3118" w:type="dxa"/>
          </w:tcPr>
          <w:p w14:paraId="4F19315E">
            <w:pPr>
              <w:widowControl w:val="0"/>
              <w:spacing w:line="240" w:lineRule="auto"/>
              <w:jc w:val="both"/>
              <w:rPr>
                <w:sz w:val="24"/>
                <w:szCs w:val="24"/>
              </w:rPr>
            </w:pPr>
            <w:r>
              <w:rPr>
                <w:rFonts w:ascii="Times New Roman" w:hAnsi="Times New Roman"/>
                <w:sz w:val="24"/>
                <w:szCs w:val="24"/>
              </w:rPr>
              <w:t>Происходит эпизодически через вебинары и самостоятельный поиск информации</w:t>
            </w:r>
          </w:p>
        </w:tc>
        <w:tc>
          <w:tcPr>
            <w:tcW w:w="3118" w:type="dxa"/>
          </w:tcPr>
          <w:p w14:paraId="5298CDDD">
            <w:pPr>
              <w:widowControl w:val="0"/>
              <w:spacing w:line="240" w:lineRule="auto"/>
              <w:jc w:val="both"/>
              <w:rPr>
                <w:sz w:val="24"/>
                <w:szCs w:val="24"/>
              </w:rPr>
            </w:pPr>
            <w:r>
              <w:rPr>
                <w:rFonts w:ascii="Times New Roman" w:hAnsi="Times New Roman"/>
                <w:sz w:val="24"/>
                <w:szCs w:val="24"/>
              </w:rPr>
              <w:t>Изменения законодательства не всегда одинаково быстро доходят до всех сотрудников</w:t>
            </w:r>
          </w:p>
        </w:tc>
      </w:tr>
      <w:tr w14:paraId="57053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63FE5A3B">
            <w:pPr>
              <w:widowControl w:val="0"/>
              <w:spacing w:line="240" w:lineRule="auto"/>
              <w:jc w:val="both"/>
              <w:rPr>
                <w:sz w:val="24"/>
                <w:szCs w:val="24"/>
              </w:rPr>
            </w:pPr>
            <w:r>
              <w:rPr>
                <w:rFonts w:ascii="Times New Roman" w:hAnsi="Times New Roman"/>
                <w:sz w:val="24"/>
                <w:szCs w:val="24"/>
              </w:rPr>
              <w:t>Проверка знаний</w:t>
            </w:r>
          </w:p>
        </w:tc>
        <w:tc>
          <w:tcPr>
            <w:tcW w:w="3118" w:type="dxa"/>
          </w:tcPr>
          <w:p w14:paraId="788095DF">
            <w:pPr>
              <w:widowControl w:val="0"/>
              <w:spacing w:line="240" w:lineRule="auto"/>
              <w:jc w:val="both"/>
              <w:rPr>
                <w:sz w:val="24"/>
                <w:szCs w:val="24"/>
              </w:rPr>
            </w:pPr>
            <w:r>
              <w:rPr>
                <w:rFonts w:ascii="Times New Roman" w:hAnsi="Times New Roman"/>
                <w:sz w:val="24"/>
                <w:szCs w:val="24"/>
              </w:rPr>
              <w:t>Регулярное тестирование не проводится</w:t>
            </w:r>
          </w:p>
        </w:tc>
        <w:tc>
          <w:tcPr>
            <w:tcW w:w="3118" w:type="dxa"/>
          </w:tcPr>
          <w:p w14:paraId="15DAA408">
            <w:pPr>
              <w:widowControl w:val="0"/>
              <w:spacing w:line="240" w:lineRule="auto"/>
              <w:jc w:val="both"/>
              <w:rPr>
                <w:sz w:val="24"/>
                <w:szCs w:val="24"/>
              </w:rPr>
            </w:pPr>
            <w:r>
              <w:rPr>
                <w:rFonts w:ascii="Times New Roman" w:hAnsi="Times New Roman"/>
                <w:sz w:val="24"/>
                <w:szCs w:val="24"/>
              </w:rPr>
              <w:t>Руководитель не имеет точной картины по пробелам в знаниях специалистов</w:t>
            </w:r>
          </w:p>
        </w:tc>
      </w:tr>
      <w:tr w14:paraId="6E46A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731DCBF6">
            <w:pPr>
              <w:widowControl w:val="0"/>
              <w:spacing w:line="240" w:lineRule="auto"/>
              <w:jc w:val="both"/>
              <w:rPr>
                <w:sz w:val="24"/>
                <w:szCs w:val="24"/>
              </w:rPr>
            </w:pPr>
            <w:r>
              <w:rPr>
                <w:rFonts w:ascii="Times New Roman" w:hAnsi="Times New Roman"/>
                <w:sz w:val="24"/>
                <w:szCs w:val="24"/>
              </w:rPr>
              <w:t>Разбор ошибок</w:t>
            </w:r>
          </w:p>
        </w:tc>
        <w:tc>
          <w:tcPr>
            <w:tcW w:w="3118" w:type="dxa"/>
          </w:tcPr>
          <w:p w14:paraId="648ED9EF">
            <w:pPr>
              <w:widowControl w:val="0"/>
              <w:spacing w:line="240" w:lineRule="auto"/>
              <w:jc w:val="both"/>
              <w:rPr>
                <w:sz w:val="24"/>
                <w:szCs w:val="24"/>
              </w:rPr>
            </w:pPr>
            <w:r>
              <w:rPr>
                <w:rFonts w:ascii="Times New Roman" w:hAnsi="Times New Roman"/>
                <w:sz w:val="24"/>
                <w:szCs w:val="24"/>
              </w:rPr>
              <w:t>Ошибки обсуждаются устно и не фиксируются в единой базе</w:t>
            </w:r>
          </w:p>
        </w:tc>
        <w:tc>
          <w:tcPr>
            <w:tcW w:w="3118" w:type="dxa"/>
          </w:tcPr>
          <w:p w14:paraId="4FE97557">
            <w:pPr>
              <w:widowControl w:val="0"/>
              <w:spacing w:line="240" w:lineRule="auto"/>
              <w:jc w:val="both"/>
              <w:rPr>
                <w:sz w:val="24"/>
                <w:szCs w:val="24"/>
              </w:rPr>
            </w:pPr>
            <w:r>
              <w:rPr>
                <w:rFonts w:ascii="Times New Roman" w:hAnsi="Times New Roman"/>
                <w:sz w:val="24"/>
                <w:szCs w:val="24"/>
              </w:rPr>
              <w:t>Повторяющиеся ошибки не превращаются в общий опыт отдела</w:t>
            </w:r>
          </w:p>
        </w:tc>
      </w:tr>
      <w:tr w14:paraId="5F3FA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2041087B">
            <w:pPr>
              <w:widowControl w:val="0"/>
              <w:spacing w:line="240" w:lineRule="auto"/>
              <w:jc w:val="both"/>
              <w:rPr>
                <w:sz w:val="24"/>
                <w:szCs w:val="24"/>
              </w:rPr>
            </w:pPr>
            <w:r>
              <w:rPr>
                <w:rFonts w:ascii="Times New Roman" w:hAnsi="Times New Roman"/>
                <w:sz w:val="24"/>
                <w:szCs w:val="24"/>
              </w:rPr>
              <w:t>Наставничество</w:t>
            </w:r>
          </w:p>
        </w:tc>
        <w:tc>
          <w:tcPr>
            <w:tcW w:w="3118" w:type="dxa"/>
          </w:tcPr>
          <w:p w14:paraId="4A3EB0BC">
            <w:pPr>
              <w:widowControl w:val="0"/>
              <w:spacing w:line="240" w:lineRule="auto"/>
              <w:jc w:val="both"/>
              <w:rPr>
                <w:sz w:val="24"/>
                <w:szCs w:val="24"/>
              </w:rPr>
            </w:pPr>
            <w:r>
              <w:rPr>
                <w:rFonts w:ascii="Times New Roman" w:hAnsi="Times New Roman"/>
                <w:sz w:val="24"/>
                <w:szCs w:val="24"/>
              </w:rPr>
              <w:t>Формально не закреплено</w:t>
            </w:r>
          </w:p>
        </w:tc>
        <w:tc>
          <w:tcPr>
            <w:tcW w:w="3118" w:type="dxa"/>
          </w:tcPr>
          <w:p w14:paraId="175D22C0">
            <w:pPr>
              <w:widowControl w:val="0"/>
              <w:spacing w:line="240" w:lineRule="auto"/>
              <w:jc w:val="both"/>
              <w:rPr>
                <w:sz w:val="24"/>
                <w:szCs w:val="24"/>
              </w:rPr>
            </w:pPr>
            <w:r>
              <w:rPr>
                <w:rFonts w:ascii="Times New Roman" w:hAnsi="Times New Roman"/>
                <w:sz w:val="24"/>
                <w:szCs w:val="24"/>
              </w:rPr>
              <w:t>Передача опыта зависит от личной инициативы опытных сотрудников</w:t>
            </w:r>
          </w:p>
        </w:tc>
      </w:tr>
      <w:tr w14:paraId="568F0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06FD078C">
            <w:pPr>
              <w:widowControl w:val="0"/>
              <w:spacing w:line="240" w:lineRule="auto"/>
              <w:jc w:val="both"/>
              <w:rPr>
                <w:sz w:val="24"/>
                <w:szCs w:val="24"/>
              </w:rPr>
            </w:pPr>
            <w:r>
              <w:rPr>
                <w:rFonts w:ascii="Times New Roman" w:hAnsi="Times New Roman"/>
                <w:sz w:val="24"/>
                <w:szCs w:val="24"/>
              </w:rPr>
              <w:t>Оценка эффективности обучения</w:t>
            </w:r>
          </w:p>
        </w:tc>
        <w:tc>
          <w:tcPr>
            <w:tcW w:w="3118" w:type="dxa"/>
          </w:tcPr>
          <w:p w14:paraId="038F0B21">
            <w:pPr>
              <w:widowControl w:val="0"/>
              <w:spacing w:line="240" w:lineRule="auto"/>
              <w:jc w:val="both"/>
              <w:rPr>
                <w:sz w:val="24"/>
                <w:szCs w:val="24"/>
              </w:rPr>
            </w:pPr>
            <w:r>
              <w:rPr>
                <w:rFonts w:ascii="Times New Roman" w:hAnsi="Times New Roman"/>
                <w:sz w:val="24"/>
                <w:szCs w:val="24"/>
              </w:rPr>
              <w:t>Не проводится</w:t>
            </w:r>
          </w:p>
        </w:tc>
        <w:tc>
          <w:tcPr>
            <w:tcW w:w="3118" w:type="dxa"/>
          </w:tcPr>
          <w:p w14:paraId="11B3787B">
            <w:pPr>
              <w:widowControl w:val="0"/>
              <w:spacing w:line="240" w:lineRule="auto"/>
              <w:jc w:val="both"/>
              <w:rPr>
                <w:sz w:val="24"/>
                <w:szCs w:val="24"/>
              </w:rPr>
            </w:pPr>
            <w:r>
              <w:rPr>
                <w:rFonts w:ascii="Times New Roman" w:hAnsi="Times New Roman"/>
                <w:sz w:val="24"/>
                <w:szCs w:val="24"/>
              </w:rPr>
              <w:t>Невозможно определить, влияет ли обучение на качество заявок и количество отклонений</w:t>
            </w:r>
          </w:p>
        </w:tc>
      </w:tr>
    </w:tbl>
    <w:p w14:paraId="231D5F22">
      <w:pPr>
        <w:spacing w:after="120" w:line="240" w:lineRule="auto"/>
        <w:ind w:firstLine="700"/>
        <w:rPr>
          <w:sz w:val="24"/>
          <w:szCs w:val="24"/>
        </w:rPr>
      </w:pPr>
    </w:p>
    <w:p w14:paraId="4AD3D4C4">
      <w:pPr>
        <w:spacing w:after="120" w:line="360" w:lineRule="auto"/>
        <w:ind w:firstLine="700"/>
        <w:jc w:val="both"/>
        <w:rPr>
          <w:rFonts w:hint="default" w:ascii="Times New Roman" w:hAnsi="Times New Roman"/>
          <w:b w:val="0"/>
          <w:i w:val="0"/>
          <w:sz w:val="28"/>
          <w:lang w:val="ru-RU"/>
        </w:rPr>
      </w:pPr>
      <w:r>
        <w:rPr>
          <w:rFonts w:ascii="Times New Roman" w:hAnsi="Times New Roman"/>
          <w:b w:val="0"/>
          <w:i w:val="0"/>
          <w:sz w:val="28"/>
          <w:lang w:val="ru-RU"/>
        </w:rPr>
        <w:t>Таким</w:t>
      </w:r>
      <w:r>
        <w:rPr>
          <w:rFonts w:hint="default" w:ascii="Times New Roman" w:hAnsi="Times New Roman"/>
          <w:b w:val="0"/>
          <w:i w:val="0"/>
          <w:sz w:val="28"/>
          <w:lang w:val="ru-RU"/>
        </w:rPr>
        <w:t xml:space="preserve"> образом, в тендерном отделе ООО «Лайф Медиа» присутствуют отдельные обучающие действия, но они не образуют целостной системы. Компания несёт минимальные и формальные затраты, которые имеют эпизодический характер.</w:t>
      </w:r>
    </w:p>
    <w:p w14:paraId="7FF4D824">
      <w:pPr>
        <w:spacing w:after="120" w:line="360" w:lineRule="auto"/>
        <w:ind w:firstLine="700"/>
        <w:jc w:val="both"/>
        <w:rPr>
          <w:rFonts w:hint="default" w:ascii="Times New Roman" w:hAnsi="Times New Roman"/>
          <w:b w:val="0"/>
          <w:i w:val="0"/>
          <w:sz w:val="28"/>
          <w:lang w:val="ru-RU"/>
        </w:rPr>
      </w:pPr>
      <w:r>
        <w:rPr>
          <w:rFonts w:hint="default" w:ascii="Times New Roman" w:hAnsi="Times New Roman"/>
          <w:b w:val="0"/>
          <w:i w:val="0"/>
          <w:sz w:val="28"/>
          <w:lang w:val="ru-RU"/>
        </w:rPr>
        <w:t xml:space="preserve">Чтобы оценить насколько отсутствие системного обучения отражается на деятельности тендерного отдела, необходимо рассмотреть показатели участия компании в закупках (см.табл.3.2.). Для ООО «Лайф Медиа» важны не только количество поданных заявок и число выигранных контрактов, но и доля заявок, признанных соответствующими требованиям заказчика. Именно этот показатель отражает, насколько качественно сотрудники выполняют подготовительный этап работы: проверяют документацию, собирают обязательные формы, соблюдают требования к файлам, срокам и электронной подписи. </w:t>
      </w:r>
    </w:p>
    <w:p w14:paraId="7126ACB7">
      <w:pPr>
        <w:spacing w:after="120" w:line="360" w:lineRule="auto"/>
        <w:ind w:firstLine="700"/>
        <w:jc w:val="both"/>
        <w:rPr>
          <w:sz w:val="24"/>
          <w:szCs w:val="24"/>
        </w:rPr>
      </w:pPr>
      <w:r>
        <w:rPr>
          <w:rFonts w:ascii="Times New Roman" w:hAnsi="Times New Roman"/>
          <w:b w:val="0"/>
          <w:i w:val="0"/>
          <w:sz w:val="24"/>
          <w:szCs w:val="24"/>
        </w:rPr>
        <w:t>Таблица 3.2. Результаты участия ООО «Лайф Медиа» в тендерах за 2023-2025 гг.</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7"/>
        <w:gridCol w:w="1071"/>
        <w:gridCol w:w="2240"/>
        <w:gridCol w:w="1414"/>
        <w:gridCol w:w="1425"/>
        <w:gridCol w:w="1367"/>
        <w:gridCol w:w="1277"/>
      </w:tblGrid>
      <w:tr w14:paraId="777DB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7" w:type="dxa"/>
            <w:vAlign w:val="center"/>
          </w:tcPr>
          <w:p w14:paraId="16D06A5C">
            <w:pPr>
              <w:widowControl w:val="0"/>
              <w:jc w:val="both"/>
              <w:rPr>
                <w:b w:val="0"/>
                <w:bCs/>
              </w:rPr>
            </w:pPr>
            <w:r>
              <w:rPr>
                <w:rFonts w:ascii="Times New Roman" w:hAnsi="Times New Roman"/>
                <w:b w:val="0"/>
                <w:bCs/>
                <w:sz w:val="24"/>
              </w:rPr>
              <w:t>Год</w:t>
            </w:r>
          </w:p>
        </w:tc>
        <w:tc>
          <w:tcPr>
            <w:tcW w:w="1071" w:type="dxa"/>
            <w:vAlign w:val="center"/>
          </w:tcPr>
          <w:p w14:paraId="6FC70E4E">
            <w:pPr>
              <w:widowControl w:val="0"/>
              <w:jc w:val="both"/>
              <w:rPr>
                <w:b w:val="0"/>
                <w:bCs/>
              </w:rPr>
            </w:pPr>
            <w:r>
              <w:rPr>
                <w:rFonts w:ascii="Times New Roman" w:hAnsi="Times New Roman"/>
                <w:b w:val="0"/>
                <w:bCs/>
                <w:sz w:val="24"/>
              </w:rPr>
              <w:t>Подано заявок</w:t>
            </w:r>
          </w:p>
        </w:tc>
        <w:tc>
          <w:tcPr>
            <w:tcW w:w="2240" w:type="dxa"/>
            <w:vAlign w:val="center"/>
          </w:tcPr>
          <w:p w14:paraId="000F2935">
            <w:pPr>
              <w:widowControl w:val="0"/>
              <w:jc w:val="both"/>
              <w:rPr>
                <w:b w:val="0"/>
                <w:bCs/>
              </w:rPr>
            </w:pPr>
            <w:r>
              <w:rPr>
                <w:rFonts w:ascii="Times New Roman" w:hAnsi="Times New Roman"/>
                <w:b w:val="0"/>
                <w:bCs/>
                <w:sz w:val="24"/>
              </w:rPr>
              <w:t>Признано соответствующими</w:t>
            </w:r>
          </w:p>
        </w:tc>
        <w:tc>
          <w:tcPr>
            <w:tcW w:w="1414" w:type="dxa"/>
            <w:vAlign w:val="center"/>
          </w:tcPr>
          <w:p w14:paraId="55C2D6C9">
            <w:pPr>
              <w:widowControl w:val="0"/>
              <w:jc w:val="both"/>
              <w:rPr>
                <w:b w:val="0"/>
                <w:bCs/>
              </w:rPr>
            </w:pPr>
            <w:r>
              <w:rPr>
                <w:rFonts w:ascii="Times New Roman" w:hAnsi="Times New Roman"/>
                <w:b w:val="0"/>
                <w:bCs/>
                <w:sz w:val="24"/>
              </w:rPr>
              <w:t>Отклонено на этапе допуска</w:t>
            </w:r>
          </w:p>
        </w:tc>
        <w:tc>
          <w:tcPr>
            <w:tcW w:w="1425" w:type="dxa"/>
            <w:vAlign w:val="center"/>
          </w:tcPr>
          <w:p w14:paraId="465C3E86">
            <w:pPr>
              <w:widowControl w:val="0"/>
              <w:jc w:val="both"/>
              <w:rPr>
                <w:b w:val="0"/>
                <w:bCs/>
              </w:rPr>
            </w:pPr>
            <w:r>
              <w:rPr>
                <w:rFonts w:ascii="Times New Roman" w:hAnsi="Times New Roman"/>
                <w:b w:val="0"/>
                <w:bCs/>
                <w:sz w:val="24"/>
              </w:rPr>
              <w:t>Выиграно контрактов</w:t>
            </w:r>
          </w:p>
        </w:tc>
        <w:tc>
          <w:tcPr>
            <w:tcW w:w="1367" w:type="dxa"/>
            <w:vAlign w:val="center"/>
          </w:tcPr>
          <w:p w14:paraId="086B7A49">
            <w:pPr>
              <w:widowControl w:val="0"/>
              <w:jc w:val="both"/>
              <w:rPr>
                <w:b w:val="0"/>
                <w:bCs/>
              </w:rPr>
            </w:pPr>
            <w:r>
              <w:rPr>
                <w:rFonts w:ascii="Times New Roman" w:hAnsi="Times New Roman"/>
                <w:b w:val="0"/>
                <w:bCs/>
                <w:sz w:val="24"/>
              </w:rPr>
              <w:t>Конверсия из заявки в победу, %</w:t>
            </w:r>
          </w:p>
        </w:tc>
        <w:tc>
          <w:tcPr>
            <w:tcW w:w="1277" w:type="dxa"/>
            <w:vAlign w:val="center"/>
          </w:tcPr>
          <w:p w14:paraId="0E3245F2">
            <w:pPr>
              <w:widowControl w:val="0"/>
              <w:jc w:val="both"/>
              <w:rPr>
                <w:b w:val="0"/>
                <w:bCs/>
              </w:rPr>
            </w:pPr>
            <w:r>
              <w:rPr>
                <w:rFonts w:ascii="Times New Roman" w:hAnsi="Times New Roman"/>
                <w:b w:val="0"/>
                <w:bCs/>
                <w:sz w:val="24"/>
              </w:rPr>
              <w:t>Доля отклоненных заявок, %</w:t>
            </w:r>
          </w:p>
        </w:tc>
      </w:tr>
      <w:tr w14:paraId="7E7ED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7" w:type="dxa"/>
          </w:tcPr>
          <w:p w14:paraId="46701573">
            <w:pPr>
              <w:widowControl w:val="0"/>
              <w:jc w:val="both"/>
            </w:pPr>
            <w:r>
              <w:rPr>
                <w:rFonts w:ascii="Times New Roman" w:hAnsi="Times New Roman"/>
                <w:sz w:val="24"/>
              </w:rPr>
              <w:t>2023</w:t>
            </w:r>
          </w:p>
        </w:tc>
        <w:tc>
          <w:tcPr>
            <w:tcW w:w="1071" w:type="dxa"/>
          </w:tcPr>
          <w:p w14:paraId="1D9C41A2">
            <w:pPr>
              <w:widowControl w:val="0"/>
              <w:jc w:val="both"/>
            </w:pPr>
            <w:r>
              <w:rPr>
                <w:rFonts w:ascii="Times New Roman" w:hAnsi="Times New Roman"/>
                <w:sz w:val="24"/>
              </w:rPr>
              <w:t>168</w:t>
            </w:r>
          </w:p>
        </w:tc>
        <w:tc>
          <w:tcPr>
            <w:tcW w:w="2240" w:type="dxa"/>
          </w:tcPr>
          <w:p w14:paraId="00AECB0C">
            <w:pPr>
              <w:widowControl w:val="0"/>
              <w:jc w:val="both"/>
            </w:pPr>
            <w:r>
              <w:rPr>
                <w:rFonts w:ascii="Times New Roman" w:hAnsi="Times New Roman"/>
                <w:sz w:val="24"/>
              </w:rPr>
              <w:t>142</w:t>
            </w:r>
          </w:p>
        </w:tc>
        <w:tc>
          <w:tcPr>
            <w:tcW w:w="1414" w:type="dxa"/>
          </w:tcPr>
          <w:p w14:paraId="231D7E6B">
            <w:pPr>
              <w:widowControl w:val="0"/>
              <w:jc w:val="both"/>
            </w:pPr>
            <w:r>
              <w:rPr>
                <w:rFonts w:ascii="Times New Roman" w:hAnsi="Times New Roman"/>
                <w:sz w:val="24"/>
              </w:rPr>
              <w:t>26</w:t>
            </w:r>
          </w:p>
        </w:tc>
        <w:tc>
          <w:tcPr>
            <w:tcW w:w="1425" w:type="dxa"/>
          </w:tcPr>
          <w:p w14:paraId="532762C4">
            <w:pPr>
              <w:widowControl w:val="0"/>
              <w:jc w:val="both"/>
            </w:pPr>
            <w:r>
              <w:rPr>
                <w:rFonts w:ascii="Times New Roman" w:hAnsi="Times New Roman"/>
                <w:sz w:val="24"/>
              </w:rPr>
              <w:t>35</w:t>
            </w:r>
          </w:p>
        </w:tc>
        <w:tc>
          <w:tcPr>
            <w:tcW w:w="1367" w:type="dxa"/>
          </w:tcPr>
          <w:p w14:paraId="17D66410">
            <w:pPr>
              <w:widowControl w:val="0"/>
              <w:jc w:val="both"/>
            </w:pPr>
            <w:r>
              <w:rPr>
                <w:rFonts w:ascii="Times New Roman" w:hAnsi="Times New Roman"/>
                <w:sz w:val="24"/>
              </w:rPr>
              <w:t>20,8</w:t>
            </w:r>
          </w:p>
        </w:tc>
        <w:tc>
          <w:tcPr>
            <w:tcW w:w="1277" w:type="dxa"/>
          </w:tcPr>
          <w:p w14:paraId="63E49711">
            <w:pPr>
              <w:widowControl w:val="0"/>
              <w:jc w:val="both"/>
            </w:pPr>
            <w:r>
              <w:rPr>
                <w:rFonts w:ascii="Times New Roman" w:hAnsi="Times New Roman"/>
                <w:sz w:val="24"/>
              </w:rPr>
              <w:t>15,5</w:t>
            </w:r>
          </w:p>
        </w:tc>
      </w:tr>
      <w:tr w14:paraId="196A8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7" w:type="dxa"/>
          </w:tcPr>
          <w:p w14:paraId="520CBBE0">
            <w:pPr>
              <w:widowControl w:val="0"/>
              <w:jc w:val="both"/>
            </w:pPr>
            <w:r>
              <w:rPr>
                <w:rFonts w:ascii="Times New Roman" w:hAnsi="Times New Roman"/>
                <w:sz w:val="24"/>
              </w:rPr>
              <w:t>2024</w:t>
            </w:r>
          </w:p>
        </w:tc>
        <w:tc>
          <w:tcPr>
            <w:tcW w:w="1071" w:type="dxa"/>
          </w:tcPr>
          <w:p w14:paraId="28AC77C9">
            <w:pPr>
              <w:widowControl w:val="0"/>
              <w:jc w:val="both"/>
            </w:pPr>
            <w:r>
              <w:rPr>
                <w:rFonts w:ascii="Times New Roman" w:hAnsi="Times New Roman"/>
                <w:sz w:val="24"/>
              </w:rPr>
              <w:t>185</w:t>
            </w:r>
          </w:p>
        </w:tc>
        <w:tc>
          <w:tcPr>
            <w:tcW w:w="2240" w:type="dxa"/>
          </w:tcPr>
          <w:p w14:paraId="075B619C">
            <w:pPr>
              <w:widowControl w:val="0"/>
              <w:jc w:val="both"/>
            </w:pPr>
            <w:r>
              <w:rPr>
                <w:rFonts w:ascii="Times New Roman" w:hAnsi="Times New Roman"/>
                <w:sz w:val="24"/>
              </w:rPr>
              <w:t>158</w:t>
            </w:r>
          </w:p>
        </w:tc>
        <w:tc>
          <w:tcPr>
            <w:tcW w:w="1414" w:type="dxa"/>
          </w:tcPr>
          <w:p w14:paraId="7280F81F">
            <w:pPr>
              <w:widowControl w:val="0"/>
              <w:jc w:val="both"/>
            </w:pPr>
            <w:r>
              <w:rPr>
                <w:rFonts w:ascii="Times New Roman" w:hAnsi="Times New Roman"/>
                <w:sz w:val="24"/>
              </w:rPr>
              <w:t>27</w:t>
            </w:r>
          </w:p>
        </w:tc>
        <w:tc>
          <w:tcPr>
            <w:tcW w:w="1425" w:type="dxa"/>
          </w:tcPr>
          <w:p w14:paraId="728268C7">
            <w:pPr>
              <w:widowControl w:val="0"/>
              <w:jc w:val="both"/>
            </w:pPr>
            <w:r>
              <w:rPr>
                <w:rFonts w:ascii="Times New Roman" w:hAnsi="Times New Roman"/>
                <w:sz w:val="24"/>
              </w:rPr>
              <w:t>42</w:t>
            </w:r>
          </w:p>
        </w:tc>
        <w:tc>
          <w:tcPr>
            <w:tcW w:w="1367" w:type="dxa"/>
          </w:tcPr>
          <w:p w14:paraId="5C56E20F">
            <w:pPr>
              <w:widowControl w:val="0"/>
              <w:jc w:val="both"/>
            </w:pPr>
            <w:r>
              <w:rPr>
                <w:rFonts w:ascii="Times New Roman" w:hAnsi="Times New Roman"/>
                <w:sz w:val="24"/>
              </w:rPr>
              <w:t>22,7</w:t>
            </w:r>
          </w:p>
        </w:tc>
        <w:tc>
          <w:tcPr>
            <w:tcW w:w="1277" w:type="dxa"/>
          </w:tcPr>
          <w:p w14:paraId="170A83A1">
            <w:pPr>
              <w:widowControl w:val="0"/>
              <w:jc w:val="both"/>
            </w:pPr>
            <w:r>
              <w:rPr>
                <w:rFonts w:ascii="Times New Roman" w:hAnsi="Times New Roman"/>
                <w:sz w:val="24"/>
              </w:rPr>
              <w:t>14,6</w:t>
            </w:r>
          </w:p>
        </w:tc>
      </w:tr>
      <w:tr w14:paraId="02475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7" w:type="dxa"/>
          </w:tcPr>
          <w:p w14:paraId="5E2D62DF">
            <w:pPr>
              <w:widowControl w:val="0"/>
              <w:jc w:val="both"/>
            </w:pPr>
            <w:r>
              <w:rPr>
                <w:rFonts w:ascii="Times New Roman" w:hAnsi="Times New Roman"/>
                <w:sz w:val="24"/>
              </w:rPr>
              <w:t>2025</w:t>
            </w:r>
          </w:p>
        </w:tc>
        <w:tc>
          <w:tcPr>
            <w:tcW w:w="1071" w:type="dxa"/>
          </w:tcPr>
          <w:p w14:paraId="5432F0D6">
            <w:pPr>
              <w:widowControl w:val="0"/>
              <w:jc w:val="both"/>
            </w:pPr>
            <w:r>
              <w:rPr>
                <w:rFonts w:ascii="Times New Roman" w:hAnsi="Times New Roman"/>
                <w:sz w:val="24"/>
              </w:rPr>
              <w:t>152</w:t>
            </w:r>
          </w:p>
        </w:tc>
        <w:tc>
          <w:tcPr>
            <w:tcW w:w="2240" w:type="dxa"/>
          </w:tcPr>
          <w:p w14:paraId="41B57518">
            <w:pPr>
              <w:widowControl w:val="0"/>
              <w:jc w:val="both"/>
            </w:pPr>
            <w:r>
              <w:rPr>
                <w:rFonts w:ascii="Times New Roman" w:hAnsi="Times New Roman"/>
                <w:sz w:val="24"/>
              </w:rPr>
              <w:t>128</w:t>
            </w:r>
          </w:p>
        </w:tc>
        <w:tc>
          <w:tcPr>
            <w:tcW w:w="1414" w:type="dxa"/>
          </w:tcPr>
          <w:p w14:paraId="317BF322">
            <w:pPr>
              <w:widowControl w:val="0"/>
              <w:jc w:val="both"/>
            </w:pPr>
            <w:r>
              <w:rPr>
                <w:rFonts w:ascii="Times New Roman" w:hAnsi="Times New Roman"/>
                <w:sz w:val="24"/>
              </w:rPr>
              <w:t>24</w:t>
            </w:r>
          </w:p>
        </w:tc>
        <w:tc>
          <w:tcPr>
            <w:tcW w:w="1425" w:type="dxa"/>
          </w:tcPr>
          <w:p w14:paraId="197F0EA1">
            <w:pPr>
              <w:widowControl w:val="0"/>
              <w:jc w:val="both"/>
            </w:pPr>
            <w:r>
              <w:rPr>
                <w:rFonts w:ascii="Times New Roman" w:hAnsi="Times New Roman"/>
                <w:sz w:val="24"/>
              </w:rPr>
              <w:t>35</w:t>
            </w:r>
          </w:p>
        </w:tc>
        <w:tc>
          <w:tcPr>
            <w:tcW w:w="1367" w:type="dxa"/>
          </w:tcPr>
          <w:p w14:paraId="7C99D8C9">
            <w:pPr>
              <w:widowControl w:val="0"/>
              <w:jc w:val="both"/>
            </w:pPr>
            <w:r>
              <w:rPr>
                <w:rFonts w:ascii="Times New Roman" w:hAnsi="Times New Roman"/>
                <w:sz w:val="24"/>
              </w:rPr>
              <w:t>23,0</w:t>
            </w:r>
          </w:p>
        </w:tc>
        <w:tc>
          <w:tcPr>
            <w:tcW w:w="1277" w:type="dxa"/>
          </w:tcPr>
          <w:p w14:paraId="60EAF8B8">
            <w:pPr>
              <w:widowControl w:val="0"/>
              <w:jc w:val="both"/>
            </w:pPr>
            <w:r>
              <w:rPr>
                <w:rFonts w:ascii="Times New Roman" w:hAnsi="Times New Roman"/>
                <w:sz w:val="24"/>
              </w:rPr>
              <w:t>15,8</w:t>
            </w:r>
          </w:p>
        </w:tc>
      </w:tr>
    </w:tbl>
    <w:p w14:paraId="599B5FF3">
      <w:pPr>
        <w:spacing w:after="120" w:line="360" w:lineRule="auto"/>
        <w:ind w:firstLine="700"/>
        <w:jc w:val="both"/>
        <w:rPr>
          <w:rFonts w:hint="default" w:ascii="Times New Roman" w:hAnsi="Times New Roman"/>
          <w:b w:val="0"/>
          <w:i w:val="0"/>
          <w:sz w:val="28"/>
          <w:lang w:val="ru-RU"/>
        </w:rPr>
      </w:pPr>
      <w:r>
        <w:rPr>
          <w:rFonts w:hint="default" w:ascii="Times New Roman" w:hAnsi="Times New Roman"/>
          <w:b w:val="0"/>
          <w:i w:val="0"/>
          <w:sz w:val="28"/>
          <w:lang w:val="ru-RU"/>
        </w:rPr>
        <w:t xml:space="preserve"> </w:t>
      </w:r>
    </w:p>
    <w:p w14:paraId="5E124254">
      <w:pPr>
        <w:spacing w:after="120" w:line="360" w:lineRule="auto"/>
        <w:ind w:firstLine="700"/>
        <w:jc w:val="both"/>
        <w:rPr>
          <w:rFonts w:hint="default" w:ascii="Times New Roman" w:hAnsi="Times New Roman"/>
          <w:b w:val="0"/>
          <w:i w:val="0"/>
          <w:sz w:val="28"/>
          <w:lang w:val="ru-RU"/>
        </w:rPr>
      </w:pPr>
      <w:r>
        <w:rPr>
          <w:rFonts w:hint="default" w:ascii="Times New Roman" w:hAnsi="Times New Roman"/>
          <w:b w:val="0"/>
          <w:i w:val="0"/>
          <w:sz w:val="28"/>
          <w:lang w:val="ru-RU"/>
        </w:rPr>
        <w:t>Данные таблицы показывают, что доля выигранных тендеров за анализируемый период находится примерно на одном уровне. Небольшой рост конверсии сам по себе не свидетельствует о качественном развитии системы подготовки персонала, поскольку одновременно сохраняется высокая доля заявок, отклонённых ещё на стадии торгов. В относительном выражении показатель отклонений держится в диапазоне 14,6-15,8%.</w:t>
      </w:r>
    </w:p>
    <w:p w14:paraId="7099CDFF">
      <w:pPr>
        <w:spacing w:after="120" w:line="360" w:lineRule="auto"/>
        <w:ind w:firstLine="700"/>
        <w:jc w:val="both"/>
        <w:rPr>
          <w:rFonts w:hint="default" w:ascii="Times New Roman" w:hAnsi="Times New Roman"/>
          <w:b w:val="0"/>
          <w:i w:val="0"/>
          <w:sz w:val="28"/>
          <w:lang w:val="ru-RU"/>
        </w:rPr>
      </w:pPr>
      <w:r>
        <w:rPr>
          <w:rFonts w:hint="default" w:ascii="Times New Roman" w:hAnsi="Times New Roman"/>
          <w:b w:val="0"/>
          <w:i w:val="0"/>
          <w:sz w:val="28"/>
          <w:lang w:val="ru-RU"/>
        </w:rPr>
        <w:t>Для тендерной деятельности отклонение заявки на этапе допуска является особенно значимым показателем. Если компания проигрывает торги по цене или условиям исполнения, то это может быть связано с рыночной конкуренцией. Но если заявка не допускается до торгов, то причина чаще всего находится внутри процесса подготовки: неправильно выбранная форма документа, отсутствие обязательного файла, некорректная электронная подпись, арифметическая ошибка, неверное толкование требования заказчика. Такие ошибки относятся к правленческим, то есть их можно выявлять, учитывать и снижать за счёт стандартизации работы и накопления знаний внутри отдела.</w:t>
      </w:r>
    </w:p>
    <w:p w14:paraId="02097924">
      <w:pPr>
        <w:spacing w:after="120" w:line="360" w:lineRule="auto"/>
        <w:ind w:firstLine="700"/>
        <w:jc w:val="both"/>
        <w:rPr>
          <w:rFonts w:hint="default" w:ascii="Times New Roman" w:hAnsi="Times New Roman"/>
          <w:b w:val="0"/>
          <w:i w:val="0"/>
          <w:sz w:val="28"/>
          <w:lang w:val="ru-RU"/>
        </w:rPr>
      </w:pPr>
      <w:r>
        <w:rPr>
          <w:rFonts w:hint="default" w:ascii="Times New Roman" w:hAnsi="Times New Roman"/>
          <w:b w:val="0"/>
          <w:i w:val="0"/>
          <w:sz w:val="28"/>
          <w:lang w:val="ru-RU"/>
        </w:rPr>
        <w:t>Для более точного понимания характера проблем были обобщены причины отклонения заявок за 2023-2025 годы. Всего за три гола было выявлено 77 случаев отклонения заявок на этапе допуска. Анализ причин показывает, что ошибки распределяются по нескольким группам (см.табл.3.3.).</w:t>
      </w:r>
    </w:p>
    <w:p w14:paraId="798012B3">
      <w:pPr>
        <w:spacing w:after="120" w:line="360" w:lineRule="auto"/>
        <w:ind w:firstLine="700"/>
        <w:jc w:val="both"/>
        <w:rPr>
          <w:rFonts w:hint="default" w:ascii="Times New Roman" w:hAnsi="Times New Roman"/>
          <w:b w:val="0"/>
          <w:i w:val="0"/>
          <w:sz w:val="28"/>
          <w:lang w:val="ru-RU"/>
        </w:rPr>
      </w:pPr>
    </w:p>
    <w:p w14:paraId="1664213F">
      <w:pPr>
        <w:spacing w:after="120" w:line="360" w:lineRule="auto"/>
        <w:ind w:firstLine="700"/>
        <w:jc w:val="center"/>
        <w:rPr>
          <w:rFonts w:hint="default" w:ascii="Times New Roman" w:hAnsi="Times New Roman" w:cs="Times New Roman"/>
          <w:sz w:val="24"/>
          <w:szCs w:val="24"/>
        </w:rPr>
      </w:pPr>
      <w:r>
        <w:rPr>
          <w:rFonts w:ascii="Times New Roman" w:hAnsi="Times New Roman"/>
          <w:b w:val="0"/>
          <w:i w:val="0"/>
          <w:sz w:val="24"/>
          <w:szCs w:val="18"/>
        </w:rPr>
        <w:t>Таблица 3.3. Структура причин отклонения заявок ООО «Лайф Медиа»</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9"/>
        <w:gridCol w:w="1995"/>
        <w:gridCol w:w="1930"/>
        <w:gridCol w:w="3092"/>
      </w:tblGrid>
      <w:tr w14:paraId="5DE38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vAlign w:val="center"/>
          </w:tcPr>
          <w:p w14:paraId="68EEF42A">
            <w:pPr>
              <w:widowControl w:val="0"/>
              <w:jc w:val="center"/>
              <w:rPr>
                <w:b w:val="0"/>
                <w:bCs/>
              </w:rPr>
            </w:pPr>
            <w:r>
              <w:rPr>
                <w:rFonts w:ascii="Times New Roman" w:hAnsi="Times New Roman"/>
                <w:b w:val="0"/>
                <w:bCs/>
                <w:sz w:val="24"/>
              </w:rPr>
              <w:t>Группа ошибок</w:t>
            </w:r>
          </w:p>
        </w:tc>
        <w:tc>
          <w:tcPr>
            <w:tcW w:w="1995" w:type="dxa"/>
            <w:vAlign w:val="center"/>
          </w:tcPr>
          <w:p w14:paraId="01B1C3FC">
            <w:pPr>
              <w:widowControl w:val="0"/>
              <w:jc w:val="center"/>
              <w:rPr>
                <w:b w:val="0"/>
                <w:bCs/>
              </w:rPr>
            </w:pPr>
            <w:r>
              <w:rPr>
                <w:rFonts w:ascii="Times New Roman" w:hAnsi="Times New Roman"/>
                <w:b w:val="0"/>
                <w:bCs/>
                <w:sz w:val="24"/>
              </w:rPr>
              <w:t>Количество случаев</w:t>
            </w:r>
          </w:p>
        </w:tc>
        <w:tc>
          <w:tcPr>
            <w:tcW w:w="1930" w:type="dxa"/>
            <w:vAlign w:val="center"/>
          </w:tcPr>
          <w:p w14:paraId="5CC32A61">
            <w:pPr>
              <w:widowControl w:val="0"/>
              <w:jc w:val="center"/>
              <w:rPr>
                <w:b w:val="0"/>
                <w:bCs/>
              </w:rPr>
            </w:pPr>
            <w:r>
              <w:rPr>
                <w:rFonts w:ascii="Times New Roman" w:hAnsi="Times New Roman"/>
                <w:b w:val="0"/>
                <w:bCs/>
                <w:sz w:val="24"/>
              </w:rPr>
              <w:t>Доля, %</w:t>
            </w:r>
          </w:p>
        </w:tc>
        <w:tc>
          <w:tcPr>
            <w:tcW w:w="3092" w:type="dxa"/>
            <w:vAlign w:val="center"/>
          </w:tcPr>
          <w:p w14:paraId="1F7AF956">
            <w:pPr>
              <w:widowControl w:val="0"/>
              <w:jc w:val="center"/>
              <w:rPr>
                <w:b w:val="0"/>
                <w:bCs/>
              </w:rPr>
            </w:pPr>
            <w:r>
              <w:rPr>
                <w:rFonts w:ascii="Times New Roman" w:hAnsi="Times New Roman"/>
                <w:b w:val="0"/>
                <w:bCs/>
                <w:sz w:val="24"/>
              </w:rPr>
              <w:t>Содержание ошибки</w:t>
            </w:r>
          </w:p>
        </w:tc>
      </w:tr>
      <w:tr w14:paraId="63DD3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322A2289">
            <w:pPr>
              <w:widowControl w:val="0"/>
              <w:jc w:val="both"/>
            </w:pPr>
            <w:r>
              <w:rPr>
                <w:rFonts w:ascii="Times New Roman" w:hAnsi="Times New Roman"/>
                <w:sz w:val="24"/>
              </w:rPr>
              <w:t>Ошибки, связанные с требованиями законодательства и документации</w:t>
            </w:r>
          </w:p>
        </w:tc>
        <w:tc>
          <w:tcPr>
            <w:tcW w:w="1995" w:type="dxa"/>
            <w:vAlign w:val="center"/>
          </w:tcPr>
          <w:p w14:paraId="36BBEB59">
            <w:pPr>
              <w:widowControl w:val="0"/>
              <w:jc w:val="center"/>
            </w:pPr>
            <w:r>
              <w:rPr>
                <w:rFonts w:ascii="Times New Roman" w:hAnsi="Times New Roman"/>
                <w:sz w:val="24"/>
              </w:rPr>
              <w:t>25</w:t>
            </w:r>
          </w:p>
        </w:tc>
        <w:tc>
          <w:tcPr>
            <w:tcW w:w="1930" w:type="dxa"/>
            <w:vAlign w:val="center"/>
          </w:tcPr>
          <w:p w14:paraId="2EFDEDE3">
            <w:pPr>
              <w:widowControl w:val="0"/>
              <w:jc w:val="center"/>
            </w:pPr>
            <w:r>
              <w:rPr>
                <w:rFonts w:ascii="Times New Roman" w:hAnsi="Times New Roman"/>
                <w:sz w:val="24"/>
              </w:rPr>
              <w:t>32,5</w:t>
            </w:r>
          </w:p>
        </w:tc>
        <w:tc>
          <w:tcPr>
            <w:tcW w:w="3092" w:type="dxa"/>
          </w:tcPr>
          <w:p w14:paraId="4FA6DC42">
            <w:pPr>
              <w:widowControl w:val="0"/>
              <w:jc w:val="both"/>
            </w:pPr>
            <w:r>
              <w:rPr>
                <w:rFonts w:ascii="Times New Roman" w:hAnsi="Times New Roman"/>
                <w:sz w:val="24"/>
              </w:rPr>
              <w:t>Неверное применение требований 44-ФЗ/223-ФЗ, использование устаревших форм, неполное подтверждение опыта</w:t>
            </w:r>
          </w:p>
        </w:tc>
      </w:tr>
      <w:tr w14:paraId="51386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45781F1A">
            <w:pPr>
              <w:widowControl w:val="0"/>
              <w:jc w:val="both"/>
            </w:pPr>
            <w:r>
              <w:rPr>
                <w:rFonts w:ascii="Times New Roman" w:hAnsi="Times New Roman"/>
                <w:sz w:val="24"/>
              </w:rPr>
              <w:t>Технические ошибки при работе с ЭТП</w:t>
            </w:r>
          </w:p>
        </w:tc>
        <w:tc>
          <w:tcPr>
            <w:tcW w:w="1995" w:type="dxa"/>
            <w:vAlign w:val="center"/>
          </w:tcPr>
          <w:p w14:paraId="6EA08246">
            <w:pPr>
              <w:widowControl w:val="0"/>
              <w:jc w:val="center"/>
            </w:pPr>
            <w:r>
              <w:rPr>
                <w:rFonts w:ascii="Times New Roman" w:hAnsi="Times New Roman"/>
                <w:sz w:val="24"/>
              </w:rPr>
              <w:t>28</w:t>
            </w:r>
          </w:p>
        </w:tc>
        <w:tc>
          <w:tcPr>
            <w:tcW w:w="1930" w:type="dxa"/>
            <w:vAlign w:val="center"/>
          </w:tcPr>
          <w:p w14:paraId="5263BEFC">
            <w:pPr>
              <w:widowControl w:val="0"/>
              <w:jc w:val="center"/>
            </w:pPr>
            <w:r>
              <w:rPr>
                <w:rFonts w:ascii="Times New Roman" w:hAnsi="Times New Roman"/>
                <w:sz w:val="24"/>
              </w:rPr>
              <w:t>36,4</w:t>
            </w:r>
          </w:p>
        </w:tc>
        <w:tc>
          <w:tcPr>
            <w:tcW w:w="3092" w:type="dxa"/>
          </w:tcPr>
          <w:p w14:paraId="320777C9">
            <w:pPr>
              <w:widowControl w:val="0"/>
              <w:jc w:val="both"/>
            </w:pPr>
            <w:r>
              <w:rPr>
                <w:rFonts w:ascii="Times New Roman" w:hAnsi="Times New Roman"/>
                <w:sz w:val="24"/>
              </w:rPr>
              <w:t>Неполная загрузка документов, неверный формат файла, ошибки при подписании электронной подписью</w:t>
            </w:r>
          </w:p>
        </w:tc>
      </w:tr>
      <w:tr w14:paraId="003D7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1B68C6B1">
            <w:pPr>
              <w:widowControl w:val="0"/>
              <w:jc w:val="both"/>
            </w:pPr>
            <w:r>
              <w:rPr>
                <w:rFonts w:ascii="Times New Roman" w:hAnsi="Times New Roman"/>
                <w:sz w:val="24"/>
              </w:rPr>
              <w:t>Ошибки в расчетах и ценовом предложении</w:t>
            </w:r>
          </w:p>
        </w:tc>
        <w:tc>
          <w:tcPr>
            <w:tcW w:w="1995" w:type="dxa"/>
            <w:vAlign w:val="center"/>
          </w:tcPr>
          <w:p w14:paraId="03DA81C6">
            <w:pPr>
              <w:widowControl w:val="0"/>
              <w:jc w:val="center"/>
            </w:pPr>
            <w:r>
              <w:rPr>
                <w:rFonts w:ascii="Times New Roman" w:hAnsi="Times New Roman"/>
                <w:sz w:val="24"/>
              </w:rPr>
              <w:t>14</w:t>
            </w:r>
          </w:p>
        </w:tc>
        <w:tc>
          <w:tcPr>
            <w:tcW w:w="1930" w:type="dxa"/>
            <w:vAlign w:val="center"/>
          </w:tcPr>
          <w:p w14:paraId="098F612C">
            <w:pPr>
              <w:widowControl w:val="0"/>
              <w:jc w:val="center"/>
            </w:pPr>
            <w:r>
              <w:rPr>
                <w:rFonts w:ascii="Times New Roman" w:hAnsi="Times New Roman"/>
                <w:sz w:val="24"/>
              </w:rPr>
              <w:t>18,2</w:t>
            </w:r>
          </w:p>
        </w:tc>
        <w:tc>
          <w:tcPr>
            <w:tcW w:w="3092" w:type="dxa"/>
          </w:tcPr>
          <w:p w14:paraId="361C0E4D">
            <w:pPr>
              <w:widowControl w:val="0"/>
              <w:jc w:val="both"/>
            </w:pPr>
            <w:r>
              <w:rPr>
                <w:rFonts w:ascii="Times New Roman" w:hAnsi="Times New Roman"/>
                <w:sz w:val="24"/>
              </w:rPr>
              <w:t>Несоответствие итоговой суммы, арифметические расхождения, некорректное отражение НДС</w:t>
            </w:r>
          </w:p>
        </w:tc>
      </w:tr>
      <w:tr w14:paraId="2BB1F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7F2CA0CB">
            <w:pPr>
              <w:widowControl w:val="0"/>
              <w:jc w:val="both"/>
            </w:pPr>
            <w:r>
              <w:rPr>
                <w:rFonts w:ascii="Times New Roman" w:hAnsi="Times New Roman"/>
                <w:sz w:val="24"/>
              </w:rPr>
              <w:t>Организационные ошибки подготовки заявки</w:t>
            </w:r>
          </w:p>
        </w:tc>
        <w:tc>
          <w:tcPr>
            <w:tcW w:w="1995" w:type="dxa"/>
            <w:vAlign w:val="center"/>
          </w:tcPr>
          <w:p w14:paraId="0FF454D7">
            <w:pPr>
              <w:widowControl w:val="0"/>
              <w:jc w:val="center"/>
            </w:pPr>
            <w:r>
              <w:rPr>
                <w:rFonts w:ascii="Times New Roman" w:hAnsi="Times New Roman"/>
                <w:sz w:val="24"/>
              </w:rPr>
              <w:t>10</w:t>
            </w:r>
          </w:p>
        </w:tc>
        <w:tc>
          <w:tcPr>
            <w:tcW w:w="1930" w:type="dxa"/>
            <w:vAlign w:val="center"/>
          </w:tcPr>
          <w:p w14:paraId="6A50DCFC">
            <w:pPr>
              <w:widowControl w:val="0"/>
              <w:jc w:val="center"/>
            </w:pPr>
            <w:r>
              <w:rPr>
                <w:rFonts w:ascii="Times New Roman" w:hAnsi="Times New Roman"/>
                <w:sz w:val="24"/>
              </w:rPr>
              <w:t>12,9</w:t>
            </w:r>
          </w:p>
        </w:tc>
        <w:tc>
          <w:tcPr>
            <w:tcW w:w="3092" w:type="dxa"/>
          </w:tcPr>
          <w:p w14:paraId="594B5375">
            <w:pPr>
              <w:widowControl w:val="0"/>
              <w:jc w:val="both"/>
            </w:pPr>
            <w:r>
              <w:rPr>
                <w:rFonts w:ascii="Times New Roman" w:hAnsi="Times New Roman"/>
                <w:sz w:val="24"/>
              </w:rPr>
              <w:t>Нарушение внутренней последовательности проверки, отсутствие финального контроля перед отправкой</w:t>
            </w:r>
          </w:p>
        </w:tc>
      </w:tr>
      <w:tr w14:paraId="4984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79DFEBCA">
            <w:pPr>
              <w:widowControl w:val="0"/>
              <w:jc w:val="both"/>
            </w:pPr>
            <w:r>
              <w:rPr>
                <w:rFonts w:ascii="Times New Roman" w:hAnsi="Times New Roman"/>
                <w:sz w:val="24"/>
              </w:rPr>
              <w:t>Итого</w:t>
            </w:r>
          </w:p>
        </w:tc>
        <w:tc>
          <w:tcPr>
            <w:tcW w:w="1995" w:type="dxa"/>
            <w:vAlign w:val="center"/>
          </w:tcPr>
          <w:p w14:paraId="5019359C">
            <w:pPr>
              <w:widowControl w:val="0"/>
              <w:jc w:val="center"/>
            </w:pPr>
            <w:r>
              <w:rPr>
                <w:rFonts w:ascii="Times New Roman" w:hAnsi="Times New Roman"/>
                <w:sz w:val="24"/>
              </w:rPr>
              <w:t>77</w:t>
            </w:r>
          </w:p>
        </w:tc>
        <w:tc>
          <w:tcPr>
            <w:tcW w:w="1930" w:type="dxa"/>
            <w:vAlign w:val="center"/>
          </w:tcPr>
          <w:p w14:paraId="1DFFBBFB">
            <w:pPr>
              <w:widowControl w:val="0"/>
              <w:jc w:val="center"/>
            </w:pPr>
            <w:r>
              <w:rPr>
                <w:rFonts w:ascii="Times New Roman" w:hAnsi="Times New Roman"/>
                <w:sz w:val="24"/>
              </w:rPr>
              <w:t>100,0</w:t>
            </w:r>
          </w:p>
        </w:tc>
        <w:tc>
          <w:tcPr>
            <w:tcW w:w="3092" w:type="dxa"/>
          </w:tcPr>
          <w:p w14:paraId="046D532C">
            <w:pPr>
              <w:widowControl w:val="0"/>
              <w:jc w:val="both"/>
            </w:pPr>
            <w:r>
              <w:rPr>
                <w:rFonts w:ascii="Times New Roman" w:hAnsi="Times New Roman"/>
                <w:sz w:val="24"/>
              </w:rPr>
              <w:t>-</w:t>
            </w:r>
          </w:p>
        </w:tc>
      </w:tr>
    </w:tbl>
    <w:p w14:paraId="7DEBC317">
      <w:pPr>
        <w:spacing w:after="120" w:line="360" w:lineRule="auto"/>
        <w:ind w:firstLine="700"/>
        <w:jc w:val="both"/>
        <w:rPr>
          <w:rFonts w:hint="default" w:ascii="Times New Roman" w:hAnsi="Times New Roman"/>
          <w:b w:val="0"/>
          <w:i w:val="0"/>
          <w:sz w:val="28"/>
          <w:lang w:val="ru-RU"/>
        </w:rPr>
      </w:pPr>
    </w:p>
    <w:p w14:paraId="3ACDD3DA">
      <w:pPr>
        <w:spacing w:after="120" w:line="360" w:lineRule="auto"/>
        <w:ind w:firstLine="700"/>
        <w:jc w:val="both"/>
        <w:rPr>
          <w:rFonts w:hint="default" w:ascii="Times New Roman" w:hAnsi="Times New Roman"/>
          <w:b w:val="0"/>
          <w:i w:val="0"/>
          <w:sz w:val="28"/>
          <w:lang w:val="ru-RU"/>
        </w:rPr>
      </w:pPr>
      <w:r>
        <w:rPr>
          <w:rFonts w:hint="default" w:ascii="Times New Roman" w:hAnsi="Times New Roman"/>
          <w:b w:val="0"/>
          <w:i w:val="0"/>
          <w:sz w:val="28"/>
          <w:lang w:val="ru-RU"/>
        </w:rPr>
        <w:t xml:space="preserve">Наибольшая доля приходится на технические ошибки при работе с электронными торговыми площадками (ЭТП) </w:t>
      </w:r>
      <w:r>
        <w:rPr>
          <w:rFonts w:ascii="Times New Roman" w:hAnsi="Times New Roman"/>
          <w:b w:val="0"/>
          <w:i w:val="0"/>
          <w:sz w:val="28"/>
        </w:rPr>
        <w:t>— 36,4%.</w:t>
      </w:r>
      <w:r>
        <w:rPr>
          <w:rFonts w:hint="default" w:ascii="Times New Roman" w:hAnsi="Times New Roman"/>
          <w:b w:val="0"/>
          <w:i w:val="0"/>
          <w:sz w:val="28"/>
          <w:lang w:val="ru-RU"/>
        </w:rPr>
        <w:t xml:space="preserve"> это значит, что значительная часть отклонений связана с процедурными нарушениями при подаче заявки. Второе место занимают ошибки, связанные с законодательством и требованиями документации </w:t>
      </w:r>
      <w:r>
        <w:rPr>
          <w:rFonts w:ascii="Times New Roman" w:hAnsi="Times New Roman"/>
          <w:b w:val="0"/>
          <w:i w:val="0"/>
          <w:sz w:val="28"/>
        </w:rPr>
        <w:t>— 3</w:t>
      </w:r>
      <w:r>
        <w:rPr>
          <w:rFonts w:hint="default" w:ascii="Times New Roman" w:hAnsi="Times New Roman"/>
          <w:b w:val="0"/>
          <w:i w:val="0"/>
          <w:sz w:val="28"/>
          <w:lang w:val="ru-RU"/>
        </w:rPr>
        <w:t>2,5%. такая структцра показывает, что сотрудники сталкиваются с трудностями как в содержательной части подготовки заявки, так и в техническом оформлении документов.</w:t>
      </w:r>
    </w:p>
    <w:p w14:paraId="72156D55">
      <w:pPr>
        <w:spacing w:after="120" w:line="360" w:lineRule="auto"/>
        <w:ind w:firstLine="700"/>
        <w:jc w:val="both"/>
        <w:rPr>
          <w:rFonts w:hint="default" w:ascii="Times New Roman" w:hAnsi="Times New Roman"/>
          <w:b w:val="0"/>
          <w:i w:val="0"/>
          <w:sz w:val="28"/>
          <w:lang w:val="ru-RU"/>
        </w:rPr>
      </w:pPr>
      <w:r>
        <w:rPr>
          <w:rFonts w:ascii="Times New Roman" w:hAnsi="Times New Roman"/>
          <w:b w:val="0"/>
          <w:i w:val="0"/>
          <w:sz w:val="28"/>
          <w:lang w:val="ru-RU"/>
        </w:rPr>
        <w:t>Примером</w:t>
      </w:r>
      <w:r>
        <w:rPr>
          <w:rFonts w:hint="default" w:ascii="Times New Roman" w:hAnsi="Times New Roman"/>
          <w:b w:val="0"/>
          <w:i w:val="0"/>
          <w:sz w:val="28"/>
          <w:lang w:val="ru-RU"/>
        </w:rPr>
        <w:t xml:space="preserve"> ошибки первой группы является ситуация, когда в закупке требовалось подтвердить опыт исполнения контракта на определённую сумму, но специалист приложил договор без корректного учёта НДС. Сотрудник исходил из собственного понимания суммы, тогда как заказчик оценивал документ по фактически указанным условиям. В результате заявка не прошла допуск. Подобные случаи показывают, что проблема находится не только в невнимательности, но и в недостаточном понимании логики проверки документов заказчиком.</w:t>
      </w:r>
    </w:p>
    <w:p w14:paraId="2EEB43CE">
      <w:pPr>
        <w:spacing w:after="120" w:line="360" w:lineRule="auto"/>
        <w:ind w:firstLine="700"/>
        <w:jc w:val="both"/>
        <w:rPr>
          <w:rFonts w:hint="default" w:ascii="Times New Roman" w:hAnsi="Times New Roman"/>
          <w:b w:val="0"/>
          <w:i w:val="0"/>
          <w:sz w:val="28"/>
          <w:lang w:val="ru-RU"/>
        </w:rPr>
      </w:pPr>
      <w:r>
        <w:rPr>
          <w:rFonts w:ascii="Times New Roman" w:hAnsi="Times New Roman"/>
          <w:b w:val="0"/>
          <w:i w:val="0"/>
          <w:sz w:val="28"/>
          <w:lang w:val="ru-RU"/>
        </w:rPr>
        <w:t>Другой</w:t>
      </w:r>
      <w:r>
        <w:rPr>
          <w:rFonts w:hint="default" w:ascii="Times New Roman" w:hAnsi="Times New Roman"/>
          <w:b w:val="0"/>
          <w:i w:val="0"/>
          <w:sz w:val="28"/>
          <w:lang w:val="ru-RU"/>
        </w:rPr>
        <w:t xml:space="preserve"> пример связан с использованием устаревшей формы декларации. В 2025 году часть заявок была отклонена из-за того, что сотрудник взял шаблон из общей папки, где находилась форма прошлого периода. Так как порядок обновления шаблонов не закреплён, сотрудник использовал доступный документ, но он уже не соответствовал актуальным требованиям. Такая ошибка демонстрирует связь между отсутствием единой базы актуальных материалов и качеством подготовки заявок.</w:t>
      </w:r>
    </w:p>
    <w:p w14:paraId="60A97D0D">
      <w:pPr>
        <w:spacing w:after="120" w:line="360" w:lineRule="auto"/>
        <w:ind w:firstLine="700"/>
        <w:jc w:val="both"/>
        <w:rPr>
          <w:rFonts w:hint="default" w:ascii="Times New Roman" w:hAnsi="Times New Roman"/>
          <w:b w:val="0"/>
          <w:i w:val="0"/>
          <w:sz w:val="28"/>
          <w:lang w:val="ru-RU"/>
        </w:rPr>
      </w:pPr>
      <w:r>
        <w:rPr>
          <w:rFonts w:ascii="Times New Roman" w:hAnsi="Times New Roman"/>
          <w:b w:val="0"/>
          <w:i w:val="0"/>
          <w:sz w:val="28"/>
          <w:lang w:val="ru-RU"/>
        </w:rPr>
        <w:t>Технические</w:t>
      </w:r>
      <w:r>
        <w:rPr>
          <w:rFonts w:hint="default" w:ascii="Times New Roman" w:hAnsi="Times New Roman"/>
          <w:b w:val="0"/>
          <w:i w:val="0"/>
          <w:sz w:val="28"/>
          <w:lang w:val="ru-RU"/>
        </w:rPr>
        <w:t xml:space="preserve"> ошибки также имеют повторяющийся характер. В отдельных случаях сотрудники загружали не полный пакет документов, выбирали неверный формат файла и подписывали заявку до завершения загрузки всех приложений. Эти нарушения можно обнаружить при финальной проверке. Однако в компании отсутствует единый обязательный порядок проверки, поэтому качество заявки зависит от личной внимательности специалиста, а не от закреплённого алгоритма работы.</w:t>
      </w:r>
    </w:p>
    <w:p w14:paraId="38CCD937">
      <w:pPr>
        <w:spacing w:after="120" w:line="360" w:lineRule="auto"/>
        <w:ind w:firstLine="700"/>
        <w:jc w:val="both"/>
        <w:rPr>
          <w:rFonts w:hint="default" w:ascii="Times New Roman" w:hAnsi="Times New Roman"/>
          <w:b w:val="0"/>
          <w:i w:val="0"/>
          <w:sz w:val="28"/>
          <w:lang w:val="ru-RU"/>
        </w:rPr>
      </w:pPr>
      <w:r>
        <w:rPr>
          <w:rFonts w:hint="default" w:ascii="Times New Roman" w:hAnsi="Times New Roman"/>
          <w:b w:val="0"/>
          <w:i w:val="0"/>
          <w:sz w:val="28"/>
          <w:lang w:val="ru-RU"/>
        </w:rPr>
        <w:t>Ошибки в расчётах составляют меньшую долю, но имеют существенное значение, так как связаны с финальной частью заявки. Арифметические расхождения между суммой позиции и итоговой ценой создают риск признания информации недостоверной. Для компании, которая работает с тендерами и рассчитывает маржу по каждому лоту, такие ошибки затрагивают не только допуск к торгам, но и общую надёжность экономического анализа закупки.</w:t>
      </w:r>
    </w:p>
    <w:p w14:paraId="300BE535">
      <w:pPr>
        <w:spacing w:after="120" w:line="360" w:lineRule="auto"/>
        <w:ind w:firstLine="700"/>
        <w:jc w:val="both"/>
        <w:rPr>
          <w:rFonts w:hint="default" w:ascii="Times New Roman" w:hAnsi="Times New Roman"/>
          <w:b w:val="0"/>
          <w:i w:val="0"/>
          <w:sz w:val="28"/>
          <w:lang w:val="ru-RU"/>
        </w:rPr>
      </w:pPr>
      <w:r>
        <w:rPr>
          <w:rFonts w:ascii="Times New Roman" w:hAnsi="Times New Roman"/>
          <w:b w:val="0"/>
          <w:i w:val="0"/>
          <w:sz w:val="28"/>
          <w:lang w:val="ru-RU"/>
        </w:rPr>
        <w:t>Следовательно</w:t>
      </w:r>
      <w:r>
        <w:rPr>
          <w:rFonts w:hint="default" w:ascii="Times New Roman" w:hAnsi="Times New Roman"/>
          <w:b w:val="0"/>
          <w:i w:val="0"/>
          <w:sz w:val="28"/>
          <w:lang w:val="ru-RU"/>
        </w:rPr>
        <w:t>, результаты тендерной деятельности подтверждают, что отсутствие системы обучения проявляется не абстрактно, а через конкретные рабочие последствия: повторяемость однотипных ошибок, сохранение доли отклонённых заявок на уровне около 15%, зависимость качества подготовки от индивидуального опыта и отсутствие накопления общего знания внутри отдела. При этом сам факт повторения ошибок в течение трёх лет показывает, что устные объяснения и разовые вебинары не обеспечивают устойчивого изменения рабочих практик.</w:t>
      </w:r>
    </w:p>
    <w:p w14:paraId="65A9A4F8">
      <w:pPr>
        <w:spacing w:after="120" w:line="360" w:lineRule="auto"/>
        <w:ind w:firstLine="700"/>
        <w:jc w:val="both"/>
        <w:rPr>
          <w:rFonts w:hint="default" w:ascii="Times New Roman" w:hAnsi="Times New Roman"/>
          <w:b w:val="0"/>
          <w:i w:val="0"/>
          <w:sz w:val="28"/>
          <w:lang w:val="ru-RU"/>
        </w:rPr>
      </w:pPr>
      <w:r>
        <w:rPr>
          <w:rFonts w:hint="default" w:ascii="Times New Roman" w:hAnsi="Times New Roman"/>
          <w:b w:val="0"/>
          <w:i w:val="0"/>
          <w:sz w:val="28"/>
          <w:lang w:val="ru-RU"/>
        </w:rPr>
        <w:t xml:space="preserve">Для уточнения внутренней оценки ситуации 14 апреля 2026 года был проведён опрос в </w:t>
      </w:r>
      <w:r>
        <w:rPr>
          <w:rFonts w:hint="default" w:ascii="Times New Roman" w:hAnsi="Times New Roman"/>
          <w:b w:val="0"/>
          <w:i w:val="0"/>
          <w:sz w:val="28"/>
          <w:lang w:val="en-US"/>
        </w:rPr>
        <w:t>google</w:t>
      </w:r>
      <w:r>
        <w:rPr>
          <w:rFonts w:hint="default" w:ascii="Times New Roman" w:hAnsi="Times New Roman"/>
          <w:b w:val="0"/>
          <w:i w:val="0"/>
          <w:sz w:val="28"/>
          <w:lang w:val="ru-RU"/>
        </w:rPr>
        <w:t>-форме сотрудников тендерного отдела ООО «Лайф Медиа». в опросе участвовали все 8 специалистов. Цель была в том, чтобы определить как сами сотрудники оценивают действующий порядок обучения, какие источники знаний используют в работе, с какими трудностями сталкиваются и какие профессиональные темы считают наиболее значимыми для дальнейшего освоения. Опрос носит диагностический характер и служит базой для разработки рекомендаций.</w:t>
      </w:r>
    </w:p>
    <w:p w14:paraId="7114F2FE">
      <w:pPr>
        <w:spacing w:after="120" w:line="360" w:lineRule="auto"/>
        <w:ind w:firstLine="700"/>
        <w:jc w:val="both"/>
        <w:rPr>
          <w:rFonts w:hint="default" w:ascii="Times New Roman" w:hAnsi="Times New Roman"/>
          <w:b w:val="0"/>
          <w:i w:val="0"/>
          <w:sz w:val="28"/>
          <w:lang w:val="ru-RU"/>
        </w:rPr>
      </w:pPr>
      <w:r>
        <w:rPr>
          <w:rFonts w:ascii="Times New Roman" w:hAnsi="Times New Roman"/>
          <w:b w:val="0"/>
          <w:i w:val="0"/>
          <w:sz w:val="28"/>
          <w:lang w:val="ru-RU"/>
        </w:rPr>
        <w:t>Анкета</w:t>
      </w:r>
      <w:r>
        <w:rPr>
          <w:rFonts w:hint="default" w:ascii="Times New Roman" w:hAnsi="Times New Roman"/>
          <w:b w:val="0"/>
          <w:i w:val="0"/>
          <w:sz w:val="28"/>
          <w:lang w:val="ru-RU"/>
        </w:rPr>
        <w:t xml:space="preserve"> включала вопросы закрытого и полузакрытого типа. Сотрудники отвечали на вопросы анонимно, чтобы снизить влияние должностной зависимости и получить более точные ответы. Вопросы были сгруппированы по четырём блокам: наличие системы обучения, источники получения знаний, трудности в работе и профессиональные потребности сотрудников (см.табл.3.4.).</w:t>
      </w:r>
    </w:p>
    <w:p w14:paraId="265C5F8D">
      <w:pPr>
        <w:spacing w:after="120" w:line="360" w:lineRule="auto"/>
        <w:ind w:firstLine="700"/>
        <w:jc w:val="right"/>
        <w:rPr>
          <w:sz w:val="24"/>
          <w:szCs w:val="24"/>
        </w:rPr>
      </w:pPr>
      <w:r>
        <w:rPr>
          <w:rFonts w:ascii="Times New Roman" w:hAnsi="Times New Roman"/>
          <w:b w:val="0"/>
          <w:i w:val="0"/>
          <w:sz w:val="24"/>
          <w:szCs w:val="24"/>
        </w:rPr>
        <w:t>Таблица 3.4. Общая оценка сотрудниками состояния обучения в тендерном отделе</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9"/>
        <w:gridCol w:w="2250"/>
        <w:gridCol w:w="1868"/>
        <w:gridCol w:w="1839"/>
      </w:tblGrid>
      <w:tr w14:paraId="3EDA7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9" w:type="dxa"/>
            <w:vAlign w:val="center"/>
          </w:tcPr>
          <w:p w14:paraId="5B786698">
            <w:pPr>
              <w:widowControl w:val="0"/>
              <w:jc w:val="center"/>
              <w:rPr>
                <w:b w:val="0"/>
                <w:bCs/>
              </w:rPr>
            </w:pPr>
            <w:r>
              <w:rPr>
                <w:rFonts w:ascii="Times New Roman" w:hAnsi="Times New Roman"/>
                <w:b w:val="0"/>
                <w:bCs/>
                <w:sz w:val="24"/>
              </w:rPr>
              <w:t>Вопрос анкеты</w:t>
            </w:r>
          </w:p>
        </w:tc>
        <w:tc>
          <w:tcPr>
            <w:tcW w:w="2250" w:type="dxa"/>
            <w:vAlign w:val="center"/>
          </w:tcPr>
          <w:p w14:paraId="0A1F2ED8">
            <w:pPr>
              <w:widowControl w:val="0"/>
              <w:jc w:val="center"/>
              <w:rPr>
                <w:b w:val="0"/>
                <w:bCs/>
              </w:rPr>
            </w:pPr>
            <w:r>
              <w:rPr>
                <w:rFonts w:ascii="Times New Roman" w:hAnsi="Times New Roman"/>
                <w:b w:val="0"/>
                <w:bCs/>
                <w:sz w:val="24"/>
              </w:rPr>
              <w:t>Вариант ответа</w:t>
            </w:r>
          </w:p>
        </w:tc>
        <w:tc>
          <w:tcPr>
            <w:tcW w:w="1868" w:type="dxa"/>
            <w:vAlign w:val="center"/>
          </w:tcPr>
          <w:p w14:paraId="0E21191D">
            <w:pPr>
              <w:widowControl w:val="0"/>
              <w:jc w:val="center"/>
              <w:rPr>
                <w:b w:val="0"/>
                <w:bCs/>
              </w:rPr>
            </w:pPr>
            <w:r>
              <w:rPr>
                <w:rFonts w:ascii="Times New Roman" w:hAnsi="Times New Roman"/>
                <w:b w:val="0"/>
                <w:bCs/>
                <w:sz w:val="24"/>
              </w:rPr>
              <w:t>Количество ответов</w:t>
            </w:r>
          </w:p>
        </w:tc>
        <w:tc>
          <w:tcPr>
            <w:tcW w:w="1839" w:type="dxa"/>
            <w:vAlign w:val="center"/>
          </w:tcPr>
          <w:p w14:paraId="5B9601AF">
            <w:pPr>
              <w:widowControl w:val="0"/>
              <w:jc w:val="center"/>
              <w:rPr>
                <w:b w:val="0"/>
                <w:bCs/>
              </w:rPr>
            </w:pPr>
            <w:r>
              <w:rPr>
                <w:rFonts w:ascii="Times New Roman" w:hAnsi="Times New Roman"/>
                <w:b w:val="0"/>
                <w:bCs/>
                <w:sz w:val="24"/>
              </w:rPr>
              <w:t>Доля, %</w:t>
            </w:r>
          </w:p>
        </w:tc>
      </w:tr>
      <w:tr w14:paraId="56ABC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9" w:type="dxa"/>
          </w:tcPr>
          <w:p w14:paraId="322640FB">
            <w:pPr>
              <w:widowControl w:val="0"/>
              <w:jc w:val="both"/>
            </w:pPr>
            <w:r>
              <w:rPr>
                <w:rFonts w:ascii="Times New Roman" w:hAnsi="Times New Roman"/>
                <w:sz w:val="24"/>
              </w:rPr>
              <w:t>Есть ли в компании утвержденная программа обучения тендерных специалистов?</w:t>
            </w:r>
          </w:p>
        </w:tc>
        <w:tc>
          <w:tcPr>
            <w:tcW w:w="2250" w:type="dxa"/>
            <w:vAlign w:val="center"/>
          </w:tcPr>
          <w:p w14:paraId="6F0830B6">
            <w:pPr>
              <w:widowControl w:val="0"/>
              <w:jc w:val="center"/>
            </w:pPr>
            <w:r>
              <w:rPr>
                <w:rFonts w:ascii="Times New Roman" w:hAnsi="Times New Roman"/>
                <w:sz w:val="24"/>
              </w:rPr>
              <w:t>Да</w:t>
            </w:r>
          </w:p>
        </w:tc>
        <w:tc>
          <w:tcPr>
            <w:tcW w:w="1868" w:type="dxa"/>
            <w:vAlign w:val="center"/>
          </w:tcPr>
          <w:p w14:paraId="359A23D4">
            <w:pPr>
              <w:widowControl w:val="0"/>
              <w:jc w:val="center"/>
            </w:pPr>
            <w:r>
              <w:rPr>
                <w:rFonts w:ascii="Times New Roman" w:hAnsi="Times New Roman"/>
                <w:sz w:val="24"/>
              </w:rPr>
              <w:t>0</w:t>
            </w:r>
          </w:p>
        </w:tc>
        <w:tc>
          <w:tcPr>
            <w:tcW w:w="1839" w:type="dxa"/>
            <w:vAlign w:val="center"/>
          </w:tcPr>
          <w:p w14:paraId="6924CB38">
            <w:pPr>
              <w:widowControl w:val="0"/>
              <w:jc w:val="center"/>
            </w:pPr>
            <w:r>
              <w:rPr>
                <w:rFonts w:ascii="Times New Roman" w:hAnsi="Times New Roman"/>
                <w:sz w:val="24"/>
              </w:rPr>
              <w:t>0,0</w:t>
            </w:r>
          </w:p>
        </w:tc>
      </w:tr>
      <w:tr w14:paraId="4559A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9" w:type="dxa"/>
          </w:tcPr>
          <w:p w14:paraId="2B2A484A">
            <w:pPr>
              <w:widowControl w:val="0"/>
              <w:jc w:val="both"/>
            </w:pPr>
            <w:r>
              <w:rPr>
                <w:rFonts w:ascii="Times New Roman" w:hAnsi="Times New Roman"/>
                <w:sz w:val="24"/>
              </w:rPr>
              <w:t>Есть ли в компании утвержденная программа обучения тендерных специалистов?</w:t>
            </w:r>
          </w:p>
        </w:tc>
        <w:tc>
          <w:tcPr>
            <w:tcW w:w="2250" w:type="dxa"/>
            <w:vAlign w:val="center"/>
          </w:tcPr>
          <w:p w14:paraId="38509CA0">
            <w:pPr>
              <w:widowControl w:val="0"/>
              <w:jc w:val="center"/>
            </w:pPr>
            <w:r>
              <w:rPr>
                <w:rFonts w:ascii="Times New Roman" w:hAnsi="Times New Roman"/>
                <w:sz w:val="24"/>
              </w:rPr>
              <w:t>Нет</w:t>
            </w:r>
          </w:p>
        </w:tc>
        <w:tc>
          <w:tcPr>
            <w:tcW w:w="1868" w:type="dxa"/>
            <w:vAlign w:val="center"/>
          </w:tcPr>
          <w:p w14:paraId="47211DA0">
            <w:pPr>
              <w:widowControl w:val="0"/>
              <w:jc w:val="center"/>
            </w:pPr>
            <w:r>
              <w:rPr>
                <w:rFonts w:ascii="Times New Roman" w:hAnsi="Times New Roman"/>
                <w:sz w:val="24"/>
              </w:rPr>
              <w:t>8</w:t>
            </w:r>
          </w:p>
        </w:tc>
        <w:tc>
          <w:tcPr>
            <w:tcW w:w="1839" w:type="dxa"/>
            <w:vAlign w:val="center"/>
          </w:tcPr>
          <w:p w14:paraId="6CBFB5EF">
            <w:pPr>
              <w:widowControl w:val="0"/>
              <w:jc w:val="center"/>
            </w:pPr>
            <w:r>
              <w:rPr>
                <w:rFonts w:ascii="Times New Roman" w:hAnsi="Times New Roman"/>
                <w:sz w:val="24"/>
              </w:rPr>
              <w:t>100,0</w:t>
            </w:r>
          </w:p>
        </w:tc>
      </w:tr>
    </w:tbl>
    <w:p w14:paraId="1AF1289D">
      <w:pPr>
        <w:spacing w:after="120" w:line="360" w:lineRule="auto"/>
        <w:jc w:val="both"/>
      </w:pPr>
    </w:p>
    <w:p w14:paraId="4CE9D6DC">
      <w:pPr>
        <w:spacing w:after="120" w:line="360" w:lineRule="auto"/>
        <w:jc w:val="right"/>
        <w:rPr>
          <w:rFonts w:hint="default" w:ascii="Times New Roman" w:hAnsi="Times New Roman" w:cs="Times New Roman"/>
          <w:sz w:val="24"/>
          <w:szCs w:val="24"/>
          <w:lang w:val="ru-RU"/>
        </w:rPr>
      </w:pPr>
      <w:r>
        <w:rPr>
          <w:rFonts w:hint="default" w:ascii="Times New Roman" w:hAnsi="Times New Roman" w:cs="Times New Roman"/>
          <w:sz w:val="24"/>
          <w:szCs w:val="24"/>
          <w:lang w:val="ru-RU"/>
        </w:rPr>
        <w:t>Продолжение таблицы 3.4.</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9"/>
        <w:gridCol w:w="2250"/>
        <w:gridCol w:w="1868"/>
        <w:gridCol w:w="1839"/>
      </w:tblGrid>
      <w:tr w14:paraId="0C431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9" w:type="dxa"/>
          </w:tcPr>
          <w:p w14:paraId="205B3369">
            <w:pPr>
              <w:widowControl w:val="0"/>
              <w:jc w:val="both"/>
            </w:pPr>
            <w:r>
              <w:rPr>
                <w:rFonts w:ascii="Times New Roman" w:hAnsi="Times New Roman"/>
                <w:sz w:val="24"/>
              </w:rPr>
              <w:t>Проходили ли вы вводное обучение по единому плану при приеме на работу?</w:t>
            </w:r>
          </w:p>
        </w:tc>
        <w:tc>
          <w:tcPr>
            <w:tcW w:w="2250" w:type="dxa"/>
            <w:vAlign w:val="center"/>
          </w:tcPr>
          <w:p w14:paraId="3634AC45">
            <w:pPr>
              <w:widowControl w:val="0"/>
              <w:jc w:val="center"/>
            </w:pPr>
            <w:r>
              <w:rPr>
                <w:rFonts w:ascii="Times New Roman" w:hAnsi="Times New Roman"/>
                <w:sz w:val="24"/>
              </w:rPr>
              <w:t>Да, полностью</w:t>
            </w:r>
          </w:p>
        </w:tc>
        <w:tc>
          <w:tcPr>
            <w:tcW w:w="1868" w:type="dxa"/>
            <w:vAlign w:val="center"/>
          </w:tcPr>
          <w:p w14:paraId="47C40D36">
            <w:pPr>
              <w:widowControl w:val="0"/>
              <w:jc w:val="center"/>
            </w:pPr>
            <w:r>
              <w:rPr>
                <w:rFonts w:ascii="Times New Roman" w:hAnsi="Times New Roman"/>
                <w:sz w:val="24"/>
              </w:rPr>
              <w:t>0</w:t>
            </w:r>
          </w:p>
        </w:tc>
        <w:tc>
          <w:tcPr>
            <w:tcW w:w="1839" w:type="dxa"/>
            <w:vAlign w:val="center"/>
          </w:tcPr>
          <w:p w14:paraId="33FD3682">
            <w:pPr>
              <w:widowControl w:val="0"/>
              <w:jc w:val="center"/>
            </w:pPr>
            <w:r>
              <w:rPr>
                <w:rFonts w:ascii="Times New Roman" w:hAnsi="Times New Roman"/>
                <w:sz w:val="24"/>
              </w:rPr>
              <w:t>0,0</w:t>
            </w:r>
          </w:p>
        </w:tc>
      </w:tr>
      <w:tr w14:paraId="657A8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9" w:type="dxa"/>
          </w:tcPr>
          <w:p w14:paraId="39379350">
            <w:pPr>
              <w:widowControl w:val="0"/>
              <w:jc w:val="both"/>
            </w:pPr>
            <w:r>
              <w:rPr>
                <w:rFonts w:ascii="Times New Roman" w:hAnsi="Times New Roman"/>
                <w:sz w:val="24"/>
              </w:rPr>
              <w:t>Проходили ли вы вводное обучение по единому плану при приеме на работу?</w:t>
            </w:r>
          </w:p>
        </w:tc>
        <w:tc>
          <w:tcPr>
            <w:tcW w:w="2250" w:type="dxa"/>
            <w:vAlign w:val="center"/>
          </w:tcPr>
          <w:p w14:paraId="5EB2F2B9">
            <w:pPr>
              <w:widowControl w:val="0"/>
              <w:jc w:val="center"/>
            </w:pPr>
            <w:r>
              <w:rPr>
                <w:rFonts w:ascii="Times New Roman" w:hAnsi="Times New Roman"/>
                <w:sz w:val="24"/>
              </w:rPr>
              <w:t>Частично</w:t>
            </w:r>
          </w:p>
        </w:tc>
        <w:tc>
          <w:tcPr>
            <w:tcW w:w="1868" w:type="dxa"/>
            <w:vAlign w:val="center"/>
          </w:tcPr>
          <w:p w14:paraId="2D48A761">
            <w:pPr>
              <w:widowControl w:val="0"/>
              <w:jc w:val="center"/>
            </w:pPr>
            <w:r>
              <w:rPr>
                <w:rFonts w:ascii="Times New Roman" w:hAnsi="Times New Roman"/>
                <w:sz w:val="24"/>
              </w:rPr>
              <w:t>2</w:t>
            </w:r>
          </w:p>
        </w:tc>
        <w:tc>
          <w:tcPr>
            <w:tcW w:w="1839" w:type="dxa"/>
            <w:vAlign w:val="center"/>
          </w:tcPr>
          <w:p w14:paraId="439D0546">
            <w:pPr>
              <w:widowControl w:val="0"/>
              <w:jc w:val="center"/>
            </w:pPr>
            <w:r>
              <w:rPr>
                <w:rFonts w:ascii="Times New Roman" w:hAnsi="Times New Roman"/>
                <w:sz w:val="24"/>
              </w:rPr>
              <w:t>25,0</w:t>
            </w:r>
          </w:p>
        </w:tc>
      </w:tr>
      <w:tr w14:paraId="4FF4B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9" w:type="dxa"/>
          </w:tcPr>
          <w:p w14:paraId="04E2A845">
            <w:pPr>
              <w:widowControl w:val="0"/>
              <w:jc w:val="both"/>
            </w:pPr>
            <w:r>
              <w:rPr>
                <w:rFonts w:ascii="Times New Roman" w:hAnsi="Times New Roman"/>
                <w:sz w:val="24"/>
              </w:rPr>
              <w:t>Проходили ли вы вводное обучение по единому плану при приеме на работу?</w:t>
            </w:r>
          </w:p>
        </w:tc>
        <w:tc>
          <w:tcPr>
            <w:tcW w:w="2250" w:type="dxa"/>
            <w:vAlign w:val="center"/>
          </w:tcPr>
          <w:p w14:paraId="508F6EC1">
            <w:pPr>
              <w:widowControl w:val="0"/>
              <w:jc w:val="center"/>
            </w:pPr>
            <w:r>
              <w:rPr>
                <w:rFonts w:ascii="Times New Roman" w:hAnsi="Times New Roman"/>
                <w:sz w:val="24"/>
              </w:rPr>
              <w:t>Нет</w:t>
            </w:r>
          </w:p>
        </w:tc>
        <w:tc>
          <w:tcPr>
            <w:tcW w:w="1868" w:type="dxa"/>
            <w:vAlign w:val="center"/>
          </w:tcPr>
          <w:p w14:paraId="207F1191">
            <w:pPr>
              <w:widowControl w:val="0"/>
              <w:jc w:val="center"/>
            </w:pPr>
            <w:r>
              <w:rPr>
                <w:rFonts w:ascii="Times New Roman" w:hAnsi="Times New Roman"/>
                <w:sz w:val="24"/>
              </w:rPr>
              <w:t>6</w:t>
            </w:r>
          </w:p>
        </w:tc>
        <w:tc>
          <w:tcPr>
            <w:tcW w:w="1839" w:type="dxa"/>
            <w:vAlign w:val="center"/>
          </w:tcPr>
          <w:p w14:paraId="35E785F9">
            <w:pPr>
              <w:widowControl w:val="0"/>
              <w:jc w:val="center"/>
            </w:pPr>
            <w:r>
              <w:rPr>
                <w:rFonts w:ascii="Times New Roman" w:hAnsi="Times New Roman"/>
                <w:sz w:val="24"/>
              </w:rPr>
              <w:t>75,0</w:t>
            </w:r>
          </w:p>
        </w:tc>
      </w:tr>
      <w:tr w14:paraId="0E4A8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9" w:type="dxa"/>
          </w:tcPr>
          <w:p w14:paraId="1B4FAF49">
            <w:pPr>
              <w:widowControl w:val="0"/>
              <w:jc w:val="both"/>
            </w:pPr>
            <w:r>
              <w:rPr>
                <w:rFonts w:ascii="Times New Roman" w:hAnsi="Times New Roman"/>
                <w:sz w:val="24"/>
              </w:rPr>
              <w:t>Проводится ли регулярная проверка знаний по 44-ФЗ/223-ФЗ и ЭТП?</w:t>
            </w:r>
          </w:p>
        </w:tc>
        <w:tc>
          <w:tcPr>
            <w:tcW w:w="2250" w:type="dxa"/>
            <w:vAlign w:val="center"/>
          </w:tcPr>
          <w:p w14:paraId="27AD96CD">
            <w:pPr>
              <w:widowControl w:val="0"/>
              <w:jc w:val="center"/>
            </w:pPr>
            <w:r>
              <w:rPr>
                <w:rFonts w:ascii="Times New Roman" w:hAnsi="Times New Roman"/>
                <w:sz w:val="24"/>
              </w:rPr>
              <w:t>Да</w:t>
            </w:r>
          </w:p>
        </w:tc>
        <w:tc>
          <w:tcPr>
            <w:tcW w:w="1868" w:type="dxa"/>
            <w:vAlign w:val="center"/>
          </w:tcPr>
          <w:p w14:paraId="4F4AA7A2">
            <w:pPr>
              <w:widowControl w:val="0"/>
              <w:jc w:val="center"/>
            </w:pPr>
            <w:r>
              <w:rPr>
                <w:rFonts w:ascii="Times New Roman" w:hAnsi="Times New Roman"/>
                <w:sz w:val="24"/>
              </w:rPr>
              <w:t>0</w:t>
            </w:r>
          </w:p>
        </w:tc>
        <w:tc>
          <w:tcPr>
            <w:tcW w:w="1839" w:type="dxa"/>
            <w:vAlign w:val="center"/>
          </w:tcPr>
          <w:p w14:paraId="3673F7CE">
            <w:pPr>
              <w:widowControl w:val="0"/>
              <w:jc w:val="center"/>
            </w:pPr>
            <w:r>
              <w:rPr>
                <w:rFonts w:ascii="Times New Roman" w:hAnsi="Times New Roman"/>
                <w:sz w:val="24"/>
              </w:rPr>
              <w:t>0,0</w:t>
            </w:r>
          </w:p>
        </w:tc>
      </w:tr>
      <w:tr w14:paraId="2D433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9" w:type="dxa"/>
          </w:tcPr>
          <w:p w14:paraId="35E65411">
            <w:pPr>
              <w:widowControl w:val="0"/>
              <w:jc w:val="both"/>
            </w:pPr>
            <w:r>
              <w:rPr>
                <w:rFonts w:ascii="Times New Roman" w:hAnsi="Times New Roman"/>
                <w:sz w:val="24"/>
              </w:rPr>
              <w:t>Проводится ли регулярная проверка знаний по 44-ФЗ/223-ФЗ и ЭТП?</w:t>
            </w:r>
          </w:p>
        </w:tc>
        <w:tc>
          <w:tcPr>
            <w:tcW w:w="2250" w:type="dxa"/>
            <w:vAlign w:val="center"/>
          </w:tcPr>
          <w:p w14:paraId="0CD31B59">
            <w:pPr>
              <w:widowControl w:val="0"/>
              <w:jc w:val="center"/>
            </w:pPr>
            <w:r>
              <w:rPr>
                <w:rFonts w:ascii="Times New Roman" w:hAnsi="Times New Roman"/>
                <w:sz w:val="24"/>
              </w:rPr>
              <w:t>Нет</w:t>
            </w:r>
          </w:p>
        </w:tc>
        <w:tc>
          <w:tcPr>
            <w:tcW w:w="1868" w:type="dxa"/>
            <w:vAlign w:val="center"/>
          </w:tcPr>
          <w:p w14:paraId="2C04BA2F">
            <w:pPr>
              <w:widowControl w:val="0"/>
              <w:jc w:val="center"/>
            </w:pPr>
            <w:r>
              <w:rPr>
                <w:rFonts w:ascii="Times New Roman" w:hAnsi="Times New Roman"/>
                <w:sz w:val="24"/>
              </w:rPr>
              <w:t>8</w:t>
            </w:r>
          </w:p>
        </w:tc>
        <w:tc>
          <w:tcPr>
            <w:tcW w:w="1839" w:type="dxa"/>
            <w:vAlign w:val="center"/>
          </w:tcPr>
          <w:p w14:paraId="0F02E646">
            <w:pPr>
              <w:widowControl w:val="0"/>
              <w:jc w:val="center"/>
            </w:pPr>
            <w:r>
              <w:rPr>
                <w:rFonts w:ascii="Times New Roman" w:hAnsi="Times New Roman"/>
                <w:sz w:val="24"/>
              </w:rPr>
              <w:t>100,0</w:t>
            </w:r>
          </w:p>
        </w:tc>
      </w:tr>
      <w:tr w14:paraId="45CFE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9" w:type="dxa"/>
          </w:tcPr>
          <w:p w14:paraId="3B98276C">
            <w:pPr>
              <w:widowControl w:val="0"/>
              <w:jc w:val="both"/>
            </w:pPr>
            <w:r>
              <w:rPr>
                <w:rFonts w:ascii="Times New Roman" w:hAnsi="Times New Roman"/>
                <w:sz w:val="24"/>
              </w:rPr>
              <w:t>Есть ли единая база актуальных шаблонов и инструкций?</w:t>
            </w:r>
          </w:p>
        </w:tc>
        <w:tc>
          <w:tcPr>
            <w:tcW w:w="2250" w:type="dxa"/>
            <w:vAlign w:val="center"/>
          </w:tcPr>
          <w:p w14:paraId="72ABEE5C">
            <w:pPr>
              <w:widowControl w:val="0"/>
              <w:jc w:val="center"/>
            </w:pPr>
            <w:r>
              <w:rPr>
                <w:rFonts w:ascii="Times New Roman" w:hAnsi="Times New Roman"/>
                <w:sz w:val="24"/>
              </w:rPr>
              <w:t>Да, удобная и актуальная</w:t>
            </w:r>
          </w:p>
        </w:tc>
        <w:tc>
          <w:tcPr>
            <w:tcW w:w="1868" w:type="dxa"/>
            <w:vAlign w:val="center"/>
          </w:tcPr>
          <w:p w14:paraId="7E030DF5">
            <w:pPr>
              <w:widowControl w:val="0"/>
              <w:jc w:val="center"/>
            </w:pPr>
            <w:r>
              <w:rPr>
                <w:rFonts w:ascii="Times New Roman" w:hAnsi="Times New Roman"/>
                <w:sz w:val="24"/>
              </w:rPr>
              <w:t>0</w:t>
            </w:r>
          </w:p>
        </w:tc>
        <w:tc>
          <w:tcPr>
            <w:tcW w:w="1839" w:type="dxa"/>
            <w:vAlign w:val="center"/>
          </w:tcPr>
          <w:p w14:paraId="117E6730">
            <w:pPr>
              <w:widowControl w:val="0"/>
              <w:jc w:val="center"/>
            </w:pPr>
            <w:r>
              <w:rPr>
                <w:rFonts w:ascii="Times New Roman" w:hAnsi="Times New Roman"/>
                <w:sz w:val="24"/>
              </w:rPr>
              <w:t>0,0</w:t>
            </w:r>
          </w:p>
        </w:tc>
      </w:tr>
      <w:tr w14:paraId="3E1F3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9" w:type="dxa"/>
          </w:tcPr>
          <w:p w14:paraId="0F2B3ACF">
            <w:pPr>
              <w:widowControl w:val="0"/>
              <w:jc w:val="both"/>
            </w:pPr>
            <w:r>
              <w:rPr>
                <w:rFonts w:ascii="Times New Roman" w:hAnsi="Times New Roman"/>
                <w:sz w:val="24"/>
              </w:rPr>
              <w:t>Есть ли единая база актуальных шаблонов и инструкций?</w:t>
            </w:r>
          </w:p>
        </w:tc>
        <w:tc>
          <w:tcPr>
            <w:tcW w:w="2250" w:type="dxa"/>
            <w:vAlign w:val="center"/>
          </w:tcPr>
          <w:p w14:paraId="49E8BC37">
            <w:pPr>
              <w:widowControl w:val="0"/>
              <w:jc w:val="center"/>
            </w:pPr>
            <w:r>
              <w:rPr>
                <w:rFonts w:ascii="Times New Roman" w:hAnsi="Times New Roman"/>
                <w:sz w:val="24"/>
              </w:rPr>
              <w:t>Есть отдельные материалы, но они разрознены</w:t>
            </w:r>
          </w:p>
        </w:tc>
        <w:tc>
          <w:tcPr>
            <w:tcW w:w="1868" w:type="dxa"/>
            <w:vAlign w:val="center"/>
          </w:tcPr>
          <w:p w14:paraId="6252F159">
            <w:pPr>
              <w:widowControl w:val="0"/>
              <w:jc w:val="center"/>
            </w:pPr>
            <w:r>
              <w:rPr>
                <w:rFonts w:ascii="Times New Roman" w:hAnsi="Times New Roman"/>
                <w:sz w:val="24"/>
              </w:rPr>
              <w:t>6</w:t>
            </w:r>
          </w:p>
        </w:tc>
        <w:tc>
          <w:tcPr>
            <w:tcW w:w="1839" w:type="dxa"/>
            <w:vAlign w:val="center"/>
          </w:tcPr>
          <w:p w14:paraId="6FFBBA3D">
            <w:pPr>
              <w:widowControl w:val="0"/>
              <w:jc w:val="center"/>
            </w:pPr>
            <w:r>
              <w:rPr>
                <w:rFonts w:ascii="Times New Roman" w:hAnsi="Times New Roman"/>
                <w:sz w:val="24"/>
              </w:rPr>
              <w:t>75,0</w:t>
            </w:r>
          </w:p>
        </w:tc>
      </w:tr>
      <w:tr w14:paraId="5FABD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9" w:type="dxa"/>
          </w:tcPr>
          <w:p w14:paraId="390AB36F">
            <w:pPr>
              <w:widowControl w:val="0"/>
              <w:jc w:val="both"/>
            </w:pPr>
            <w:r>
              <w:rPr>
                <w:rFonts w:ascii="Times New Roman" w:hAnsi="Times New Roman"/>
                <w:sz w:val="24"/>
              </w:rPr>
              <w:t>Есть ли единая база актуальных шаблонов и инструкций?</w:t>
            </w:r>
          </w:p>
        </w:tc>
        <w:tc>
          <w:tcPr>
            <w:tcW w:w="2250" w:type="dxa"/>
            <w:vAlign w:val="center"/>
          </w:tcPr>
          <w:p w14:paraId="63823F0F">
            <w:pPr>
              <w:widowControl w:val="0"/>
              <w:jc w:val="center"/>
            </w:pPr>
            <w:r>
              <w:rPr>
                <w:rFonts w:ascii="Times New Roman" w:hAnsi="Times New Roman"/>
                <w:sz w:val="24"/>
              </w:rPr>
              <w:t>Нет</w:t>
            </w:r>
          </w:p>
        </w:tc>
        <w:tc>
          <w:tcPr>
            <w:tcW w:w="1868" w:type="dxa"/>
            <w:vAlign w:val="center"/>
          </w:tcPr>
          <w:p w14:paraId="4F9D39ED">
            <w:pPr>
              <w:widowControl w:val="0"/>
              <w:jc w:val="center"/>
            </w:pPr>
            <w:r>
              <w:rPr>
                <w:rFonts w:ascii="Times New Roman" w:hAnsi="Times New Roman"/>
                <w:sz w:val="24"/>
              </w:rPr>
              <w:t>2</w:t>
            </w:r>
          </w:p>
        </w:tc>
        <w:tc>
          <w:tcPr>
            <w:tcW w:w="1839" w:type="dxa"/>
            <w:vAlign w:val="center"/>
          </w:tcPr>
          <w:p w14:paraId="74A53E8F">
            <w:pPr>
              <w:widowControl w:val="0"/>
              <w:jc w:val="center"/>
            </w:pPr>
            <w:r>
              <w:rPr>
                <w:rFonts w:ascii="Times New Roman" w:hAnsi="Times New Roman"/>
                <w:sz w:val="24"/>
              </w:rPr>
              <w:t>25,0</w:t>
            </w:r>
          </w:p>
        </w:tc>
      </w:tr>
    </w:tbl>
    <w:p w14:paraId="420ACCC2">
      <w:pPr>
        <w:spacing w:after="120" w:line="360" w:lineRule="auto"/>
        <w:jc w:val="both"/>
        <w:rPr>
          <w:rFonts w:hint="default"/>
          <w:lang w:val="ru-RU"/>
        </w:rPr>
      </w:pPr>
    </w:p>
    <w:p w14:paraId="4ABC9D0B">
      <w:pPr>
        <w:spacing w:after="120" w:line="360" w:lineRule="auto"/>
        <w:ind w:firstLine="700"/>
        <w:jc w:val="both"/>
      </w:pPr>
      <w:r>
        <w:rPr>
          <w:rFonts w:ascii="Times New Roman" w:hAnsi="Times New Roman"/>
          <w:b w:val="0"/>
          <w:i w:val="0"/>
          <w:sz w:val="28"/>
          <w:lang w:val="ru-RU"/>
        </w:rPr>
        <w:t>Ответы</w:t>
      </w:r>
      <w:r>
        <w:rPr>
          <w:rFonts w:hint="default" w:ascii="Times New Roman" w:hAnsi="Times New Roman"/>
          <w:b w:val="0"/>
          <w:i w:val="0"/>
          <w:sz w:val="28"/>
          <w:lang w:val="ru-RU"/>
        </w:rPr>
        <w:t xml:space="preserve"> сотрудников подтверждают вывод о том, что обучение в отделе не оформлено как система. Все 8 опрошенных указали, что утверждённой программы обучения нет. При этом 6 сотрудников из 8 сообщили, что не проходили вводное обучение при приёме на работу. Ещё 2 сотрудника отметили, что обучение было частичным и выражалось в объяснении отдельных задач, а не в последовательном освоенении должности. Также все респонденты указали, </w:t>
      </w:r>
      <w:r>
        <w:rPr>
          <w:rFonts w:ascii="Times New Roman" w:hAnsi="Times New Roman"/>
          <w:b w:val="0"/>
          <w:i w:val="0"/>
          <w:sz w:val="28"/>
        </w:rPr>
        <w:t>что регулярная проверка знаний по законодательству и работе с электронными площадками не проводится.</w:t>
      </w:r>
    </w:p>
    <w:p w14:paraId="46471012">
      <w:pPr>
        <w:spacing w:after="120" w:line="360" w:lineRule="auto"/>
        <w:ind w:firstLine="700"/>
        <w:jc w:val="both"/>
        <w:rPr>
          <w:rFonts w:hint="default" w:ascii="Times New Roman" w:hAnsi="Times New Roman"/>
          <w:b w:val="0"/>
          <w:i w:val="0"/>
          <w:sz w:val="28"/>
          <w:lang w:val="ru-RU"/>
        </w:rPr>
      </w:pPr>
      <w:r>
        <w:rPr>
          <w:rFonts w:hint="default" w:ascii="Times New Roman" w:hAnsi="Times New Roman"/>
          <w:b w:val="0"/>
          <w:i w:val="0"/>
          <w:sz w:val="28"/>
          <w:lang w:val="ru-RU"/>
        </w:rPr>
        <w:t>Особое значение имеет оценка базы материалов. Ни один сотрудник не выбрал вариант, что в компании существует удобная и актуальная база шаблонов и инструкций. Большинство отметили наличие отдельных материалов, но подчеркнули их разрозненность. Это соответствует ранее выявленной проблеме: информация в отделе существует, но она не структурирована и не воспринимается работниками как надёжный инструмент.</w:t>
      </w:r>
    </w:p>
    <w:p w14:paraId="363D82DE">
      <w:pPr>
        <w:spacing w:after="120" w:line="360" w:lineRule="auto"/>
        <w:ind w:firstLine="700"/>
        <w:jc w:val="right"/>
        <w:rPr>
          <w:sz w:val="24"/>
          <w:szCs w:val="24"/>
        </w:rPr>
      </w:pPr>
      <w:r>
        <w:rPr>
          <w:rFonts w:ascii="Times New Roman" w:hAnsi="Times New Roman"/>
          <w:b w:val="0"/>
          <w:i w:val="0"/>
          <w:sz w:val="24"/>
          <w:szCs w:val="24"/>
        </w:rPr>
        <w:t>Таблица 3.5. Источники получения профессиональных знаний сотрудниками тендерного отдела</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0533E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619619C8">
            <w:pPr>
              <w:widowControl w:val="0"/>
              <w:jc w:val="both"/>
              <w:rPr>
                <w:b w:val="0"/>
                <w:bCs/>
              </w:rPr>
            </w:pPr>
            <w:r>
              <w:rPr>
                <w:rFonts w:ascii="Times New Roman" w:hAnsi="Times New Roman"/>
                <w:b w:val="0"/>
                <w:bCs/>
                <w:sz w:val="24"/>
              </w:rPr>
              <w:t>Источник информации</w:t>
            </w:r>
          </w:p>
        </w:tc>
        <w:tc>
          <w:tcPr>
            <w:tcW w:w="3118" w:type="dxa"/>
          </w:tcPr>
          <w:p w14:paraId="653761BA">
            <w:pPr>
              <w:widowControl w:val="0"/>
              <w:jc w:val="both"/>
              <w:rPr>
                <w:b w:val="0"/>
                <w:bCs/>
              </w:rPr>
            </w:pPr>
            <w:r>
              <w:rPr>
                <w:rFonts w:ascii="Times New Roman" w:hAnsi="Times New Roman"/>
                <w:b w:val="0"/>
                <w:bCs/>
                <w:sz w:val="24"/>
              </w:rPr>
              <w:t>Количество сотрудников, отметивших источник</w:t>
            </w:r>
          </w:p>
        </w:tc>
        <w:tc>
          <w:tcPr>
            <w:tcW w:w="3118" w:type="dxa"/>
          </w:tcPr>
          <w:p w14:paraId="24B56EE5">
            <w:pPr>
              <w:widowControl w:val="0"/>
              <w:jc w:val="both"/>
              <w:rPr>
                <w:b w:val="0"/>
                <w:bCs/>
              </w:rPr>
            </w:pPr>
            <w:r>
              <w:rPr>
                <w:rFonts w:ascii="Times New Roman" w:hAnsi="Times New Roman"/>
                <w:b w:val="0"/>
                <w:bCs/>
                <w:sz w:val="24"/>
              </w:rPr>
              <w:t>Доля от численности отдела, %</w:t>
            </w:r>
          </w:p>
        </w:tc>
      </w:tr>
      <w:tr w14:paraId="10C07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4FE109EB">
            <w:pPr>
              <w:widowControl w:val="0"/>
              <w:jc w:val="both"/>
            </w:pPr>
            <w:r>
              <w:rPr>
                <w:rFonts w:ascii="Times New Roman" w:hAnsi="Times New Roman"/>
                <w:sz w:val="24"/>
              </w:rPr>
              <w:t>Самостоятельный поиск информации в интернете и справочных системах</w:t>
            </w:r>
          </w:p>
        </w:tc>
        <w:tc>
          <w:tcPr>
            <w:tcW w:w="3118" w:type="dxa"/>
          </w:tcPr>
          <w:p w14:paraId="09798C97">
            <w:pPr>
              <w:widowControl w:val="0"/>
              <w:jc w:val="center"/>
            </w:pPr>
            <w:r>
              <w:rPr>
                <w:rFonts w:ascii="Times New Roman" w:hAnsi="Times New Roman"/>
                <w:sz w:val="24"/>
              </w:rPr>
              <w:t>7</w:t>
            </w:r>
          </w:p>
        </w:tc>
        <w:tc>
          <w:tcPr>
            <w:tcW w:w="3118" w:type="dxa"/>
          </w:tcPr>
          <w:p w14:paraId="08F87C31">
            <w:pPr>
              <w:widowControl w:val="0"/>
              <w:jc w:val="center"/>
            </w:pPr>
            <w:r>
              <w:rPr>
                <w:rFonts w:ascii="Times New Roman" w:hAnsi="Times New Roman"/>
                <w:sz w:val="24"/>
              </w:rPr>
              <w:t>87,5</w:t>
            </w:r>
          </w:p>
        </w:tc>
      </w:tr>
      <w:tr w14:paraId="6CA2C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D63E522">
            <w:pPr>
              <w:widowControl w:val="0"/>
              <w:jc w:val="both"/>
            </w:pPr>
            <w:r>
              <w:rPr>
                <w:rFonts w:ascii="Times New Roman" w:hAnsi="Times New Roman"/>
                <w:sz w:val="24"/>
              </w:rPr>
              <w:t>Обращение к более опытным коллегам</w:t>
            </w:r>
          </w:p>
        </w:tc>
        <w:tc>
          <w:tcPr>
            <w:tcW w:w="3118" w:type="dxa"/>
          </w:tcPr>
          <w:p w14:paraId="0E2B0DB3">
            <w:pPr>
              <w:widowControl w:val="0"/>
              <w:jc w:val="center"/>
            </w:pPr>
            <w:r>
              <w:rPr>
                <w:rFonts w:ascii="Times New Roman" w:hAnsi="Times New Roman"/>
                <w:sz w:val="24"/>
              </w:rPr>
              <w:t>7</w:t>
            </w:r>
          </w:p>
        </w:tc>
        <w:tc>
          <w:tcPr>
            <w:tcW w:w="3118" w:type="dxa"/>
          </w:tcPr>
          <w:p w14:paraId="035D3F64">
            <w:pPr>
              <w:widowControl w:val="0"/>
              <w:jc w:val="center"/>
            </w:pPr>
            <w:r>
              <w:rPr>
                <w:rFonts w:ascii="Times New Roman" w:hAnsi="Times New Roman"/>
                <w:sz w:val="24"/>
              </w:rPr>
              <w:t>87,5</w:t>
            </w:r>
          </w:p>
        </w:tc>
      </w:tr>
      <w:tr w14:paraId="4D3F5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08D9DC3F">
            <w:pPr>
              <w:widowControl w:val="0"/>
              <w:jc w:val="both"/>
            </w:pPr>
            <w:r>
              <w:rPr>
                <w:rFonts w:ascii="Times New Roman" w:hAnsi="Times New Roman"/>
                <w:sz w:val="24"/>
              </w:rPr>
              <w:t>Устные пояснения руководителя отдела</w:t>
            </w:r>
          </w:p>
        </w:tc>
        <w:tc>
          <w:tcPr>
            <w:tcW w:w="3118" w:type="dxa"/>
          </w:tcPr>
          <w:p w14:paraId="399C283D">
            <w:pPr>
              <w:widowControl w:val="0"/>
              <w:jc w:val="center"/>
            </w:pPr>
            <w:r>
              <w:rPr>
                <w:rFonts w:ascii="Times New Roman" w:hAnsi="Times New Roman"/>
                <w:sz w:val="24"/>
              </w:rPr>
              <w:t>5</w:t>
            </w:r>
          </w:p>
        </w:tc>
        <w:tc>
          <w:tcPr>
            <w:tcW w:w="3118" w:type="dxa"/>
          </w:tcPr>
          <w:p w14:paraId="51017E04">
            <w:pPr>
              <w:widowControl w:val="0"/>
              <w:jc w:val="center"/>
            </w:pPr>
            <w:r>
              <w:rPr>
                <w:rFonts w:ascii="Times New Roman" w:hAnsi="Times New Roman"/>
                <w:sz w:val="24"/>
              </w:rPr>
              <w:t>62,5</w:t>
            </w:r>
          </w:p>
        </w:tc>
      </w:tr>
      <w:tr w14:paraId="79B20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48777E5C">
            <w:pPr>
              <w:widowControl w:val="0"/>
              <w:jc w:val="both"/>
            </w:pPr>
            <w:r>
              <w:rPr>
                <w:rFonts w:ascii="Times New Roman" w:hAnsi="Times New Roman"/>
                <w:sz w:val="24"/>
              </w:rPr>
              <w:t>Просмотр ранее поданных заявок</w:t>
            </w:r>
          </w:p>
        </w:tc>
        <w:tc>
          <w:tcPr>
            <w:tcW w:w="3118" w:type="dxa"/>
          </w:tcPr>
          <w:p w14:paraId="5E274DBB">
            <w:pPr>
              <w:widowControl w:val="0"/>
              <w:jc w:val="center"/>
            </w:pPr>
            <w:r>
              <w:rPr>
                <w:rFonts w:ascii="Times New Roman" w:hAnsi="Times New Roman"/>
                <w:sz w:val="24"/>
              </w:rPr>
              <w:t>6</w:t>
            </w:r>
          </w:p>
        </w:tc>
        <w:tc>
          <w:tcPr>
            <w:tcW w:w="3118" w:type="dxa"/>
          </w:tcPr>
          <w:p w14:paraId="5394AEFF">
            <w:pPr>
              <w:widowControl w:val="0"/>
              <w:jc w:val="center"/>
            </w:pPr>
            <w:r>
              <w:rPr>
                <w:rFonts w:ascii="Times New Roman" w:hAnsi="Times New Roman"/>
                <w:sz w:val="24"/>
              </w:rPr>
              <w:t>75,0</w:t>
            </w:r>
          </w:p>
        </w:tc>
      </w:tr>
      <w:tr w14:paraId="60042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651AC6A9">
            <w:pPr>
              <w:widowControl w:val="0"/>
              <w:jc w:val="both"/>
            </w:pPr>
            <w:r>
              <w:rPr>
                <w:rFonts w:ascii="Times New Roman" w:hAnsi="Times New Roman"/>
                <w:sz w:val="24"/>
              </w:rPr>
              <w:t>Записи вебинаров по 44-ФЗ/223-ФЗ</w:t>
            </w:r>
          </w:p>
        </w:tc>
        <w:tc>
          <w:tcPr>
            <w:tcW w:w="3118" w:type="dxa"/>
          </w:tcPr>
          <w:p w14:paraId="2F83FD26">
            <w:pPr>
              <w:widowControl w:val="0"/>
              <w:jc w:val="center"/>
            </w:pPr>
            <w:r>
              <w:rPr>
                <w:rFonts w:ascii="Times New Roman" w:hAnsi="Times New Roman"/>
                <w:sz w:val="24"/>
              </w:rPr>
              <w:t>4</w:t>
            </w:r>
          </w:p>
        </w:tc>
        <w:tc>
          <w:tcPr>
            <w:tcW w:w="3118" w:type="dxa"/>
          </w:tcPr>
          <w:p w14:paraId="51E600D5">
            <w:pPr>
              <w:widowControl w:val="0"/>
              <w:jc w:val="center"/>
            </w:pPr>
            <w:r>
              <w:rPr>
                <w:rFonts w:ascii="Times New Roman" w:hAnsi="Times New Roman"/>
                <w:sz w:val="24"/>
              </w:rPr>
              <w:t>50,0</w:t>
            </w:r>
          </w:p>
        </w:tc>
      </w:tr>
      <w:tr w14:paraId="1294D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327DD2B">
            <w:pPr>
              <w:widowControl w:val="0"/>
              <w:jc w:val="both"/>
            </w:pPr>
            <w:r>
              <w:rPr>
                <w:rFonts w:ascii="Times New Roman" w:hAnsi="Times New Roman"/>
                <w:sz w:val="24"/>
              </w:rPr>
              <w:t>Внутренние инструкции компании</w:t>
            </w:r>
          </w:p>
        </w:tc>
        <w:tc>
          <w:tcPr>
            <w:tcW w:w="3118" w:type="dxa"/>
          </w:tcPr>
          <w:p w14:paraId="2D58E7E8">
            <w:pPr>
              <w:widowControl w:val="0"/>
              <w:jc w:val="center"/>
            </w:pPr>
            <w:r>
              <w:rPr>
                <w:rFonts w:ascii="Times New Roman" w:hAnsi="Times New Roman"/>
                <w:sz w:val="24"/>
              </w:rPr>
              <w:t>1</w:t>
            </w:r>
          </w:p>
        </w:tc>
        <w:tc>
          <w:tcPr>
            <w:tcW w:w="3118" w:type="dxa"/>
          </w:tcPr>
          <w:p w14:paraId="291F8464">
            <w:pPr>
              <w:widowControl w:val="0"/>
              <w:jc w:val="center"/>
            </w:pPr>
            <w:r>
              <w:rPr>
                <w:rFonts w:ascii="Times New Roman" w:hAnsi="Times New Roman"/>
                <w:sz w:val="24"/>
              </w:rPr>
              <w:t>12,5</w:t>
            </w:r>
          </w:p>
        </w:tc>
      </w:tr>
      <w:tr w14:paraId="71EBF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27AD0D6B">
            <w:pPr>
              <w:widowControl w:val="0"/>
              <w:jc w:val="both"/>
            </w:pPr>
            <w:r>
              <w:rPr>
                <w:rFonts w:ascii="Times New Roman" w:hAnsi="Times New Roman"/>
                <w:sz w:val="24"/>
              </w:rPr>
              <w:t>Единый обучающий курс компании</w:t>
            </w:r>
          </w:p>
        </w:tc>
        <w:tc>
          <w:tcPr>
            <w:tcW w:w="3118" w:type="dxa"/>
          </w:tcPr>
          <w:p w14:paraId="4F07DD65">
            <w:pPr>
              <w:widowControl w:val="0"/>
              <w:jc w:val="center"/>
            </w:pPr>
            <w:r>
              <w:rPr>
                <w:rFonts w:ascii="Times New Roman" w:hAnsi="Times New Roman"/>
                <w:sz w:val="24"/>
              </w:rPr>
              <w:t>0</w:t>
            </w:r>
          </w:p>
        </w:tc>
        <w:tc>
          <w:tcPr>
            <w:tcW w:w="3118" w:type="dxa"/>
          </w:tcPr>
          <w:p w14:paraId="52693347">
            <w:pPr>
              <w:widowControl w:val="0"/>
              <w:jc w:val="center"/>
            </w:pPr>
            <w:r>
              <w:rPr>
                <w:rFonts w:ascii="Times New Roman" w:hAnsi="Times New Roman"/>
                <w:sz w:val="24"/>
              </w:rPr>
              <w:t>0,0</w:t>
            </w:r>
          </w:p>
        </w:tc>
      </w:tr>
    </w:tbl>
    <w:p w14:paraId="459C0E44">
      <w:pPr>
        <w:spacing w:after="120" w:line="360" w:lineRule="auto"/>
        <w:jc w:val="both"/>
      </w:pPr>
    </w:p>
    <w:p w14:paraId="6902B2A1">
      <w:pPr>
        <w:spacing w:after="120" w:line="360" w:lineRule="auto"/>
        <w:ind w:firstLine="700"/>
        <w:jc w:val="both"/>
        <w:rPr>
          <w:rFonts w:ascii="Times New Roman" w:hAnsi="Times New Roman"/>
          <w:b w:val="0"/>
          <w:i w:val="0"/>
          <w:sz w:val="28"/>
        </w:rPr>
      </w:pPr>
      <w:r>
        <w:rPr>
          <w:rFonts w:ascii="Times New Roman" w:hAnsi="Times New Roman"/>
          <w:b w:val="0"/>
          <w:i w:val="0"/>
          <w:sz w:val="28"/>
          <w:lang w:val="ru-RU"/>
        </w:rPr>
        <w:t>Результаты</w:t>
      </w:r>
      <w:r>
        <w:rPr>
          <w:rFonts w:hint="default" w:ascii="Times New Roman" w:hAnsi="Times New Roman"/>
          <w:b w:val="0"/>
          <w:i w:val="0"/>
          <w:sz w:val="28"/>
          <w:lang w:val="ru-RU"/>
        </w:rPr>
        <w:t xml:space="preserve"> таблицы 3.5 показывают, что основными источниками знаний являются самостоятельный поиск информации и обращение к коллегам. Это означает, что обучение в отделе фактически встроено в текущую работу. </w:t>
      </w:r>
      <w:r>
        <w:rPr>
          <w:rFonts w:ascii="Times New Roman" w:hAnsi="Times New Roman"/>
          <w:b w:val="0"/>
          <w:i w:val="0"/>
          <w:sz w:val="28"/>
        </w:rPr>
        <w:t xml:space="preserve"> С одной стороны, сотрудники проявляют самостоятельность и используют профессиональные контакты внутри отдела. С другой стороны, такой способ получения знаний не гарантирует единообразия: разные специалисты могут получать разные ответы, использовать разные источники и по-разному трактовать требования закупочной документации. Отсутствие единого обучающего курса отметили все участники опроса.</w:t>
      </w:r>
    </w:p>
    <w:p w14:paraId="19108AFC">
      <w:pPr>
        <w:spacing w:after="120" w:line="360" w:lineRule="auto"/>
        <w:ind w:firstLine="700"/>
        <w:jc w:val="both"/>
        <w:rPr>
          <w:rFonts w:hint="default" w:ascii="Times New Roman" w:hAnsi="Times New Roman"/>
          <w:b w:val="0"/>
          <w:i w:val="0"/>
          <w:sz w:val="28"/>
          <w:lang w:val="ru-RU"/>
        </w:rPr>
      </w:pPr>
      <w:r>
        <w:rPr>
          <w:rFonts w:ascii="Times New Roman" w:hAnsi="Times New Roman"/>
          <w:b w:val="0"/>
          <w:i w:val="0"/>
          <w:sz w:val="28"/>
          <w:lang w:val="ru-RU"/>
        </w:rPr>
        <w:t>Трудности</w:t>
      </w:r>
      <w:r>
        <w:rPr>
          <w:rFonts w:hint="default" w:ascii="Times New Roman" w:hAnsi="Times New Roman"/>
          <w:b w:val="0"/>
          <w:i w:val="0"/>
          <w:sz w:val="28"/>
          <w:lang w:val="ru-RU"/>
        </w:rPr>
        <w:t>, которые возникают  при подготовки заявок отражены в таблице 3.6.</w:t>
      </w:r>
    </w:p>
    <w:p w14:paraId="54ED461A">
      <w:pPr>
        <w:spacing w:after="120" w:line="360" w:lineRule="auto"/>
        <w:ind w:firstLine="700"/>
        <w:jc w:val="both"/>
        <w:rPr>
          <w:rFonts w:hint="default" w:ascii="Times New Roman" w:hAnsi="Times New Roman"/>
          <w:b w:val="0"/>
          <w:i w:val="0"/>
          <w:sz w:val="28"/>
          <w:lang w:val="ru-RU"/>
        </w:rPr>
      </w:pPr>
    </w:p>
    <w:p w14:paraId="054D67CE">
      <w:pPr>
        <w:spacing w:after="120" w:line="360" w:lineRule="auto"/>
        <w:ind w:firstLine="700"/>
        <w:jc w:val="right"/>
        <w:rPr>
          <w:sz w:val="24"/>
          <w:szCs w:val="24"/>
        </w:rPr>
      </w:pPr>
      <w:r>
        <w:rPr>
          <w:rFonts w:ascii="Times New Roman" w:hAnsi="Times New Roman"/>
          <w:b w:val="0"/>
          <w:i w:val="0"/>
          <w:sz w:val="24"/>
          <w:szCs w:val="24"/>
        </w:rPr>
        <w:t>Таблица 3.6. Трудности, с которыми сотрудники сталкиваются при подготовке заявок</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9"/>
        <w:gridCol w:w="2257"/>
        <w:gridCol w:w="2388"/>
      </w:tblGrid>
      <w:tr w14:paraId="1A594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9" w:type="dxa"/>
          </w:tcPr>
          <w:p w14:paraId="4F01A0B4">
            <w:pPr>
              <w:widowControl w:val="0"/>
              <w:jc w:val="center"/>
              <w:rPr>
                <w:b w:val="0"/>
                <w:bCs/>
              </w:rPr>
            </w:pPr>
            <w:r>
              <w:rPr>
                <w:rFonts w:ascii="Times New Roman" w:hAnsi="Times New Roman"/>
                <w:b w:val="0"/>
                <w:bCs/>
                <w:sz w:val="24"/>
              </w:rPr>
              <w:t>Трудность</w:t>
            </w:r>
          </w:p>
        </w:tc>
        <w:tc>
          <w:tcPr>
            <w:tcW w:w="2257" w:type="dxa"/>
          </w:tcPr>
          <w:p w14:paraId="6385A8FB">
            <w:pPr>
              <w:widowControl w:val="0"/>
              <w:jc w:val="center"/>
              <w:rPr>
                <w:b w:val="0"/>
                <w:bCs/>
              </w:rPr>
            </w:pPr>
            <w:r>
              <w:rPr>
                <w:rFonts w:ascii="Times New Roman" w:hAnsi="Times New Roman"/>
                <w:b w:val="0"/>
                <w:bCs/>
                <w:sz w:val="24"/>
              </w:rPr>
              <w:t>Количество ответов</w:t>
            </w:r>
          </w:p>
        </w:tc>
        <w:tc>
          <w:tcPr>
            <w:tcW w:w="2388" w:type="dxa"/>
          </w:tcPr>
          <w:p w14:paraId="5D5F7948">
            <w:pPr>
              <w:widowControl w:val="0"/>
              <w:jc w:val="center"/>
              <w:rPr>
                <w:b w:val="0"/>
                <w:bCs/>
              </w:rPr>
            </w:pPr>
            <w:r>
              <w:rPr>
                <w:rFonts w:ascii="Times New Roman" w:hAnsi="Times New Roman"/>
                <w:b w:val="0"/>
                <w:bCs/>
                <w:sz w:val="24"/>
              </w:rPr>
              <w:t>Доля, %</w:t>
            </w:r>
          </w:p>
        </w:tc>
      </w:tr>
      <w:tr w14:paraId="6381D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9" w:type="dxa"/>
          </w:tcPr>
          <w:p w14:paraId="6D03CEF6">
            <w:pPr>
              <w:widowControl w:val="0"/>
              <w:jc w:val="both"/>
              <w:rPr>
                <w:b w:val="0"/>
                <w:bCs/>
              </w:rPr>
            </w:pPr>
            <w:r>
              <w:rPr>
                <w:rFonts w:ascii="Times New Roman" w:hAnsi="Times New Roman"/>
                <w:b w:val="0"/>
                <w:bCs/>
                <w:sz w:val="24"/>
              </w:rPr>
              <w:t>Сложность отслеживания изменений в 44-ФЗ/223-ФЗ</w:t>
            </w:r>
          </w:p>
        </w:tc>
        <w:tc>
          <w:tcPr>
            <w:tcW w:w="2257" w:type="dxa"/>
          </w:tcPr>
          <w:p w14:paraId="3C9DB36B">
            <w:pPr>
              <w:widowControl w:val="0"/>
              <w:jc w:val="center"/>
              <w:rPr>
                <w:b w:val="0"/>
                <w:bCs/>
              </w:rPr>
            </w:pPr>
            <w:r>
              <w:rPr>
                <w:rFonts w:ascii="Times New Roman" w:hAnsi="Times New Roman"/>
                <w:b w:val="0"/>
                <w:bCs/>
                <w:sz w:val="24"/>
              </w:rPr>
              <w:t>6</w:t>
            </w:r>
          </w:p>
        </w:tc>
        <w:tc>
          <w:tcPr>
            <w:tcW w:w="2388" w:type="dxa"/>
          </w:tcPr>
          <w:p w14:paraId="43FFBF36">
            <w:pPr>
              <w:widowControl w:val="0"/>
              <w:jc w:val="center"/>
              <w:rPr>
                <w:b w:val="0"/>
                <w:bCs/>
              </w:rPr>
            </w:pPr>
            <w:r>
              <w:rPr>
                <w:rFonts w:ascii="Times New Roman" w:hAnsi="Times New Roman"/>
                <w:b w:val="0"/>
                <w:bCs/>
                <w:sz w:val="24"/>
              </w:rPr>
              <w:t>75,0</w:t>
            </w:r>
          </w:p>
        </w:tc>
      </w:tr>
      <w:tr w14:paraId="2DDA1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9" w:type="dxa"/>
          </w:tcPr>
          <w:p w14:paraId="1248C999">
            <w:pPr>
              <w:widowControl w:val="0"/>
              <w:jc w:val="both"/>
              <w:rPr>
                <w:b w:val="0"/>
                <w:bCs/>
              </w:rPr>
            </w:pPr>
            <w:r>
              <w:rPr>
                <w:rFonts w:ascii="Times New Roman" w:hAnsi="Times New Roman"/>
                <w:b w:val="0"/>
                <w:bCs/>
                <w:sz w:val="24"/>
              </w:rPr>
              <w:t>Неуверенность в актуальности используемых шаблонов</w:t>
            </w:r>
          </w:p>
        </w:tc>
        <w:tc>
          <w:tcPr>
            <w:tcW w:w="2257" w:type="dxa"/>
          </w:tcPr>
          <w:p w14:paraId="4C8F0D8C">
            <w:pPr>
              <w:widowControl w:val="0"/>
              <w:jc w:val="center"/>
              <w:rPr>
                <w:b w:val="0"/>
                <w:bCs/>
              </w:rPr>
            </w:pPr>
            <w:r>
              <w:rPr>
                <w:rFonts w:ascii="Times New Roman" w:hAnsi="Times New Roman"/>
                <w:b w:val="0"/>
                <w:bCs/>
                <w:sz w:val="24"/>
              </w:rPr>
              <w:t>7</w:t>
            </w:r>
          </w:p>
        </w:tc>
        <w:tc>
          <w:tcPr>
            <w:tcW w:w="2388" w:type="dxa"/>
          </w:tcPr>
          <w:p w14:paraId="47B52BB1">
            <w:pPr>
              <w:widowControl w:val="0"/>
              <w:jc w:val="center"/>
              <w:rPr>
                <w:b w:val="0"/>
                <w:bCs/>
              </w:rPr>
            </w:pPr>
            <w:r>
              <w:rPr>
                <w:rFonts w:ascii="Times New Roman" w:hAnsi="Times New Roman"/>
                <w:b w:val="0"/>
                <w:bCs/>
                <w:sz w:val="24"/>
              </w:rPr>
              <w:t>87,5</w:t>
            </w:r>
          </w:p>
        </w:tc>
      </w:tr>
      <w:tr w14:paraId="7F0C0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9" w:type="dxa"/>
          </w:tcPr>
          <w:p w14:paraId="78507ED8">
            <w:pPr>
              <w:widowControl w:val="0"/>
              <w:jc w:val="both"/>
              <w:rPr>
                <w:b w:val="0"/>
                <w:bCs/>
              </w:rPr>
            </w:pPr>
            <w:r>
              <w:rPr>
                <w:rFonts w:ascii="Times New Roman" w:hAnsi="Times New Roman"/>
                <w:b w:val="0"/>
                <w:bCs/>
                <w:sz w:val="24"/>
              </w:rPr>
              <w:t>Отсутствие единого чек-листа перед отправкой заявки</w:t>
            </w:r>
          </w:p>
        </w:tc>
        <w:tc>
          <w:tcPr>
            <w:tcW w:w="2257" w:type="dxa"/>
          </w:tcPr>
          <w:p w14:paraId="624CF970">
            <w:pPr>
              <w:widowControl w:val="0"/>
              <w:jc w:val="center"/>
              <w:rPr>
                <w:b w:val="0"/>
                <w:bCs/>
              </w:rPr>
            </w:pPr>
            <w:r>
              <w:rPr>
                <w:rFonts w:ascii="Times New Roman" w:hAnsi="Times New Roman"/>
                <w:b w:val="0"/>
                <w:bCs/>
                <w:sz w:val="24"/>
              </w:rPr>
              <w:t>7</w:t>
            </w:r>
          </w:p>
        </w:tc>
        <w:tc>
          <w:tcPr>
            <w:tcW w:w="2388" w:type="dxa"/>
          </w:tcPr>
          <w:p w14:paraId="1A5412D2">
            <w:pPr>
              <w:widowControl w:val="0"/>
              <w:jc w:val="center"/>
              <w:rPr>
                <w:b w:val="0"/>
                <w:bCs/>
              </w:rPr>
            </w:pPr>
            <w:r>
              <w:rPr>
                <w:rFonts w:ascii="Times New Roman" w:hAnsi="Times New Roman"/>
                <w:b w:val="0"/>
                <w:bCs/>
                <w:sz w:val="24"/>
              </w:rPr>
              <w:t>87,5</w:t>
            </w:r>
          </w:p>
        </w:tc>
      </w:tr>
      <w:tr w14:paraId="55B3E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9" w:type="dxa"/>
          </w:tcPr>
          <w:p w14:paraId="3CD1D7A3">
            <w:pPr>
              <w:widowControl w:val="0"/>
              <w:jc w:val="both"/>
              <w:rPr>
                <w:b w:val="0"/>
                <w:bCs/>
              </w:rPr>
            </w:pPr>
            <w:r>
              <w:rPr>
                <w:rFonts w:ascii="Times New Roman" w:hAnsi="Times New Roman"/>
                <w:b w:val="0"/>
                <w:bCs/>
                <w:sz w:val="24"/>
              </w:rPr>
              <w:t>Разные требования электронных торговых площадок</w:t>
            </w:r>
          </w:p>
        </w:tc>
        <w:tc>
          <w:tcPr>
            <w:tcW w:w="2257" w:type="dxa"/>
          </w:tcPr>
          <w:p w14:paraId="4DB90DBF">
            <w:pPr>
              <w:widowControl w:val="0"/>
              <w:jc w:val="center"/>
              <w:rPr>
                <w:b w:val="0"/>
                <w:bCs/>
              </w:rPr>
            </w:pPr>
            <w:r>
              <w:rPr>
                <w:rFonts w:ascii="Times New Roman" w:hAnsi="Times New Roman"/>
                <w:b w:val="0"/>
                <w:bCs/>
                <w:sz w:val="24"/>
              </w:rPr>
              <w:t>5</w:t>
            </w:r>
          </w:p>
        </w:tc>
        <w:tc>
          <w:tcPr>
            <w:tcW w:w="2388" w:type="dxa"/>
          </w:tcPr>
          <w:p w14:paraId="1E3D440B">
            <w:pPr>
              <w:widowControl w:val="0"/>
              <w:jc w:val="center"/>
              <w:rPr>
                <w:b w:val="0"/>
                <w:bCs/>
              </w:rPr>
            </w:pPr>
            <w:r>
              <w:rPr>
                <w:rFonts w:ascii="Times New Roman" w:hAnsi="Times New Roman"/>
                <w:b w:val="0"/>
                <w:bCs/>
                <w:sz w:val="24"/>
              </w:rPr>
              <w:t>62,5</w:t>
            </w:r>
          </w:p>
        </w:tc>
      </w:tr>
      <w:tr w14:paraId="1523D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9" w:type="dxa"/>
          </w:tcPr>
          <w:p w14:paraId="206A065D">
            <w:pPr>
              <w:widowControl w:val="0"/>
              <w:jc w:val="both"/>
              <w:rPr>
                <w:b w:val="0"/>
                <w:bCs/>
              </w:rPr>
            </w:pPr>
            <w:r>
              <w:rPr>
                <w:rFonts w:ascii="Times New Roman" w:hAnsi="Times New Roman"/>
                <w:b w:val="0"/>
                <w:bCs/>
                <w:sz w:val="24"/>
              </w:rPr>
              <w:t>Недостаток разбора реальных ошибок отдела</w:t>
            </w:r>
          </w:p>
        </w:tc>
        <w:tc>
          <w:tcPr>
            <w:tcW w:w="2257" w:type="dxa"/>
          </w:tcPr>
          <w:p w14:paraId="67F45973">
            <w:pPr>
              <w:widowControl w:val="0"/>
              <w:jc w:val="center"/>
              <w:rPr>
                <w:b w:val="0"/>
                <w:bCs/>
              </w:rPr>
            </w:pPr>
            <w:r>
              <w:rPr>
                <w:rFonts w:ascii="Times New Roman" w:hAnsi="Times New Roman"/>
                <w:b w:val="0"/>
                <w:bCs/>
                <w:sz w:val="24"/>
              </w:rPr>
              <w:t>6</w:t>
            </w:r>
          </w:p>
        </w:tc>
        <w:tc>
          <w:tcPr>
            <w:tcW w:w="2388" w:type="dxa"/>
          </w:tcPr>
          <w:p w14:paraId="1C9C8A71">
            <w:pPr>
              <w:widowControl w:val="0"/>
              <w:jc w:val="center"/>
              <w:rPr>
                <w:b w:val="0"/>
                <w:bCs/>
              </w:rPr>
            </w:pPr>
            <w:r>
              <w:rPr>
                <w:rFonts w:ascii="Times New Roman" w:hAnsi="Times New Roman"/>
                <w:b w:val="0"/>
                <w:bCs/>
                <w:sz w:val="24"/>
              </w:rPr>
              <w:t>75,0</w:t>
            </w:r>
          </w:p>
        </w:tc>
      </w:tr>
      <w:tr w14:paraId="15338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9" w:type="dxa"/>
          </w:tcPr>
          <w:p w14:paraId="53978A28">
            <w:pPr>
              <w:widowControl w:val="0"/>
              <w:jc w:val="both"/>
              <w:rPr>
                <w:b w:val="0"/>
                <w:bCs/>
              </w:rPr>
            </w:pPr>
            <w:r>
              <w:rPr>
                <w:rFonts w:ascii="Times New Roman" w:hAnsi="Times New Roman"/>
                <w:b w:val="0"/>
                <w:bCs/>
                <w:sz w:val="24"/>
              </w:rPr>
              <w:t>Нехватка времени на самостоятельное изучение изменений</w:t>
            </w:r>
          </w:p>
        </w:tc>
        <w:tc>
          <w:tcPr>
            <w:tcW w:w="2257" w:type="dxa"/>
          </w:tcPr>
          <w:p w14:paraId="203EA1A3">
            <w:pPr>
              <w:widowControl w:val="0"/>
              <w:jc w:val="center"/>
              <w:rPr>
                <w:b w:val="0"/>
                <w:bCs/>
              </w:rPr>
            </w:pPr>
            <w:r>
              <w:rPr>
                <w:rFonts w:ascii="Times New Roman" w:hAnsi="Times New Roman"/>
                <w:b w:val="0"/>
                <w:bCs/>
                <w:sz w:val="24"/>
              </w:rPr>
              <w:t>5</w:t>
            </w:r>
          </w:p>
        </w:tc>
        <w:tc>
          <w:tcPr>
            <w:tcW w:w="2388" w:type="dxa"/>
          </w:tcPr>
          <w:p w14:paraId="2A770CDA">
            <w:pPr>
              <w:widowControl w:val="0"/>
              <w:jc w:val="center"/>
              <w:rPr>
                <w:b w:val="0"/>
                <w:bCs/>
              </w:rPr>
            </w:pPr>
            <w:r>
              <w:rPr>
                <w:rFonts w:ascii="Times New Roman" w:hAnsi="Times New Roman"/>
                <w:b w:val="0"/>
                <w:bCs/>
                <w:sz w:val="24"/>
              </w:rPr>
              <w:t>62,5</w:t>
            </w:r>
          </w:p>
        </w:tc>
      </w:tr>
      <w:tr w14:paraId="41234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9" w:type="dxa"/>
          </w:tcPr>
          <w:p w14:paraId="4221DD96">
            <w:pPr>
              <w:widowControl w:val="0"/>
              <w:jc w:val="both"/>
              <w:rPr>
                <w:b w:val="0"/>
                <w:bCs/>
              </w:rPr>
            </w:pPr>
            <w:r>
              <w:rPr>
                <w:rFonts w:ascii="Times New Roman" w:hAnsi="Times New Roman"/>
                <w:b w:val="0"/>
                <w:bCs/>
                <w:sz w:val="24"/>
              </w:rPr>
              <w:t>Сложности в расчетах НМЦК и итоговой цены</w:t>
            </w:r>
          </w:p>
        </w:tc>
        <w:tc>
          <w:tcPr>
            <w:tcW w:w="2257" w:type="dxa"/>
          </w:tcPr>
          <w:p w14:paraId="280079AF">
            <w:pPr>
              <w:widowControl w:val="0"/>
              <w:jc w:val="center"/>
              <w:rPr>
                <w:b w:val="0"/>
                <w:bCs/>
              </w:rPr>
            </w:pPr>
            <w:r>
              <w:rPr>
                <w:rFonts w:ascii="Times New Roman" w:hAnsi="Times New Roman"/>
                <w:b w:val="0"/>
                <w:bCs/>
                <w:sz w:val="24"/>
              </w:rPr>
              <w:t>3</w:t>
            </w:r>
          </w:p>
        </w:tc>
        <w:tc>
          <w:tcPr>
            <w:tcW w:w="2388" w:type="dxa"/>
          </w:tcPr>
          <w:p w14:paraId="4425FDEB">
            <w:pPr>
              <w:widowControl w:val="0"/>
              <w:jc w:val="center"/>
              <w:rPr>
                <w:b w:val="0"/>
                <w:bCs/>
              </w:rPr>
            </w:pPr>
            <w:r>
              <w:rPr>
                <w:rFonts w:ascii="Times New Roman" w:hAnsi="Times New Roman"/>
                <w:b w:val="0"/>
                <w:bCs/>
                <w:sz w:val="24"/>
              </w:rPr>
              <w:t>37,5</w:t>
            </w:r>
          </w:p>
        </w:tc>
      </w:tr>
    </w:tbl>
    <w:p w14:paraId="1DC26EB6">
      <w:pPr>
        <w:spacing w:after="120" w:line="360" w:lineRule="auto"/>
        <w:jc w:val="both"/>
      </w:pPr>
    </w:p>
    <w:p w14:paraId="1C900075">
      <w:pPr>
        <w:spacing w:after="120" w:line="360" w:lineRule="auto"/>
        <w:ind w:firstLine="700"/>
        <w:jc w:val="both"/>
        <w:rPr>
          <w:rFonts w:hint="default" w:ascii="Times New Roman" w:hAnsi="Times New Roman"/>
          <w:b w:val="0"/>
          <w:i w:val="0"/>
          <w:sz w:val="28"/>
          <w:lang w:val="ru-RU"/>
        </w:rPr>
      </w:pPr>
      <w:r>
        <w:rPr>
          <w:rFonts w:ascii="Times New Roman" w:hAnsi="Times New Roman"/>
          <w:b w:val="0"/>
          <w:i w:val="0"/>
          <w:sz w:val="28"/>
          <w:lang w:val="ru-RU"/>
        </w:rPr>
        <w:t>Наиболее</w:t>
      </w:r>
      <w:r>
        <w:rPr>
          <w:rFonts w:hint="default" w:ascii="Times New Roman" w:hAnsi="Times New Roman"/>
          <w:b w:val="0"/>
          <w:i w:val="0"/>
          <w:sz w:val="28"/>
          <w:lang w:val="ru-RU"/>
        </w:rPr>
        <w:t xml:space="preserve"> часто сотрудники отмечают неуверенность в актуальности шаблонов и отсутствие единого чек-листа перед отправкой (7 ответов из 8). эти результаты напрямую связаны с выявленными причинами отклонения заявок. Если сотрудник не уверен, что форма документа является актуальной, то риск использования устаревшего шаблона возрастает. </w:t>
      </w:r>
      <w:r>
        <w:rPr>
          <w:rFonts w:ascii="Times New Roman" w:hAnsi="Times New Roman"/>
          <w:b w:val="0"/>
          <w:i w:val="0"/>
          <w:sz w:val="28"/>
        </w:rPr>
        <w:t>Если перед отправкой нет единой контрольной процедуры, увеличивается вероятность пропуска обязательного файла, неверного формата или технической ошибки на ЭТП.</w:t>
      </w:r>
    </w:p>
    <w:p w14:paraId="5CD95512">
      <w:pPr>
        <w:spacing w:after="120" w:line="360" w:lineRule="auto"/>
        <w:ind w:firstLine="700"/>
        <w:jc w:val="both"/>
      </w:pPr>
      <w:r>
        <w:rPr>
          <w:rFonts w:ascii="Times New Roman" w:hAnsi="Times New Roman"/>
          <w:b w:val="0"/>
          <w:i w:val="0"/>
          <w:sz w:val="28"/>
          <w:lang w:val="ru-RU"/>
        </w:rPr>
        <w:t>Шесть</w:t>
      </w:r>
      <w:r>
        <w:rPr>
          <w:rFonts w:hint="default" w:ascii="Times New Roman" w:hAnsi="Times New Roman"/>
          <w:b w:val="0"/>
          <w:i w:val="0"/>
          <w:sz w:val="28"/>
          <w:lang w:val="ru-RU"/>
        </w:rPr>
        <w:t xml:space="preserve"> сотрудников указали на сложность отслеживания изменений ы 44-ФЗ/223-ФЗ и недостаток разбора реальных ошибок отдела. Это показывает, что проблема обучения воспринимается работниками как нехватка регулярной профессиональной обратной связи. Сотрудникам важно понимать, какие ошибки уже возникали в отделе, почему они произошли и как они связаны с требованиями заказчиков.</w:t>
      </w:r>
    </w:p>
    <w:p w14:paraId="744A11E1">
      <w:pPr>
        <w:spacing w:after="120" w:line="360" w:lineRule="auto"/>
        <w:ind w:firstLine="700"/>
        <w:jc w:val="both"/>
        <w:rPr>
          <w:rFonts w:hint="default" w:ascii="Times New Roman" w:hAnsi="Times New Roman"/>
          <w:b w:val="0"/>
          <w:i w:val="0"/>
          <w:sz w:val="28"/>
          <w:lang w:val="ru-RU"/>
        </w:rPr>
      </w:pPr>
      <w:r>
        <w:rPr>
          <w:rFonts w:ascii="Times New Roman" w:hAnsi="Times New Roman"/>
          <w:b w:val="0"/>
          <w:i w:val="0"/>
          <w:sz w:val="28"/>
          <w:lang w:val="ru-RU"/>
        </w:rPr>
        <w:t>Из</w:t>
      </w:r>
      <w:r>
        <w:rPr>
          <w:rFonts w:hint="default" w:ascii="Times New Roman" w:hAnsi="Times New Roman"/>
          <w:b w:val="0"/>
          <w:i w:val="0"/>
          <w:sz w:val="28"/>
          <w:lang w:val="ru-RU"/>
        </w:rPr>
        <w:t xml:space="preserve"> таблицы 3.7 видно, что сотрудники осознают связь между обучением и качеством подготовки заявок. Все 8 человек отметили актуальные изменения законодательства и типовые ошибки при подготовке заявок. Семь сотрудников выделили подготовку комплекта документов и внутренние стандарты оформления. Это означает, что потребность работников сосредоточена не в общем повышении квалификации, а в конкретных рабочих знаниях, которые ежедневно используются при анализе закупки и подаче заявки.</w:t>
      </w:r>
    </w:p>
    <w:p w14:paraId="4B30A6C1">
      <w:pPr>
        <w:spacing w:after="120" w:line="360" w:lineRule="auto"/>
        <w:ind w:firstLine="700"/>
        <w:jc w:val="both"/>
        <w:rPr>
          <w:rFonts w:hint="default" w:ascii="Times New Roman" w:hAnsi="Times New Roman"/>
          <w:b w:val="0"/>
          <w:i w:val="0"/>
          <w:sz w:val="28"/>
          <w:lang w:val="ru-RU"/>
        </w:rPr>
      </w:pPr>
    </w:p>
    <w:p w14:paraId="409E26B0">
      <w:pPr>
        <w:spacing w:after="120" w:line="360" w:lineRule="auto"/>
        <w:ind w:firstLine="700"/>
        <w:jc w:val="right"/>
        <w:rPr>
          <w:sz w:val="18"/>
          <w:szCs w:val="18"/>
        </w:rPr>
      </w:pPr>
      <w:r>
        <w:rPr>
          <w:rFonts w:ascii="Times New Roman" w:hAnsi="Times New Roman"/>
          <w:b w:val="0"/>
          <w:i w:val="0"/>
          <w:sz w:val="24"/>
          <w:szCs w:val="18"/>
        </w:rPr>
        <w:t>Таблица 3.7. Профессиональные темы, которые сотрудники считают наиболее значимыми для освоения</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17"/>
        <w:gridCol w:w="2496"/>
        <w:gridCol w:w="2741"/>
      </w:tblGrid>
      <w:tr w14:paraId="7BEEE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7" w:type="dxa"/>
          </w:tcPr>
          <w:p w14:paraId="00FA166C">
            <w:pPr>
              <w:widowControl w:val="0"/>
              <w:jc w:val="center"/>
              <w:rPr>
                <w:b w:val="0"/>
                <w:bCs/>
              </w:rPr>
            </w:pPr>
            <w:r>
              <w:rPr>
                <w:rFonts w:ascii="Times New Roman" w:hAnsi="Times New Roman"/>
                <w:b w:val="0"/>
                <w:bCs/>
                <w:sz w:val="24"/>
              </w:rPr>
              <w:t>Тема</w:t>
            </w:r>
          </w:p>
        </w:tc>
        <w:tc>
          <w:tcPr>
            <w:tcW w:w="2496" w:type="dxa"/>
          </w:tcPr>
          <w:p w14:paraId="28CFD599">
            <w:pPr>
              <w:widowControl w:val="0"/>
              <w:jc w:val="center"/>
              <w:rPr>
                <w:b w:val="0"/>
                <w:bCs/>
              </w:rPr>
            </w:pPr>
            <w:r>
              <w:rPr>
                <w:rFonts w:ascii="Times New Roman" w:hAnsi="Times New Roman"/>
                <w:b w:val="0"/>
                <w:bCs/>
                <w:sz w:val="24"/>
              </w:rPr>
              <w:t>Количество ответов</w:t>
            </w:r>
          </w:p>
        </w:tc>
        <w:tc>
          <w:tcPr>
            <w:tcW w:w="2741" w:type="dxa"/>
          </w:tcPr>
          <w:p w14:paraId="532C3F9A">
            <w:pPr>
              <w:widowControl w:val="0"/>
              <w:jc w:val="center"/>
              <w:rPr>
                <w:b w:val="0"/>
                <w:bCs/>
              </w:rPr>
            </w:pPr>
            <w:r>
              <w:rPr>
                <w:rFonts w:ascii="Times New Roman" w:hAnsi="Times New Roman"/>
                <w:b w:val="0"/>
                <w:bCs/>
                <w:sz w:val="24"/>
              </w:rPr>
              <w:t>Доля, %</w:t>
            </w:r>
          </w:p>
        </w:tc>
      </w:tr>
      <w:tr w14:paraId="2C964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7" w:type="dxa"/>
          </w:tcPr>
          <w:p w14:paraId="69840CEF">
            <w:pPr>
              <w:widowControl w:val="0"/>
              <w:jc w:val="both"/>
            </w:pPr>
            <w:r>
              <w:rPr>
                <w:rFonts w:ascii="Times New Roman" w:hAnsi="Times New Roman"/>
                <w:sz w:val="24"/>
              </w:rPr>
              <w:t>Актуальные изменения 44-ФЗ и 223-ФЗ</w:t>
            </w:r>
          </w:p>
        </w:tc>
        <w:tc>
          <w:tcPr>
            <w:tcW w:w="2496" w:type="dxa"/>
          </w:tcPr>
          <w:p w14:paraId="68AF3ADB">
            <w:pPr>
              <w:widowControl w:val="0"/>
              <w:jc w:val="center"/>
            </w:pPr>
            <w:r>
              <w:rPr>
                <w:rFonts w:ascii="Times New Roman" w:hAnsi="Times New Roman"/>
                <w:sz w:val="24"/>
              </w:rPr>
              <w:t>8</w:t>
            </w:r>
          </w:p>
        </w:tc>
        <w:tc>
          <w:tcPr>
            <w:tcW w:w="2741" w:type="dxa"/>
          </w:tcPr>
          <w:p w14:paraId="34455DFC">
            <w:pPr>
              <w:widowControl w:val="0"/>
              <w:jc w:val="center"/>
            </w:pPr>
            <w:r>
              <w:rPr>
                <w:rFonts w:ascii="Times New Roman" w:hAnsi="Times New Roman"/>
                <w:sz w:val="24"/>
              </w:rPr>
              <w:t>100,0</w:t>
            </w:r>
          </w:p>
        </w:tc>
      </w:tr>
      <w:tr w14:paraId="079FE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7" w:type="dxa"/>
          </w:tcPr>
          <w:p w14:paraId="3C59C411">
            <w:pPr>
              <w:widowControl w:val="0"/>
              <w:jc w:val="both"/>
            </w:pPr>
            <w:r>
              <w:rPr>
                <w:rFonts w:ascii="Times New Roman" w:hAnsi="Times New Roman"/>
                <w:sz w:val="24"/>
              </w:rPr>
              <w:t>Типовые ошибки при подготовке заявок и причины отклонений</w:t>
            </w:r>
          </w:p>
        </w:tc>
        <w:tc>
          <w:tcPr>
            <w:tcW w:w="2496" w:type="dxa"/>
          </w:tcPr>
          <w:p w14:paraId="132BC371">
            <w:pPr>
              <w:widowControl w:val="0"/>
              <w:jc w:val="center"/>
            </w:pPr>
            <w:r>
              <w:rPr>
                <w:rFonts w:ascii="Times New Roman" w:hAnsi="Times New Roman"/>
                <w:sz w:val="24"/>
              </w:rPr>
              <w:t>8</w:t>
            </w:r>
          </w:p>
        </w:tc>
        <w:tc>
          <w:tcPr>
            <w:tcW w:w="2741" w:type="dxa"/>
          </w:tcPr>
          <w:p w14:paraId="558146AD">
            <w:pPr>
              <w:widowControl w:val="0"/>
              <w:jc w:val="center"/>
            </w:pPr>
            <w:r>
              <w:rPr>
                <w:rFonts w:ascii="Times New Roman" w:hAnsi="Times New Roman"/>
                <w:sz w:val="24"/>
              </w:rPr>
              <w:t>100,0</w:t>
            </w:r>
          </w:p>
        </w:tc>
      </w:tr>
      <w:tr w14:paraId="4991E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7" w:type="dxa"/>
          </w:tcPr>
          <w:p w14:paraId="47F8FB5A">
            <w:pPr>
              <w:widowControl w:val="0"/>
              <w:jc w:val="both"/>
            </w:pPr>
            <w:r>
              <w:rPr>
                <w:rFonts w:ascii="Times New Roman" w:hAnsi="Times New Roman"/>
                <w:sz w:val="24"/>
              </w:rPr>
              <w:t>Работа с разными электронными торговыми площадками</w:t>
            </w:r>
          </w:p>
        </w:tc>
        <w:tc>
          <w:tcPr>
            <w:tcW w:w="2496" w:type="dxa"/>
          </w:tcPr>
          <w:p w14:paraId="2D3EB2FD">
            <w:pPr>
              <w:widowControl w:val="0"/>
              <w:jc w:val="center"/>
            </w:pPr>
            <w:r>
              <w:rPr>
                <w:rFonts w:ascii="Times New Roman" w:hAnsi="Times New Roman"/>
                <w:sz w:val="24"/>
              </w:rPr>
              <w:t>6</w:t>
            </w:r>
          </w:p>
        </w:tc>
        <w:tc>
          <w:tcPr>
            <w:tcW w:w="2741" w:type="dxa"/>
          </w:tcPr>
          <w:p w14:paraId="01EAC874">
            <w:pPr>
              <w:widowControl w:val="0"/>
              <w:jc w:val="center"/>
            </w:pPr>
            <w:r>
              <w:rPr>
                <w:rFonts w:ascii="Times New Roman" w:hAnsi="Times New Roman"/>
                <w:sz w:val="24"/>
              </w:rPr>
              <w:t>75,0</w:t>
            </w:r>
          </w:p>
        </w:tc>
      </w:tr>
      <w:tr w14:paraId="23913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7" w:type="dxa"/>
          </w:tcPr>
          <w:p w14:paraId="33C5AFE8">
            <w:pPr>
              <w:widowControl w:val="0"/>
              <w:jc w:val="both"/>
            </w:pPr>
            <w:r>
              <w:rPr>
                <w:rFonts w:ascii="Times New Roman" w:hAnsi="Times New Roman"/>
                <w:sz w:val="24"/>
              </w:rPr>
              <w:t>Подготовка и проверка комплекта документов</w:t>
            </w:r>
          </w:p>
        </w:tc>
        <w:tc>
          <w:tcPr>
            <w:tcW w:w="2496" w:type="dxa"/>
          </w:tcPr>
          <w:p w14:paraId="1D0BB797">
            <w:pPr>
              <w:widowControl w:val="0"/>
              <w:jc w:val="center"/>
            </w:pPr>
            <w:r>
              <w:rPr>
                <w:rFonts w:ascii="Times New Roman" w:hAnsi="Times New Roman"/>
                <w:sz w:val="24"/>
              </w:rPr>
              <w:t>7</w:t>
            </w:r>
          </w:p>
        </w:tc>
        <w:tc>
          <w:tcPr>
            <w:tcW w:w="2741" w:type="dxa"/>
          </w:tcPr>
          <w:p w14:paraId="77CA2645">
            <w:pPr>
              <w:widowControl w:val="0"/>
              <w:jc w:val="center"/>
            </w:pPr>
            <w:r>
              <w:rPr>
                <w:rFonts w:ascii="Times New Roman" w:hAnsi="Times New Roman"/>
                <w:sz w:val="24"/>
              </w:rPr>
              <w:t>87,5</w:t>
            </w:r>
          </w:p>
        </w:tc>
      </w:tr>
      <w:tr w14:paraId="482C0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7" w:type="dxa"/>
          </w:tcPr>
          <w:p w14:paraId="2FC9318A">
            <w:pPr>
              <w:widowControl w:val="0"/>
              <w:jc w:val="both"/>
            </w:pPr>
            <w:r>
              <w:rPr>
                <w:rFonts w:ascii="Times New Roman" w:hAnsi="Times New Roman"/>
                <w:sz w:val="24"/>
              </w:rPr>
              <w:t>Расчет НМЦК, цены контракта и учет НДС</w:t>
            </w:r>
          </w:p>
        </w:tc>
        <w:tc>
          <w:tcPr>
            <w:tcW w:w="2496" w:type="dxa"/>
          </w:tcPr>
          <w:p w14:paraId="4F8B11F3">
            <w:pPr>
              <w:widowControl w:val="0"/>
              <w:jc w:val="center"/>
            </w:pPr>
            <w:r>
              <w:rPr>
                <w:rFonts w:ascii="Times New Roman" w:hAnsi="Times New Roman"/>
                <w:sz w:val="24"/>
              </w:rPr>
              <w:t>5</w:t>
            </w:r>
          </w:p>
        </w:tc>
        <w:tc>
          <w:tcPr>
            <w:tcW w:w="2741" w:type="dxa"/>
          </w:tcPr>
          <w:p w14:paraId="38341A96">
            <w:pPr>
              <w:widowControl w:val="0"/>
              <w:jc w:val="center"/>
            </w:pPr>
            <w:r>
              <w:rPr>
                <w:rFonts w:ascii="Times New Roman" w:hAnsi="Times New Roman"/>
                <w:sz w:val="24"/>
              </w:rPr>
              <w:t>62,5</w:t>
            </w:r>
          </w:p>
        </w:tc>
      </w:tr>
      <w:tr w14:paraId="1B5FD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7" w:type="dxa"/>
          </w:tcPr>
          <w:p w14:paraId="7154BD8D">
            <w:pPr>
              <w:widowControl w:val="0"/>
              <w:jc w:val="both"/>
            </w:pPr>
            <w:r>
              <w:rPr>
                <w:rFonts w:ascii="Times New Roman" w:hAnsi="Times New Roman"/>
                <w:sz w:val="24"/>
              </w:rPr>
              <w:t>Подтверждение опыта и квалификационных требований</w:t>
            </w:r>
          </w:p>
        </w:tc>
        <w:tc>
          <w:tcPr>
            <w:tcW w:w="2496" w:type="dxa"/>
          </w:tcPr>
          <w:p w14:paraId="14E73046">
            <w:pPr>
              <w:widowControl w:val="0"/>
              <w:jc w:val="center"/>
            </w:pPr>
            <w:r>
              <w:rPr>
                <w:rFonts w:ascii="Times New Roman" w:hAnsi="Times New Roman"/>
                <w:sz w:val="24"/>
              </w:rPr>
              <w:t>6</w:t>
            </w:r>
          </w:p>
        </w:tc>
        <w:tc>
          <w:tcPr>
            <w:tcW w:w="2741" w:type="dxa"/>
          </w:tcPr>
          <w:p w14:paraId="46F8DDBB">
            <w:pPr>
              <w:widowControl w:val="0"/>
              <w:jc w:val="center"/>
            </w:pPr>
            <w:r>
              <w:rPr>
                <w:rFonts w:ascii="Times New Roman" w:hAnsi="Times New Roman"/>
                <w:sz w:val="24"/>
              </w:rPr>
              <w:t>75,0</w:t>
            </w:r>
          </w:p>
        </w:tc>
      </w:tr>
      <w:tr w14:paraId="7B8E4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7" w:type="dxa"/>
          </w:tcPr>
          <w:p w14:paraId="69DD7FBE">
            <w:pPr>
              <w:widowControl w:val="0"/>
              <w:jc w:val="both"/>
            </w:pPr>
            <w:r>
              <w:rPr>
                <w:rFonts w:ascii="Times New Roman" w:hAnsi="Times New Roman"/>
                <w:sz w:val="24"/>
              </w:rPr>
              <w:t>Внутренние стандарты оформления и хранения документов</w:t>
            </w:r>
          </w:p>
        </w:tc>
        <w:tc>
          <w:tcPr>
            <w:tcW w:w="2496" w:type="dxa"/>
          </w:tcPr>
          <w:p w14:paraId="0335FD8A">
            <w:pPr>
              <w:widowControl w:val="0"/>
              <w:jc w:val="center"/>
            </w:pPr>
            <w:r>
              <w:rPr>
                <w:rFonts w:ascii="Times New Roman" w:hAnsi="Times New Roman"/>
                <w:sz w:val="24"/>
              </w:rPr>
              <w:t>7</w:t>
            </w:r>
          </w:p>
        </w:tc>
        <w:tc>
          <w:tcPr>
            <w:tcW w:w="2741" w:type="dxa"/>
          </w:tcPr>
          <w:p w14:paraId="2146C40A">
            <w:pPr>
              <w:widowControl w:val="0"/>
              <w:jc w:val="center"/>
            </w:pPr>
            <w:r>
              <w:rPr>
                <w:rFonts w:ascii="Times New Roman" w:hAnsi="Times New Roman"/>
                <w:sz w:val="24"/>
              </w:rPr>
              <w:t>87,5</w:t>
            </w:r>
          </w:p>
        </w:tc>
      </w:tr>
    </w:tbl>
    <w:p w14:paraId="3680505C">
      <w:pPr>
        <w:spacing w:after="120" w:line="360" w:lineRule="auto"/>
        <w:ind w:firstLine="700"/>
        <w:jc w:val="both"/>
        <w:rPr>
          <w:rFonts w:hint="default" w:ascii="Times New Roman" w:hAnsi="Times New Roman"/>
          <w:b w:val="0"/>
          <w:i w:val="0"/>
          <w:sz w:val="28"/>
          <w:lang w:val="ru-RU"/>
        </w:rPr>
      </w:pPr>
    </w:p>
    <w:p w14:paraId="53B5E201">
      <w:pPr>
        <w:spacing w:after="120" w:line="360" w:lineRule="auto"/>
        <w:ind w:firstLine="700"/>
        <w:jc w:val="both"/>
        <w:rPr>
          <w:rFonts w:hint="default" w:ascii="Times New Roman" w:hAnsi="Times New Roman"/>
          <w:b w:val="0"/>
          <w:i w:val="0"/>
          <w:sz w:val="28"/>
          <w:lang w:val="ru-RU"/>
        </w:rPr>
      </w:pPr>
      <w:r>
        <w:rPr>
          <w:rFonts w:ascii="Times New Roman" w:hAnsi="Times New Roman"/>
          <w:b w:val="0"/>
          <w:i w:val="0"/>
          <w:sz w:val="28"/>
          <w:lang w:val="ru-RU"/>
        </w:rPr>
        <w:t>Дополнительно</w:t>
      </w:r>
      <w:r>
        <w:rPr>
          <w:rFonts w:hint="default" w:ascii="Times New Roman" w:hAnsi="Times New Roman"/>
          <w:b w:val="0"/>
          <w:i w:val="0"/>
          <w:sz w:val="28"/>
          <w:lang w:val="ru-RU"/>
        </w:rPr>
        <w:t xml:space="preserve"> сотрудникам было предложено оценить удовлетворённость существующим уровнем обучения по пятибалльной шкале, где 1 означает полную неудовлетворённость, а 5 </w:t>
      </w:r>
      <w:r>
        <w:rPr>
          <w:rFonts w:ascii="Times New Roman" w:hAnsi="Times New Roman"/>
          <w:b w:val="0"/>
          <w:i w:val="0"/>
          <w:sz w:val="28"/>
        </w:rPr>
        <w:t>— полную</w:t>
      </w:r>
      <w:r>
        <w:rPr>
          <w:rFonts w:hint="default" w:ascii="Times New Roman" w:hAnsi="Times New Roman"/>
          <w:b w:val="0"/>
          <w:i w:val="0"/>
          <w:sz w:val="28"/>
          <w:lang w:val="ru-RU"/>
        </w:rPr>
        <w:t xml:space="preserve"> удовлетворённость (см.табл.3.8.). Средняя оценка составила 2.1. балла. Ни один сотрудник не поставил оценку 5, </w:t>
      </w:r>
      <w:r>
        <w:rPr>
          <w:rFonts w:ascii="Times New Roman" w:hAnsi="Times New Roman"/>
          <w:b w:val="0"/>
          <w:i w:val="0"/>
          <w:sz w:val="28"/>
        </w:rPr>
        <w:t>только один сотрудник поставил оценку 4, три сотрудника выбрали оценку 2 и два сотрудника — оценку 1</w:t>
      </w:r>
      <w:r>
        <w:rPr>
          <w:rFonts w:hint="default" w:ascii="Times New Roman" w:hAnsi="Times New Roman"/>
          <w:b w:val="0"/>
          <w:i w:val="0"/>
          <w:sz w:val="28"/>
          <w:lang w:val="ru-RU"/>
        </w:rPr>
        <w:t>. такой результат отражает низкую субъективную удовлетворённость действующей системой подготовки и развития.</w:t>
      </w:r>
    </w:p>
    <w:p w14:paraId="0BB333EB">
      <w:pPr>
        <w:spacing w:after="120" w:line="360" w:lineRule="auto"/>
        <w:ind w:firstLine="700"/>
        <w:jc w:val="both"/>
        <w:rPr>
          <w:rFonts w:hint="default" w:ascii="Times New Roman" w:hAnsi="Times New Roman"/>
          <w:b w:val="0"/>
          <w:i w:val="0"/>
          <w:sz w:val="28"/>
          <w:lang w:val="ru-RU"/>
        </w:rPr>
      </w:pPr>
    </w:p>
    <w:p w14:paraId="7EAB294F">
      <w:pPr>
        <w:spacing w:after="120" w:line="360" w:lineRule="auto"/>
        <w:ind w:firstLine="700"/>
        <w:jc w:val="both"/>
        <w:rPr>
          <w:rFonts w:hint="default" w:ascii="Times New Roman" w:hAnsi="Times New Roman"/>
          <w:b w:val="0"/>
          <w:i w:val="0"/>
          <w:sz w:val="28"/>
          <w:lang w:val="ru-RU"/>
        </w:rPr>
      </w:pPr>
    </w:p>
    <w:p w14:paraId="0D6A92B2">
      <w:pPr>
        <w:spacing w:after="120" w:line="360" w:lineRule="auto"/>
        <w:ind w:firstLine="700"/>
        <w:jc w:val="right"/>
        <w:rPr>
          <w:sz w:val="18"/>
          <w:szCs w:val="18"/>
        </w:rPr>
      </w:pPr>
      <w:r>
        <w:rPr>
          <w:rFonts w:ascii="Times New Roman" w:hAnsi="Times New Roman"/>
          <w:b w:val="0"/>
          <w:i w:val="0"/>
          <w:sz w:val="24"/>
          <w:szCs w:val="18"/>
        </w:rPr>
        <w:t>Таблица 3.8. Оценка удовлетвор</w:t>
      </w:r>
      <w:r>
        <w:rPr>
          <w:rFonts w:ascii="Times New Roman" w:hAnsi="Times New Roman"/>
          <w:b w:val="0"/>
          <w:i w:val="0"/>
          <w:sz w:val="24"/>
          <w:szCs w:val="18"/>
          <w:lang w:val="ru-RU"/>
        </w:rPr>
        <w:t>ё</w:t>
      </w:r>
      <w:r>
        <w:rPr>
          <w:rFonts w:ascii="Times New Roman" w:hAnsi="Times New Roman"/>
          <w:b w:val="0"/>
          <w:i w:val="0"/>
          <w:sz w:val="24"/>
          <w:szCs w:val="18"/>
        </w:rPr>
        <w:t>нности сотрудников действующим порядком обучения</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2D5E6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1D7ADA23">
            <w:pPr>
              <w:widowControl w:val="0"/>
              <w:jc w:val="both"/>
              <w:rPr>
                <w:b w:val="0"/>
                <w:bCs/>
              </w:rPr>
            </w:pPr>
            <w:r>
              <w:rPr>
                <w:rFonts w:ascii="Times New Roman" w:hAnsi="Times New Roman"/>
                <w:b w:val="0"/>
                <w:bCs/>
                <w:sz w:val="24"/>
              </w:rPr>
              <w:t>Оценка по пятибалльной шкале</w:t>
            </w:r>
          </w:p>
        </w:tc>
        <w:tc>
          <w:tcPr>
            <w:tcW w:w="3118" w:type="dxa"/>
          </w:tcPr>
          <w:p w14:paraId="38AA71DA">
            <w:pPr>
              <w:widowControl w:val="0"/>
              <w:jc w:val="both"/>
              <w:rPr>
                <w:b w:val="0"/>
                <w:bCs/>
              </w:rPr>
            </w:pPr>
            <w:r>
              <w:rPr>
                <w:rFonts w:ascii="Times New Roman" w:hAnsi="Times New Roman"/>
                <w:b w:val="0"/>
                <w:bCs/>
                <w:sz w:val="24"/>
              </w:rPr>
              <w:t>Количество сотрудников</w:t>
            </w:r>
          </w:p>
        </w:tc>
        <w:tc>
          <w:tcPr>
            <w:tcW w:w="3118" w:type="dxa"/>
          </w:tcPr>
          <w:p w14:paraId="23D3B43B">
            <w:pPr>
              <w:widowControl w:val="0"/>
              <w:jc w:val="both"/>
              <w:rPr>
                <w:b w:val="0"/>
                <w:bCs/>
              </w:rPr>
            </w:pPr>
            <w:r>
              <w:rPr>
                <w:rFonts w:ascii="Times New Roman" w:hAnsi="Times New Roman"/>
                <w:b w:val="0"/>
                <w:bCs/>
                <w:sz w:val="24"/>
              </w:rPr>
              <w:t>Доля, %</w:t>
            </w:r>
          </w:p>
        </w:tc>
      </w:tr>
      <w:tr w14:paraId="5A8BB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07EB599C">
            <w:pPr>
              <w:widowControl w:val="0"/>
              <w:jc w:val="both"/>
            </w:pPr>
            <w:r>
              <w:rPr>
                <w:rFonts w:ascii="Times New Roman" w:hAnsi="Times New Roman"/>
                <w:sz w:val="24"/>
              </w:rPr>
              <w:t>1</w:t>
            </w:r>
          </w:p>
        </w:tc>
        <w:tc>
          <w:tcPr>
            <w:tcW w:w="3118" w:type="dxa"/>
          </w:tcPr>
          <w:p w14:paraId="08E55DE2">
            <w:pPr>
              <w:widowControl w:val="0"/>
              <w:jc w:val="both"/>
            </w:pPr>
            <w:r>
              <w:rPr>
                <w:rFonts w:ascii="Times New Roman" w:hAnsi="Times New Roman"/>
                <w:sz w:val="24"/>
              </w:rPr>
              <w:t>2</w:t>
            </w:r>
          </w:p>
        </w:tc>
        <w:tc>
          <w:tcPr>
            <w:tcW w:w="3118" w:type="dxa"/>
          </w:tcPr>
          <w:p w14:paraId="661A71A4">
            <w:pPr>
              <w:widowControl w:val="0"/>
              <w:jc w:val="both"/>
            </w:pPr>
            <w:r>
              <w:rPr>
                <w:rFonts w:ascii="Times New Roman" w:hAnsi="Times New Roman"/>
                <w:sz w:val="24"/>
              </w:rPr>
              <w:t>25,0</w:t>
            </w:r>
          </w:p>
        </w:tc>
      </w:tr>
      <w:tr w14:paraId="17FA0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B1067B5">
            <w:pPr>
              <w:widowControl w:val="0"/>
              <w:jc w:val="both"/>
            </w:pPr>
            <w:r>
              <w:rPr>
                <w:rFonts w:ascii="Times New Roman" w:hAnsi="Times New Roman"/>
                <w:sz w:val="24"/>
              </w:rPr>
              <w:t>2</w:t>
            </w:r>
          </w:p>
        </w:tc>
        <w:tc>
          <w:tcPr>
            <w:tcW w:w="3118" w:type="dxa"/>
          </w:tcPr>
          <w:p w14:paraId="391E6417">
            <w:pPr>
              <w:widowControl w:val="0"/>
              <w:jc w:val="both"/>
            </w:pPr>
            <w:r>
              <w:rPr>
                <w:rFonts w:ascii="Times New Roman" w:hAnsi="Times New Roman"/>
                <w:sz w:val="24"/>
              </w:rPr>
              <w:t>3</w:t>
            </w:r>
          </w:p>
        </w:tc>
        <w:tc>
          <w:tcPr>
            <w:tcW w:w="3118" w:type="dxa"/>
          </w:tcPr>
          <w:p w14:paraId="036F554C">
            <w:pPr>
              <w:widowControl w:val="0"/>
              <w:jc w:val="both"/>
            </w:pPr>
            <w:r>
              <w:rPr>
                <w:rFonts w:ascii="Times New Roman" w:hAnsi="Times New Roman"/>
                <w:sz w:val="24"/>
              </w:rPr>
              <w:t>37,5</w:t>
            </w:r>
          </w:p>
        </w:tc>
      </w:tr>
      <w:tr w14:paraId="35ED5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2E4936EE">
            <w:pPr>
              <w:widowControl w:val="0"/>
              <w:jc w:val="both"/>
            </w:pPr>
            <w:r>
              <w:rPr>
                <w:rFonts w:ascii="Times New Roman" w:hAnsi="Times New Roman"/>
                <w:sz w:val="24"/>
              </w:rPr>
              <w:t>3</w:t>
            </w:r>
          </w:p>
        </w:tc>
        <w:tc>
          <w:tcPr>
            <w:tcW w:w="3118" w:type="dxa"/>
          </w:tcPr>
          <w:p w14:paraId="29D6C9D8">
            <w:pPr>
              <w:widowControl w:val="0"/>
              <w:jc w:val="both"/>
            </w:pPr>
            <w:r>
              <w:rPr>
                <w:rFonts w:ascii="Times New Roman" w:hAnsi="Times New Roman"/>
                <w:sz w:val="24"/>
              </w:rPr>
              <w:t>2</w:t>
            </w:r>
          </w:p>
        </w:tc>
        <w:tc>
          <w:tcPr>
            <w:tcW w:w="3118" w:type="dxa"/>
          </w:tcPr>
          <w:p w14:paraId="2DE5A7E9">
            <w:pPr>
              <w:widowControl w:val="0"/>
              <w:jc w:val="both"/>
            </w:pPr>
            <w:r>
              <w:rPr>
                <w:rFonts w:ascii="Times New Roman" w:hAnsi="Times New Roman"/>
                <w:sz w:val="24"/>
              </w:rPr>
              <w:t>25,0</w:t>
            </w:r>
          </w:p>
        </w:tc>
      </w:tr>
      <w:tr w14:paraId="153F7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18F19B6">
            <w:pPr>
              <w:widowControl w:val="0"/>
              <w:jc w:val="both"/>
            </w:pPr>
            <w:r>
              <w:rPr>
                <w:rFonts w:ascii="Times New Roman" w:hAnsi="Times New Roman"/>
                <w:sz w:val="24"/>
              </w:rPr>
              <w:t>4</w:t>
            </w:r>
          </w:p>
        </w:tc>
        <w:tc>
          <w:tcPr>
            <w:tcW w:w="3118" w:type="dxa"/>
          </w:tcPr>
          <w:p w14:paraId="14486703">
            <w:pPr>
              <w:widowControl w:val="0"/>
              <w:jc w:val="both"/>
            </w:pPr>
            <w:r>
              <w:rPr>
                <w:rFonts w:ascii="Times New Roman" w:hAnsi="Times New Roman"/>
                <w:sz w:val="24"/>
              </w:rPr>
              <w:t>1</w:t>
            </w:r>
          </w:p>
        </w:tc>
        <w:tc>
          <w:tcPr>
            <w:tcW w:w="3118" w:type="dxa"/>
          </w:tcPr>
          <w:p w14:paraId="393D4A7D">
            <w:pPr>
              <w:widowControl w:val="0"/>
              <w:jc w:val="both"/>
            </w:pPr>
            <w:r>
              <w:rPr>
                <w:rFonts w:ascii="Times New Roman" w:hAnsi="Times New Roman"/>
                <w:sz w:val="24"/>
              </w:rPr>
              <w:t>12,5</w:t>
            </w:r>
          </w:p>
        </w:tc>
      </w:tr>
      <w:tr w14:paraId="139C4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1776C16C">
            <w:pPr>
              <w:widowControl w:val="0"/>
              <w:jc w:val="both"/>
            </w:pPr>
            <w:r>
              <w:rPr>
                <w:rFonts w:ascii="Times New Roman" w:hAnsi="Times New Roman"/>
                <w:sz w:val="24"/>
              </w:rPr>
              <w:t>5</w:t>
            </w:r>
          </w:p>
        </w:tc>
        <w:tc>
          <w:tcPr>
            <w:tcW w:w="3118" w:type="dxa"/>
          </w:tcPr>
          <w:p w14:paraId="77FE4655">
            <w:pPr>
              <w:widowControl w:val="0"/>
              <w:jc w:val="both"/>
            </w:pPr>
            <w:r>
              <w:rPr>
                <w:rFonts w:ascii="Times New Roman" w:hAnsi="Times New Roman"/>
                <w:sz w:val="24"/>
              </w:rPr>
              <w:t>0</w:t>
            </w:r>
          </w:p>
        </w:tc>
        <w:tc>
          <w:tcPr>
            <w:tcW w:w="3118" w:type="dxa"/>
          </w:tcPr>
          <w:p w14:paraId="2FD584DE">
            <w:pPr>
              <w:widowControl w:val="0"/>
              <w:jc w:val="both"/>
            </w:pPr>
            <w:r>
              <w:rPr>
                <w:rFonts w:ascii="Times New Roman" w:hAnsi="Times New Roman"/>
                <w:sz w:val="24"/>
              </w:rPr>
              <w:t>0,0</w:t>
            </w:r>
          </w:p>
        </w:tc>
      </w:tr>
      <w:tr w14:paraId="1B2B6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1C58CA3C">
            <w:pPr>
              <w:widowControl w:val="0"/>
              <w:jc w:val="both"/>
            </w:pPr>
            <w:r>
              <w:rPr>
                <w:rFonts w:ascii="Times New Roman" w:hAnsi="Times New Roman"/>
                <w:sz w:val="24"/>
              </w:rPr>
              <w:t>Средняя оценка</w:t>
            </w:r>
          </w:p>
        </w:tc>
        <w:tc>
          <w:tcPr>
            <w:tcW w:w="3118" w:type="dxa"/>
          </w:tcPr>
          <w:p w14:paraId="4EB6C9DB">
            <w:pPr>
              <w:widowControl w:val="0"/>
              <w:jc w:val="both"/>
            </w:pPr>
            <w:r>
              <w:rPr>
                <w:rFonts w:ascii="Times New Roman" w:hAnsi="Times New Roman"/>
                <w:sz w:val="24"/>
              </w:rPr>
              <w:t>2,1</w:t>
            </w:r>
          </w:p>
        </w:tc>
        <w:tc>
          <w:tcPr>
            <w:tcW w:w="3118" w:type="dxa"/>
          </w:tcPr>
          <w:p w14:paraId="2E4CBDC4">
            <w:pPr>
              <w:widowControl w:val="0"/>
              <w:jc w:val="both"/>
            </w:pPr>
            <w:r>
              <w:rPr>
                <w:rFonts w:ascii="Times New Roman" w:hAnsi="Times New Roman"/>
                <w:sz w:val="24"/>
              </w:rPr>
              <w:t>-</w:t>
            </w:r>
          </w:p>
        </w:tc>
      </w:tr>
    </w:tbl>
    <w:p w14:paraId="1DD28AE1">
      <w:pPr>
        <w:spacing w:after="120" w:line="360" w:lineRule="auto"/>
        <w:jc w:val="both"/>
      </w:pPr>
    </w:p>
    <w:p w14:paraId="3F4D62F4">
      <w:pPr>
        <w:spacing w:after="120" w:line="360" w:lineRule="auto"/>
        <w:ind w:firstLine="700"/>
        <w:jc w:val="both"/>
        <w:rPr>
          <w:rFonts w:hint="default" w:ascii="Times New Roman" w:hAnsi="Times New Roman"/>
          <w:b w:val="0"/>
          <w:i w:val="0"/>
          <w:sz w:val="28"/>
          <w:lang w:val="ru-RU"/>
        </w:rPr>
      </w:pPr>
      <w:r>
        <w:rPr>
          <w:rFonts w:ascii="Times New Roman" w:hAnsi="Times New Roman"/>
          <w:b w:val="0"/>
          <w:i w:val="0"/>
          <w:sz w:val="28"/>
          <w:lang w:val="ru-RU"/>
        </w:rPr>
        <w:t>Итоги</w:t>
      </w:r>
      <w:r>
        <w:rPr>
          <w:rFonts w:hint="default" w:ascii="Times New Roman" w:hAnsi="Times New Roman"/>
          <w:b w:val="0"/>
          <w:i w:val="0"/>
          <w:sz w:val="28"/>
          <w:lang w:val="ru-RU"/>
        </w:rPr>
        <w:t xml:space="preserve"> опроса показываю, что сотрудники тендерного отдела не воспринимают действующий порядок как нормальный и достаточный. Важно, что эти оценки совпадают с объективными показателями деятельности отдела: доля отклонённых заявок остаётся устойчивой, а причины отклонений связаны с теми же зонами, которые сотрудники отмечают проблемными.</w:t>
      </w:r>
    </w:p>
    <w:p w14:paraId="0C5F1FE7">
      <w:pPr>
        <w:spacing w:after="120" w:line="360" w:lineRule="auto"/>
        <w:ind w:firstLine="700"/>
        <w:jc w:val="both"/>
      </w:pPr>
      <w:r>
        <w:rPr>
          <w:rFonts w:hint="default" w:ascii="Times New Roman" w:hAnsi="Times New Roman"/>
          <w:b w:val="0"/>
          <w:i w:val="0"/>
          <w:sz w:val="28"/>
          <w:lang w:val="ru-RU"/>
        </w:rPr>
        <w:t xml:space="preserve">Итак, опрос сотрудников подтвердил отсутствие целостной системы обучения и развития в ООО «Лайф Медиа». </w:t>
      </w:r>
      <w:r>
        <w:rPr>
          <w:rFonts w:ascii="Times New Roman" w:hAnsi="Times New Roman"/>
          <w:b w:val="0"/>
          <w:i w:val="0"/>
          <w:sz w:val="28"/>
        </w:rPr>
        <w:t xml:space="preserve"> Работники получают знания преимущественно самостоятельно или через коллег, не проходят единый адаптационный маршрут, не имеют устойчивого доступа к актуальной базе материалов и не участвуют в регулярной проверке знаний. Наиболее выраженные потребности сотрудников связаны с изменениями законодательства, типовыми ошибками, актуальными шаблонами, проверкой комплекта документов и особенностями электронных площадок. Следовательно, внутренняя оценка сотрудников совпадает с результатами анализа тендерных показателей и указывает на системный характер проблемы.</w:t>
      </w:r>
    </w:p>
    <w:p w14:paraId="2AC569CE">
      <w:pPr>
        <w:spacing w:after="120" w:line="360" w:lineRule="auto"/>
        <w:ind w:firstLine="700"/>
        <w:jc w:val="both"/>
        <w:rPr>
          <w:rFonts w:hint="default" w:ascii="Times New Roman" w:hAnsi="Times New Roman"/>
          <w:b w:val="0"/>
          <w:i w:val="0"/>
          <w:sz w:val="28"/>
          <w:lang w:val="ru-RU"/>
        </w:rPr>
      </w:pPr>
    </w:p>
    <w:p w14:paraId="58003C0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bCs w:val="0"/>
          <w:color w:val="auto"/>
          <w:sz w:val="28"/>
          <w:szCs w:val="28"/>
          <w:lang w:val="ru-RU"/>
        </w:rPr>
      </w:pPr>
    </w:p>
    <w:p w14:paraId="4C751561">
      <w:r>
        <w:br w:type="page"/>
      </w:r>
    </w:p>
    <w:p w14:paraId="436249D8">
      <w:pPr>
        <w:keepNext w:val="0"/>
        <w:keepLines w:val="0"/>
        <w:pageBreakBefore w:val="0"/>
        <w:numPr>
          <w:ilvl w:val="0"/>
          <w:numId w:val="0"/>
        </w:numPr>
        <w:kinsoku/>
        <w:wordWrap/>
        <w:overflowPunct/>
        <w:topLinePunct w:val="0"/>
        <w:autoSpaceDE/>
        <w:autoSpaceDN/>
        <w:bidi w:val="0"/>
        <w:adjustRightInd/>
        <w:snapToGrid/>
        <w:spacing w:line="360" w:lineRule="auto"/>
        <w:ind w:firstLine="351" w:firstLineChars="125"/>
        <w:jc w:val="both"/>
        <w:textAlignment w:val="auto"/>
        <w:rPr>
          <w:rFonts w:hint="default" w:ascii="Times New Roman" w:hAnsi="Times New Roman"/>
          <w:b/>
          <w:bCs/>
          <w:sz w:val="28"/>
          <w:szCs w:val="28"/>
          <w:vertAlign w:val="baseline"/>
          <w:lang w:val="ru-RU"/>
        </w:rPr>
      </w:pPr>
      <w:r>
        <w:rPr>
          <w:rFonts w:hint="default" w:ascii="Times New Roman" w:hAnsi="Times New Roman"/>
          <w:b/>
          <w:bCs/>
          <w:sz w:val="28"/>
          <w:szCs w:val="28"/>
          <w:vertAlign w:val="baseline"/>
          <w:lang w:val="ru-RU"/>
        </w:rPr>
        <w:t>Выводы по второй главе</w:t>
      </w:r>
    </w:p>
    <w:p w14:paraId="3C3F7978">
      <w:pPr>
        <w:rPr>
          <w:rFonts w:hint="default" w:ascii="Times New Roman" w:hAnsi="Times New Roman"/>
          <w:b/>
          <w:bCs/>
          <w:sz w:val="28"/>
          <w:szCs w:val="28"/>
          <w:vertAlign w:val="baseline"/>
          <w:lang w:val="ru-RU"/>
        </w:rPr>
      </w:pPr>
      <w:r>
        <w:rPr>
          <w:rFonts w:hint="default" w:ascii="Times New Roman" w:hAnsi="Times New Roman"/>
          <w:b/>
          <w:bCs/>
          <w:sz w:val="28"/>
          <w:szCs w:val="28"/>
          <w:vertAlign w:val="baseline"/>
          <w:lang w:val="ru-RU"/>
        </w:rPr>
        <w:br w:type="page"/>
      </w:r>
    </w:p>
    <w:p>
      <w:pPr>
        <w:spacing w:line="360" w:lineRule="auto" w:after="120"/>
        <w:jc w:val="center"/>
      </w:pPr>
      <w:r>
        <w:rPr>
          <w:rFonts w:ascii="Times New Roman" w:hAnsi="Times New Roman"/>
          <w:b/>
          <w:sz w:val="28"/>
        </w:rPr>
        <w:t>ГЛАВА 3. СОВЕРШЕНСТВОВАНИЕ СИСТЕМЫ ОБУЧЕНИЯ И РАЗВИТИЯ ТЕНДЕРНЫХ СПЕЦИАЛИСТОВ ООО «ЛАЙФ МЕДИА»</w:t>
      </w:r>
    </w:p>
    <w:p>
      <w:pPr>
        <w:spacing w:line="360" w:lineRule="auto" w:after="120"/>
        <w:jc w:val="center"/>
      </w:pPr>
      <w:r>
        <w:rPr>
          <w:rFonts w:ascii="Times New Roman" w:hAnsi="Times New Roman"/>
          <w:b/>
          <w:sz w:val="28"/>
        </w:rPr>
        <w:t>3.1. Общие рекомендации по развитию системы обучения и развития тендерных специалистов на основе отечественного и зарубежного опыта</w:t>
      </w:r>
    </w:p>
    <w:p>
      <w:pPr>
        <w:spacing w:line="360" w:lineRule="auto" w:after="120"/>
        <w:ind w:firstLine="700"/>
      </w:pPr>
      <w:r>
        <w:rPr>
          <w:rFonts w:ascii="Times New Roman" w:hAnsi="Times New Roman"/>
          <w:b w:val="0"/>
          <w:sz w:val="28"/>
        </w:rPr>
        <w:t>Результаты второй главы показали, что ключевая проблема ООО «Лайф Медиа» заключается не в полном отсутствии отдельных обучающих действий, а в отсутствии целостной управляемой системы обучения и развития тендерных специалистов. В компании имеются отдельные вебинары, устные пояснения руководителя, обмен опытом между сотрудниками и самостоятельный поиск информации, однако эти элементы не связаны между собой единым циклом. В результате обучение не имеет четких целей, сроков, ответственных лиц, критериев проверки знаний и связи с показателями закупочной деятельности.</w:t>
      </w:r>
    </w:p>
    <w:p>
      <w:pPr>
        <w:spacing w:line="360" w:lineRule="auto" w:after="120"/>
        <w:ind w:firstLine="700"/>
      </w:pPr>
      <w:r>
        <w:rPr>
          <w:rFonts w:ascii="Times New Roman" w:hAnsi="Times New Roman"/>
          <w:b w:val="0"/>
          <w:sz w:val="28"/>
        </w:rPr>
        <w:t>Логическая цепочка выявленной проблемы выглядит следующим образом: тендерный отдел обеспечивает основную долю выручки предприятия, но в нем сохраняется высокая текучесть кадров и значительная доля сотрудников со стажем менее одного года; при этом отсутствуют единая адаптационная программа, актуальная база шаблонов, регулярная проверка знаний и формализованный разбор ошибок. Следствием становится повторяемость однотипных нарушений при подготовке заявок. По данным второй главы, доля заявок, отклоненных на этапе допуска, держится на уровне 14,6-15,8%, а за 2023-2025 гг. выявлено 77 случаев отклонений, значительная часть которых относится к предотвратимым ошибкам.</w:t>
      </w:r>
    </w:p>
    <w:p>
      <w:pPr>
        <w:spacing w:line="360" w:lineRule="auto" w:after="120"/>
        <w:ind w:firstLine="700"/>
      </w:pPr>
      <w:r>
        <w:rPr>
          <w:rFonts w:ascii="Times New Roman" w:hAnsi="Times New Roman"/>
          <w:b w:val="0"/>
          <w:sz w:val="28"/>
        </w:rPr>
        <w:t>Следовательно, цель третьей главы состоит в разработке такой системы обучения, которая не будет существовать отдельно от работы тендерного отдела, а станет частью ежедневного процесса подготовки заявок. Рекомендации должны быть практически применимыми для малого предприятия, работающего в удаленном формате, не требовать создания отдельной HR-службы и опираться на уже имеющуюся цифровую инфраструктуру: Битрикс24, облачное хранилище, электронный документооборот и удаленные коммуникации.</w:t>
      </w:r>
    </w:p>
    <w:p>
      <w:pPr>
        <w:spacing w:line="360" w:lineRule="auto" w:after="120"/>
        <w:ind w:firstLine="700"/>
      </w:pPr>
      <w:r>
        <w:rPr>
          <w:rFonts w:ascii="Times New Roman" w:hAnsi="Times New Roman"/>
          <w:b w:val="0"/>
          <w:sz w:val="28"/>
        </w:rPr>
        <w:t>В качестве методической основы предлагается использовать сочетание отечественного и зарубежного опыта. Отечественный опыт в сфере подготовки закупочных специалистов показывает значимость обучения по 44-ФЗ и 223-ФЗ, регулярного обновления знаний, практических кейсов и работы с электронными торговыми площадками. Зарубежный опыт корпоративного обучения, отраженный в моделях Киркпатрика и Филлипса, показывает необходимость оценивать обучение не только по факту прохождения курса, но и по изменению поведения сотрудников и влиянию на бизнес-показатели.</w:t>
      </w:r>
    </w:p>
    <w:p>
      <w:pPr>
        <w:spacing w:line="360" w:lineRule="auto" w:after="120"/>
        <w:ind w:firstLine="700"/>
      </w:pPr>
      <w:r>
        <w:rPr>
          <w:rFonts w:ascii="Times New Roman" w:hAnsi="Times New Roman"/>
          <w:b w:val="0"/>
          <w:sz w:val="28"/>
        </w:rPr>
        <w:t>Для ООО «Лайф Медиа» целесообразно применять не дорогостоящую корпоративную академию в классическом понимании, а компактную внутреннюю систему «Тендерная академия Лайф Медиа». Под ней понимается совокупность регламентов, цифровой базы знаний, программы адаптации, внешнего повышения квалификации, наставничества, контрольных чек-листов и системы оценки эффективности. Такая модель соответствует масштабу компании, поскольку тендерный отдел состоит из 8 специалистов, а управленческие функции уже распределены между генеральным директором, руководителем тендерного отдела, бухгалтерией и юристом на аутсорсинге.</w:t>
      </w:r>
    </w:p>
    <w:p>
      <w:pPr>
        <w:spacing w:line="360" w:lineRule="auto" w:after="120"/>
        <w:ind w:firstLine="700"/>
      </w:pPr>
      <w:r>
        <w:rPr>
          <w:rFonts w:ascii="Times New Roman" w:hAnsi="Times New Roman"/>
          <w:b w:val="0"/>
          <w:sz w:val="28"/>
        </w:rPr>
        <w:t>Первое направление рекомендаций — формирование единой базы знаний тендерного отдела. Она должна включать актуальные шаблоны деклараций, инструкции по работе с ЭТП, образцы успешных заявок, перечень типовых ошибок, чек-листы проверки документов, ссылки на нормативные изменения и краткие памятки по 44-ФЗ и 223-ФЗ. База знаний должна размещаться в уже используемой цифровой среде, чтобы сотрудникам не приходилось искать материалы в переписках, личных папках или старых задачах.</w:t>
      </w:r>
    </w:p>
    <w:p>
      <w:pPr>
        <w:spacing w:line="360" w:lineRule="auto" w:after="120"/>
        <w:ind w:firstLine="700"/>
      </w:pPr>
      <w:r>
        <w:rPr>
          <w:rFonts w:ascii="Times New Roman" w:hAnsi="Times New Roman"/>
          <w:b w:val="0"/>
          <w:sz w:val="28"/>
        </w:rPr>
        <w:t>Второе направление — введение обязательной адаптационной траектории для новых тендерных специалистов. Сейчас новый сотрудник осваивает работу ситуативно. Предлагается закрепить двухнедельный адаптационный маршрут: изучение структуры компании, ознакомление с основными видами закупок, обучение работе с ЕИС и ЭТП, изучение шаблонов документов, выполнение учебного кейса и итоговая проверка руководителем отдела. Такой маршрут позволит снизить зависимость качества адаптации от занятости коллег и личной инициативы наставника.</w:t>
      </w:r>
    </w:p>
    <w:p>
      <w:pPr>
        <w:spacing w:line="360" w:lineRule="auto" w:after="120"/>
        <w:ind w:firstLine="700"/>
      </w:pPr>
      <w:r>
        <w:rPr>
          <w:rFonts w:ascii="Times New Roman" w:hAnsi="Times New Roman"/>
          <w:b w:val="0"/>
          <w:sz w:val="28"/>
        </w:rPr>
        <w:t>Третье направление — регулярное внешнее обучение по 44-ФЗ и 223-ФЗ. Поскольку законодательство о закупках постоянно обновляется, полагаться только на самостоятельное изучение изменений недостаточно. Для всех 8 специалистов необходимо организовать повышение квалификации по двум блокам: закупки по 44-ФЗ и закупки по 223-ФЗ. Для руководителя отдела и двух наиболее опытных сотрудников дополнительно следует закрепить роль внутренних экспертов, которые после прохождения обучения будут проводить краткие внутренние разборы изменений для остальных сотрудников.</w:t>
      </w:r>
    </w:p>
    <w:p>
      <w:pPr>
        <w:spacing w:line="360" w:lineRule="auto" w:after="120"/>
        <w:ind w:firstLine="700"/>
      </w:pPr>
      <w:r>
        <w:rPr>
          <w:rFonts w:ascii="Times New Roman" w:hAnsi="Times New Roman"/>
          <w:b w:val="0"/>
          <w:sz w:val="28"/>
        </w:rPr>
        <w:t>Четвертое направление — внедрение контрольного алгоритма подготовки заявки. На практике отклонение заявки часто возникает из-за отсутствия финальной проверки: не тот формат файла, не полный комплект документов, устаревшая форма, ошибка в подписи или расчетах. Поэтому перед каждой отправкой заявки должен использоваться единый чек-лист, который фиксируется в задаче Битрикс24. Чек-лист не должен быть формальностью: без отметки о проверке комплектности, актуальности формы, подписи и расчетов заявка не должна отправляться.</w:t>
      </w:r>
    </w:p>
    <w:p>
      <w:pPr>
        <w:spacing w:line="360" w:lineRule="auto" w:after="120"/>
        <w:ind w:firstLine="700"/>
      </w:pPr>
      <w:r>
        <w:rPr>
          <w:rFonts w:ascii="Times New Roman" w:hAnsi="Times New Roman"/>
          <w:b w:val="0"/>
          <w:sz w:val="28"/>
        </w:rPr>
        <w:t>Пятое направление — ежемесячный разбор ошибок. В компании уже есть фактические ошибки, но они обсуждаются устно и не превращаются в общий опыт. Предлагается ввести короткое ежемесячное онлайн-совещание длительностью 45-60 минут, на котором руководитель отдела разбирает все отклонения, замечания заказчиков, спорные ситуации и удачные решения. По итогам совещания в базе знаний должна появляться запись: причина ошибки, способ предотвращения, ответственный за обновление шаблона или чек-листа.</w:t>
      </w:r>
    </w:p>
    <w:p>
      <w:pPr>
        <w:spacing w:line="360" w:lineRule="auto" w:after="120"/>
        <w:ind w:firstLine="700"/>
      </w:pPr>
      <w:r>
        <w:rPr>
          <w:rFonts w:ascii="Times New Roman" w:hAnsi="Times New Roman"/>
          <w:b w:val="0"/>
          <w:sz w:val="28"/>
        </w:rPr>
        <w:t>Шестое направление — связать обучение с мотивацией. Во второй главе было установлено, что материальная мотивация существует, но развитие компетенций не закреплено как ценность. Поэтому в KPI тендерного специалиста следует включить не только количество поданных заявок и побед, но и качество подготовки: отсутствие отклонений по формальным причинам, своевременное прохождение тестирования, участие в разборе ошибок и поддержание актуальности рабочих материалов. Это позволит сделать обучение частью результата, а не дополнительной нагрузкой.</w:t>
      </w:r>
    </w:p>
    <w:p>
      <w:pPr>
        <w:spacing w:line="360" w:lineRule="auto" w:after="120"/>
        <w:jc w:val="center"/>
      </w:pPr>
      <w:r>
        <w:rPr>
          <w:rFonts w:ascii="Times New Roman" w:hAnsi="Times New Roman"/>
          <w:b w:val="0"/>
          <w:sz w:val="28"/>
        </w:rPr>
        <w:t>Таблица 3.1. Связь проблем, выявленных во второй главе, с предлагаемыми направлениями совершенствования</w:t>
      </w:r>
    </w:p>
    <w:tbl>
      <w:tblPr>
        <w:tblStyle w:val="6"/>
        <w:tblW w:type="auto" w:w="0"/>
        <w:tblLook w:firstColumn="1" w:firstRow="1" w:lastColumn="0" w:lastRow="0" w:noHBand="0" w:noVBand="1" w:val="04A0"/>
      </w:tblPr>
      <w:tblGrid>
        <w:gridCol w:w="2300"/>
        <w:gridCol w:w="2300"/>
        <w:gridCol w:w="2300"/>
        <w:gridCol w:w="2300"/>
      </w:tblGrid>
      <w:tr>
        <w:tc>
          <w:tcPr>
            <w:tcW w:type="dxa" w:w="2300"/>
          </w:tcPr>
          <w:p>
            <w:r>
              <w:rPr>
                <w:rFonts w:ascii="Times New Roman" w:hAnsi="Times New Roman"/>
                <w:b/>
                <w:sz w:val="22"/>
              </w:rPr>
              <w:t>Проблема по итогам анализа</w:t>
            </w:r>
          </w:p>
        </w:tc>
        <w:tc>
          <w:tcPr>
            <w:tcW w:type="dxa" w:w="2300"/>
          </w:tcPr>
          <w:p>
            <w:r>
              <w:rPr>
                <w:rFonts w:ascii="Times New Roman" w:hAnsi="Times New Roman"/>
                <w:b/>
                <w:sz w:val="22"/>
              </w:rPr>
              <w:t>Проявление в работе</w:t>
            </w:r>
          </w:p>
        </w:tc>
        <w:tc>
          <w:tcPr>
            <w:tcW w:type="dxa" w:w="2300"/>
          </w:tcPr>
          <w:p>
            <w:r>
              <w:rPr>
                <w:rFonts w:ascii="Times New Roman" w:hAnsi="Times New Roman"/>
                <w:b/>
                <w:sz w:val="22"/>
              </w:rPr>
              <w:t>Предлагаемое решение</w:t>
            </w:r>
          </w:p>
        </w:tc>
        <w:tc>
          <w:tcPr>
            <w:tcW w:type="dxa" w:w="2300"/>
          </w:tcPr>
          <w:p>
            <w:r>
              <w:rPr>
                <w:rFonts w:ascii="Times New Roman" w:hAnsi="Times New Roman"/>
                <w:b/>
                <w:sz w:val="22"/>
              </w:rPr>
              <w:t>Ожидаемый результат</w:t>
            </w:r>
          </w:p>
        </w:tc>
      </w:tr>
      <w:tr>
        <w:tc>
          <w:tcPr>
            <w:tcW w:type="dxa" w:w="2300"/>
          </w:tcPr>
          <w:p>
            <w:r>
              <w:rPr>
                <w:rFonts w:ascii="Times New Roman" w:hAnsi="Times New Roman"/>
                <w:b w:val="0"/>
                <w:sz w:val="22"/>
              </w:rPr>
              <w:t>Отсутствие программы адаптации</w:t>
            </w:r>
          </w:p>
        </w:tc>
        <w:tc>
          <w:tcPr>
            <w:tcW w:type="dxa" w:w="2300"/>
          </w:tcPr>
          <w:p>
            <w:r>
              <w:rPr>
                <w:rFonts w:ascii="Times New Roman" w:hAnsi="Times New Roman"/>
                <w:b w:val="0"/>
                <w:sz w:val="22"/>
              </w:rPr>
              <w:t>Новички осваивают работу через устные пояснения</w:t>
            </w:r>
          </w:p>
        </w:tc>
        <w:tc>
          <w:tcPr>
            <w:tcW w:type="dxa" w:w="2300"/>
          </w:tcPr>
          <w:p>
            <w:r>
              <w:rPr>
                <w:rFonts w:ascii="Times New Roman" w:hAnsi="Times New Roman"/>
                <w:b w:val="0"/>
                <w:sz w:val="22"/>
              </w:rPr>
              <w:t>Двухнедельный адаптационный маршрут и наставник</w:t>
            </w:r>
          </w:p>
        </w:tc>
        <w:tc>
          <w:tcPr>
            <w:tcW w:type="dxa" w:w="2300"/>
          </w:tcPr>
          <w:p>
            <w:r>
              <w:rPr>
                <w:rFonts w:ascii="Times New Roman" w:hAnsi="Times New Roman"/>
                <w:b w:val="0"/>
                <w:sz w:val="22"/>
              </w:rPr>
              <w:t>Сокращение ошибок новых сотрудников</w:t>
            </w:r>
          </w:p>
        </w:tc>
      </w:tr>
      <w:tr>
        <w:tc>
          <w:tcPr>
            <w:tcW w:type="dxa" w:w="2300"/>
          </w:tcPr>
          <w:p>
            <w:r>
              <w:rPr>
                <w:rFonts w:ascii="Times New Roman" w:hAnsi="Times New Roman"/>
                <w:b w:val="0"/>
                <w:sz w:val="22"/>
              </w:rPr>
              <w:t>Разрозненные шаблоны и инструкции</w:t>
            </w:r>
          </w:p>
        </w:tc>
        <w:tc>
          <w:tcPr>
            <w:tcW w:type="dxa" w:w="2300"/>
          </w:tcPr>
          <w:p>
            <w:r>
              <w:rPr>
                <w:rFonts w:ascii="Times New Roman" w:hAnsi="Times New Roman"/>
                <w:b w:val="0"/>
                <w:sz w:val="22"/>
              </w:rPr>
              <w:t>Использование устаревших форм</w:t>
            </w:r>
          </w:p>
        </w:tc>
        <w:tc>
          <w:tcPr>
            <w:tcW w:type="dxa" w:w="2300"/>
          </w:tcPr>
          <w:p>
            <w:r>
              <w:rPr>
                <w:rFonts w:ascii="Times New Roman" w:hAnsi="Times New Roman"/>
                <w:b w:val="0"/>
                <w:sz w:val="22"/>
              </w:rPr>
              <w:t>Единая база знаний в Битрикс24/облаке</w:t>
            </w:r>
          </w:p>
        </w:tc>
        <w:tc>
          <w:tcPr>
            <w:tcW w:type="dxa" w:w="2300"/>
          </w:tcPr>
          <w:p>
            <w:r>
              <w:rPr>
                <w:rFonts w:ascii="Times New Roman" w:hAnsi="Times New Roman"/>
                <w:b w:val="0"/>
                <w:sz w:val="22"/>
              </w:rPr>
              <w:t>Единый источник актуальных материалов</w:t>
            </w:r>
          </w:p>
        </w:tc>
      </w:tr>
      <w:tr>
        <w:tc>
          <w:tcPr>
            <w:tcW w:type="dxa" w:w="2300"/>
          </w:tcPr>
          <w:p>
            <w:r>
              <w:rPr>
                <w:rFonts w:ascii="Times New Roman" w:hAnsi="Times New Roman"/>
                <w:b w:val="0"/>
                <w:sz w:val="22"/>
              </w:rPr>
              <w:t>Нет регулярной проверки знаний</w:t>
            </w:r>
          </w:p>
        </w:tc>
        <w:tc>
          <w:tcPr>
            <w:tcW w:type="dxa" w:w="2300"/>
          </w:tcPr>
          <w:p>
            <w:r>
              <w:rPr>
                <w:rFonts w:ascii="Times New Roman" w:hAnsi="Times New Roman"/>
                <w:b w:val="0"/>
                <w:sz w:val="22"/>
              </w:rPr>
              <w:t>Руководитель не видит пробелы в компетенциях</w:t>
            </w:r>
          </w:p>
        </w:tc>
        <w:tc>
          <w:tcPr>
            <w:tcW w:type="dxa" w:w="2300"/>
          </w:tcPr>
          <w:p>
            <w:r>
              <w:rPr>
                <w:rFonts w:ascii="Times New Roman" w:hAnsi="Times New Roman"/>
                <w:b w:val="0"/>
                <w:sz w:val="22"/>
              </w:rPr>
              <w:t>Квартальное тестирование по 44-ФЗ, 223-ФЗ и ЭТП</w:t>
            </w:r>
          </w:p>
        </w:tc>
        <w:tc>
          <w:tcPr>
            <w:tcW w:type="dxa" w:w="2300"/>
          </w:tcPr>
          <w:p>
            <w:r>
              <w:rPr>
                <w:rFonts w:ascii="Times New Roman" w:hAnsi="Times New Roman"/>
                <w:b w:val="0"/>
                <w:sz w:val="22"/>
              </w:rPr>
              <w:t>Контроль уровня подготовки</w:t>
            </w:r>
          </w:p>
        </w:tc>
      </w:tr>
      <w:tr>
        <w:tc>
          <w:tcPr>
            <w:tcW w:type="dxa" w:w="2300"/>
          </w:tcPr>
          <w:p>
            <w:r>
              <w:rPr>
                <w:rFonts w:ascii="Times New Roman" w:hAnsi="Times New Roman"/>
                <w:b w:val="0"/>
                <w:sz w:val="22"/>
              </w:rPr>
              <w:t>Ошибки разбираются устно</w:t>
            </w:r>
          </w:p>
        </w:tc>
        <w:tc>
          <w:tcPr>
            <w:tcW w:type="dxa" w:w="2300"/>
          </w:tcPr>
          <w:p>
            <w:r>
              <w:rPr>
                <w:rFonts w:ascii="Times New Roman" w:hAnsi="Times New Roman"/>
                <w:b w:val="0"/>
                <w:sz w:val="22"/>
              </w:rPr>
              <w:t>Одни и те же ошибки повторяются</w:t>
            </w:r>
          </w:p>
        </w:tc>
        <w:tc>
          <w:tcPr>
            <w:tcW w:type="dxa" w:w="2300"/>
          </w:tcPr>
          <w:p>
            <w:r>
              <w:rPr>
                <w:rFonts w:ascii="Times New Roman" w:hAnsi="Times New Roman"/>
                <w:b w:val="0"/>
                <w:sz w:val="22"/>
              </w:rPr>
              <w:t>Реестр ошибок и ежемесячные разборы</w:t>
            </w:r>
          </w:p>
        </w:tc>
        <w:tc>
          <w:tcPr>
            <w:tcW w:type="dxa" w:w="2300"/>
          </w:tcPr>
          <w:p>
            <w:r>
              <w:rPr>
                <w:rFonts w:ascii="Times New Roman" w:hAnsi="Times New Roman"/>
                <w:b w:val="0"/>
                <w:sz w:val="22"/>
              </w:rPr>
              <w:t>Накопление общего опыта отдела</w:t>
            </w:r>
          </w:p>
        </w:tc>
      </w:tr>
      <w:tr>
        <w:tc>
          <w:tcPr>
            <w:tcW w:type="dxa" w:w="2300"/>
          </w:tcPr>
          <w:p>
            <w:r>
              <w:rPr>
                <w:rFonts w:ascii="Times New Roman" w:hAnsi="Times New Roman"/>
                <w:b w:val="0"/>
                <w:sz w:val="22"/>
              </w:rPr>
              <w:t>Нет финального контроля заявки</w:t>
            </w:r>
          </w:p>
        </w:tc>
        <w:tc>
          <w:tcPr>
            <w:tcW w:type="dxa" w:w="2300"/>
          </w:tcPr>
          <w:p>
            <w:r>
              <w:rPr>
                <w:rFonts w:ascii="Times New Roman" w:hAnsi="Times New Roman"/>
                <w:b w:val="0"/>
                <w:sz w:val="22"/>
              </w:rPr>
              <w:t>Пропуск файлов, форматов, подписей</w:t>
            </w:r>
          </w:p>
        </w:tc>
        <w:tc>
          <w:tcPr>
            <w:tcW w:type="dxa" w:w="2300"/>
          </w:tcPr>
          <w:p>
            <w:r>
              <w:rPr>
                <w:rFonts w:ascii="Times New Roman" w:hAnsi="Times New Roman"/>
                <w:b w:val="0"/>
                <w:sz w:val="22"/>
              </w:rPr>
              <w:t>Чек-лист допуска заявки перед отправкой</w:t>
            </w:r>
          </w:p>
        </w:tc>
        <w:tc>
          <w:tcPr>
            <w:tcW w:type="dxa" w:w="2300"/>
          </w:tcPr>
          <w:p>
            <w:r>
              <w:rPr>
                <w:rFonts w:ascii="Times New Roman" w:hAnsi="Times New Roman"/>
                <w:b w:val="0"/>
                <w:sz w:val="22"/>
              </w:rPr>
              <w:t>Снижение доли отклонений</w:t>
            </w:r>
          </w:p>
        </w:tc>
      </w:tr>
      <w:tr>
        <w:tc>
          <w:tcPr>
            <w:tcW w:type="dxa" w:w="2300"/>
          </w:tcPr>
          <w:p>
            <w:r>
              <w:rPr>
                <w:rFonts w:ascii="Times New Roman" w:hAnsi="Times New Roman"/>
                <w:b w:val="0"/>
                <w:sz w:val="22"/>
              </w:rPr>
              <w:t>Обучение не связано с мотивацией</w:t>
            </w:r>
          </w:p>
        </w:tc>
        <w:tc>
          <w:tcPr>
            <w:tcW w:type="dxa" w:w="2300"/>
          </w:tcPr>
          <w:p>
            <w:r>
              <w:rPr>
                <w:rFonts w:ascii="Times New Roman" w:hAnsi="Times New Roman"/>
                <w:b w:val="0"/>
                <w:sz w:val="22"/>
              </w:rPr>
              <w:t>Сотрудники не заинтересованы в передаче опыта</w:t>
            </w:r>
          </w:p>
        </w:tc>
        <w:tc>
          <w:tcPr>
            <w:tcW w:type="dxa" w:w="2300"/>
          </w:tcPr>
          <w:p>
            <w:r>
              <w:rPr>
                <w:rFonts w:ascii="Times New Roman" w:hAnsi="Times New Roman"/>
                <w:b w:val="0"/>
                <w:sz w:val="22"/>
              </w:rPr>
              <w:t>KPI качества и наставничества</w:t>
            </w:r>
          </w:p>
        </w:tc>
        <w:tc>
          <w:tcPr>
            <w:tcW w:type="dxa" w:w="2300"/>
          </w:tcPr>
          <w:p>
            <w:r>
              <w:rPr>
                <w:rFonts w:ascii="Times New Roman" w:hAnsi="Times New Roman"/>
                <w:b w:val="0"/>
                <w:sz w:val="22"/>
              </w:rPr>
              <w:t>Закрепление развития как части результата</w:t>
            </w:r>
          </w:p>
        </w:tc>
      </w:tr>
    </w:tbl>
    <w:p>
      <w:pPr>
        <w:spacing w:line="360" w:lineRule="auto" w:after="120"/>
        <w:ind w:firstLine="700"/>
      </w:pPr>
    </w:p>
    <w:p>
      <w:pPr>
        <w:spacing w:line="360" w:lineRule="auto" w:after="120"/>
        <w:ind w:firstLine="700"/>
      </w:pPr>
      <w:r>
        <w:rPr>
          <w:rFonts w:ascii="Times New Roman" w:hAnsi="Times New Roman"/>
          <w:b w:val="0"/>
          <w:sz w:val="28"/>
        </w:rPr>
        <w:t>Предлагаемая система должна строиться по принципу «диагностика — обучение — применение — контроль — корректировка». На первом этапе выявляются пробелы в знаниях сотрудников и причины отклонений заявок. На втором этапе проводится обучение и актуализация материалов. На третьем этапе знания применяются при подготовке реальных заявок. На четвертом этапе результаты проверяются через показатели допуска, побед, ошибок и тестирования. На пятом этапе корректируются инструкции, чек-листы и содержание обучения.</w:t>
      </w:r>
    </w:p>
    <w:p>
      <w:pPr>
        <w:spacing w:line="360" w:lineRule="auto" w:after="120"/>
        <w:ind w:firstLine="700"/>
      </w:pPr>
      <w:r>
        <w:rPr>
          <w:rFonts w:ascii="Times New Roman" w:hAnsi="Times New Roman"/>
          <w:b w:val="0"/>
          <w:sz w:val="28"/>
        </w:rPr>
        <w:t>В отличие от разовых вебинаров, такая система создает замкнутый управленческий цикл. Если заявка отклонена из-за устаревшей формы, ошибка не просто обсуждается с конкретным сотрудником, а приводит к обновлению шаблона, включению случая в базу ошибок и добавлению контрольного пункта в чек-лист. Если сотрудник не проходит тестирование по изменениям 44-ФЗ, руководитель видит конкретную зону риска и назначает повторное изучение материала. Если новый работник допускает типовые ошибки в первый месяц, наставник корректирует адаптационный маршрут.</w:t>
      </w:r>
    </w:p>
    <w:p>
      <w:pPr>
        <w:spacing w:line="360" w:lineRule="auto" w:after="120"/>
        <w:ind w:firstLine="700"/>
      </w:pPr>
      <w:r>
        <w:rPr>
          <w:rFonts w:ascii="Times New Roman" w:hAnsi="Times New Roman"/>
          <w:b w:val="0"/>
          <w:sz w:val="28"/>
        </w:rPr>
        <w:t>Общий подход к совершенствованию представлен как система из пяти взаимосвязанных блоков: нормативно-методический блок, образовательный блок, технологический блок, организационный блок и оценочный блок. Нормативно-методический блок включает внутренние регламенты и шаблоны. Образовательный блок включает внешнее обучение и внутренние мини-модули. Технологический блок включает Битрикс24, LMS или раздел базы знаний, чек-листы и тесты. Организационный блок закрепляет ответственных лиц и календарь мероприятий. Оценочный блок связывает обучение с результатами тендерной деятельности.</w:t>
      </w:r>
    </w:p>
    <w:p>
      <w:pPr>
        <w:spacing w:line="360" w:lineRule="auto" w:after="120"/>
        <w:jc w:val="center"/>
      </w:pPr>
      <w:r>
        <w:rPr>
          <w:rFonts w:ascii="Times New Roman" w:hAnsi="Times New Roman"/>
          <w:b w:val="0"/>
          <w:sz w:val="28"/>
        </w:rPr>
        <w:t>Таблица 3.2. Структура предлагаемой системы «Тендерная академия Лайф Медиа»</w:t>
      </w:r>
    </w:p>
    <w:tbl>
      <w:tblPr>
        <w:tblStyle w:val="6"/>
        <w:tblW w:type="auto" w:w="0"/>
        <w:tblLook w:firstColumn="1" w:firstRow="1" w:lastColumn="0" w:lastRow="0" w:noHBand="0" w:noVBand="1" w:val="04A0"/>
      </w:tblPr>
      <w:tblGrid>
        <w:gridCol w:w="2300"/>
        <w:gridCol w:w="2300"/>
        <w:gridCol w:w="2300"/>
        <w:gridCol w:w="2300"/>
      </w:tblGrid>
      <w:tr>
        <w:tc>
          <w:tcPr>
            <w:tcW w:type="dxa" w:w="2300"/>
          </w:tcPr>
          <w:p>
            <w:r>
              <w:rPr>
                <w:rFonts w:ascii="Times New Roman" w:hAnsi="Times New Roman"/>
                <w:b/>
                <w:sz w:val="22"/>
              </w:rPr>
              <w:t>Блок системы</w:t>
            </w:r>
          </w:p>
        </w:tc>
        <w:tc>
          <w:tcPr>
            <w:tcW w:type="dxa" w:w="2300"/>
          </w:tcPr>
          <w:p>
            <w:r>
              <w:rPr>
                <w:rFonts w:ascii="Times New Roman" w:hAnsi="Times New Roman"/>
                <w:b/>
                <w:sz w:val="22"/>
              </w:rPr>
              <w:t>Содержание</w:t>
            </w:r>
          </w:p>
        </w:tc>
        <w:tc>
          <w:tcPr>
            <w:tcW w:type="dxa" w:w="2300"/>
          </w:tcPr>
          <w:p>
            <w:r>
              <w:rPr>
                <w:rFonts w:ascii="Times New Roman" w:hAnsi="Times New Roman"/>
                <w:b/>
                <w:sz w:val="22"/>
              </w:rPr>
              <w:t>Ответственный</w:t>
            </w:r>
          </w:p>
        </w:tc>
        <w:tc>
          <w:tcPr>
            <w:tcW w:type="dxa" w:w="2300"/>
          </w:tcPr>
          <w:p>
            <w:r>
              <w:rPr>
                <w:rFonts w:ascii="Times New Roman" w:hAnsi="Times New Roman"/>
                <w:b/>
                <w:sz w:val="22"/>
              </w:rPr>
              <w:t>Периодичность</w:t>
            </w:r>
          </w:p>
        </w:tc>
      </w:tr>
      <w:tr>
        <w:tc>
          <w:tcPr>
            <w:tcW w:type="dxa" w:w="2300"/>
          </w:tcPr>
          <w:p>
            <w:r>
              <w:rPr>
                <w:rFonts w:ascii="Times New Roman" w:hAnsi="Times New Roman"/>
                <w:b w:val="0"/>
                <w:sz w:val="22"/>
              </w:rPr>
              <w:t>Нормативно-методический</w:t>
            </w:r>
          </w:p>
        </w:tc>
        <w:tc>
          <w:tcPr>
            <w:tcW w:type="dxa" w:w="2300"/>
          </w:tcPr>
          <w:p>
            <w:r>
              <w:rPr>
                <w:rFonts w:ascii="Times New Roman" w:hAnsi="Times New Roman"/>
                <w:b w:val="0"/>
                <w:sz w:val="22"/>
              </w:rPr>
              <w:t>Шаблоны, инструкции, чек-листы, реестр ошибок</w:t>
            </w:r>
          </w:p>
        </w:tc>
        <w:tc>
          <w:tcPr>
            <w:tcW w:type="dxa" w:w="2300"/>
          </w:tcPr>
          <w:p>
            <w:r>
              <w:rPr>
                <w:rFonts w:ascii="Times New Roman" w:hAnsi="Times New Roman"/>
                <w:b w:val="0"/>
                <w:sz w:val="22"/>
              </w:rPr>
              <w:t>Руководитель тендерного отдела, юрист</w:t>
            </w:r>
          </w:p>
        </w:tc>
        <w:tc>
          <w:tcPr>
            <w:tcW w:type="dxa" w:w="2300"/>
          </w:tcPr>
          <w:p>
            <w:r>
              <w:rPr>
                <w:rFonts w:ascii="Times New Roman" w:hAnsi="Times New Roman"/>
                <w:b w:val="0"/>
                <w:sz w:val="22"/>
              </w:rPr>
              <w:t>Обновление при изменениях законодательства и ежемесячно</w:t>
            </w:r>
          </w:p>
        </w:tc>
      </w:tr>
      <w:tr>
        <w:tc>
          <w:tcPr>
            <w:tcW w:type="dxa" w:w="2300"/>
          </w:tcPr>
          <w:p>
            <w:r>
              <w:rPr>
                <w:rFonts w:ascii="Times New Roman" w:hAnsi="Times New Roman"/>
                <w:b w:val="0"/>
                <w:sz w:val="22"/>
              </w:rPr>
              <w:t>Образовательный</w:t>
            </w:r>
          </w:p>
        </w:tc>
        <w:tc>
          <w:tcPr>
            <w:tcW w:type="dxa" w:w="2300"/>
          </w:tcPr>
          <w:p>
            <w:r>
              <w:rPr>
                <w:rFonts w:ascii="Times New Roman" w:hAnsi="Times New Roman"/>
                <w:b w:val="0"/>
                <w:sz w:val="22"/>
              </w:rPr>
              <w:t>Курсы 44-ФЗ/223-ФЗ, внутренние мини-занятия, кейсы</w:t>
            </w:r>
          </w:p>
        </w:tc>
        <w:tc>
          <w:tcPr>
            <w:tcW w:type="dxa" w:w="2300"/>
          </w:tcPr>
          <w:p>
            <w:r>
              <w:rPr>
                <w:rFonts w:ascii="Times New Roman" w:hAnsi="Times New Roman"/>
                <w:b w:val="0"/>
                <w:sz w:val="22"/>
              </w:rPr>
              <w:t>Руководитель отдела, наставники</w:t>
            </w:r>
          </w:p>
        </w:tc>
        <w:tc>
          <w:tcPr>
            <w:tcW w:type="dxa" w:w="2300"/>
          </w:tcPr>
          <w:p>
            <w:r>
              <w:rPr>
                <w:rFonts w:ascii="Times New Roman" w:hAnsi="Times New Roman"/>
                <w:b w:val="0"/>
                <w:sz w:val="22"/>
              </w:rPr>
              <w:t>Внешнее обучение ежегодно, внутреннее — ежемесячно</w:t>
            </w:r>
          </w:p>
        </w:tc>
      </w:tr>
      <w:tr>
        <w:tc>
          <w:tcPr>
            <w:tcW w:type="dxa" w:w="2300"/>
          </w:tcPr>
          <w:p>
            <w:r>
              <w:rPr>
                <w:rFonts w:ascii="Times New Roman" w:hAnsi="Times New Roman"/>
                <w:b w:val="0"/>
                <w:sz w:val="22"/>
              </w:rPr>
              <w:t>Технологический</w:t>
            </w:r>
          </w:p>
        </w:tc>
        <w:tc>
          <w:tcPr>
            <w:tcW w:type="dxa" w:w="2300"/>
          </w:tcPr>
          <w:p>
            <w:r>
              <w:rPr>
                <w:rFonts w:ascii="Times New Roman" w:hAnsi="Times New Roman"/>
                <w:b w:val="0"/>
                <w:sz w:val="22"/>
              </w:rPr>
              <w:t>База знаний, тестирование, задачи контроля заявок</w:t>
            </w:r>
          </w:p>
        </w:tc>
        <w:tc>
          <w:tcPr>
            <w:tcW w:type="dxa" w:w="2300"/>
          </w:tcPr>
          <w:p>
            <w:r>
              <w:rPr>
                <w:rFonts w:ascii="Times New Roman" w:hAnsi="Times New Roman"/>
                <w:b w:val="0"/>
                <w:sz w:val="22"/>
              </w:rPr>
              <w:t>Системный администратор, руководитель отдела</w:t>
            </w:r>
          </w:p>
        </w:tc>
        <w:tc>
          <w:tcPr>
            <w:tcW w:type="dxa" w:w="2300"/>
          </w:tcPr>
          <w:p>
            <w:r>
              <w:rPr>
                <w:rFonts w:ascii="Times New Roman" w:hAnsi="Times New Roman"/>
                <w:b w:val="0"/>
                <w:sz w:val="22"/>
              </w:rPr>
              <w:t>Постоянно</w:t>
            </w:r>
          </w:p>
        </w:tc>
      </w:tr>
      <w:tr>
        <w:tc>
          <w:tcPr>
            <w:tcW w:type="dxa" w:w="2300"/>
          </w:tcPr>
          <w:p>
            <w:r>
              <w:rPr>
                <w:rFonts w:ascii="Times New Roman" w:hAnsi="Times New Roman"/>
                <w:b w:val="0"/>
                <w:sz w:val="22"/>
              </w:rPr>
              <w:t>Организационный</w:t>
            </w:r>
          </w:p>
        </w:tc>
        <w:tc>
          <w:tcPr>
            <w:tcW w:type="dxa" w:w="2300"/>
          </w:tcPr>
          <w:p>
            <w:r>
              <w:rPr>
                <w:rFonts w:ascii="Times New Roman" w:hAnsi="Times New Roman"/>
                <w:b w:val="0"/>
                <w:sz w:val="22"/>
              </w:rPr>
              <w:t>Адаптация новичков, наставничество, календарь обучения</w:t>
            </w:r>
          </w:p>
        </w:tc>
        <w:tc>
          <w:tcPr>
            <w:tcW w:type="dxa" w:w="2300"/>
          </w:tcPr>
          <w:p>
            <w:r>
              <w:rPr>
                <w:rFonts w:ascii="Times New Roman" w:hAnsi="Times New Roman"/>
                <w:b w:val="0"/>
                <w:sz w:val="22"/>
              </w:rPr>
              <w:t>Генеральный директор, руководитель отдела</w:t>
            </w:r>
          </w:p>
        </w:tc>
        <w:tc>
          <w:tcPr>
            <w:tcW w:type="dxa" w:w="2300"/>
          </w:tcPr>
          <w:p>
            <w:r>
              <w:rPr>
                <w:rFonts w:ascii="Times New Roman" w:hAnsi="Times New Roman"/>
                <w:b w:val="0"/>
                <w:sz w:val="22"/>
              </w:rPr>
              <w:t>При приеме сотрудника и ежеквартально</w:t>
            </w:r>
          </w:p>
        </w:tc>
      </w:tr>
      <w:tr>
        <w:tc>
          <w:tcPr>
            <w:tcW w:type="dxa" w:w="2300"/>
          </w:tcPr>
          <w:p>
            <w:r>
              <w:rPr>
                <w:rFonts w:ascii="Times New Roman" w:hAnsi="Times New Roman"/>
                <w:b w:val="0"/>
                <w:sz w:val="22"/>
              </w:rPr>
              <w:t>Оценочный</w:t>
            </w:r>
          </w:p>
        </w:tc>
        <w:tc>
          <w:tcPr>
            <w:tcW w:type="dxa" w:w="2300"/>
          </w:tcPr>
          <w:p>
            <w:r>
              <w:rPr>
                <w:rFonts w:ascii="Times New Roman" w:hAnsi="Times New Roman"/>
                <w:b w:val="0"/>
                <w:sz w:val="22"/>
              </w:rPr>
              <w:t>KPI обучения, допуск заявок, доля ошибок, удовлетворенность</w:t>
            </w:r>
          </w:p>
        </w:tc>
        <w:tc>
          <w:tcPr>
            <w:tcW w:type="dxa" w:w="2300"/>
          </w:tcPr>
          <w:p>
            <w:r>
              <w:rPr>
                <w:rFonts w:ascii="Times New Roman" w:hAnsi="Times New Roman"/>
                <w:b w:val="0"/>
                <w:sz w:val="22"/>
              </w:rPr>
              <w:t>Руководитель отдела, бухгалтерия</w:t>
            </w:r>
          </w:p>
        </w:tc>
        <w:tc>
          <w:tcPr>
            <w:tcW w:type="dxa" w:w="2300"/>
          </w:tcPr>
          <w:p>
            <w:r>
              <w:rPr>
                <w:rFonts w:ascii="Times New Roman" w:hAnsi="Times New Roman"/>
                <w:b w:val="0"/>
                <w:sz w:val="22"/>
              </w:rPr>
              <w:t>Ежемесячно и ежеквартально</w:t>
            </w:r>
          </w:p>
        </w:tc>
      </w:tr>
    </w:tbl>
    <w:p>
      <w:pPr>
        <w:spacing w:line="360" w:lineRule="auto" w:after="120"/>
        <w:ind w:firstLine="700"/>
      </w:pPr>
    </w:p>
    <w:p>
      <w:pPr>
        <w:spacing w:line="360" w:lineRule="auto" w:after="120"/>
        <w:ind w:firstLine="700"/>
      </w:pPr>
      <w:r>
        <w:rPr>
          <w:rFonts w:ascii="Times New Roman" w:hAnsi="Times New Roman"/>
          <w:b w:val="0"/>
          <w:sz w:val="28"/>
        </w:rPr>
        <w:t>Таким образом, общие рекомендации направлены не на увеличение количества формальных учебных мероприятий, а на перестройку логики работы отдела. Обучение должно перестать быть эпизодическим действием и стать частью операционного процесса. Для ООО «Лайф Медиа» это особенно важно, поскольку компания работает удаленно, имеет небольшой штат и не может компенсировать ошибки большим количеством сотрудников или отдельным учебным подразделением.</w:t>
      </w:r>
    </w:p>
    <w:p>
      <w:pPr>
        <w:spacing w:line="360" w:lineRule="auto" w:after="120"/>
        <w:ind w:firstLine="700"/>
      </w:pPr>
      <w:r>
        <w:rPr>
          <w:rFonts w:ascii="Times New Roman" w:hAnsi="Times New Roman"/>
          <w:b w:val="0"/>
          <w:sz w:val="28"/>
        </w:rPr>
        <w:t>Предлагаемая модель опирается на существующий отечественный опыт профессионального обучения в сфере закупок, использование онлайн-курсов и цифровых платформ, а также на зарубежные подходы к оценке обучения через бизнес-результаты. Практическая ценность модели состоит в том, что она адаптирована к текущему состоянию компании: не требует существенного расширения штата, использует уже имеющуюся цифровую инфраструктуру и направлена на конкретные проблемы, выявленные во второй главе.</w:t>
      </w:r>
    </w:p>
    <w:p>
      <w:pPr>
        <w:spacing w:line="360" w:lineRule="auto" w:after="120"/>
        <w:jc w:val="center"/>
      </w:pPr>
      <w:r>
        <w:rPr>
          <w:rFonts w:ascii="Times New Roman" w:hAnsi="Times New Roman"/>
          <w:b/>
          <w:sz w:val="28"/>
        </w:rPr>
        <w:t>3.2. Технико-экономическое обоснование предлагаемых решений и технология их внедрения</w:t>
      </w:r>
    </w:p>
    <w:p>
      <w:pPr>
        <w:spacing w:line="360" w:lineRule="auto" w:after="120"/>
        <w:ind w:firstLine="700"/>
      </w:pPr>
      <w:r>
        <w:rPr>
          <w:rFonts w:ascii="Times New Roman" w:hAnsi="Times New Roman"/>
          <w:b w:val="0"/>
          <w:sz w:val="28"/>
        </w:rPr>
        <w:t>Технико-экономическое обоснование предлагаемых решений включает описание сущности изменений, состав мероприятий, кадровое и техническое обеспечение, организационно-экономический механизм внедрения и адаптацию решений к действующей системе управления ООО «Лайф Медиа». При разработке учитывается, что предприятие относится к малому бизнесу, работает преимущественно удаленно и уже использует Битрикс24, электронный документооборот, облачное хранение документов и видеосвязь.</w:t>
      </w:r>
    </w:p>
    <w:p>
      <w:pPr>
        <w:spacing w:line="360" w:lineRule="auto" w:after="120"/>
        <w:ind w:firstLine="700"/>
      </w:pPr>
      <w:r>
        <w:rPr>
          <w:rFonts w:ascii="Times New Roman" w:hAnsi="Times New Roman"/>
          <w:b w:val="0"/>
          <w:sz w:val="28"/>
        </w:rPr>
        <w:t>Сущность предлагаемых изменений состоит в создании управляемой системы обучения без формирования отдельной HR-службы. Управление системой возлагается на руководителя тендерного отдела, методическую поддержку осуществляет юрист на аутсорсинге, техническую настройку выполняет системный администратор, а контроль экономических показателей обеспечивает бухгалтерия совместно с генеральным директором. Такой подход позволяет встроить обучение в существующую структуру управления и избежать избыточных управленческих расходов.</w:t>
      </w:r>
    </w:p>
    <w:p>
      <w:pPr>
        <w:spacing w:line="360" w:lineRule="auto" w:after="120"/>
        <w:ind w:firstLine="700"/>
      </w:pPr>
      <w:r>
        <w:rPr>
          <w:rFonts w:ascii="Times New Roman" w:hAnsi="Times New Roman"/>
          <w:b w:val="0"/>
          <w:sz w:val="28"/>
        </w:rPr>
        <w:t>Практический пакет мероприятий включает семь элементов: внедрение базы знаний, разработку адаптационного маршрута, внешнее обучение по 44-ФЗ и 223-ФЗ, создание чек-листа проверки заявки, введение реестра ошибок, назначение наставников и внедрение системы оценки эффективности обучения. Эти мероприятия взаимосвязаны. Например, внешнее обучение дает актуальные знания, база знаний закрепляет их в виде инструкций, чек-лист переводит знания в операционную процедуру, а реестр ошибок показывает, какие темы требуют повторного обучения.</w:t>
      </w:r>
    </w:p>
    <w:p>
      <w:pPr>
        <w:spacing w:line="360" w:lineRule="auto" w:after="120"/>
        <w:ind w:firstLine="700"/>
      </w:pPr>
      <w:r>
        <w:rPr>
          <w:rFonts w:ascii="Times New Roman" w:hAnsi="Times New Roman"/>
          <w:b w:val="0"/>
          <w:sz w:val="28"/>
        </w:rPr>
        <w:t>Первым мероприятием является формирование базы знаний тендерного отдела. База должна включать разделы: «Нормативные изменения», «Шаблоны документов», «ЭТП и ЕИС», «Типовые ошибки», «Расчеты НМЦК и цены», «Успешные заявки», «Чек-листы». Для малого предприятия рационально не приобретать отдельную дорогостоящую систему документооборота, а использовать Битрикс24 и облачное хранилище, поскольку эти инструменты уже применяются в компании.</w:t>
      </w:r>
    </w:p>
    <w:p>
      <w:pPr>
        <w:spacing w:line="360" w:lineRule="auto" w:after="120"/>
        <w:ind w:firstLine="700"/>
      </w:pPr>
      <w:r>
        <w:rPr>
          <w:rFonts w:ascii="Times New Roman" w:hAnsi="Times New Roman"/>
          <w:b w:val="0"/>
          <w:sz w:val="28"/>
        </w:rPr>
        <w:t>Вторым мероприятием является разработка адаптационного маршрута для новых сотрудников. Маршрут рассчитан на 10 рабочих дней и делится на четыре этапа: организационное введение, изучение нормативной базы, отработка документов и контрольный кейс. В конце адаптации сотрудник должен самостоятельно разобрать учебную закупку, определить комплект документов, заполнить шаблоны, проверить требования заказчика и пройти тест.</w:t>
      </w:r>
    </w:p>
    <w:p>
      <w:pPr>
        <w:spacing w:line="360" w:lineRule="auto" w:after="120"/>
        <w:ind w:firstLine="700"/>
      </w:pPr>
      <w:r>
        <w:rPr>
          <w:rFonts w:ascii="Times New Roman" w:hAnsi="Times New Roman"/>
          <w:b w:val="0"/>
          <w:sz w:val="28"/>
        </w:rPr>
        <w:t>Третьим мероприятием является внешнее обучение сотрудников. Для базового уровня предлагается направить всех 8 тендерных специалистов на программы повышения квалификации по 44-ФЗ и 223-ФЗ. В расчетах используются открытые рыночные цены Контур.Школы: курс по 44-ФЗ стоимостью 18 000 руб. и курс по 223-ФЗ стоимостью 16 000 руб. на одного слушателя [45]. Такое обучение закрывает потребности, которые сотрудники сами обозначили в опросе: изменения законодательства, типовые ошибки и особенности электронных площадок.</w:t>
      </w:r>
    </w:p>
    <w:p>
      <w:pPr>
        <w:spacing w:line="360" w:lineRule="auto" w:after="120"/>
        <w:ind w:firstLine="700"/>
      </w:pPr>
      <w:r>
        <w:rPr>
          <w:rFonts w:ascii="Times New Roman" w:hAnsi="Times New Roman"/>
          <w:b w:val="0"/>
          <w:sz w:val="28"/>
        </w:rPr>
        <w:t>Четвертым мероприятием является внедрение чек-листа проверки заявки. Чек-лист должен применяться перед отправкой каждой заявки и включать не менее шести блоков: требования заказчика, комплект документов, актуальность форм, корректность расчетов, формат файлов, электронная подпись. В Битрикс24 чек-лист может быть создан как шаблон задачи, без которого заявка не переводится в статус «готова к отправке».</w:t>
      </w:r>
    </w:p>
    <w:p>
      <w:pPr>
        <w:spacing w:line="360" w:lineRule="auto" w:after="120"/>
        <w:ind w:firstLine="700"/>
      </w:pPr>
      <w:r>
        <w:rPr>
          <w:rFonts w:ascii="Times New Roman" w:hAnsi="Times New Roman"/>
          <w:b w:val="0"/>
          <w:sz w:val="28"/>
        </w:rPr>
        <w:t>Пятым мероприятием является создание реестра ошибок. Реестр представляет собой таблицу, где фиксируются дата, номер закупки, сотрудник, тип ошибки, причина, последствия, корректирующее действие и дата обновления шаблона или инструкции. Такой реестр необходим не для наказания сотрудников, а для накопления знаний и выявления повторяющихся проблем.</w:t>
      </w:r>
    </w:p>
    <w:p>
      <w:pPr>
        <w:spacing w:line="360" w:lineRule="auto" w:after="120"/>
        <w:ind w:firstLine="700"/>
      </w:pPr>
      <w:r>
        <w:rPr>
          <w:rFonts w:ascii="Times New Roman" w:hAnsi="Times New Roman"/>
          <w:b w:val="0"/>
          <w:sz w:val="28"/>
        </w:rPr>
        <w:t>Шестым мероприятием является наставничество. В отделе следует назначить двух наставников из числа наиболее опытных специалистов. За каждым новым сотрудником закрепляется наставник на первый месяц работы. Наставник помогает разобраться с внутренними стандартами, проверяет первые заявки, объясняет типовые ошибки и участвует в оценке готовности сотрудника к самостоятельной работе.</w:t>
      </w:r>
    </w:p>
    <w:p>
      <w:pPr>
        <w:spacing w:line="360" w:lineRule="auto" w:after="120"/>
        <w:ind w:firstLine="700"/>
      </w:pPr>
      <w:r>
        <w:rPr>
          <w:rFonts w:ascii="Times New Roman" w:hAnsi="Times New Roman"/>
          <w:b w:val="0"/>
          <w:sz w:val="28"/>
        </w:rPr>
        <w:t>Седьмым мероприятием является внедрение оценки эффективности обучения. Оценка должна включать входное и итоговое тестирование, анализ динамики отклоненных заявок, сравнение конверсии из заявки в победу, оценку удовлетворенности сотрудников обучением и оценку руководителя отдела. Такой подход соответствует логике моделей Киркпатрика и Филлипса, рассмотренных в первой главе.</w:t>
      </w:r>
    </w:p>
    <w:p>
      <w:pPr>
        <w:spacing w:line="360" w:lineRule="auto" w:after="120"/>
        <w:jc w:val="center"/>
      </w:pPr>
      <w:r>
        <w:rPr>
          <w:rFonts w:ascii="Times New Roman" w:hAnsi="Times New Roman"/>
          <w:b w:val="0"/>
          <w:sz w:val="28"/>
        </w:rPr>
        <w:t>Таблица 3.3. Содержание предлагаемых мероприятий по совершенствованию системы обучения</w:t>
      </w:r>
    </w:p>
    <w:tbl>
      <w:tblPr>
        <w:tblStyle w:val="6"/>
        <w:tblW w:type="auto" w:w="0"/>
        <w:tblLook w:firstColumn="1" w:firstRow="1" w:lastColumn="0" w:lastRow="0" w:noHBand="0" w:noVBand="1" w:val="04A0"/>
      </w:tblPr>
      <w:tblGrid>
        <w:gridCol w:w="2300"/>
        <w:gridCol w:w="2300"/>
        <w:gridCol w:w="2300"/>
        <w:gridCol w:w="2300"/>
      </w:tblGrid>
      <w:tr>
        <w:tc>
          <w:tcPr>
            <w:tcW w:type="dxa" w:w="2300"/>
          </w:tcPr>
          <w:p>
            <w:r>
              <w:rPr>
                <w:rFonts w:ascii="Times New Roman" w:hAnsi="Times New Roman"/>
                <w:b/>
                <w:sz w:val="22"/>
              </w:rPr>
              <w:t>Мероприятие</w:t>
            </w:r>
          </w:p>
        </w:tc>
        <w:tc>
          <w:tcPr>
            <w:tcW w:type="dxa" w:w="2300"/>
          </w:tcPr>
          <w:p>
            <w:r>
              <w:rPr>
                <w:rFonts w:ascii="Times New Roman" w:hAnsi="Times New Roman"/>
                <w:b/>
                <w:sz w:val="22"/>
              </w:rPr>
              <w:t>Содержание</w:t>
            </w:r>
          </w:p>
        </w:tc>
        <w:tc>
          <w:tcPr>
            <w:tcW w:type="dxa" w:w="2300"/>
          </w:tcPr>
          <w:p>
            <w:r>
              <w:rPr>
                <w:rFonts w:ascii="Times New Roman" w:hAnsi="Times New Roman"/>
                <w:b/>
                <w:sz w:val="22"/>
              </w:rPr>
              <w:t>Проблема, которую решает</w:t>
            </w:r>
          </w:p>
        </w:tc>
        <w:tc>
          <w:tcPr>
            <w:tcW w:type="dxa" w:w="2300"/>
          </w:tcPr>
          <w:p>
            <w:r>
              <w:rPr>
                <w:rFonts w:ascii="Times New Roman" w:hAnsi="Times New Roman"/>
                <w:b/>
                <w:sz w:val="22"/>
              </w:rPr>
              <w:t>Результат</w:t>
            </w:r>
          </w:p>
        </w:tc>
      </w:tr>
      <w:tr>
        <w:tc>
          <w:tcPr>
            <w:tcW w:type="dxa" w:w="2300"/>
          </w:tcPr>
          <w:p>
            <w:r>
              <w:rPr>
                <w:rFonts w:ascii="Times New Roman" w:hAnsi="Times New Roman"/>
                <w:b w:val="0"/>
                <w:sz w:val="22"/>
              </w:rPr>
              <w:t>База знаний</w:t>
            </w:r>
          </w:p>
        </w:tc>
        <w:tc>
          <w:tcPr>
            <w:tcW w:type="dxa" w:w="2300"/>
          </w:tcPr>
          <w:p>
            <w:r>
              <w:rPr>
                <w:rFonts w:ascii="Times New Roman" w:hAnsi="Times New Roman"/>
                <w:b w:val="0"/>
                <w:sz w:val="22"/>
              </w:rPr>
              <w:t>Шаблоны, инструкции, изменения законодательства, кейсы</w:t>
            </w:r>
          </w:p>
        </w:tc>
        <w:tc>
          <w:tcPr>
            <w:tcW w:type="dxa" w:w="2300"/>
          </w:tcPr>
          <w:p>
            <w:r>
              <w:rPr>
                <w:rFonts w:ascii="Times New Roman" w:hAnsi="Times New Roman"/>
                <w:b w:val="0"/>
                <w:sz w:val="22"/>
              </w:rPr>
              <w:t>Разрозненность материалов</w:t>
            </w:r>
          </w:p>
        </w:tc>
        <w:tc>
          <w:tcPr>
            <w:tcW w:type="dxa" w:w="2300"/>
          </w:tcPr>
          <w:p>
            <w:r>
              <w:rPr>
                <w:rFonts w:ascii="Times New Roman" w:hAnsi="Times New Roman"/>
                <w:b w:val="0"/>
                <w:sz w:val="22"/>
              </w:rPr>
              <w:t>Единый источник актуальной информации</w:t>
            </w:r>
          </w:p>
        </w:tc>
      </w:tr>
      <w:tr>
        <w:tc>
          <w:tcPr>
            <w:tcW w:type="dxa" w:w="2300"/>
          </w:tcPr>
          <w:p>
            <w:r>
              <w:rPr>
                <w:rFonts w:ascii="Times New Roman" w:hAnsi="Times New Roman"/>
                <w:b w:val="0"/>
                <w:sz w:val="22"/>
              </w:rPr>
              <w:t>Адаптационный маршрут</w:t>
            </w:r>
          </w:p>
        </w:tc>
        <w:tc>
          <w:tcPr>
            <w:tcW w:type="dxa" w:w="2300"/>
          </w:tcPr>
          <w:p>
            <w:r>
              <w:rPr>
                <w:rFonts w:ascii="Times New Roman" w:hAnsi="Times New Roman"/>
                <w:b w:val="0"/>
                <w:sz w:val="22"/>
              </w:rPr>
              <w:t>10-дневная программа ввода в должность</w:t>
            </w:r>
          </w:p>
        </w:tc>
        <w:tc>
          <w:tcPr>
            <w:tcW w:type="dxa" w:w="2300"/>
          </w:tcPr>
          <w:p>
            <w:r>
              <w:rPr>
                <w:rFonts w:ascii="Times New Roman" w:hAnsi="Times New Roman"/>
                <w:b w:val="0"/>
                <w:sz w:val="22"/>
              </w:rPr>
              <w:t>Отсутствие системной адаптации</w:t>
            </w:r>
          </w:p>
        </w:tc>
        <w:tc>
          <w:tcPr>
            <w:tcW w:type="dxa" w:w="2300"/>
          </w:tcPr>
          <w:p>
            <w:r>
              <w:rPr>
                <w:rFonts w:ascii="Times New Roman" w:hAnsi="Times New Roman"/>
                <w:b w:val="0"/>
                <w:sz w:val="22"/>
              </w:rPr>
              <w:t>Быстрое включение новичка в работу</w:t>
            </w:r>
          </w:p>
        </w:tc>
      </w:tr>
      <w:tr>
        <w:tc>
          <w:tcPr>
            <w:tcW w:type="dxa" w:w="2300"/>
          </w:tcPr>
          <w:p>
            <w:r>
              <w:rPr>
                <w:rFonts w:ascii="Times New Roman" w:hAnsi="Times New Roman"/>
                <w:b w:val="0"/>
                <w:sz w:val="22"/>
              </w:rPr>
              <w:t>Внешнее обучение</w:t>
            </w:r>
          </w:p>
        </w:tc>
        <w:tc>
          <w:tcPr>
            <w:tcW w:type="dxa" w:w="2300"/>
          </w:tcPr>
          <w:p>
            <w:r>
              <w:rPr>
                <w:rFonts w:ascii="Times New Roman" w:hAnsi="Times New Roman"/>
                <w:b w:val="0"/>
                <w:sz w:val="22"/>
              </w:rPr>
              <w:t>Курсы 44-ФЗ и 223-ФЗ для 8 сотрудников</w:t>
            </w:r>
          </w:p>
        </w:tc>
        <w:tc>
          <w:tcPr>
            <w:tcW w:type="dxa" w:w="2300"/>
          </w:tcPr>
          <w:p>
            <w:r>
              <w:rPr>
                <w:rFonts w:ascii="Times New Roman" w:hAnsi="Times New Roman"/>
                <w:b w:val="0"/>
                <w:sz w:val="22"/>
              </w:rPr>
              <w:t>Пробелы в нормативных знаниях</w:t>
            </w:r>
          </w:p>
        </w:tc>
        <w:tc>
          <w:tcPr>
            <w:tcW w:type="dxa" w:w="2300"/>
          </w:tcPr>
          <w:p>
            <w:r>
              <w:rPr>
                <w:rFonts w:ascii="Times New Roman" w:hAnsi="Times New Roman"/>
                <w:b w:val="0"/>
                <w:sz w:val="22"/>
              </w:rPr>
              <w:t>Актуализация профессиональных компетенций</w:t>
            </w:r>
          </w:p>
        </w:tc>
      </w:tr>
      <w:tr>
        <w:tc>
          <w:tcPr>
            <w:tcW w:type="dxa" w:w="2300"/>
          </w:tcPr>
          <w:p>
            <w:r>
              <w:rPr>
                <w:rFonts w:ascii="Times New Roman" w:hAnsi="Times New Roman"/>
                <w:b w:val="0"/>
                <w:sz w:val="22"/>
              </w:rPr>
              <w:t>Чек-лист заявки</w:t>
            </w:r>
          </w:p>
        </w:tc>
        <w:tc>
          <w:tcPr>
            <w:tcW w:type="dxa" w:w="2300"/>
          </w:tcPr>
          <w:p>
            <w:r>
              <w:rPr>
                <w:rFonts w:ascii="Times New Roman" w:hAnsi="Times New Roman"/>
                <w:b w:val="0"/>
                <w:sz w:val="22"/>
              </w:rPr>
              <w:t>Контроль комплектности, формата, подписи и расчетов</w:t>
            </w:r>
          </w:p>
        </w:tc>
        <w:tc>
          <w:tcPr>
            <w:tcW w:type="dxa" w:w="2300"/>
          </w:tcPr>
          <w:p>
            <w:r>
              <w:rPr>
                <w:rFonts w:ascii="Times New Roman" w:hAnsi="Times New Roman"/>
                <w:b w:val="0"/>
                <w:sz w:val="22"/>
              </w:rPr>
              <w:t>Формальные ошибки</w:t>
            </w:r>
          </w:p>
        </w:tc>
        <w:tc>
          <w:tcPr>
            <w:tcW w:type="dxa" w:w="2300"/>
          </w:tcPr>
          <w:p>
            <w:r>
              <w:rPr>
                <w:rFonts w:ascii="Times New Roman" w:hAnsi="Times New Roman"/>
                <w:b w:val="0"/>
                <w:sz w:val="22"/>
              </w:rPr>
              <w:t>Снижение отклонений на этапе допуска</w:t>
            </w:r>
          </w:p>
        </w:tc>
      </w:tr>
      <w:tr>
        <w:tc>
          <w:tcPr>
            <w:tcW w:type="dxa" w:w="2300"/>
          </w:tcPr>
          <w:p>
            <w:r>
              <w:rPr>
                <w:rFonts w:ascii="Times New Roman" w:hAnsi="Times New Roman"/>
                <w:b w:val="0"/>
                <w:sz w:val="22"/>
              </w:rPr>
              <w:t>Реестр ошибок</w:t>
            </w:r>
          </w:p>
        </w:tc>
        <w:tc>
          <w:tcPr>
            <w:tcW w:type="dxa" w:w="2300"/>
          </w:tcPr>
          <w:p>
            <w:r>
              <w:rPr>
                <w:rFonts w:ascii="Times New Roman" w:hAnsi="Times New Roman"/>
                <w:b w:val="0"/>
                <w:sz w:val="22"/>
              </w:rPr>
              <w:t>Фиксация причин отклонений и корректирующих действий</w:t>
            </w:r>
          </w:p>
        </w:tc>
        <w:tc>
          <w:tcPr>
            <w:tcW w:type="dxa" w:w="2300"/>
          </w:tcPr>
          <w:p>
            <w:r>
              <w:rPr>
                <w:rFonts w:ascii="Times New Roman" w:hAnsi="Times New Roman"/>
                <w:b w:val="0"/>
                <w:sz w:val="22"/>
              </w:rPr>
              <w:t>Повторяемость ошибок</w:t>
            </w:r>
          </w:p>
        </w:tc>
        <w:tc>
          <w:tcPr>
            <w:tcW w:type="dxa" w:w="2300"/>
          </w:tcPr>
          <w:p>
            <w:r>
              <w:rPr>
                <w:rFonts w:ascii="Times New Roman" w:hAnsi="Times New Roman"/>
                <w:b w:val="0"/>
                <w:sz w:val="22"/>
              </w:rPr>
              <w:t>Накопление организационного знания</w:t>
            </w:r>
          </w:p>
        </w:tc>
      </w:tr>
      <w:tr>
        <w:tc>
          <w:tcPr>
            <w:tcW w:type="dxa" w:w="2300"/>
          </w:tcPr>
          <w:p>
            <w:r>
              <w:rPr>
                <w:rFonts w:ascii="Times New Roman" w:hAnsi="Times New Roman"/>
                <w:b w:val="0"/>
                <w:sz w:val="22"/>
              </w:rPr>
              <w:t>Наставничество</w:t>
            </w:r>
          </w:p>
        </w:tc>
        <w:tc>
          <w:tcPr>
            <w:tcW w:type="dxa" w:w="2300"/>
          </w:tcPr>
          <w:p>
            <w:r>
              <w:rPr>
                <w:rFonts w:ascii="Times New Roman" w:hAnsi="Times New Roman"/>
                <w:b w:val="0"/>
                <w:sz w:val="22"/>
              </w:rPr>
              <w:t>2 наставника, сопровождение новичков</w:t>
            </w:r>
          </w:p>
        </w:tc>
        <w:tc>
          <w:tcPr>
            <w:tcW w:type="dxa" w:w="2300"/>
          </w:tcPr>
          <w:p>
            <w:r>
              <w:rPr>
                <w:rFonts w:ascii="Times New Roman" w:hAnsi="Times New Roman"/>
                <w:b w:val="0"/>
                <w:sz w:val="22"/>
              </w:rPr>
              <w:t>Потеря опыта при текучести</w:t>
            </w:r>
          </w:p>
        </w:tc>
        <w:tc>
          <w:tcPr>
            <w:tcW w:type="dxa" w:w="2300"/>
          </w:tcPr>
          <w:p>
            <w:r>
              <w:rPr>
                <w:rFonts w:ascii="Times New Roman" w:hAnsi="Times New Roman"/>
                <w:b w:val="0"/>
                <w:sz w:val="22"/>
              </w:rPr>
              <w:t>Передача практических знаний</w:t>
            </w:r>
          </w:p>
        </w:tc>
      </w:tr>
      <w:tr>
        <w:tc>
          <w:tcPr>
            <w:tcW w:type="dxa" w:w="2300"/>
          </w:tcPr>
          <w:p>
            <w:r>
              <w:rPr>
                <w:rFonts w:ascii="Times New Roman" w:hAnsi="Times New Roman"/>
                <w:b w:val="0"/>
                <w:sz w:val="22"/>
              </w:rPr>
              <w:t>Оценка эффективности</w:t>
            </w:r>
          </w:p>
        </w:tc>
        <w:tc>
          <w:tcPr>
            <w:tcW w:type="dxa" w:w="2300"/>
          </w:tcPr>
          <w:p>
            <w:r>
              <w:rPr>
                <w:rFonts w:ascii="Times New Roman" w:hAnsi="Times New Roman"/>
                <w:b w:val="0"/>
                <w:sz w:val="22"/>
              </w:rPr>
              <w:t>Тесты, KPI, анализ заявок, ROI</w:t>
            </w:r>
          </w:p>
        </w:tc>
        <w:tc>
          <w:tcPr>
            <w:tcW w:type="dxa" w:w="2300"/>
          </w:tcPr>
          <w:p>
            <w:r>
              <w:rPr>
                <w:rFonts w:ascii="Times New Roman" w:hAnsi="Times New Roman"/>
                <w:b w:val="0"/>
                <w:sz w:val="22"/>
              </w:rPr>
              <w:t>Нет контроля результата обучения</w:t>
            </w:r>
          </w:p>
        </w:tc>
        <w:tc>
          <w:tcPr>
            <w:tcW w:type="dxa" w:w="2300"/>
          </w:tcPr>
          <w:p>
            <w:r>
              <w:rPr>
                <w:rFonts w:ascii="Times New Roman" w:hAnsi="Times New Roman"/>
                <w:b w:val="0"/>
                <w:sz w:val="22"/>
              </w:rPr>
              <w:t>Измеримая связь обучения с результатами</w:t>
            </w:r>
          </w:p>
        </w:tc>
      </w:tr>
    </w:tbl>
    <w:p>
      <w:pPr>
        <w:spacing w:line="360" w:lineRule="auto" w:after="120"/>
        <w:ind w:firstLine="700"/>
      </w:pPr>
    </w:p>
    <w:p>
      <w:pPr>
        <w:spacing w:line="360" w:lineRule="auto" w:after="120"/>
        <w:ind w:firstLine="700"/>
      </w:pPr>
      <w:r>
        <w:rPr>
          <w:rFonts w:ascii="Times New Roman" w:hAnsi="Times New Roman"/>
          <w:b w:val="0"/>
          <w:sz w:val="28"/>
        </w:rPr>
        <w:t>Методические рекомендации по осуществлению управленческих процедур состоят в закреплении конкретного алгоритма. Генеральный директор утверждает положение о системе обучения тендерного отдела и бюджет. Руководитель отдела формирует календарь обучения, назначает наставников, утверждает чек-листы и контролирует базу знаний. Юрист отслеживает изменения законодательства и участвует в обновлении шаблонов. Системный администратор настраивает разделы в Битрикс24, права доступа и шаблоны задач. Бухгалтерия фиксирует затраты и помогает рассчитывать экономический эффект.</w:t>
      </w:r>
    </w:p>
    <w:p>
      <w:pPr>
        <w:spacing w:line="360" w:lineRule="auto" w:after="120"/>
        <w:ind w:firstLine="700"/>
      </w:pPr>
      <w:r>
        <w:rPr>
          <w:rFonts w:ascii="Times New Roman" w:hAnsi="Times New Roman"/>
          <w:b w:val="0"/>
          <w:sz w:val="28"/>
        </w:rPr>
        <w:t>Для адаптации решения к действующей системе управления важно не создавать параллельный контур документооборота. Все действия должны быть встроены в уже используемые процессы. Если заявка готовится в задаче Битрикс24, то чек-лист проверки должен находиться в этой же задаче. Если шаблон документа обновлен, ссылка на него должна заменяться в базе знаний, а не рассылаться отдельным сообщением в чате. Если ошибка выявлена, она фиксируется в реестре и обсуждается на ежемесячном разборе.</w:t>
      </w:r>
    </w:p>
    <w:p>
      <w:pPr>
        <w:spacing w:line="360" w:lineRule="auto" w:after="120"/>
        <w:ind w:firstLine="700"/>
      </w:pPr>
      <w:r>
        <w:rPr>
          <w:rFonts w:ascii="Times New Roman" w:hAnsi="Times New Roman"/>
          <w:b w:val="0"/>
          <w:sz w:val="28"/>
        </w:rPr>
        <w:t>Кадровое обеспечение проекта не требует найма нового специалиста. Основные роли распределяются между действующими работниками. Руководитель тендерного отдела выступает владельцем процесса. Два опытных специалиста выполняют функции наставников. Юрист на аутсорсинге участвует в проверке нормативных изменений. Системный администратор настраивает цифровые инструменты. Генеральный директор утверждает бюджет и контролирует достижение целевых показателей.</w:t>
      </w:r>
    </w:p>
    <w:p>
      <w:pPr>
        <w:spacing w:line="360" w:lineRule="auto" w:after="120"/>
        <w:ind w:firstLine="700"/>
      </w:pPr>
      <w:r>
        <w:rPr>
          <w:rFonts w:ascii="Times New Roman" w:hAnsi="Times New Roman"/>
          <w:b w:val="0"/>
          <w:sz w:val="28"/>
        </w:rPr>
        <w:t>Техническое обеспечение строится на трех инструментах: Битрикс24, LMS-платформа или раздел электронного обучения, а также справочно-правовые и нормативные источники. По данным открытых тарифов, iSpring Learn начинается от 214 руб. за пользователя в месяц [46]. Для ООО «Лайф Медиа» с учетом 17 пользователей годовая стоимость составит 43 656 руб. При необходимости компания может использовать Битрикс24 Стандарт, стоимость которого составляет 6 990 руб. в месяц при помесячной оплате или 4 893 руб. в месяц при годовой оплате [47]. Так как Битрикс24 уже используется, в расчет включается не новая подписка, а настройка базы знаний и бизнес-процессов.</w:t>
      </w:r>
    </w:p>
    <w:p>
      <w:pPr>
        <w:spacing w:line="360" w:lineRule="auto" w:after="120"/>
        <w:ind w:firstLine="700"/>
      </w:pPr>
      <w:r>
        <w:rPr>
          <w:rFonts w:ascii="Times New Roman" w:hAnsi="Times New Roman"/>
          <w:b w:val="0"/>
          <w:sz w:val="28"/>
        </w:rPr>
        <w:t>Организационно-экономическое обеспечение включает бюджет на внешние курсы, настройку цифровой среды, лицензии, мотивацию наставников и резерв на обновление материалов. При этом предлагаемый проект не требует крупных капитальных вложений, строительства учебного центра или приобретения оборудования. Он относится к организационно-цифровым мероприятиям, поэтому может быть реализован в течение трех месяцев.</w:t>
      </w:r>
    </w:p>
    <w:p>
      <w:pPr>
        <w:spacing w:line="360" w:lineRule="auto" w:after="120"/>
        <w:jc w:val="center"/>
      </w:pPr>
      <w:r>
        <w:rPr>
          <w:rFonts w:ascii="Times New Roman" w:hAnsi="Times New Roman"/>
          <w:b w:val="0"/>
          <w:sz w:val="28"/>
        </w:rPr>
        <w:t>Таблица 3.4. План внедрения системы обучения и развития тендерных специалистов</w:t>
      </w:r>
    </w:p>
    <w:tbl>
      <w:tblPr>
        <w:tblStyle w:val="6"/>
        <w:tblW w:type="auto" w:w="0"/>
        <w:tblLook w:firstColumn="1" w:firstRow="1" w:lastColumn="0" w:lastRow="0" w:noHBand="0" w:noVBand="1" w:val="04A0"/>
      </w:tblPr>
      <w:tblGrid>
        <w:gridCol w:w="2300"/>
        <w:gridCol w:w="2300"/>
        <w:gridCol w:w="2300"/>
        <w:gridCol w:w="2300"/>
      </w:tblGrid>
      <w:tr>
        <w:tc>
          <w:tcPr>
            <w:tcW w:type="dxa" w:w="2300"/>
          </w:tcPr>
          <w:p>
            <w:r>
              <w:rPr>
                <w:rFonts w:ascii="Times New Roman" w:hAnsi="Times New Roman"/>
                <w:b/>
                <w:sz w:val="22"/>
              </w:rPr>
              <w:t>Этап</w:t>
            </w:r>
          </w:p>
        </w:tc>
        <w:tc>
          <w:tcPr>
            <w:tcW w:type="dxa" w:w="2300"/>
          </w:tcPr>
          <w:p>
            <w:r>
              <w:rPr>
                <w:rFonts w:ascii="Times New Roman" w:hAnsi="Times New Roman"/>
                <w:b/>
                <w:sz w:val="22"/>
              </w:rPr>
              <w:t>Срок</w:t>
            </w:r>
          </w:p>
        </w:tc>
        <w:tc>
          <w:tcPr>
            <w:tcW w:type="dxa" w:w="2300"/>
          </w:tcPr>
          <w:p>
            <w:r>
              <w:rPr>
                <w:rFonts w:ascii="Times New Roman" w:hAnsi="Times New Roman"/>
                <w:b/>
                <w:sz w:val="22"/>
              </w:rPr>
              <w:t>Основные действия</w:t>
            </w:r>
          </w:p>
        </w:tc>
        <w:tc>
          <w:tcPr>
            <w:tcW w:type="dxa" w:w="2300"/>
          </w:tcPr>
          <w:p>
            <w:r>
              <w:rPr>
                <w:rFonts w:ascii="Times New Roman" w:hAnsi="Times New Roman"/>
                <w:b/>
                <w:sz w:val="22"/>
              </w:rPr>
              <w:t>Ответственные</w:t>
            </w:r>
          </w:p>
        </w:tc>
      </w:tr>
      <w:tr>
        <w:tc>
          <w:tcPr>
            <w:tcW w:type="dxa" w:w="2300"/>
          </w:tcPr>
          <w:p>
            <w:r>
              <w:rPr>
                <w:rFonts w:ascii="Times New Roman" w:hAnsi="Times New Roman"/>
                <w:b w:val="0"/>
                <w:sz w:val="22"/>
              </w:rPr>
              <w:t>1. Подготовка</w:t>
            </w:r>
          </w:p>
        </w:tc>
        <w:tc>
          <w:tcPr>
            <w:tcW w:type="dxa" w:w="2300"/>
          </w:tcPr>
          <w:p>
            <w:r>
              <w:rPr>
                <w:rFonts w:ascii="Times New Roman" w:hAnsi="Times New Roman"/>
                <w:b w:val="0"/>
                <w:sz w:val="22"/>
              </w:rPr>
              <w:t>1-2 неделя</w:t>
            </w:r>
          </w:p>
        </w:tc>
        <w:tc>
          <w:tcPr>
            <w:tcW w:type="dxa" w:w="2300"/>
          </w:tcPr>
          <w:p>
            <w:r>
              <w:rPr>
                <w:rFonts w:ascii="Times New Roman" w:hAnsi="Times New Roman"/>
                <w:b w:val="0"/>
                <w:sz w:val="22"/>
              </w:rPr>
              <w:t>Утверждение бюджета, назначение ответственных, аудит шаблонов</w:t>
            </w:r>
          </w:p>
        </w:tc>
        <w:tc>
          <w:tcPr>
            <w:tcW w:type="dxa" w:w="2300"/>
          </w:tcPr>
          <w:p>
            <w:r>
              <w:rPr>
                <w:rFonts w:ascii="Times New Roman" w:hAnsi="Times New Roman"/>
                <w:b w:val="0"/>
                <w:sz w:val="22"/>
              </w:rPr>
              <w:t>Генеральный директор, руководитель отдела</w:t>
            </w:r>
          </w:p>
        </w:tc>
      </w:tr>
      <w:tr>
        <w:tc>
          <w:tcPr>
            <w:tcW w:type="dxa" w:w="2300"/>
          </w:tcPr>
          <w:p>
            <w:r>
              <w:rPr>
                <w:rFonts w:ascii="Times New Roman" w:hAnsi="Times New Roman"/>
                <w:b w:val="0"/>
                <w:sz w:val="22"/>
              </w:rPr>
              <w:t>2. Настройка базы знаний</w:t>
            </w:r>
          </w:p>
        </w:tc>
        <w:tc>
          <w:tcPr>
            <w:tcW w:type="dxa" w:w="2300"/>
          </w:tcPr>
          <w:p>
            <w:r>
              <w:rPr>
                <w:rFonts w:ascii="Times New Roman" w:hAnsi="Times New Roman"/>
                <w:b w:val="0"/>
                <w:sz w:val="22"/>
              </w:rPr>
              <w:t>3-4 неделя</w:t>
            </w:r>
          </w:p>
        </w:tc>
        <w:tc>
          <w:tcPr>
            <w:tcW w:type="dxa" w:w="2300"/>
          </w:tcPr>
          <w:p>
            <w:r>
              <w:rPr>
                <w:rFonts w:ascii="Times New Roman" w:hAnsi="Times New Roman"/>
                <w:b w:val="0"/>
                <w:sz w:val="22"/>
              </w:rPr>
              <w:t>Создание разделов, перенос актуальных документов, права доступа</w:t>
            </w:r>
          </w:p>
        </w:tc>
        <w:tc>
          <w:tcPr>
            <w:tcW w:type="dxa" w:w="2300"/>
          </w:tcPr>
          <w:p>
            <w:r>
              <w:rPr>
                <w:rFonts w:ascii="Times New Roman" w:hAnsi="Times New Roman"/>
                <w:b w:val="0"/>
                <w:sz w:val="22"/>
              </w:rPr>
              <w:t>Системный администратор, руководитель отдела</w:t>
            </w:r>
          </w:p>
        </w:tc>
      </w:tr>
      <w:tr>
        <w:tc>
          <w:tcPr>
            <w:tcW w:type="dxa" w:w="2300"/>
          </w:tcPr>
          <w:p>
            <w:r>
              <w:rPr>
                <w:rFonts w:ascii="Times New Roman" w:hAnsi="Times New Roman"/>
                <w:b w:val="0"/>
                <w:sz w:val="22"/>
              </w:rPr>
              <w:t>3. Разработка процедур</w:t>
            </w:r>
          </w:p>
        </w:tc>
        <w:tc>
          <w:tcPr>
            <w:tcW w:type="dxa" w:w="2300"/>
          </w:tcPr>
          <w:p>
            <w:r>
              <w:rPr>
                <w:rFonts w:ascii="Times New Roman" w:hAnsi="Times New Roman"/>
                <w:b w:val="0"/>
                <w:sz w:val="22"/>
              </w:rPr>
              <w:t>5-6 неделя</w:t>
            </w:r>
          </w:p>
        </w:tc>
        <w:tc>
          <w:tcPr>
            <w:tcW w:type="dxa" w:w="2300"/>
          </w:tcPr>
          <w:p>
            <w:r>
              <w:rPr>
                <w:rFonts w:ascii="Times New Roman" w:hAnsi="Times New Roman"/>
                <w:b w:val="0"/>
                <w:sz w:val="22"/>
              </w:rPr>
              <w:t>Чек-лист заявки, реестр ошибок, адаптационный маршрут</w:t>
            </w:r>
          </w:p>
        </w:tc>
        <w:tc>
          <w:tcPr>
            <w:tcW w:type="dxa" w:w="2300"/>
          </w:tcPr>
          <w:p>
            <w:r>
              <w:rPr>
                <w:rFonts w:ascii="Times New Roman" w:hAnsi="Times New Roman"/>
                <w:b w:val="0"/>
                <w:sz w:val="22"/>
              </w:rPr>
              <w:t>Руководитель отдела, юрист</w:t>
            </w:r>
          </w:p>
        </w:tc>
      </w:tr>
      <w:tr>
        <w:tc>
          <w:tcPr>
            <w:tcW w:type="dxa" w:w="2300"/>
          </w:tcPr>
          <w:p>
            <w:r>
              <w:rPr>
                <w:rFonts w:ascii="Times New Roman" w:hAnsi="Times New Roman"/>
                <w:b w:val="0"/>
                <w:sz w:val="22"/>
              </w:rPr>
              <w:t>4. Внешнее обучение</w:t>
            </w:r>
          </w:p>
        </w:tc>
        <w:tc>
          <w:tcPr>
            <w:tcW w:type="dxa" w:w="2300"/>
          </w:tcPr>
          <w:p>
            <w:r>
              <w:rPr>
                <w:rFonts w:ascii="Times New Roman" w:hAnsi="Times New Roman"/>
                <w:b w:val="0"/>
                <w:sz w:val="22"/>
              </w:rPr>
              <w:t>7-10 неделя</w:t>
            </w:r>
          </w:p>
        </w:tc>
        <w:tc>
          <w:tcPr>
            <w:tcW w:type="dxa" w:w="2300"/>
          </w:tcPr>
          <w:p>
            <w:r>
              <w:rPr>
                <w:rFonts w:ascii="Times New Roman" w:hAnsi="Times New Roman"/>
                <w:b w:val="0"/>
                <w:sz w:val="22"/>
              </w:rPr>
              <w:t>Курсы 44-ФЗ и 223-ФЗ, промежуточное тестирование</w:t>
            </w:r>
          </w:p>
        </w:tc>
        <w:tc>
          <w:tcPr>
            <w:tcW w:type="dxa" w:w="2300"/>
          </w:tcPr>
          <w:p>
            <w:r>
              <w:rPr>
                <w:rFonts w:ascii="Times New Roman" w:hAnsi="Times New Roman"/>
                <w:b w:val="0"/>
                <w:sz w:val="22"/>
              </w:rPr>
              <w:t>Все специалисты отдела</w:t>
            </w:r>
          </w:p>
        </w:tc>
      </w:tr>
      <w:tr>
        <w:tc>
          <w:tcPr>
            <w:tcW w:type="dxa" w:w="2300"/>
          </w:tcPr>
          <w:p>
            <w:r>
              <w:rPr>
                <w:rFonts w:ascii="Times New Roman" w:hAnsi="Times New Roman"/>
                <w:b w:val="0"/>
                <w:sz w:val="22"/>
              </w:rPr>
              <w:t>5. Запуск наставничества</w:t>
            </w:r>
          </w:p>
        </w:tc>
        <w:tc>
          <w:tcPr>
            <w:tcW w:type="dxa" w:w="2300"/>
          </w:tcPr>
          <w:p>
            <w:r>
              <w:rPr>
                <w:rFonts w:ascii="Times New Roman" w:hAnsi="Times New Roman"/>
                <w:b w:val="0"/>
                <w:sz w:val="22"/>
              </w:rPr>
              <w:t>7-12 неделя</w:t>
            </w:r>
          </w:p>
        </w:tc>
        <w:tc>
          <w:tcPr>
            <w:tcW w:type="dxa" w:w="2300"/>
          </w:tcPr>
          <w:p>
            <w:r>
              <w:rPr>
                <w:rFonts w:ascii="Times New Roman" w:hAnsi="Times New Roman"/>
                <w:b w:val="0"/>
                <w:sz w:val="22"/>
              </w:rPr>
              <w:t>Назначение наставников, сопровождение новичков, проверка кейсов</w:t>
            </w:r>
          </w:p>
        </w:tc>
        <w:tc>
          <w:tcPr>
            <w:tcW w:type="dxa" w:w="2300"/>
          </w:tcPr>
          <w:p>
            <w:r>
              <w:rPr>
                <w:rFonts w:ascii="Times New Roman" w:hAnsi="Times New Roman"/>
                <w:b w:val="0"/>
                <w:sz w:val="22"/>
              </w:rPr>
              <w:t>Руководитель отдела, наставники</w:t>
            </w:r>
          </w:p>
        </w:tc>
      </w:tr>
      <w:tr>
        <w:tc>
          <w:tcPr>
            <w:tcW w:type="dxa" w:w="2300"/>
          </w:tcPr>
          <w:p>
            <w:r>
              <w:rPr>
                <w:rFonts w:ascii="Times New Roman" w:hAnsi="Times New Roman"/>
                <w:b w:val="0"/>
                <w:sz w:val="22"/>
              </w:rPr>
              <w:t>6. Пилотное применение</w:t>
            </w:r>
          </w:p>
        </w:tc>
        <w:tc>
          <w:tcPr>
            <w:tcW w:type="dxa" w:w="2300"/>
          </w:tcPr>
          <w:p>
            <w:r>
              <w:rPr>
                <w:rFonts w:ascii="Times New Roman" w:hAnsi="Times New Roman"/>
                <w:b w:val="0"/>
                <w:sz w:val="22"/>
              </w:rPr>
              <w:t>11-12 неделя</w:t>
            </w:r>
          </w:p>
        </w:tc>
        <w:tc>
          <w:tcPr>
            <w:tcW w:type="dxa" w:w="2300"/>
          </w:tcPr>
          <w:p>
            <w:r>
              <w:rPr>
                <w:rFonts w:ascii="Times New Roman" w:hAnsi="Times New Roman"/>
                <w:b w:val="0"/>
                <w:sz w:val="22"/>
              </w:rPr>
              <w:t>Использование чек-листов на реальных заявках, фиксация ошибок</w:t>
            </w:r>
          </w:p>
        </w:tc>
        <w:tc>
          <w:tcPr>
            <w:tcW w:type="dxa" w:w="2300"/>
          </w:tcPr>
          <w:p>
            <w:r>
              <w:rPr>
                <w:rFonts w:ascii="Times New Roman" w:hAnsi="Times New Roman"/>
                <w:b w:val="0"/>
                <w:sz w:val="22"/>
              </w:rPr>
              <w:t>Тендерный отдел</w:t>
            </w:r>
          </w:p>
        </w:tc>
      </w:tr>
      <w:tr>
        <w:tc>
          <w:tcPr>
            <w:tcW w:type="dxa" w:w="2300"/>
          </w:tcPr>
          <w:p>
            <w:r>
              <w:rPr>
                <w:rFonts w:ascii="Times New Roman" w:hAnsi="Times New Roman"/>
                <w:b w:val="0"/>
                <w:sz w:val="22"/>
              </w:rPr>
              <w:t>7. Оценка результатов</w:t>
            </w:r>
          </w:p>
        </w:tc>
        <w:tc>
          <w:tcPr>
            <w:tcW w:type="dxa" w:w="2300"/>
          </w:tcPr>
          <w:p>
            <w:r>
              <w:rPr>
                <w:rFonts w:ascii="Times New Roman" w:hAnsi="Times New Roman"/>
                <w:b w:val="0"/>
                <w:sz w:val="22"/>
              </w:rPr>
              <w:t>Конец 3 месяца</w:t>
            </w:r>
          </w:p>
        </w:tc>
        <w:tc>
          <w:tcPr>
            <w:tcW w:type="dxa" w:w="2300"/>
          </w:tcPr>
          <w:p>
            <w:r>
              <w:rPr>
                <w:rFonts w:ascii="Times New Roman" w:hAnsi="Times New Roman"/>
                <w:b w:val="0"/>
                <w:sz w:val="22"/>
              </w:rPr>
              <w:t>Тестирование, анализ первых показателей, корректировка материалов</w:t>
            </w:r>
          </w:p>
        </w:tc>
        <w:tc>
          <w:tcPr>
            <w:tcW w:type="dxa" w:w="2300"/>
          </w:tcPr>
          <w:p>
            <w:r>
              <w:rPr>
                <w:rFonts w:ascii="Times New Roman" w:hAnsi="Times New Roman"/>
                <w:b w:val="0"/>
                <w:sz w:val="22"/>
              </w:rPr>
              <w:t>Руководитель отдела, бухгалтерия</w:t>
            </w:r>
          </w:p>
        </w:tc>
      </w:tr>
    </w:tbl>
    <w:p>
      <w:pPr>
        <w:spacing w:line="360" w:lineRule="auto" w:after="120"/>
        <w:ind w:firstLine="700"/>
      </w:pPr>
    </w:p>
    <w:p>
      <w:pPr>
        <w:spacing w:line="360" w:lineRule="auto" w:after="120"/>
        <w:jc w:val="center"/>
      </w:pPr>
      <w:r>
        <w:rPr>
          <w:rFonts w:ascii="Times New Roman" w:hAnsi="Times New Roman"/>
          <w:b w:val="0"/>
          <w:sz w:val="28"/>
        </w:rPr>
        <w:t>Таблица 3.5. Бюджет внедрения предлагаемых мероприятий</w:t>
      </w:r>
    </w:p>
    <w:tbl>
      <w:tblPr>
        <w:tblStyle w:val="6"/>
        <w:tblW w:type="auto" w:w="0"/>
        <w:tblLook w:firstColumn="1" w:firstRow="1" w:lastColumn="0" w:lastRow="0" w:noHBand="0" w:noVBand="1" w:val="04A0"/>
      </w:tblPr>
      <w:tblGrid>
        <w:gridCol w:w="2300"/>
        <w:gridCol w:w="2300"/>
        <w:gridCol w:w="2300"/>
        <w:gridCol w:w="2300"/>
      </w:tblGrid>
      <w:tr>
        <w:tc>
          <w:tcPr>
            <w:tcW w:type="dxa" w:w="2300"/>
          </w:tcPr>
          <w:p>
            <w:r>
              <w:rPr>
                <w:rFonts w:ascii="Times New Roman" w:hAnsi="Times New Roman"/>
                <w:b/>
                <w:sz w:val="22"/>
              </w:rPr>
              <w:t>Статья затрат</w:t>
            </w:r>
          </w:p>
        </w:tc>
        <w:tc>
          <w:tcPr>
            <w:tcW w:type="dxa" w:w="2300"/>
          </w:tcPr>
          <w:p>
            <w:r>
              <w:rPr>
                <w:rFonts w:ascii="Times New Roman" w:hAnsi="Times New Roman"/>
                <w:b/>
                <w:sz w:val="22"/>
              </w:rPr>
              <w:t>Расчет</w:t>
            </w:r>
          </w:p>
        </w:tc>
        <w:tc>
          <w:tcPr>
            <w:tcW w:type="dxa" w:w="2300"/>
          </w:tcPr>
          <w:p>
            <w:r>
              <w:rPr>
                <w:rFonts w:ascii="Times New Roman" w:hAnsi="Times New Roman"/>
                <w:b/>
                <w:sz w:val="22"/>
              </w:rPr>
              <w:t>Сумма, руб.</w:t>
            </w:r>
          </w:p>
        </w:tc>
        <w:tc>
          <w:tcPr>
            <w:tcW w:type="dxa" w:w="2300"/>
          </w:tcPr>
          <w:p>
            <w:r>
              <w:rPr>
                <w:rFonts w:ascii="Times New Roman" w:hAnsi="Times New Roman"/>
                <w:b/>
                <w:sz w:val="22"/>
              </w:rPr>
              <w:t>Источник стоимости</w:t>
            </w:r>
          </w:p>
        </w:tc>
      </w:tr>
      <w:tr>
        <w:tc>
          <w:tcPr>
            <w:tcW w:type="dxa" w:w="2300"/>
          </w:tcPr>
          <w:p>
            <w:r>
              <w:rPr>
                <w:rFonts w:ascii="Times New Roman" w:hAnsi="Times New Roman"/>
                <w:b w:val="0"/>
                <w:sz w:val="22"/>
              </w:rPr>
              <w:t>Курс повышения квалификации по 44-ФЗ</w:t>
            </w:r>
          </w:p>
        </w:tc>
        <w:tc>
          <w:tcPr>
            <w:tcW w:type="dxa" w:w="2300"/>
          </w:tcPr>
          <w:p>
            <w:r>
              <w:rPr>
                <w:rFonts w:ascii="Times New Roman" w:hAnsi="Times New Roman"/>
                <w:b w:val="0"/>
                <w:sz w:val="22"/>
              </w:rPr>
              <w:t>18 000 руб. × 8 сотрудников</w:t>
            </w:r>
          </w:p>
        </w:tc>
        <w:tc>
          <w:tcPr>
            <w:tcW w:type="dxa" w:w="2300"/>
          </w:tcPr>
          <w:p>
            <w:r>
              <w:rPr>
                <w:rFonts w:ascii="Times New Roman" w:hAnsi="Times New Roman"/>
                <w:b w:val="0"/>
                <w:sz w:val="22"/>
              </w:rPr>
              <w:t>144 000</w:t>
            </w:r>
          </w:p>
        </w:tc>
        <w:tc>
          <w:tcPr>
            <w:tcW w:type="dxa" w:w="2300"/>
          </w:tcPr>
          <w:p>
            <w:r>
              <w:rPr>
                <w:rFonts w:ascii="Times New Roman" w:hAnsi="Times New Roman"/>
                <w:b w:val="0"/>
                <w:sz w:val="22"/>
              </w:rPr>
              <w:t>Контур.Школа [45]</w:t>
            </w:r>
          </w:p>
        </w:tc>
      </w:tr>
      <w:tr>
        <w:tc>
          <w:tcPr>
            <w:tcW w:type="dxa" w:w="2300"/>
          </w:tcPr>
          <w:p>
            <w:r>
              <w:rPr>
                <w:rFonts w:ascii="Times New Roman" w:hAnsi="Times New Roman"/>
                <w:b w:val="0"/>
                <w:sz w:val="22"/>
              </w:rPr>
              <w:t>Курс повышения квалификации по 223-ФЗ</w:t>
            </w:r>
          </w:p>
        </w:tc>
        <w:tc>
          <w:tcPr>
            <w:tcW w:type="dxa" w:w="2300"/>
          </w:tcPr>
          <w:p>
            <w:r>
              <w:rPr>
                <w:rFonts w:ascii="Times New Roman" w:hAnsi="Times New Roman"/>
                <w:b w:val="0"/>
                <w:sz w:val="22"/>
              </w:rPr>
              <w:t>16 000 руб. × 8 сотрудников</w:t>
            </w:r>
          </w:p>
        </w:tc>
        <w:tc>
          <w:tcPr>
            <w:tcW w:type="dxa" w:w="2300"/>
          </w:tcPr>
          <w:p>
            <w:r>
              <w:rPr>
                <w:rFonts w:ascii="Times New Roman" w:hAnsi="Times New Roman"/>
                <w:b w:val="0"/>
                <w:sz w:val="22"/>
              </w:rPr>
              <w:t>128 000</w:t>
            </w:r>
          </w:p>
        </w:tc>
        <w:tc>
          <w:tcPr>
            <w:tcW w:type="dxa" w:w="2300"/>
          </w:tcPr>
          <w:p>
            <w:r>
              <w:rPr>
                <w:rFonts w:ascii="Times New Roman" w:hAnsi="Times New Roman"/>
                <w:b w:val="0"/>
                <w:sz w:val="22"/>
              </w:rPr>
              <w:t>Контур.Школа [45]</w:t>
            </w:r>
          </w:p>
        </w:tc>
      </w:tr>
      <w:tr>
        <w:tc>
          <w:tcPr>
            <w:tcW w:type="dxa" w:w="2300"/>
          </w:tcPr>
          <w:p>
            <w:r>
              <w:rPr>
                <w:rFonts w:ascii="Times New Roman" w:hAnsi="Times New Roman"/>
                <w:b w:val="0"/>
                <w:sz w:val="22"/>
              </w:rPr>
              <w:t>LMS iSpring Learn</w:t>
            </w:r>
          </w:p>
        </w:tc>
        <w:tc>
          <w:tcPr>
            <w:tcW w:type="dxa" w:w="2300"/>
          </w:tcPr>
          <w:p>
            <w:r>
              <w:rPr>
                <w:rFonts w:ascii="Times New Roman" w:hAnsi="Times New Roman"/>
                <w:b w:val="0"/>
                <w:sz w:val="22"/>
              </w:rPr>
              <w:t>214 руб. × 17 пользователей × 12 мес.</w:t>
            </w:r>
          </w:p>
        </w:tc>
        <w:tc>
          <w:tcPr>
            <w:tcW w:type="dxa" w:w="2300"/>
          </w:tcPr>
          <w:p>
            <w:r>
              <w:rPr>
                <w:rFonts w:ascii="Times New Roman" w:hAnsi="Times New Roman"/>
                <w:b w:val="0"/>
                <w:sz w:val="22"/>
              </w:rPr>
              <w:t>43 656</w:t>
            </w:r>
          </w:p>
        </w:tc>
        <w:tc>
          <w:tcPr>
            <w:tcW w:type="dxa" w:w="2300"/>
          </w:tcPr>
          <w:p>
            <w:r>
              <w:rPr>
                <w:rFonts w:ascii="Times New Roman" w:hAnsi="Times New Roman"/>
                <w:b w:val="0"/>
                <w:sz w:val="22"/>
              </w:rPr>
              <w:t>iSpring Learn [46]</w:t>
            </w:r>
          </w:p>
        </w:tc>
      </w:tr>
      <w:tr>
        <w:tc>
          <w:tcPr>
            <w:tcW w:type="dxa" w:w="2300"/>
          </w:tcPr>
          <w:p>
            <w:r>
              <w:rPr>
                <w:rFonts w:ascii="Times New Roman" w:hAnsi="Times New Roman"/>
                <w:b w:val="0"/>
                <w:sz w:val="22"/>
              </w:rPr>
              <w:t>Настройка Битрикс24 и базы знаний</w:t>
            </w:r>
          </w:p>
        </w:tc>
        <w:tc>
          <w:tcPr>
            <w:tcW w:type="dxa" w:w="2300"/>
          </w:tcPr>
          <w:p>
            <w:r>
              <w:rPr>
                <w:rFonts w:ascii="Times New Roman" w:hAnsi="Times New Roman"/>
                <w:b w:val="0"/>
                <w:sz w:val="22"/>
              </w:rPr>
              <w:t>Средний пакет настройки для малого бизнеса</w:t>
            </w:r>
          </w:p>
        </w:tc>
        <w:tc>
          <w:tcPr>
            <w:tcW w:type="dxa" w:w="2300"/>
          </w:tcPr>
          <w:p>
            <w:r>
              <w:rPr>
                <w:rFonts w:ascii="Times New Roman" w:hAnsi="Times New Roman"/>
                <w:b w:val="0"/>
                <w:sz w:val="22"/>
              </w:rPr>
              <w:t>60 000</w:t>
            </w:r>
          </w:p>
        </w:tc>
        <w:tc>
          <w:tcPr>
            <w:tcW w:type="dxa" w:w="2300"/>
          </w:tcPr>
          <w:p>
            <w:r>
              <w:rPr>
                <w:rFonts w:ascii="Times New Roman" w:hAnsi="Times New Roman"/>
                <w:b w:val="0"/>
                <w:sz w:val="22"/>
              </w:rPr>
              <w:t>Рыночный диапазон 35 000-80 000 руб. [48]</w:t>
            </w:r>
          </w:p>
        </w:tc>
      </w:tr>
      <w:tr>
        <w:tc>
          <w:tcPr>
            <w:tcW w:type="dxa" w:w="2300"/>
          </w:tcPr>
          <w:p>
            <w:r>
              <w:rPr>
                <w:rFonts w:ascii="Times New Roman" w:hAnsi="Times New Roman"/>
                <w:b w:val="0"/>
                <w:sz w:val="22"/>
              </w:rPr>
              <w:t>КриптоПро CSP для учебных рабочих мест</w:t>
            </w:r>
          </w:p>
        </w:tc>
        <w:tc>
          <w:tcPr>
            <w:tcW w:type="dxa" w:w="2300"/>
          </w:tcPr>
          <w:p>
            <w:r>
              <w:rPr>
                <w:rFonts w:ascii="Times New Roman" w:hAnsi="Times New Roman"/>
                <w:b w:val="0"/>
                <w:sz w:val="22"/>
              </w:rPr>
              <w:t>1 850 руб. × 8 лицензий</w:t>
            </w:r>
          </w:p>
        </w:tc>
        <w:tc>
          <w:tcPr>
            <w:tcW w:type="dxa" w:w="2300"/>
          </w:tcPr>
          <w:p>
            <w:r>
              <w:rPr>
                <w:rFonts w:ascii="Times New Roman" w:hAnsi="Times New Roman"/>
                <w:b w:val="0"/>
                <w:sz w:val="22"/>
              </w:rPr>
              <w:t>14 800</w:t>
            </w:r>
          </w:p>
        </w:tc>
        <w:tc>
          <w:tcPr>
            <w:tcW w:type="dxa" w:w="2300"/>
          </w:tcPr>
          <w:p>
            <w:r>
              <w:rPr>
                <w:rFonts w:ascii="Times New Roman" w:hAnsi="Times New Roman"/>
                <w:b w:val="0"/>
                <w:sz w:val="22"/>
              </w:rPr>
              <w:t>Прайс КриптоПро [49]</w:t>
            </w:r>
          </w:p>
        </w:tc>
      </w:tr>
      <w:tr>
        <w:tc>
          <w:tcPr>
            <w:tcW w:type="dxa" w:w="2300"/>
          </w:tcPr>
          <w:p>
            <w:r>
              <w:rPr>
                <w:rFonts w:ascii="Times New Roman" w:hAnsi="Times New Roman"/>
                <w:b w:val="0"/>
                <w:sz w:val="22"/>
              </w:rPr>
              <w:t>Премия наставникам</w:t>
            </w:r>
          </w:p>
        </w:tc>
        <w:tc>
          <w:tcPr>
            <w:tcW w:type="dxa" w:w="2300"/>
          </w:tcPr>
          <w:p>
            <w:r>
              <w:rPr>
                <w:rFonts w:ascii="Times New Roman" w:hAnsi="Times New Roman"/>
                <w:b w:val="0"/>
                <w:sz w:val="22"/>
              </w:rPr>
              <w:t>5 000 руб. × 2 наставника × 6 мес.</w:t>
            </w:r>
          </w:p>
        </w:tc>
        <w:tc>
          <w:tcPr>
            <w:tcW w:type="dxa" w:w="2300"/>
          </w:tcPr>
          <w:p>
            <w:r>
              <w:rPr>
                <w:rFonts w:ascii="Times New Roman" w:hAnsi="Times New Roman"/>
                <w:b w:val="0"/>
                <w:sz w:val="22"/>
              </w:rPr>
              <w:t>60 000</w:t>
            </w:r>
          </w:p>
        </w:tc>
        <w:tc>
          <w:tcPr>
            <w:tcW w:type="dxa" w:w="2300"/>
          </w:tcPr>
          <w:p>
            <w:r>
              <w:rPr>
                <w:rFonts w:ascii="Times New Roman" w:hAnsi="Times New Roman"/>
                <w:b w:val="0"/>
                <w:sz w:val="22"/>
              </w:rPr>
              <w:t>Внутреннее положение о премировании</w:t>
            </w:r>
          </w:p>
        </w:tc>
      </w:tr>
      <w:tr>
        <w:tc>
          <w:tcPr>
            <w:tcW w:type="dxa" w:w="2300"/>
          </w:tcPr>
          <w:p>
            <w:r>
              <w:rPr>
                <w:rFonts w:ascii="Times New Roman" w:hAnsi="Times New Roman"/>
                <w:b w:val="0"/>
                <w:sz w:val="22"/>
              </w:rPr>
              <w:t>Резерв на обновление материалов</w:t>
            </w:r>
          </w:p>
        </w:tc>
        <w:tc>
          <w:tcPr>
            <w:tcW w:type="dxa" w:w="2300"/>
          </w:tcPr>
          <w:p>
            <w:r>
              <w:rPr>
                <w:rFonts w:ascii="Times New Roman" w:hAnsi="Times New Roman"/>
                <w:b w:val="0"/>
                <w:sz w:val="22"/>
              </w:rPr>
              <w:t>Около 5% от прямых затрат</w:t>
            </w:r>
          </w:p>
        </w:tc>
        <w:tc>
          <w:tcPr>
            <w:tcW w:type="dxa" w:w="2300"/>
          </w:tcPr>
          <w:p>
            <w:r>
              <w:rPr>
                <w:rFonts w:ascii="Times New Roman" w:hAnsi="Times New Roman"/>
                <w:b w:val="0"/>
                <w:sz w:val="22"/>
              </w:rPr>
              <w:t>24 000</w:t>
            </w:r>
          </w:p>
        </w:tc>
        <w:tc>
          <w:tcPr>
            <w:tcW w:type="dxa" w:w="2300"/>
          </w:tcPr>
          <w:p>
            <w:r>
              <w:rPr>
                <w:rFonts w:ascii="Times New Roman" w:hAnsi="Times New Roman"/>
                <w:b w:val="0"/>
                <w:sz w:val="22"/>
              </w:rPr>
              <w:t>Расчет автора</w:t>
            </w:r>
          </w:p>
        </w:tc>
      </w:tr>
      <w:tr>
        <w:tc>
          <w:tcPr>
            <w:tcW w:type="dxa" w:w="2300"/>
          </w:tcPr>
          <w:p>
            <w:r>
              <w:rPr>
                <w:rFonts w:ascii="Times New Roman" w:hAnsi="Times New Roman"/>
                <w:b w:val="0"/>
                <w:sz w:val="22"/>
              </w:rPr>
              <w:t>Итого первоначальные затраты</w:t>
            </w:r>
          </w:p>
        </w:tc>
        <w:tc>
          <w:tcPr>
            <w:tcW w:type="dxa" w:w="2300"/>
          </w:tcPr>
          <w:p>
            <w:r>
              <w:rPr>
                <w:rFonts w:ascii="Times New Roman" w:hAnsi="Times New Roman"/>
                <w:b w:val="0"/>
                <w:sz w:val="22"/>
              </w:rPr>
              <w:t>-</w:t>
            </w:r>
          </w:p>
        </w:tc>
        <w:tc>
          <w:tcPr>
            <w:tcW w:type="dxa" w:w="2300"/>
          </w:tcPr>
          <w:p>
            <w:r>
              <w:rPr>
                <w:rFonts w:ascii="Times New Roman" w:hAnsi="Times New Roman"/>
                <w:b w:val="0"/>
                <w:sz w:val="22"/>
              </w:rPr>
              <w:t>474 456</w:t>
            </w:r>
          </w:p>
        </w:tc>
        <w:tc>
          <w:tcPr>
            <w:tcW w:type="dxa" w:w="2300"/>
          </w:tcPr>
          <w:p>
            <w:r>
              <w:rPr>
                <w:rFonts w:ascii="Times New Roman" w:hAnsi="Times New Roman"/>
                <w:b w:val="0"/>
                <w:sz w:val="22"/>
              </w:rPr>
              <w:t>-</w:t>
            </w:r>
          </w:p>
        </w:tc>
      </w:tr>
    </w:tbl>
    <w:p>
      <w:pPr>
        <w:spacing w:line="360" w:lineRule="auto" w:after="120"/>
        <w:ind w:firstLine="700"/>
      </w:pPr>
    </w:p>
    <w:p>
      <w:pPr>
        <w:spacing w:line="360" w:lineRule="auto" w:after="120"/>
        <w:ind w:firstLine="700"/>
      </w:pPr>
      <w:r>
        <w:rPr>
          <w:rFonts w:ascii="Times New Roman" w:hAnsi="Times New Roman"/>
          <w:b w:val="0"/>
          <w:sz w:val="28"/>
        </w:rPr>
        <w:t>В расчет бюджета не включается стоимость подписки Битрикс24 как новая статья, поскольку система уже используется компанией. Если бы организация приобретала тариф заново, ориентиром мог бы выступать тариф «Стандарт» стоимостью 6 990 руб. в месяц или 4 893 руб. в месяц при оплате за год [47]. Однако для рассматриваемого проекта релевантной является именно настройка базы знаний и шаблонов процессов.</w:t>
      </w:r>
    </w:p>
    <w:p>
      <w:pPr>
        <w:spacing w:line="360" w:lineRule="auto" w:after="120"/>
        <w:ind w:firstLine="700"/>
      </w:pPr>
      <w:r>
        <w:rPr>
          <w:rFonts w:ascii="Times New Roman" w:hAnsi="Times New Roman"/>
          <w:b w:val="0"/>
          <w:sz w:val="28"/>
        </w:rPr>
        <w:t>По сравнению с текущими затратами на обучение в размере 45 тыс. руб. в год предлагаемый бюджет значительно выше. Однако такое увеличение обосновано тем, что текущие расходы носят формальный характер и не создают устойчивой системы. Новые затраты направлены не только на покупку курсов, но и на создание внутренней инфраструктуры, которая будет использоваться повторно. После первого года расходы снизятся, так как база знаний, чек-листы, реестр ошибок и адаптационный маршрут уже будут созданы.</w:t>
      </w:r>
    </w:p>
    <w:p>
      <w:pPr>
        <w:spacing w:line="360" w:lineRule="auto" w:after="120"/>
        <w:ind w:firstLine="700"/>
      </w:pPr>
      <w:r>
        <w:rPr>
          <w:rFonts w:ascii="Times New Roman" w:hAnsi="Times New Roman"/>
          <w:b w:val="0"/>
          <w:sz w:val="28"/>
        </w:rPr>
        <w:t>Операционные расходы второго и третьего года будут состоять из продления LMS, премий наставникам, обновления материалов и выборочного обучения по изменениям законодательства. В расчетах принимается, что ежегодные поддерживающие расходы составят 154 тыс. руб.: 43,7 тыс. руб. на LMS, 60 тыс. руб. на наставников и около 50 тыс. руб. на обновление материалов и краткие внешние вебинары.</w:t>
      </w:r>
    </w:p>
    <w:p>
      <w:pPr>
        <w:spacing w:line="360" w:lineRule="auto" w:after="120"/>
        <w:jc w:val="center"/>
      </w:pPr>
      <w:r>
        <w:rPr>
          <w:rFonts w:ascii="Times New Roman" w:hAnsi="Times New Roman"/>
          <w:b w:val="0"/>
          <w:sz w:val="28"/>
        </w:rPr>
        <w:t>Таблица 3.6. Матрица компетенций тендерного специалиста после внедрения системы обучения</w:t>
      </w:r>
    </w:p>
    <w:tbl>
      <w:tblPr>
        <w:tblStyle w:val="6"/>
        <w:tblW w:type="auto" w:w="0"/>
        <w:tblLook w:firstColumn="1" w:firstRow="1" w:lastColumn="0" w:lastRow="0" w:noHBand="0" w:noVBand="1" w:val="04A0"/>
      </w:tblPr>
      <w:tblGrid>
        <w:gridCol w:w="2300"/>
        <w:gridCol w:w="2300"/>
        <w:gridCol w:w="2300"/>
        <w:gridCol w:w="2300"/>
      </w:tblGrid>
      <w:tr>
        <w:tc>
          <w:tcPr>
            <w:tcW w:type="dxa" w:w="2300"/>
          </w:tcPr>
          <w:p>
            <w:r>
              <w:rPr>
                <w:rFonts w:ascii="Times New Roman" w:hAnsi="Times New Roman"/>
                <w:b/>
                <w:sz w:val="22"/>
              </w:rPr>
              <w:t>Компетенция</w:t>
            </w:r>
          </w:p>
        </w:tc>
        <w:tc>
          <w:tcPr>
            <w:tcW w:type="dxa" w:w="2300"/>
          </w:tcPr>
          <w:p>
            <w:r>
              <w:rPr>
                <w:rFonts w:ascii="Times New Roman" w:hAnsi="Times New Roman"/>
                <w:b/>
                <w:sz w:val="22"/>
              </w:rPr>
              <w:t>Содержание</w:t>
            </w:r>
          </w:p>
        </w:tc>
        <w:tc>
          <w:tcPr>
            <w:tcW w:type="dxa" w:w="2300"/>
          </w:tcPr>
          <w:p>
            <w:r>
              <w:rPr>
                <w:rFonts w:ascii="Times New Roman" w:hAnsi="Times New Roman"/>
                <w:b/>
                <w:sz w:val="22"/>
              </w:rPr>
              <w:t>Способ формирования</w:t>
            </w:r>
          </w:p>
        </w:tc>
        <w:tc>
          <w:tcPr>
            <w:tcW w:type="dxa" w:w="2300"/>
          </w:tcPr>
          <w:p>
            <w:r>
              <w:rPr>
                <w:rFonts w:ascii="Times New Roman" w:hAnsi="Times New Roman"/>
                <w:b/>
                <w:sz w:val="22"/>
              </w:rPr>
              <w:t>Способ контроля</w:t>
            </w:r>
          </w:p>
        </w:tc>
      </w:tr>
      <w:tr>
        <w:tc>
          <w:tcPr>
            <w:tcW w:type="dxa" w:w="2300"/>
          </w:tcPr>
          <w:p>
            <w:r>
              <w:rPr>
                <w:rFonts w:ascii="Times New Roman" w:hAnsi="Times New Roman"/>
                <w:b w:val="0"/>
                <w:sz w:val="22"/>
              </w:rPr>
              <w:t>Нормативная</w:t>
            </w:r>
          </w:p>
        </w:tc>
        <w:tc>
          <w:tcPr>
            <w:tcW w:type="dxa" w:w="2300"/>
          </w:tcPr>
          <w:p>
            <w:r>
              <w:rPr>
                <w:rFonts w:ascii="Times New Roman" w:hAnsi="Times New Roman"/>
                <w:b w:val="0"/>
                <w:sz w:val="22"/>
              </w:rPr>
              <w:t>Знание 44-ФЗ, 223-ФЗ, требований заказчиков</w:t>
            </w:r>
          </w:p>
        </w:tc>
        <w:tc>
          <w:tcPr>
            <w:tcW w:type="dxa" w:w="2300"/>
          </w:tcPr>
          <w:p>
            <w:r>
              <w:rPr>
                <w:rFonts w:ascii="Times New Roman" w:hAnsi="Times New Roman"/>
                <w:b w:val="0"/>
                <w:sz w:val="22"/>
              </w:rPr>
              <w:t>Внешние курсы, ежемесячные обзоры изменений</w:t>
            </w:r>
          </w:p>
        </w:tc>
        <w:tc>
          <w:tcPr>
            <w:tcW w:type="dxa" w:w="2300"/>
          </w:tcPr>
          <w:p>
            <w:r>
              <w:rPr>
                <w:rFonts w:ascii="Times New Roman" w:hAnsi="Times New Roman"/>
                <w:b w:val="0"/>
                <w:sz w:val="22"/>
              </w:rPr>
              <w:t>Тестирование, разбор ошибок</w:t>
            </w:r>
          </w:p>
        </w:tc>
      </w:tr>
      <w:tr>
        <w:tc>
          <w:tcPr>
            <w:tcW w:type="dxa" w:w="2300"/>
          </w:tcPr>
          <w:p>
            <w:r>
              <w:rPr>
                <w:rFonts w:ascii="Times New Roman" w:hAnsi="Times New Roman"/>
                <w:b w:val="0"/>
                <w:sz w:val="22"/>
              </w:rPr>
              <w:t>Документационная</w:t>
            </w:r>
          </w:p>
        </w:tc>
        <w:tc>
          <w:tcPr>
            <w:tcW w:type="dxa" w:w="2300"/>
          </w:tcPr>
          <w:p>
            <w:r>
              <w:rPr>
                <w:rFonts w:ascii="Times New Roman" w:hAnsi="Times New Roman"/>
                <w:b w:val="0"/>
                <w:sz w:val="22"/>
              </w:rPr>
              <w:t>Подготовка полного комплекта заявки</w:t>
            </w:r>
          </w:p>
        </w:tc>
        <w:tc>
          <w:tcPr>
            <w:tcW w:type="dxa" w:w="2300"/>
          </w:tcPr>
          <w:p>
            <w:r>
              <w:rPr>
                <w:rFonts w:ascii="Times New Roman" w:hAnsi="Times New Roman"/>
                <w:b w:val="0"/>
                <w:sz w:val="22"/>
              </w:rPr>
              <w:t>Шаблоны, база знаний, чек-лист</w:t>
            </w:r>
          </w:p>
        </w:tc>
        <w:tc>
          <w:tcPr>
            <w:tcW w:type="dxa" w:w="2300"/>
          </w:tcPr>
          <w:p>
            <w:r>
              <w:rPr>
                <w:rFonts w:ascii="Times New Roman" w:hAnsi="Times New Roman"/>
                <w:b w:val="0"/>
                <w:sz w:val="22"/>
              </w:rPr>
              <w:t>Контроль допуска заявки</w:t>
            </w:r>
          </w:p>
        </w:tc>
      </w:tr>
      <w:tr>
        <w:tc>
          <w:tcPr>
            <w:tcW w:type="dxa" w:w="2300"/>
          </w:tcPr>
          <w:p>
            <w:r>
              <w:rPr>
                <w:rFonts w:ascii="Times New Roman" w:hAnsi="Times New Roman"/>
                <w:b w:val="0"/>
                <w:sz w:val="22"/>
              </w:rPr>
              <w:t>Цифровая</w:t>
            </w:r>
          </w:p>
        </w:tc>
        <w:tc>
          <w:tcPr>
            <w:tcW w:type="dxa" w:w="2300"/>
          </w:tcPr>
          <w:p>
            <w:r>
              <w:rPr>
                <w:rFonts w:ascii="Times New Roman" w:hAnsi="Times New Roman"/>
                <w:b w:val="0"/>
                <w:sz w:val="22"/>
              </w:rPr>
              <w:t>Работа с ЕИС, ЭТП, УКЭП, форматами файлов</w:t>
            </w:r>
          </w:p>
        </w:tc>
        <w:tc>
          <w:tcPr>
            <w:tcW w:type="dxa" w:w="2300"/>
          </w:tcPr>
          <w:p>
            <w:r>
              <w:rPr>
                <w:rFonts w:ascii="Times New Roman" w:hAnsi="Times New Roman"/>
                <w:b w:val="0"/>
                <w:sz w:val="22"/>
              </w:rPr>
              <w:t>Практикум, наставничество</w:t>
            </w:r>
          </w:p>
        </w:tc>
        <w:tc>
          <w:tcPr>
            <w:tcW w:type="dxa" w:w="2300"/>
          </w:tcPr>
          <w:p>
            <w:r>
              <w:rPr>
                <w:rFonts w:ascii="Times New Roman" w:hAnsi="Times New Roman"/>
                <w:b w:val="0"/>
                <w:sz w:val="22"/>
              </w:rPr>
              <w:t>Учебный кейс, контрольная заявка</w:t>
            </w:r>
          </w:p>
        </w:tc>
      </w:tr>
      <w:tr>
        <w:tc>
          <w:tcPr>
            <w:tcW w:type="dxa" w:w="2300"/>
          </w:tcPr>
          <w:p>
            <w:r>
              <w:rPr>
                <w:rFonts w:ascii="Times New Roman" w:hAnsi="Times New Roman"/>
                <w:b w:val="0"/>
                <w:sz w:val="22"/>
              </w:rPr>
              <w:t>Экономическая</w:t>
            </w:r>
          </w:p>
        </w:tc>
        <w:tc>
          <w:tcPr>
            <w:tcW w:type="dxa" w:w="2300"/>
          </w:tcPr>
          <w:p>
            <w:r>
              <w:rPr>
                <w:rFonts w:ascii="Times New Roman" w:hAnsi="Times New Roman"/>
                <w:b w:val="0"/>
                <w:sz w:val="22"/>
              </w:rPr>
              <w:t>Расчет цены, НМЦК, маржи, НДС</w:t>
            </w:r>
          </w:p>
        </w:tc>
        <w:tc>
          <w:tcPr>
            <w:tcW w:type="dxa" w:w="2300"/>
          </w:tcPr>
          <w:p>
            <w:r>
              <w:rPr>
                <w:rFonts w:ascii="Times New Roman" w:hAnsi="Times New Roman"/>
                <w:b w:val="0"/>
                <w:sz w:val="22"/>
              </w:rPr>
              <w:t>Кейсы и проверочные задания</w:t>
            </w:r>
          </w:p>
        </w:tc>
        <w:tc>
          <w:tcPr>
            <w:tcW w:type="dxa" w:w="2300"/>
          </w:tcPr>
          <w:p>
            <w:r>
              <w:rPr>
                <w:rFonts w:ascii="Times New Roman" w:hAnsi="Times New Roman"/>
                <w:b w:val="0"/>
                <w:sz w:val="22"/>
              </w:rPr>
              <w:t>Проверка расчетов руководителем</w:t>
            </w:r>
          </w:p>
        </w:tc>
      </w:tr>
      <w:tr>
        <w:tc>
          <w:tcPr>
            <w:tcW w:type="dxa" w:w="2300"/>
          </w:tcPr>
          <w:p>
            <w:r>
              <w:rPr>
                <w:rFonts w:ascii="Times New Roman" w:hAnsi="Times New Roman"/>
                <w:b w:val="0"/>
                <w:sz w:val="22"/>
              </w:rPr>
              <w:t>Аналитическая</w:t>
            </w:r>
          </w:p>
        </w:tc>
        <w:tc>
          <w:tcPr>
            <w:tcW w:type="dxa" w:w="2300"/>
          </w:tcPr>
          <w:p>
            <w:r>
              <w:rPr>
                <w:rFonts w:ascii="Times New Roman" w:hAnsi="Times New Roman"/>
                <w:b w:val="0"/>
                <w:sz w:val="22"/>
              </w:rPr>
              <w:t>Выбор перспективных закупок и оценка рисков</w:t>
            </w:r>
          </w:p>
        </w:tc>
        <w:tc>
          <w:tcPr>
            <w:tcW w:type="dxa" w:w="2300"/>
          </w:tcPr>
          <w:p>
            <w:r>
              <w:rPr>
                <w:rFonts w:ascii="Times New Roman" w:hAnsi="Times New Roman"/>
                <w:b w:val="0"/>
                <w:sz w:val="22"/>
              </w:rPr>
              <w:t>Разбор успешных и проигранных заявок</w:t>
            </w:r>
          </w:p>
        </w:tc>
        <w:tc>
          <w:tcPr>
            <w:tcW w:type="dxa" w:w="2300"/>
          </w:tcPr>
          <w:p>
            <w:r>
              <w:rPr>
                <w:rFonts w:ascii="Times New Roman" w:hAnsi="Times New Roman"/>
                <w:b w:val="0"/>
                <w:sz w:val="22"/>
              </w:rPr>
              <w:t>Динамика конверсии</w:t>
            </w:r>
          </w:p>
        </w:tc>
      </w:tr>
      <w:tr>
        <w:tc>
          <w:tcPr>
            <w:tcW w:type="dxa" w:w="2300"/>
          </w:tcPr>
          <w:p>
            <w:r>
              <w:rPr>
                <w:rFonts w:ascii="Times New Roman" w:hAnsi="Times New Roman"/>
                <w:b w:val="0"/>
                <w:sz w:val="22"/>
              </w:rPr>
              <w:t>Коммуникационная</w:t>
            </w:r>
          </w:p>
        </w:tc>
        <w:tc>
          <w:tcPr>
            <w:tcW w:type="dxa" w:w="2300"/>
          </w:tcPr>
          <w:p>
            <w:r>
              <w:rPr>
                <w:rFonts w:ascii="Times New Roman" w:hAnsi="Times New Roman"/>
                <w:b w:val="0"/>
                <w:sz w:val="22"/>
              </w:rPr>
              <w:t>Взаимодействие с юристом, логистикой, бухгалтерией</w:t>
            </w:r>
          </w:p>
        </w:tc>
        <w:tc>
          <w:tcPr>
            <w:tcW w:type="dxa" w:w="2300"/>
          </w:tcPr>
          <w:p>
            <w:r>
              <w:rPr>
                <w:rFonts w:ascii="Times New Roman" w:hAnsi="Times New Roman"/>
                <w:b w:val="0"/>
                <w:sz w:val="22"/>
              </w:rPr>
              <w:t>Регламент задач и совещания</w:t>
            </w:r>
          </w:p>
        </w:tc>
        <w:tc>
          <w:tcPr>
            <w:tcW w:type="dxa" w:w="2300"/>
          </w:tcPr>
          <w:p>
            <w:r>
              <w:rPr>
                <w:rFonts w:ascii="Times New Roman" w:hAnsi="Times New Roman"/>
                <w:b w:val="0"/>
                <w:sz w:val="22"/>
              </w:rPr>
              <w:t>Сроки согласования заявки</w:t>
            </w:r>
          </w:p>
        </w:tc>
      </w:tr>
    </w:tbl>
    <w:p>
      <w:pPr>
        <w:spacing w:line="360" w:lineRule="auto" w:after="120"/>
        <w:ind w:firstLine="700"/>
      </w:pPr>
    </w:p>
    <w:p>
      <w:pPr>
        <w:spacing w:line="360" w:lineRule="auto" w:after="120"/>
        <w:ind w:firstLine="700"/>
      </w:pPr>
      <w:r>
        <w:rPr>
          <w:rFonts w:ascii="Times New Roman" w:hAnsi="Times New Roman"/>
          <w:b w:val="0"/>
          <w:sz w:val="28"/>
        </w:rPr>
        <w:t>Технология внедрения предполагает, что каждое мероприятие имеет измеримый результат. Для базы знаний таким результатом является наличие утвержденных разделов и ответственных за их обновление. Для адаптационного маршрута — наличие программы и итогового кейса. Для внешнего обучения — удостоверения о повышении квалификации и результаты тестирования. Для чек-листа — доля заявок, прошедших финальный контроль. Для реестра ошибок — количество зафиксированных и закрытых корректирующих действий.</w:t>
      </w:r>
    </w:p>
    <w:p>
      <w:pPr>
        <w:spacing w:line="360" w:lineRule="auto" w:after="120"/>
        <w:ind w:firstLine="700"/>
      </w:pPr>
      <w:r>
        <w:rPr>
          <w:rFonts w:ascii="Times New Roman" w:hAnsi="Times New Roman"/>
          <w:b w:val="0"/>
          <w:sz w:val="28"/>
        </w:rPr>
        <w:t>Механизм адаптации предлагаемых решений к действующей системе управления основан на минимальном изменении организационной структуры. Генеральный директор не создает новое подразделение, а утверждает внутренний регламент. Руководитель тендерного отдела не получает новую должность, но становится владельцем процесса обучения. Наставники не освобождаются от основной работы, но получают небольшую премию за сопровождение новичков и передачу опыта. Юрист не становится штатным HR-методистом, но участвует в проверке нормативных материалов.</w:t>
      </w:r>
    </w:p>
    <w:p>
      <w:pPr>
        <w:spacing w:line="360" w:lineRule="auto" w:after="120"/>
        <w:ind w:firstLine="700"/>
      </w:pPr>
      <w:r>
        <w:rPr>
          <w:rFonts w:ascii="Times New Roman" w:hAnsi="Times New Roman"/>
          <w:b w:val="0"/>
          <w:sz w:val="28"/>
        </w:rPr>
        <w:t>Важным элементом является порядок обновления базы знаний. Раз в месяц руководитель отдела проверяет реестр ошибок и определяет, какие инструкции требуют корректировки. При изменении законодательства юрист готовит краткую справку, руководитель отдела переводит ее в практическую памятку, а системный администратор размещает ее в нужном разделе. После этого сотрудники проходят короткий тест или подтверждают ознакомление в Битрикс24.</w:t>
      </w:r>
    </w:p>
    <w:p>
      <w:pPr>
        <w:spacing w:line="360" w:lineRule="auto" w:after="120"/>
        <w:ind w:firstLine="700"/>
      </w:pPr>
      <w:r>
        <w:rPr>
          <w:rFonts w:ascii="Times New Roman" w:hAnsi="Times New Roman"/>
          <w:b w:val="0"/>
          <w:sz w:val="28"/>
        </w:rPr>
        <w:t>Алгоритм подготовки заявки после внедрения системы включает восемь шагов: выбор закупки, проверка требований заказчика, расчет экономической целесообразности, формирование комплекта документов, проверка актуальности шаблонов, контроль расчетов, проверка формата файлов и электронной подписи, финальное подтверждение чек-листа. Данный алгоритм должен быть одинаковым для всех сотрудников, что снижает зависимость качества от индивидуального стиля работы.</w:t>
      </w:r>
    </w:p>
    <w:p>
      <w:pPr>
        <w:spacing w:line="360" w:lineRule="auto" w:after="120"/>
        <w:jc w:val="center"/>
      </w:pPr>
      <w:r>
        <w:rPr>
          <w:rFonts w:ascii="Times New Roman" w:hAnsi="Times New Roman"/>
          <w:b w:val="0"/>
          <w:sz w:val="28"/>
        </w:rPr>
        <w:t>Таблица 3.7. Алгоритм подготовки заявки после внедрения мероприятий</w:t>
      </w:r>
    </w:p>
    <w:tbl>
      <w:tblPr>
        <w:tblStyle w:val="6"/>
        <w:tblW w:type="auto" w:w="0"/>
        <w:tblLook w:firstColumn="1" w:firstRow="1" w:lastColumn="0" w:lastRow="0" w:noHBand="0" w:noVBand="1" w:val="04A0"/>
      </w:tblPr>
      <w:tblGrid>
        <w:gridCol w:w="2300"/>
        <w:gridCol w:w="2300"/>
        <w:gridCol w:w="2300"/>
        <w:gridCol w:w="2300"/>
      </w:tblGrid>
      <w:tr>
        <w:tc>
          <w:tcPr>
            <w:tcW w:type="dxa" w:w="2300"/>
          </w:tcPr>
          <w:p>
            <w:r>
              <w:rPr>
                <w:rFonts w:ascii="Times New Roman" w:hAnsi="Times New Roman"/>
                <w:b/>
                <w:sz w:val="22"/>
              </w:rPr>
              <w:t>Шаг</w:t>
            </w:r>
          </w:p>
        </w:tc>
        <w:tc>
          <w:tcPr>
            <w:tcW w:type="dxa" w:w="2300"/>
          </w:tcPr>
          <w:p>
            <w:r>
              <w:rPr>
                <w:rFonts w:ascii="Times New Roman" w:hAnsi="Times New Roman"/>
                <w:b/>
                <w:sz w:val="22"/>
              </w:rPr>
              <w:t>Действие</w:t>
            </w:r>
          </w:p>
        </w:tc>
        <w:tc>
          <w:tcPr>
            <w:tcW w:type="dxa" w:w="2300"/>
          </w:tcPr>
          <w:p>
            <w:r>
              <w:rPr>
                <w:rFonts w:ascii="Times New Roman" w:hAnsi="Times New Roman"/>
                <w:b/>
                <w:sz w:val="22"/>
              </w:rPr>
              <w:t>Контрольная точка</w:t>
            </w:r>
          </w:p>
        </w:tc>
        <w:tc>
          <w:tcPr>
            <w:tcW w:type="dxa" w:w="2300"/>
          </w:tcPr>
          <w:p>
            <w:r>
              <w:rPr>
                <w:rFonts w:ascii="Times New Roman" w:hAnsi="Times New Roman"/>
                <w:b/>
                <w:sz w:val="22"/>
              </w:rPr>
              <w:t>Ответственный</w:t>
            </w:r>
          </w:p>
        </w:tc>
      </w:tr>
      <w:tr>
        <w:tc>
          <w:tcPr>
            <w:tcW w:type="dxa" w:w="2300"/>
          </w:tcPr>
          <w:p>
            <w:r>
              <w:rPr>
                <w:rFonts w:ascii="Times New Roman" w:hAnsi="Times New Roman"/>
                <w:b w:val="0"/>
                <w:sz w:val="22"/>
              </w:rPr>
              <w:t>1</w:t>
            </w:r>
          </w:p>
        </w:tc>
        <w:tc>
          <w:tcPr>
            <w:tcW w:type="dxa" w:w="2300"/>
          </w:tcPr>
          <w:p>
            <w:r>
              <w:rPr>
                <w:rFonts w:ascii="Times New Roman" w:hAnsi="Times New Roman"/>
                <w:b w:val="0"/>
                <w:sz w:val="22"/>
              </w:rPr>
              <w:t>Выбор закупки и первичный анализ</w:t>
            </w:r>
          </w:p>
        </w:tc>
        <w:tc>
          <w:tcPr>
            <w:tcW w:type="dxa" w:w="2300"/>
          </w:tcPr>
          <w:p>
            <w:r>
              <w:rPr>
                <w:rFonts w:ascii="Times New Roman" w:hAnsi="Times New Roman"/>
                <w:b w:val="0"/>
                <w:sz w:val="22"/>
              </w:rPr>
              <w:t>Соответствие профилю компании</w:t>
            </w:r>
          </w:p>
        </w:tc>
        <w:tc>
          <w:tcPr>
            <w:tcW w:type="dxa" w:w="2300"/>
          </w:tcPr>
          <w:p>
            <w:r>
              <w:rPr>
                <w:rFonts w:ascii="Times New Roman" w:hAnsi="Times New Roman"/>
                <w:b w:val="0"/>
                <w:sz w:val="22"/>
              </w:rPr>
              <w:t>Тендерный специалист</w:t>
            </w:r>
          </w:p>
        </w:tc>
      </w:tr>
      <w:tr>
        <w:tc>
          <w:tcPr>
            <w:tcW w:type="dxa" w:w="2300"/>
          </w:tcPr>
          <w:p>
            <w:r>
              <w:rPr>
                <w:rFonts w:ascii="Times New Roman" w:hAnsi="Times New Roman"/>
                <w:b w:val="0"/>
                <w:sz w:val="22"/>
              </w:rPr>
              <w:t>2</w:t>
            </w:r>
          </w:p>
        </w:tc>
        <w:tc>
          <w:tcPr>
            <w:tcW w:type="dxa" w:w="2300"/>
          </w:tcPr>
          <w:p>
            <w:r>
              <w:rPr>
                <w:rFonts w:ascii="Times New Roman" w:hAnsi="Times New Roman"/>
                <w:b w:val="0"/>
                <w:sz w:val="22"/>
              </w:rPr>
              <w:t>Проверка требований заказчика</w:t>
            </w:r>
          </w:p>
        </w:tc>
        <w:tc>
          <w:tcPr>
            <w:tcW w:type="dxa" w:w="2300"/>
          </w:tcPr>
          <w:p>
            <w:r>
              <w:rPr>
                <w:rFonts w:ascii="Times New Roman" w:hAnsi="Times New Roman"/>
                <w:b w:val="0"/>
                <w:sz w:val="22"/>
              </w:rPr>
              <w:t>Отсутствие невыполнимых условий</w:t>
            </w:r>
          </w:p>
        </w:tc>
        <w:tc>
          <w:tcPr>
            <w:tcW w:type="dxa" w:w="2300"/>
          </w:tcPr>
          <w:p>
            <w:r>
              <w:rPr>
                <w:rFonts w:ascii="Times New Roman" w:hAnsi="Times New Roman"/>
                <w:b w:val="0"/>
                <w:sz w:val="22"/>
              </w:rPr>
              <w:t>Тендерный специалист</w:t>
            </w:r>
          </w:p>
        </w:tc>
      </w:tr>
      <w:tr>
        <w:tc>
          <w:tcPr>
            <w:tcW w:type="dxa" w:w="2300"/>
          </w:tcPr>
          <w:p>
            <w:r>
              <w:rPr>
                <w:rFonts w:ascii="Times New Roman" w:hAnsi="Times New Roman"/>
                <w:b w:val="0"/>
                <w:sz w:val="22"/>
              </w:rPr>
              <w:t>3</w:t>
            </w:r>
          </w:p>
        </w:tc>
        <w:tc>
          <w:tcPr>
            <w:tcW w:type="dxa" w:w="2300"/>
          </w:tcPr>
          <w:p>
            <w:r>
              <w:rPr>
                <w:rFonts w:ascii="Times New Roman" w:hAnsi="Times New Roman"/>
                <w:b w:val="0"/>
                <w:sz w:val="22"/>
              </w:rPr>
              <w:t>Расчет цены и маржи</w:t>
            </w:r>
          </w:p>
        </w:tc>
        <w:tc>
          <w:tcPr>
            <w:tcW w:type="dxa" w:w="2300"/>
          </w:tcPr>
          <w:p>
            <w:r>
              <w:rPr>
                <w:rFonts w:ascii="Times New Roman" w:hAnsi="Times New Roman"/>
                <w:b w:val="0"/>
                <w:sz w:val="22"/>
              </w:rPr>
              <w:t>Маржа не ниже установленного порога</w:t>
            </w:r>
          </w:p>
        </w:tc>
        <w:tc>
          <w:tcPr>
            <w:tcW w:type="dxa" w:w="2300"/>
          </w:tcPr>
          <w:p>
            <w:r>
              <w:rPr>
                <w:rFonts w:ascii="Times New Roman" w:hAnsi="Times New Roman"/>
                <w:b w:val="0"/>
                <w:sz w:val="22"/>
              </w:rPr>
              <w:t>Тендерный специалист, руководитель</w:t>
            </w:r>
          </w:p>
        </w:tc>
      </w:tr>
      <w:tr>
        <w:tc>
          <w:tcPr>
            <w:tcW w:type="dxa" w:w="2300"/>
          </w:tcPr>
          <w:p>
            <w:r>
              <w:rPr>
                <w:rFonts w:ascii="Times New Roman" w:hAnsi="Times New Roman"/>
                <w:b w:val="0"/>
                <w:sz w:val="22"/>
              </w:rPr>
              <w:t>4</w:t>
            </w:r>
          </w:p>
        </w:tc>
        <w:tc>
          <w:tcPr>
            <w:tcW w:type="dxa" w:w="2300"/>
          </w:tcPr>
          <w:p>
            <w:r>
              <w:rPr>
                <w:rFonts w:ascii="Times New Roman" w:hAnsi="Times New Roman"/>
                <w:b w:val="0"/>
                <w:sz w:val="22"/>
              </w:rPr>
              <w:t>Формирование документов</w:t>
            </w:r>
          </w:p>
        </w:tc>
        <w:tc>
          <w:tcPr>
            <w:tcW w:type="dxa" w:w="2300"/>
          </w:tcPr>
          <w:p>
            <w:r>
              <w:rPr>
                <w:rFonts w:ascii="Times New Roman" w:hAnsi="Times New Roman"/>
                <w:b w:val="0"/>
                <w:sz w:val="22"/>
              </w:rPr>
              <w:t>Полный комплект по извещению</w:t>
            </w:r>
          </w:p>
        </w:tc>
        <w:tc>
          <w:tcPr>
            <w:tcW w:type="dxa" w:w="2300"/>
          </w:tcPr>
          <w:p>
            <w:r>
              <w:rPr>
                <w:rFonts w:ascii="Times New Roman" w:hAnsi="Times New Roman"/>
                <w:b w:val="0"/>
                <w:sz w:val="22"/>
              </w:rPr>
              <w:t>Тендерный специалист</w:t>
            </w:r>
          </w:p>
        </w:tc>
      </w:tr>
      <w:tr>
        <w:tc>
          <w:tcPr>
            <w:tcW w:type="dxa" w:w="2300"/>
          </w:tcPr>
          <w:p>
            <w:r>
              <w:rPr>
                <w:rFonts w:ascii="Times New Roman" w:hAnsi="Times New Roman"/>
                <w:b w:val="0"/>
                <w:sz w:val="22"/>
              </w:rPr>
              <w:t>5</w:t>
            </w:r>
          </w:p>
        </w:tc>
        <w:tc>
          <w:tcPr>
            <w:tcW w:type="dxa" w:w="2300"/>
          </w:tcPr>
          <w:p>
            <w:r>
              <w:rPr>
                <w:rFonts w:ascii="Times New Roman" w:hAnsi="Times New Roman"/>
                <w:b w:val="0"/>
                <w:sz w:val="22"/>
              </w:rPr>
              <w:t>Проверка шаблонов</w:t>
            </w:r>
          </w:p>
        </w:tc>
        <w:tc>
          <w:tcPr>
            <w:tcW w:type="dxa" w:w="2300"/>
          </w:tcPr>
          <w:p>
            <w:r>
              <w:rPr>
                <w:rFonts w:ascii="Times New Roman" w:hAnsi="Times New Roman"/>
                <w:b w:val="0"/>
                <w:sz w:val="22"/>
              </w:rPr>
              <w:t>Использованы актуальные формы</w:t>
            </w:r>
          </w:p>
        </w:tc>
        <w:tc>
          <w:tcPr>
            <w:tcW w:type="dxa" w:w="2300"/>
          </w:tcPr>
          <w:p>
            <w:r>
              <w:rPr>
                <w:rFonts w:ascii="Times New Roman" w:hAnsi="Times New Roman"/>
                <w:b w:val="0"/>
                <w:sz w:val="22"/>
              </w:rPr>
              <w:t>Тендерный специалист</w:t>
            </w:r>
          </w:p>
        </w:tc>
      </w:tr>
      <w:tr>
        <w:tc>
          <w:tcPr>
            <w:tcW w:type="dxa" w:w="2300"/>
          </w:tcPr>
          <w:p>
            <w:r>
              <w:rPr>
                <w:rFonts w:ascii="Times New Roman" w:hAnsi="Times New Roman"/>
                <w:b w:val="0"/>
                <w:sz w:val="22"/>
              </w:rPr>
              <w:t>6</w:t>
            </w:r>
          </w:p>
        </w:tc>
        <w:tc>
          <w:tcPr>
            <w:tcW w:type="dxa" w:w="2300"/>
          </w:tcPr>
          <w:p>
            <w:r>
              <w:rPr>
                <w:rFonts w:ascii="Times New Roman" w:hAnsi="Times New Roman"/>
                <w:b w:val="0"/>
                <w:sz w:val="22"/>
              </w:rPr>
              <w:t>Проверка расчетов</w:t>
            </w:r>
          </w:p>
        </w:tc>
        <w:tc>
          <w:tcPr>
            <w:tcW w:type="dxa" w:w="2300"/>
          </w:tcPr>
          <w:p>
            <w:r>
              <w:rPr>
                <w:rFonts w:ascii="Times New Roman" w:hAnsi="Times New Roman"/>
                <w:b w:val="0"/>
                <w:sz w:val="22"/>
              </w:rPr>
              <w:t>Нет арифметических расхождений</w:t>
            </w:r>
          </w:p>
        </w:tc>
        <w:tc>
          <w:tcPr>
            <w:tcW w:type="dxa" w:w="2300"/>
          </w:tcPr>
          <w:p>
            <w:r>
              <w:rPr>
                <w:rFonts w:ascii="Times New Roman" w:hAnsi="Times New Roman"/>
                <w:b w:val="0"/>
                <w:sz w:val="22"/>
              </w:rPr>
              <w:t>Руководитель или наставник</w:t>
            </w:r>
          </w:p>
        </w:tc>
      </w:tr>
      <w:tr>
        <w:tc>
          <w:tcPr>
            <w:tcW w:type="dxa" w:w="2300"/>
          </w:tcPr>
          <w:p>
            <w:r>
              <w:rPr>
                <w:rFonts w:ascii="Times New Roman" w:hAnsi="Times New Roman"/>
                <w:b w:val="0"/>
                <w:sz w:val="22"/>
              </w:rPr>
              <w:t>7</w:t>
            </w:r>
          </w:p>
        </w:tc>
        <w:tc>
          <w:tcPr>
            <w:tcW w:type="dxa" w:w="2300"/>
          </w:tcPr>
          <w:p>
            <w:r>
              <w:rPr>
                <w:rFonts w:ascii="Times New Roman" w:hAnsi="Times New Roman"/>
                <w:b w:val="0"/>
                <w:sz w:val="22"/>
              </w:rPr>
              <w:t>Проверка ЭТП и подписи</w:t>
            </w:r>
          </w:p>
        </w:tc>
        <w:tc>
          <w:tcPr>
            <w:tcW w:type="dxa" w:w="2300"/>
          </w:tcPr>
          <w:p>
            <w:r>
              <w:rPr>
                <w:rFonts w:ascii="Times New Roman" w:hAnsi="Times New Roman"/>
                <w:b w:val="0"/>
                <w:sz w:val="22"/>
              </w:rPr>
              <w:t>Верный формат файлов и УКЭП</w:t>
            </w:r>
          </w:p>
        </w:tc>
        <w:tc>
          <w:tcPr>
            <w:tcW w:type="dxa" w:w="2300"/>
          </w:tcPr>
          <w:p>
            <w:r>
              <w:rPr>
                <w:rFonts w:ascii="Times New Roman" w:hAnsi="Times New Roman"/>
                <w:b w:val="0"/>
                <w:sz w:val="22"/>
              </w:rPr>
              <w:t>Тендерный специалист</w:t>
            </w:r>
          </w:p>
        </w:tc>
      </w:tr>
      <w:tr>
        <w:tc>
          <w:tcPr>
            <w:tcW w:type="dxa" w:w="2300"/>
          </w:tcPr>
          <w:p>
            <w:r>
              <w:rPr>
                <w:rFonts w:ascii="Times New Roman" w:hAnsi="Times New Roman"/>
                <w:b w:val="0"/>
                <w:sz w:val="22"/>
              </w:rPr>
              <w:t>8</w:t>
            </w:r>
          </w:p>
        </w:tc>
        <w:tc>
          <w:tcPr>
            <w:tcW w:type="dxa" w:w="2300"/>
          </w:tcPr>
          <w:p>
            <w:r>
              <w:rPr>
                <w:rFonts w:ascii="Times New Roman" w:hAnsi="Times New Roman"/>
                <w:b w:val="0"/>
                <w:sz w:val="22"/>
              </w:rPr>
              <w:t>Финальный чек-лист</w:t>
            </w:r>
          </w:p>
        </w:tc>
        <w:tc>
          <w:tcPr>
            <w:tcW w:type="dxa" w:w="2300"/>
          </w:tcPr>
          <w:p>
            <w:r>
              <w:rPr>
                <w:rFonts w:ascii="Times New Roman" w:hAnsi="Times New Roman"/>
                <w:b w:val="0"/>
                <w:sz w:val="22"/>
              </w:rPr>
              <w:t>Все пункты отмечены в Битрикс24</w:t>
            </w:r>
          </w:p>
        </w:tc>
        <w:tc>
          <w:tcPr>
            <w:tcW w:type="dxa" w:w="2300"/>
          </w:tcPr>
          <w:p>
            <w:r>
              <w:rPr>
                <w:rFonts w:ascii="Times New Roman" w:hAnsi="Times New Roman"/>
                <w:b w:val="0"/>
                <w:sz w:val="22"/>
              </w:rPr>
              <w:t>Руководитель отдела</w:t>
            </w:r>
          </w:p>
        </w:tc>
      </w:tr>
    </w:tbl>
    <w:p>
      <w:pPr>
        <w:spacing w:line="360" w:lineRule="auto" w:after="120"/>
        <w:ind w:firstLine="700"/>
      </w:pPr>
    </w:p>
    <w:p>
      <w:pPr>
        <w:spacing w:line="360" w:lineRule="auto" w:after="120"/>
        <w:ind w:firstLine="700"/>
      </w:pPr>
      <w:r>
        <w:rPr>
          <w:rFonts w:ascii="Times New Roman" w:hAnsi="Times New Roman"/>
          <w:b w:val="0"/>
          <w:sz w:val="28"/>
        </w:rPr>
        <w:t>Практическое внедрение предложений должно начинаться с пилотного режима. В течение первого месяца чек-лист и реестр ошибок применяются только к наиболее значимым заявкам, чтобы выявить неудобные пункты и скорректировать форму. Со второго месяца чек-лист становится обязательным для всех заявок. С третьего месяца данные по ошибкам и допуску заявок включаются в ежемесячный отчет руководителя отдела.</w:t>
      </w:r>
    </w:p>
    <w:p>
      <w:pPr>
        <w:spacing w:line="360" w:lineRule="auto" w:after="120"/>
        <w:ind w:firstLine="700"/>
      </w:pPr>
      <w:r>
        <w:rPr>
          <w:rFonts w:ascii="Times New Roman" w:hAnsi="Times New Roman"/>
          <w:b w:val="0"/>
          <w:sz w:val="28"/>
        </w:rPr>
        <w:t>Отдельное внимание следует уделить сопротивлению сотрудников. Новые процедуры могут восприниматься как дополнительная бюрократия. Поэтому при запуске необходимо объяснить, что чек-лист и реестр ошибок вводятся не для усиления контроля ради контроля, а для снижения повторяемости ошибок, защиты сотрудников от случайных пропусков и повышения доли выигранных тендеров. Это особенно важно в удаленном формате, где значительная часть коммуникации происходит письменно и риск недопонимания выше.</w:t>
      </w:r>
    </w:p>
    <w:p>
      <w:pPr>
        <w:spacing w:line="360" w:lineRule="auto" w:after="120"/>
        <w:ind w:firstLine="700"/>
      </w:pPr>
      <w:r>
        <w:rPr>
          <w:rFonts w:ascii="Times New Roman" w:hAnsi="Times New Roman"/>
          <w:b w:val="0"/>
          <w:sz w:val="28"/>
        </w:rPr>
        <w:t>Таким образом, технико-экономическое обоснование показывает, что предлагаемые решения являются реалистичными для ООО «Лайф Медиа». Они не требуют крупного инвестиционного проекта, используют существующую инфраструктуру, распределяют ответственность между действующими участниками управления и имеют измеримые показатели результата. Основной объем затрат приходится на первый год внедрения, после чего система переходит в режим поддержания и регулярного обновления.</w:t>
      </w:r>
    </w:p>
    <w:p>
      <w:pPr>
        <w:spacing w:line="360" w:lineRule="auto" w:after="120"/>
        <w:jc w:val="center"/>
      </w:pPr>
      <w:r>
        <w:rPr>
          <w:rFonts w:ascii="Times New Roman" w:hAnsi="Times New Roman"/>
          <w:b/>
          <w:sz w:val="28"/>
        </w:rPr>
        <w:t>3.3. Оценка экономической эффективности разработанных рекомендаций</w:t>
      </w:r>
    </w:p>
    <w:p>
      <w:pPr>
        <w:spacing w:line="360" w:lineRule="auto" w:after="120"/>
        <w:ind w:firstLine="700"/>
      </w:pPr>
      <w:r>
        <w:rPr>
          <w:rFonts w:ascii="Times New Roman" w:hAnsi="Times New Roman"/>
          <w:b w:val="0"/>
          <w:sz w:val="28"/>
        </w:rPr>
        <w:t>Оценка экономической эффективности необходима для подтверждения того, что предложенные мероприятия являются не только организационно полезными, но и финансово обоснованными. Для ООО «Лайф Медиа» эффект от совершенствования обучения должен проявляться в трех направлениях: рост числа допущенных заявок, увеличение количества выигранных контрактов и снижение внутренних потерь, связанных с ошибками и текучестью персонала.</w:t>
      </w:r>
    </w:p>
    <w:p>
      <w:pPr>
        <w:spacing w:line="360" w:lineRule="auto" w:after="120"/>
        <w:ind w:firstLine="700"/>
      </w:pPr>
      <w:r>
        <w:rPr>
          <w:rFonts w:ascii="Times New Roman" w:hAnsi="Times New Roman"/>
          <w:b w:val="0"/>
          <w:sz w:val="28"/>
        </w:rPr>
        <w:t>В качестве исходной базы используются данные второй главы. В 2025 году компания подала 152 заявки, из которых 128 были признаны соответствующими, 24 отклонены на этапе допуска, выиграно 35 контрактов. Доля отклоненных заявок составила 15,8%, конверсия из заявки в победу — 23,0%, выручка от тендерной деятельности — 30,84 млн руб. Средняя цена одного выигранного контракта составила 881 тыс. руб.</w:t>
      </w:r>
    </w:p>
    <w:p>
      <w:pPr>
        <w:spacing w:line="360" w:lineRule="auto" w:after="120"/>
        <w:ind w:firstLine="700"/>
      </w:pPr>
      <w:r>
        <w:rPr>
          <w:rFonts w:ascii="Times New Roman" w:hAnsi="Times New Roman"/>
          <w:b w:val="0"/>
          <w:sz w:val="28"/>
        </w:rPr>
        <w:t>Предлагаемые мероприятия направлены прежде всего на управляемые причины отклонений: технические ошибки, устаревшие формы, неполный комплект документов, ошибки в расчетах и отсутствие финальной проверки. Поэтому целевым показателем первого года является снижение доли отклоненных заявок с 15,8% до 10,0%. Такой показатель является реалистичным, поскольку не предполагает полного устранения всех ошибок и учитывает влияние внешних факторов.</w:t>
      </w:r>
    </w:p>
    <w:p>
      <w:pPr>
        <w:spacing w:line="360" w:lineRule="auto" w:after="120"/>
        <w:ind w:firstLine="700"/>
      </w:pPr>
      <w:r>
        <w:rPr>
          <w:rFonts w:ascii="Times New Roman" w:hAnsi="Times New Roman"/>
          <w:b w:val="0"/>
          <w:sz w:val="28"/>
        </w:rPr>
        <w:t>Второй целевой показатель — рост конверсии из заявки в победу с 23,0% до 25,0% в первый год и до 26,0% во второй год. Рост конверсии обусловлен не только снижением формальных отклонений, но и более качественным анализом закупок, расчетом маржи, актуализацией знаний и повышением дисциплины подготовки заявок.</w:t>
      </w:r>
    </w:p>
    <w:p>
      <w:pPr>
        <w:spacing w:line="360" w:lineRule="auto" w:after="120"/>
        <w:jc w:val="center"/>
      </w:pPr>
      <w:r>
        <w:rPr>
          <w:rFonts w:ascii="Times New Roman" w:hAnsi="Times New Roman"/>
          <w:b w:val="0"/>
          <w:sz w:val="28"/>
        </w:rPr>
        <w:t>Таблица 3.8. Исходные и целевые показатели тендерной деятельности</w:t>
      </w:r>
    </w:p>
    <w:tbl>
      <w:tblPr>
        <w:tblStyle w:val="6"/>
        <w:tblW w:type="auto" w:w="0"/>
        <w:tblLook w:firstColumn="1" w:firstRow="1" w:lastColumn="0" w:lastRow="0" w:noHBand="0" w:noVBand="1" w:val="04A0"/>
      </w:tblPr>
      <w:tblGrid>
        <w:gridCol w:w="2300"/>
        <w:gridCol w:w="2300"/>
        <w:gridCol w:w="2300"/>
        <w:gridCol w:w="2300"/>
      </w:tblGrid>
      <w:tr>
        <w:tc>
          <w:tcPr>
            <w:tcW w:type="dxa" w:w="2300"/>
          </w:tcPr>
          <w:p>
            <w:r>
              <w:rPr>
                <w:rFonts w:ascii="Times New Roman" w:hAnsi="Times New Roman"/>
                <w:b/>
                <w:sz w:val="22"/>
              </w:rPr>
              <w:t>Показатель</w:t>
            </w:r>
          </w:p>
        </w:tc>
        <w:tc>
          <w:tcPr>
            <w:tcW w:type="dxa" w:w="2300"/>
          </w:tcPr>
          <w:p>
            <w:r>
              <w:rPr>
                <w:rFonts w:ascii="Times New Roman" w:hAnsi="Times New Roman"/>
                <w:b/>
                <w:sz w:val="22"/>
              </w:rPr>
              <w:t>2025 факт</w:t>
            </w:r>
          </w:p>
        </w:tc>
        <w:tc>
          <w:tcPr>
            <w:tcW w:type="dxa" w:w="2300"/>
          </w:tcPr>
          <w:p>
            <w:r>
              <w:rPr>
                <w:rFonts w:ascii="Times New Roman" w:hAnsi="Times New Roman"/>
                <w:b/>
                <w:sz w:val="22"/>
              </w:rPr>
              <w:t>1 год после внедрения</w:t>
            </w:r>
          </w:p>
        </w:tc>
        <w:tc>
          <w:tcPr>
            <w:tcW w:type="dxa" w:w="2300"/>
          </w:tcPr>
          <w:p>
            <w:r>
              <w:rPr>
                <w:rFonts w:ascii="Times New Roman" w:hAnsi="Times New Roman"/>
                <w:b/>
                <w:sz w:val="22"/>
              </w:rPr>
              <w:t>2-3 год после внедрения</w:t>
            </w:r>
          </w:p>
        </w:tc>
      </w:tr>
      <w:tr>
        <w:tc>
          <w:tcPr>
            <w:tcW w:type="dxa" w:w="2300"/>
          </w:tcPr>
          <w:p>
            <w:r>
              <w:rPr>
                <w:rFonts w:ascii="Times New Roman" w:hAnsi="Times New Roman"/>
                <w:b w:val="0"/>
                <w:sz w:val="22"/>
              </w:rPr>
              <w:t>Количество поданных заявок</w:t>
            </w:r>
          </w:p>
        </w:tc>
        <w:tc>
          <w:tcPr>
            <w:tcW w:type="dxa" w:w="2300"/>
          </w:tcPr>
          <w:p>
            <w:r>
              <w:rPr>
                <w:rFonts w:ascii="Times New Roman" w:hAnsi="Times New Roman"/>
                <w:b w:val="0"/>
                <w:sz w:val="22"/>
              </w:rPr>
              <w:t>152</w:t>
            </w:r>
          </w:p>
        </w:tc>
        <w:tc>
          <w:tcPr>
            <w:tcW w:type="dxa" w:w="2300"/>
          </w:tcPr>
          <w:p>
            <w:r>
              <w:rPr>
                <w:rFonts w:ascii="Times New Roman" w:hAnsi="Times New Roman"/>
                <w:b w:val="0"/>
                <w:sz w:val="22"/>
              </w:rPr>
              <w:t>152</w:t>
            </w:r>
          </w:p>
        </w:tc>
        <w:tc>
          <w:tcPr>
            <w:tcW w:type="dxa" w:w="2300"/>
          </w:tcPr>
          <w:p>
            <w:r>
              <w:rPr>
                <w:rFonts w:ascii="Times New Roman" w:hAnsi="Times New Roman"/>
                <w:b w:val="0"/>
                <w:sz w:val="22"/>
              </w:rPr>
              <w:t>152</w:t>
            </w:r>
          </w:p>
        </w:tc>
      </w:tr>
      <w:tr>
        <w:tc>
          <w:tcPr>
            <w:tcW w:type="dxa" w:w="2300"/>
          </w:tcPr>
          <w:p>
            <w:r>
              <w:rPr>
                <w:rFonts w:ascii="Times New Roman" w:hAnsi="Times New Roman"/>
                <w:b w:val="0"/>
                <w:sz w:val="22"/>
              </w:rPr>
              <w:t>Доля отклоненных заявок</w:t>
            </w:r>
          </w:p>
        </w:tc>
        <w:tc>
          <w:tcPr>
            <w:tcW w:type="dxa" w:w="2300"/>
          </w:tcPr>
          <w:p>
            <w:r>
              <w:rPr>
                <w:rFonts w:ascii="Times New Roman" w:hAnsi="Times New Roman"/>
                <w:b w:val="0"/>
                <w:sz w:val="22"/>
              </w:rPr>
              <w:t>15,8%</w:t>
            </w:r>
          </w:p>
        </w:tc>
        <w:tc>
          <w:tcPr>
            <w:tcW w:type="dxa" w:w="2300"/>
          </w:tcPr>
          <w:p>
            <w:r>
              <w:rPr>
                <w:rFonts w:ascii="Times New Roman" w:hAnsi="Times New Roman"/>
                <w:b w:val="0"/>
                <w:sz w:val="22"/>
              </w:rPr>
              <w:t>10,0%</w:t>
            </w:r>
          </w:p>
        </w:tc>
        <w:tc>
          <w:tcPr>
            <w:tcW w:type="dxa" w:w="2300"/>
          </w:tcPr>
          <w:p>
            <w:r>
              <w:rPr>
                <w:rFonts w:ascii="Times New Roman" w:hAnsi="Times New Roman"/>
                <w:b w:val="0"/>
                <w:sz w:val="22"/>
              </w:rPr>
              <w:t>9,0%</w:t>
            </w:r>
          </w:p>
        </w:tc>
      </w:tr>
      <w:tr>
        <w:tc>
          <w:tcPr>
            <w:tcW w:type="dxa" w:w="2300"/>
          </w:tcPr>
          <w:p>
            <w:r>
              <w:rPr>
                <w:rFonts w:ascii="Times New Roman" w:hAnsi="Times New Roman"/>
                <w:b w:val="0"/>
                <w:sz w:val="22"/>
              </w:rPr>
              <w:t>Количество отклоненных заявок</w:t>
            </w:r>
          </w:p>
        </w:tc>
        <w:tc>
          <w:tcPr>
            <w:tcW w:type="dxa" w:w="2300"/>
          </w:tcPr>
          <w:p>
            <w:r>
              <w:rPr>
                <w:rFonts w:ascii="Times New Roman" w:hAnsi="Times New Roman"/>
                <w:b w:val="0"/>
                <w:sz w:val="22"/>
              </w:rPr>
              <w:t>24</w:t>
            </w:r>
          </w:p>
        </w:tc>
        <w:tc>
          <w:tcPr>
            <w:tcW w:type="dxa" w:w="2300"/>
          </w:tcPr>
          <w:p>
            <w:r>
              <w:rPr>
                <w:rFonts w:ascii="Times New Roman" w:hAnsi="Times New Roman"/>
                <w:b w:val="0"/>
                <w:sz w:val="22"/>
              </w:rPr>
              <w:t>15</w:t>
            </w:r>
          </w:p>
        </w:tc>
        <w:tc>
          <w:tcPr>
            <w:tcW w:type="dxa" w:w="2300"/>
          </w:tcPr>
          <w:p>
            <w:r>
              <w:rPr>
                <w:rFonts w:ascii="Times New Roman" w:hAnsi="Times New Roman"/>
                <w:b w:val="0"/>
                <w:sz w:val="22"/>
              </w:rPr>
              <w:t>14</w:t>
            </w:r>
          </w:p>
        </w:tc>
      </w:tr>
      <w:tr>
        <w:tc>
          <w:tcPr>
            <w:tcW w:type="dxa" w:w="2300"/>
          </w:tcPr>
          <w:p>
            <w:r>
              <w:rPr>
                <w:rFonts w:ascii="Times New Roman" w:hAnsi="Times New Roman"/>
                <w:b w:val="0"/>
                <w:sz w:val="22"/>
              </w:rPr>
              <w:t>Количество выигранных контрактов</w:t>
            </w:r>
          </w:p>
        </w:tc>
        <w:tc>
          <w:tcPr>
            <w:tcW w:type="dxa" w:w="2300"/>
          </w:tcPr>
          <w:p>
            <w:r>
              <w:rPr>
                <w:rFonts w:ascii="Times New Roman" w:hAnsi="Times New Roman"/>
                <w:b w:val="0"/>
                <w:sz w:val="22"/>
              </w:rPr>
              <w:t>35</w:t>
            </w:r>
          </w:p>
        </w:tc>
        <w:tc>
          <w:tcPr>
            <w:tcW w:type="dxa" w:w="2300"/>
          </w:tcPr>
          <w:p>
            <w:r>
              <w:rPr>
                <w:rFonts w:ascii="Times New Roman" w:hAnsi="Times New Roman"/>
                <w:b w:val="0"/>
                <w:sz w:val="22"/>
              </w:rPr>
              <w:t>38</w:t>
            </w:r>
          </w:p>
        </w:tc>
        <w:tc>
          <w:tcPr>
            <w:tcW w:type="dxa" w:w="2300"/>
          </w:tcPr>
          <w:p>
            <w:r>
              <w:rPr>
                <w:rFonts w:ascii="Times New Roman" w:hAnsi="Times New Roman"/>
                <w:b w:val="0"/>
                <w:sz w:val="22"/>
              </w:rPr>
              <w:t>39</w:t>
            </w:r>
          </w:p>
        </w:tc>
      </w:tr>
      <w:tr>
        <w:tc>
          <w:tcPr>
            <w:tcW w:type="dxa" w:w="2300"/>
          </w:tcPr>
          <w:p>
            <w:r>
              <w:rPr>
                <w:rFonts w:ascii="Times New Roman" w:hAnsi="Times New Roman"/>
                <w:b w:val="0"/>
                <w:sz w:val="22"/>
              </w:rPr>
              <w:t>Конверсия из заявки в победу</w:t>
            </w:r>
          </w:p>
        </w:tc>
        <w:tc>
          <w:tcPr>
            <w:tcW w:type="dxa" w:w="2300"/>
          </w:tcPr>
          <w:p>
            <w:r>
              <w:rPr>
                <w:rFonts w:ascii="Times New Roman" w:hAnsi="Times New Roman"/>
                <w:b w:val="0"/>
                <w:sz w:val="22"/>
              </w:rPr>
              <w:t>23,0%</w:t>
            </w:r>
          </w:p>
        </w:tc>
        <w:tc>
          <w:tcPr>
            <w:tcW w:type="dxa" w:w="2300"/>
          </w:tcPr>
          <w:p>
            <w:r>
              <w:rPr>
                <w:rFonts w:ascii="Times New Roman" w:hAnsi="Times New Roman"/>
                <w:b w:val="0"/>
                <w:sz w:val="22"/>
              </w:rPr>
              <w:t>25,0%</w:t>
            </w:r>
          </w:p>
        </w:tc>
        <w:tc>
          <w:tcPr>
            <w:tcW w:type="dxa" w:w="2300"/>
          </w:tcPr>
          <w:p>
            <w:r>
              <w:rPr>
                <w:rFonts w:ascii="Times New Roman" w:hAnsi="Times New Roman"/>
                <w:b w:val="0"/>
                <w:sz w:val="22"/>
              </w:rPr>
              <w:t>25,7%</w:t>
            </w:r>
          </w:p>
        </w:tc>
      </w:tr>
      <w:tr>
        <w:tc>
          <w:tcPr>
            <w:tcW w:type="dxa" w:w="2300"/>
          </w:tcPr>
          <w:p>
            <w:r>
              <w:rPr>
                <w:rFonts w:ascii="Times New Roman" w:hAnsi="Times New Roman"/>
                <w:b w:val="0"/>
                <w:sz w:val="22"/>
              </w:rPr>
              <w:t>Средняя цена контракта, тыс. руб.</w:t>
            </w:r>
          </w:p>
        </w:tc>
        <w:tc>
          <w:tcPr>
            <w:tcW w:type="dxa" w:w="2300"/>
          </w:tcPr>
          <w:p>
            <w:r>
              <w:rPr>
                <w:rFonts w:ascii="Times New Roman" w:hAnsi="Times New Roman"/>
                <w:b w:val="0"/>
                <w:sz w:val="22"/>
              </w:rPr>
              <w:t>881</w:t>
            </w:r>
          </w:p>
        </w:tc>
        <w:tc>
          <w:tcPr>
            <w:tcW w:type="dxa" w:w="2300"/>
          </w:tcPr>
          <w:p>
            <w:r>
              <w:rPr>
                <w:rFonts w:ascii="Times New Roman" w:hAnsi="Times New Roman"/>
                <w:b w:val="0"/>
                <w:sz w:val="22"/>
              </w:rPr>
              <w:t>881</w:t>
            </w:r>
          </w:p>
        </w:tc>
        <w:tc>
          <w:tcPr>
            <w:tcW w:type="dxa" w:w="2300"/>
          </w:tcPr>
          <w:p>
            <w:r>
              <w:rPr>
                <w:rFonts w:ascii="Times New Roman" w:hAnsi="Times New Roman"/>
                <w:b w:val="0"/>
                <w:sz w:val="22"/>
              </w:rPr>
              <w:t>881</w:t>
            </w:r>
          </w:p>
        </w:tc>
      </w:tr>
    </w:tbl>
    <w:p>
      <w:pPr>
        <w:spacing w:line="360" w:lineRule="auto" w:after="120"/>
        <w:ind w:firstLine="700"/>
      </w:pPr>
    </w:p>
    <w:p>
      <w:pPr>
        <w:spacing w:line="360" w:lineRule="auto" w:after="120"/>
        <w:ind w:firstLine="700"/>
      </w:pPr>
      <w:r>
        <w:rPr>
          <w:rFonts w:ascii="Times New Roman" w:hAnsi="Times New Roman"/>
          <w:b w:val="0"/>
          <w:sz w:val="28"/>
        </w:rPr>
        <w:t>Экономический эффект рассчитывается по трем направлениям. Первое направление — дополнительный маржинальный доход от роста количества выигранных контрактов. В расчетах принимается средняя цена контракта 881 тыс. руб. и средняя маржинальность 12%. Такой уровень соответствует бизнес-модели компании, где при выборе закупок ориентиром является маржа не ниже 10-15%.</w:t>
      </w:r>
    </w:p>
    <w:p>
      <w:pPr>
        <w:spacing w:line="360" w:lineRule="auto" w:after="120"/>
        <w:ind w:firstLine="700"/>
      </w:pPr>
      <w:r>
        <w:rPr>
          <w:rFonts w:ascii="Times New Roman" w:hAnsi="Times New Roman"/>
          <w:b w:val="0"/>
          <w:sz w:val="28"/>
        </w:rPr>
        <w:t>В первый год ожидается прирост на 3 выигранных контракта: с 35 до 38. Дополнительная выручка составит 2 643 тыс. руб. (881 тыс. руб. × 3 контракта). При маржинальности 12% дополнительный маржинальный доход составит 317,2 тыс. руб. Во второй и третий годы ожидается закрепление эффекта на уровне 4 дополнительных контрактов по сравнению с базовым уровнем, что дает 3 524 тыс. руб. дополнительной выручки и 422,9 тыс. руб. маржинального дохода ежегодно.</w:t>
      </w:r>
    </w:p>
    <w:p>
      <w:pPr>
        <w:spacing w:line="360" w:lineRule="auto" w:after="120"/>
        <w:ind w:firstLine="700"/>
      </w:pPr>
      <w:r>
        <w:rPr>
          <w:rFonts w:ascii="Times New Roman" w:hAnsi="Times New Roman"/>
          <w:b w:val="0"/>
          <w:sz w:val="28"/>
        </w:rPr>
        <w:t>Второе направление эффекта — экономия рабочего времени за счет снижения количества отклоненных заявок. Подготовка одной заявки, которая затем отклоняется по формальным причинам, означает потерю рабочего времени тендерного специалиста. Для расчета принимается, что на подготовку одной заявки затрачивается в среднем 8 часов. Среднемесячная выплата тендерного специалиста составляет 63 175 руб., при норме 168 часов в месяц стоимость одного часа равна 376 руб. Снижение отклоненных заявок на 9 единиц дает экономию 27,1 тыс. руб. в год (9 × 8 × 376).</w:t>
      </w:r>
    </w:p>
    <w:p>
      <w:pPr>
        <w:spacing w:line="360" w:lineRule="auto" w:after="120"/>
        <w:ind w:firstLine="700"/>
      </w:pPr>
      <w:r>
        <w:rPr>
          <w:rFonts w:ascii="Times New Roman" w:hAnsi="Times New Roman"/>
          <w:b w:val="0"/>
          <w:sz w:val="28"/>
        </w:rPr>
        <w:t>Третье направление эффекта — снижение затрат на текучесть персонала. Во второй главе указано, что в 2025 году на подбор персонала было направлено 170 тыс. руб., при этом из тендерного отдела выбыло 3 сотрудника. Средняя стоимость замещения одного сотрудника составляет около 56,7 тыс. руб. Если внедрение адаптации и наставничества позволит сократить выбытие хотя бы на одного сотрудника в год, экономия составит 56,7 тыс. руб.</w:t>
      </w:r>
    </w:p>
    <w:p>
      <w:pPr>
        <w:spacing w:line="360" w:lineRule="auto" w:after="120"/>
        <w:jc w:val="center"/>
      </w:pPr>
      <w:r>
        <w:rPr>
          <w:rFonts w:ascii="Times New Roman" w:hAnsi="Times New Roman"/>
          <w:b w:val="0"/>
          <w:sz w:val="28"/>
        </w:rPr>
        <w:t>Таблица 3.9. Расчет годового экономического эффекта</w:t>
      </w:r>
    </w:p>
    <w:tbl>
      <w:tblPr>
        <w:tblStyle w:val="6"/>
        <w:tblW w:type="auto" w:w="0"/>
        <w:tblLook w:firstColumn="1" w:firstRow="1" w:lastColumn="0" w:lastRow="0" w:noHBand="0" w:noVBand="1" w:val="04A0"/>
      </w:tblPr>
      <w:tblGrid>
        <w:gridCol w:w="2300"/>
        <w:gridCol w:w="2300"/>
        <w:gridCol w:w="2300"/>
        <w:gridCol w:w="2300"/>
      </w:tblGrid>
      <w:tr>
        <w:tc>
          <w:tcPr>
            <w:tcW w:type="dxa" w:w="2300"/>
          </w:tcPr>
          <w:p>
            <w:r>
              <w:rPr>
                <w:rFonts w:ascii="Times New Roman" w:hAnsi="Times New Roman"/>
                <w:b/>
                <w:sz w:val="22"/>
              </w:rPr>
              <w:t>Направление эффекта</w:t>
            </w:r>
          </w:p>
        </w:tc>
        <w:tc>
          <w:tcPr>
            <w:tcW w:type="dxa" w:w="2300"/>
          </w:tcPr>
          <w:p>
            <w:r>
              <w:rPr>
                <w:rFonts w:ascii="Times New Roman" w:hAnsi="Times New Roman"/>
                <w:b/>
                <w:sz w:val="22"/>
              </w:rPr>
              <w:t>Формула расчета</w:t>
            </w:r>
          </w:p>
        </w:tc>
        <w:tc>
          <w:tcPr>
            <w:tcW w:type="dxa" w:w="2300"/>
          </w:tcPr>
          <w:p>
            <w:r>
              <w:rPr>
                <w:rFonts w:ascii="Times New Roman" w:hAnsi="Times New Roman"/>
                <w:b/>
                <w:sz w:val="22"/>
              </w:rPr>
              <w:t>1 год, тыс. руб.</w:t>
            </w:r>
          </w:p>
        </w:tc>
        <w:tc>
          <w:tcPr>
            <w:tcW w:type="dxa" w:w="2300"/>
          </w:tcPr>
          <w:p>
            <w:r>
              <w:rPr>
                <w:rFonts w:ascii="Times New Roman" w:hAnsi="Times New Roman"/>
                <w:b/>
                <w:sz w:val="22"/>
              </w:rPr>
              <w:t>2-3 год, тыс. руб.</w:t>
            </w:r>
          </w:p>
        </w:tc>
      </w:tr>
      <w:tr>
        <w:tc>
          <w:tcPr>
            <w:tcW w:type="dxa" w:w="2300"/>
          </w:tcPr>
          <w:p>
            <w:r>
              <w:rPr>
                <w:rFonts w:ascii="Times New Roman" w:hAnsi="Times New Roman"/>
                <w:b w:val="0"/>
                <w:sz w:val="22"/>
              </w:rPr>
              <w:t>Дополнительный маржинальный доход</w:t>
            </w:r>
          </w:p>
        </w:tc>
        <w:tc>
          <w:tcPr>
            <w:tcW w:type="dxa" w:w="2300"/>
          </w:tcPr>
          <w:p>
            <w:r>
              <w:rPr>
                <w:rFonts w:ascii="Times New Roman" w:hAnsi="Times New Roman"/>
                <w:b w:val="0"/>
                <w:sz w:val="22"/>
              </w:rPr>
              <w:t>Доп. контракты × 881 тыс. руб. × 12%</w:t>
            </w:r>
          </w:p>
        </w:tc>
        <w:tc>
          <w:tcPr>
            <w:tcW w:type="dxa" w:w="2300"/>
          </w:tcPr>
          <w:p>
            <w:r>
              <w:rPr>
                <w:rFonts w:ascii="Times New Roman" w:hAnsi="Times New Roman"/>
                <w:b w:val="0"/>
                <w:sz w:val="22"/>
              </w:rPr>
              <w:t>317,2</w:t>
            </w:r>
          </w:p>
        </w:tc>
        <w:tc>
          <w:tcPr>
            <w:tcW w:type="dxa" w:w="2300"/>
          </w:tcPr>
          <w:p>
            <w:r>
              <w:rPr>
                <w:rFonts w:ascii="Times New Roman" w:hAnsi="Times New Roman"/>
                <w:b w:val="0"/>
                <w:sz w:val="22"/>
              </w:rPr>
              <w:t>422,9</w:t>
            </w:r>
          </w:p>
        </w:tc>
      </w:tr>
      <w:tr>
        <w:tc>
          <w:tcPr>
            <w:tcW w:type="dxa" w:w="2300"/>
          </w:tcPr>
          <w:p>
            <w:r>
              <w:rPr>
                <w:rFonts w:ascii="Times New Roman" w:hAnsi="Times New Roman"/>
                <w:b w:val="0"/>
                <w:sz w:val="22"/>
              </w:rPr>
              <w:t>Экономия времени на отклоненных заявках</w:t>
            </w:r>
          </w:p>
        </w:tc>
        <w:tc>
          <w:tcPr>
            <w:tcW w:type="dxa" w:w="2300"/>
          </w:tcPr>
          <w:p>
            <w:r>
              <w:rPr>
                <w:rFonts w:ascii="Times New Roman" w:hAnsi="Times New Roman"/>
                <w:b w:val="0"/>
                <w:sz w:val="22"/>
              </w:rPr>
              <w:t>Снижение отклонений × 8 ч × 376 руб.</w:t>
            </w:r>
          </w:p>
        </w:tc>
        <w:tc>
          <w:tcPr>
            <w:tcW w:type="dxa" w:w="2300"/>
          </w:tcPr>
          <w:p>
            <w:r>
              <w:rPr>
                <w:rFonts w:ascii="Times New Roman" w:hAnsi="Times New Roman"/>
                <w:b w:val="0"/>
                <w:sz w:val="22"/>
              </w:rPr>
              <w:t>27,1</w:t>
            </w:r>
          </w:p>
        </w:tc>
        <w:tc>
          <w:tcPr>
            <w:tcW w:type="dxa" w:w="2300"/>
          </w:tcPr>
          <w:p>
            <w:r>
              <w:rPr>
                <w:rFonts w:ascii="Times New Roman" w:hAnsi="Times New Roman"/>
                <w:b w:val="0"/>
                <w:sz w:val="22"/>
              </w:rPr>
              <w:t>30,1</w:t>
            </w:r>
          </w:p>
        </w:tc>
      </w:tr>
      <w:tr>
        <w:tc>
          <w:tcPr>
            <w:tcW w:type="dxa" w:w="2300"/>
          </w:tcPr>
          <w:p>
            <w:r>
              <w:rPr>
                <w:rFonts w:ascii="Times New Roman" w:hAnsi="Times New Roman"/>
                <w:b w:val="0"/>
                <w:sz w:val="22"/>
              </w:rPr>
              <w:t>Экономия на снижении текучести</w:t>
            </w:r>
          </w:p>
        </w:tc>
        <w:tc>
          <w:tcPr>
            <w:tcW w:type="dxa" w:w="2300"/>
          </w:tcPr>
          <w:p>
            <w:r>
              <w:rPr>
                <w:rFonts w:ascii="Times New Roman" w:hAnsi="Times New Roman"/>
                <w:b w:val="0"/>
                <w:sz w:val="22"/>
              </w:rPr>
              <w:t>1 сотрудник × 56,7 тыс. руб.</w:t>
            </w:r>
          </w:p>
        </w:tc>
        <w:tc>
          <w:tcPr>
            <w:tcW w:type="dxa" w:w="2300"/>
          </w:tcPr>
          <w:p>
            <w:r>
              <w:rPr>
                <w:rFonts w:ascii="Times New Roman" w:hAnsi="Times New Roman"/>
                <w:b w:val="0"/>
                <w:sz w:val="22"/>
              </w:rPr>
              <w:t>56,7</w:t>
            </w:r>
          </w:p>
        </w:tc>
        <w:tc>
          <w:tcPr>
            <w:tcW w:type="dxa" w:w="2300"/>
          </w:tcPr>
          <w:p>
            <w:r>
              <w:rPr>
                <w:rFonts w:ascii="Times New Roman" w:hAnsi="Times New Roman"/>
                <w:b w:val="0"/>
                <w:sz w:val="22"/>
              </w:rPr>
              <w:t>56,7</w:t>
            </w:r>
          </w:p>
        </w:tc>
      </w:tr>
      <w:tr>
        <w:tc>
          <w:tcPr>
            <w:tcW w:type="dxa" w:w="2300"/>
          </w:tcPr>
          <w:p>
            <w:r>
              <w:rPr>
                <w:rFonts w:ascii="Times New Roman" w:hAnsi="Times New Roman"/>
                <w:b w:val="0"/>
                <w:sz w:val="22"/>
              </w:rPr>
              <w:t>Итого валовой эффект</w:t>
            </w:r>
          </w:p>
        </w:tc>
        <w:tc>
          <w:tcPr>
            <w:tcW w:type="dxa" w:w="2300"/>
          </w:tcPr>
          <w:p>
            <w:r>
              <w:rPr>
                <w:rFonts w:ascii="Times New Roman" w:hAnsi="Times New Roman"/>
                <w:b w:val="0"/>
                <w:sz w:val="22"/>
              </w:rPr>
              <w:t>-</w:t>
            </w:r>
          </w:p>
        </w:tc>
        <w:tc>
          <w:tcPr>
            <w:tcW w:type="dxa" w:w="2300"/>
          </w:tcPr>
          <w:p>
            <w:r>
              <w:rPr>
                <w:rFonts w:ascii="Times New Roman" w:hAnsi="Times New Roman"/>
                <w:b w:val="0"/>
                <w:sz w:val="22"/>
              </w:rPr>
              <w:t>401,0</w:t>
            </w:r>
          </w:p>
        </w:tc>
        <w:tc>
          <w:tcPr>
            <w:tcW w:type="dxa" w:w="2300"/>
          </w:tcPr>
          <w:p>
            <w:r>
              <w:rPr>
                <w:rFonts w:ascii="Times New Roman" w:hAnsi="Times New Roman"/>
                <w:b w:val="0"/>
                <w:sz w:val="22"/>
              </w:rPr>
              <w:t>509,7</w:t>
            </w:r>
          </w:p>
        </w:tc>
      </w:tr>
    </w:tbl>
    <w:p>
      <w:pPr>
        <w:spacing w:line="360" w:lineRule="auto" w:after="120"/>
        <w:ind w:firstLine="700"/>
      </w:pPr>
    </w:p>
    <w:p>
      <w:pPr>
        <w:spacing w:line="360" w:lineRule="auto" w:after="120"/>
        <w:ind w:firstLine="700"/>
      </w:pPr>
      <w:r>
        <w:rPr>
          <w:rFonts w:ascii="Times New Roman" w:hAnsi="Times New Roman"/>
          <w:b w:val="0"/>
          <w:sz w:val="28"/>
        </w:rPr>
        <w:t>Первоначальные затраты на внедрение составляют 474,456 тыс. руб. Поддерживающие ежегодные расходы после первого года составляют 154 тыс. руб. Следовательно, в первый год проект почти выходит на операционную окупаемость, но полный финансовый эффект проявляется на горизонте двух-трех лет, поскольку часть затрат первого года носит разовый характер.</w:t>
      </w:r>
    </w:p>
    <w:p>
      <w:pPr>
        <w:spacing w:line="360" w:lineRule="auto" w:after="120"/>
        <w:ind w:firstLine="700"/>
      </w:pPr>
      <w:r>
        <w:rPr>
          <w:rFonts w:ascii="Times New Roman" w:hAnsi="Times New Roman"/>
          <w:b w:val="0"/>
          <w:sz w:val="28"/>
        </w:rPr>
        <w:t>Для оценки эффективности используются показатели: чистый экономический эффект, ROI, срок окупаемости и дисконтированный доход. Поскольку мероприятия не требуют привлечения внешнего инвестора и финансируются за счет собственных средств компании, расчет дисконтированного дохода проводится для оценки управленческой целесообразности проекта. В качестве ставки дисконтирования используется ключевая ставка Банка России 14,5% годовых на апрель 2026 года [50].</w:t>
      </w:r>
    </w:p>
    <w:p>
      <w:pPr>
        <w:spacing w:line="360" w:lineRule="auto" w:after="120"/>
        <w:jc w:val="center"/>
      </w:pPr>
      <w:r>
        <w:rPr>
          <w:rFonts w:ascii="Times New Roman" w:hAnsi="Times New Roman"/>
          <w:b w:val="0"/>
          <w:sz w:val="28"/>
        </w:rPr>
        <w:t>Таблица 3.10. Денежные потоки проекта совершенствования системы обучения</w:t>
      </w:r>
    </w:p>
    <w:tbl>
      <w:tblPr>
        <w:tblStyle w:val="6"/>
        <w:tblW w:type="auto" w:w="0"/>
        <w:tblLook w:firstColumn="1" w:firstRow="1" w:lastColumn="0" w:lastRow="0" w:noHBand="0" w:noVBand="1" w:val="04A0"/>
      </w:tblPr>
      <w:tblGrid>
        <w:gridCol w:w="2300"/>
        <w:gridCol w:w="2300"/>
        <w:gridCol w:w="2300"/>
        <w:gridCol w:w="2300"/>
      </w:tblGrid>
      <w:tr>
        <w:tc>
          <w:tcPr>
            <w:tcW w:type="dxa" w:w="2300"/>
          </w:tcPr>
          <w:p>
            <w:r>
              <w:rPr>
                <w:rFonts w:ascii="Times New Roman" w:hAnsi="Times New Roman"/>
                <w:b/>
                <w:sz w:val="22"/>
              </w:rPr>
              <w:t>Показатель</w:t>
            </w:r>
          </w:p>
        </w:tc>
        <w:tc>
          <w:tcPr>
            <w:tcW w:type="dxa" w:w="2300"/>
          </w:tcPr>
          <w:p>
            <w:r>
              <w:rPr>
                <w:rFonts w:ascii="Times New Roman" w:hAnsi="Times New Roman"/>
                <w:b/>
                <w:sz w:val="22"/>
              </w:rPr>
              <w:t>1 год</w:t>
            </w:r>
          </w:p>
        </w:tc>
        <w:tc>
          <w:tcPr>
            <w:tcW w:type="dxa" w:w="2300"/>
          </w:tcPr>
          <w:p>
            <w:r>
              <w:rPr>
                <w:rFonts w:ascii="Times New Roman" w:hAnsi="Times New Roman"/>
                <w:b/>
                <w:sz w:val="22"/>
              </w:rPr>
              <w:t>2 год</w:t>
            </w:r>
          </w:p>
        </w:tc>
        <w:tc>
          <w:tcPr>
            <w:tcW w:type="dxa" w:w="2300"/>
          </w:tcPr>
          <w:p>
            <w:r>
              <w:rPr>
                <w:rFonts w:ascii="Times New Roman" w:hAnsi="Times New Roman"/>
                <w:b/>
                <w:sz w:val="22"/>
              </w:rPr>
              <w:t>3 год</w:t>
            </w:r>
          </w:p>
        </w:tc>
      </w:tr>
      <w:tr>
        <w:tc>
          <w:tcPr>
            <w:tcW w:type="dxa" w:w="2300"/>
          </w:tcPr>
          <w:p>
            <w:r>
              <w:rPr>
                <w:rFonts w:ascii="Times New Roman" w:hAnsi="Times New Roman"/>
                <w:b w:val="0"/>
                <w:sz w:val="22"/>
              </w:rPr>
              <w:t>Валовой экономический эффект, тыс. руб.</w:t>
            </w:r>
          </w:p>
        </w:tc>
        <w:tc>
          <w:tcPr>
            <w:tcW w:type="dxa" w:w="2300"/>
          </w:tcPr>
          <w:p>
            <w:r>
              <w:rPr>
                <w:rFonts w:ascii="Times New Roman" w:hAnsi="Times New Roman"/>
                <w:b w:val="0"/>
                <w:sz w:val="22"/>
              </w:rPr>
              <w:t>401,0</w:t>
            </w:r>
          </w:p>
        </w:tc>
        <w:tc>
          <w:tcPr>
            <w:tcW w:type="dxa" w:w="2300"/>
          </w:tcPr>
          <w:p>
            <w:r>
              <w:rPr>
                <w:rFonts w:ascii="Times New Roman" w:hAnsi="Times New Roman"/>
                <w:b w:val="0"/>
                <w:sz w:val="22"/>
              </w:rPr>
              <w:t>509,7</w:t>
            </w:r>
          </w:p>
        </w:tc>
        <w:tc>
          <w:tcPr>
            <w:tcW w:type="dxa" w:w="2300"/>
          </w:tcPr>
          <w:p>
            <w:r>
              <w:rPr>
                <w:rFonts w:ascii="Times New Roman" w:hAnsi="Times New Roman"/>
                <w:b w:val="0"/>
                <w:sz w:val="22"/>
              </w:rPr>
              <w:t>509,7</w:t>
            </w:r>
          </w:p>
        </w:tc>
      </w:tr>
      <w:tr>
        <w:tc>
          <w:tcPr>
            <w:tcW w:type="dxa" w:w="2300"/>
          </w:tcPr>
          <w:p>
            <w:r>
              <w:rPr>
                <w:rFonts w:ascii="Times New Roman" w:hAnsi="Times New Roman"/>
                <w:b w:val="0"/>
                <w:sz w:val="22"/>
              </w:rPr>
              <w:t>Затраты, тыс. руб.</w:t>
            </w:r>
          </w:p>
        </w:tc>
        <w:tc>
          <w:tcPr>
            <w:tcW w:type="dxa" w:w="2300"/>
          </w:tcPr>
          <w:p>
            <w:r>
              <w:rPr>
                <w:rFonts w:ascii="Times New Roman" w:hAnsi="Times New Roman"/>
                <w:b w:val="0"/>
                <w:sz w:val="22"/>
              </w:rPr>
              <w:t>474,5</w:t>
            </w:r>
          </w:p>
        </w:tc>
        <w:tc>
          <w:tcPr>
            <w:tcW w:type="dxa" w:w="2300"/>
          </w:tcPr>
          <w:p>
            <w:r>
              <w:rPr>
                <w:rFonts w:ascii="Times New Roman" w:hAnsi="Times New Roman"/>
                <w:b w:val="0"/>
                <w:sz w:val="22"/>
              </w:rPr>
              <w:t>154,0</w:t>
            </w:r>
          </w:p>
        </w:tc>
        <w:tc>
          <w:tcPr>
            <w:tcW w:type="dxa" w:w="2300"/>
          </w:tcPr>
          <w:p>
            <w:r>
              <w:rPr>
                <w:rFonts w:ascii="Times New Roman" w:hAnsi="Times New Roman"/>
                <w:b w:val="0"/>
                <w:sz w:val="22"/>
              </w:rPr>
              <w:t>154,0</w:t>
            </w:r>
          </w:p>
        </w:tc>
      </w:tr>
      <w:tr>
        <w:tc>
          <w:tcPr>
            <w:tcW w:type="dxa" w:w="2300"/>
          </w:tcPr>
          <w:p>
            <w:r>
              <w:rPr>
                <w:rFonts w:ascii="Times New Roman" w:hAnsi="Times New Roman"/>
                <w:b w:val="0"/>
                <w:sz w:val="22"/>
              </w:rPr>
              <w:t>Чистый денежный поток, тыс. руб.</w:t>
            </w:r>
          </w:p>
        </w:tc>
        <w:tc>
          <w:tcPr>
            <w:tcW w:type="dxa" w:w="2300"/>
          </w:tcPr>
          <w:p>
            <w:r>
              <w:rPr>
                <w:rFonts w:ascii="Times New Roman" w:hAnsi="Times New Roman"/>
                <w:b w:val="0"/>
                <w:sz w:val="22"/>
              </w:rPr>
              <w:t>-73,5</w:t>
            </w:r>
          </w:p>
        </w:tc>
        <w:tc>
          <w:tcPr>
            <w:tcW w:type="dxa" w:w="2300"/>
          </w:tcPr>
          <w:p>
            <w:r>
              <w:rPr>
                <w:rFonts w:ascii="Times New Roman" w:hAnsi="Times New Roman"/>
                <w:b w:val="0"/>
                <w:sz w:val="22"/>
              </w:rPr>
              <w:t>355,7</w:t>
            </w:r>
          </w:p>
        </w:tc>
        <w:tc>
          <w:tcPr>
            <w:tcW w:type="dxa" w:w="2300"/>
          </w:tcPr>
          <w:p>
            <w:r>
              <w:rPr>
                <w:rFonts w:ascii="Times New Roman" w:hAnsi="Times New Roman"/>
                <w:b w:val="0"/>
                <w:sz w:val="22"/>
              </w:rPr>
              <w:t>355,7</w:t>
            </w:r>
          </w:p>
        </w:tc>
      </w:tr>
      <w:tr>
        <w:tc>
          <w:tcPr>
            <w:tcW w:type="dxa" w:w="2300"/>
          </w:tcPr>
          <w:p>
            <w:r>
              <w:rPr>
                <w:rFonts w:ascii="Times New Roman" w:hAnsi="Times New Roman"/>
                <w:b w:val="0"/>
                <w:sz w:val="22"/>
              </w:rPr>
              <w:t>Коэффициент дисконтирования при 14,5%</w:t>
            </w:r>
          </w:p>
        </w:tc>
        <w:tc>
          <w:tcPr>
            <w:tcW w:type="dxa" w:w="2300"/>
          </w:tcPr>
          <w:p>
            <w:r>
              <w:rPr>
                <w:rFonts w:ascii="Times New Roman" w:hAnsi="Times New Roman"/>
                <w:b w:val="0"/>
                <w:sz w:val="22"/>
              </w:rPr>
              <w:t>0,873</w:t>
            </w:r>
          </w:p>
        </w:tc>
        <w:tc>
          <w:tcPr>
            <w:tcW w:type="dxa" w:w="2300"/>
          </w:tcPr>
          <w:p>
            <w:r>
              <w:rPr>
                <w:rFonts w:ascii="Times New Roman" w:hAnsi="Times New Roman"/>
                <w:b w:val="0"/>
                <w:sz w:val="22"/>
              </w:rPr>
              <w:t>0,762</w:t>
            </w:r>
          </w:p>
        </w:tc>
        <w:tc>
          <w:tcPr>
            <w:tcW w:type="dxa" w:w="2300"/>
          </w:tcPr>
          <w:p>
            <w:r>
              <w:rPr>
                <w:rFonts w:ascii="Times New Roman" w:hAnsi="Times New Roman"/>
                <w:b w:val="0"/>
                <w:sz w:val="22"/>
              </w:rPr>
              <w:t>0,665</w:t>
            </w:r>
          </w:p>
        </w:tc>
      </w:tr>
      <w:tr>
        <w:tc>
          <w:tcPr>
            <w:tcW w:type="dxa" w:w="2300"/>
          </w:tcPr>
          <w:p>
            <w:r>
              <w:rPr>
                <w:rFonts w:ascii="Times New Roman" w:hAnsi="Times New Roman"/>
                <w:b w:val="0"/>
                <w:sz w:val="22"/>
              </w:rPr>
              <w:t>Дисконтированный поток, тыс. руб.</w:t>
            </w:r>
          </w:p>
        </w:tc>
        <w:tc>
          <w:tcPr>
            <w:tcW w:type="dxa" w:w="2300"/>
          </w:tcPr>
          <w:p>
            <w:r>
              <w:rPr>
                <w:rFonts w:ascii="Times New Roman" w:hAnsi="Times New Roman"/>
                <w:b w:val="0"/>
                <w:sz w:val="22"/>
              </w:rPr>
              <w:t>-64,2</w:t>
            </w:r>
          </w:p>
        </w:tc>
        <w:tc>
          <w:tcPr>
            <w:tcW w:type="dxa" w:w="2300"/>
          </w:tcPr>
          <w:p>
            <w:r>
              <w:rPr>
                <w:rFonts w:ascii="Times New Roman" w:hAnsi="Times New Roman"/>
                <w:b w:val="0"/>
                <w:sz w:val="22"/>
              </w:rPr>
              <w:t>271,0</w:t>
            </w:r>
          </w:p>
        </w:tc>
        <w:tc>
          <w:tcPr>
            <w:tcW w:type="dxa" w:w="2300"/>
          </w:tcPr>
          <w:p>
            <w:r>
              <w:rPr>
                <w:rFonts w:ascii="Times New Roman" w:hAnsi="Times New Roman"/>
                <w:b w:val="0"/>
                <w:sz w:val="22"/>
              </w:rPr>
              <w:t>236,5</w:t>
            </w:r>
          </w:p>
        </w:tc>
      </w:tr>
    </w:tbl>
    <w:p>
      <w:pPr>
        <w:spacing w:line="360" w:lineRule="auto" w:after="120"/>
        <w:ind w:firstLine="700"/>
      </w:pPr>
    </w:p>
    <w:p>
      <w:pPr>
        <w:spacing w:line="360" w:lineRule="auto" w:after="120"/>
        <w:ind w:firstLine="700"/>
      </w:pPr>
      <w:r>
        <w:rPr>
          <w:rFonts w:ascii="Times New Roman" w:hAnsi="Times New Roman"/>
          <w:b w:val="0"/>
          <w:sz w:val="28"/>
        </w:rPr>
        <w:t>Чистый дисконтированный доход за три года составит: NPV = -64,2 + 271,0 + 236,5 = 443,3 тыс. руб. Положительное значение NPV означает, что проект создает экономическую ценность для компании даже с учетом стоимости денег во времени. При этом проект не требует привлечения заемного капитала или инвестора, так как первоначальная сумма затрат составляет менее 0,4% от годовой выручки компании и около 3,1% от годовых затрат на персонал.</w:t>
      </w:r>
    </w:p>
    <w:p>
      <w:pPr>
        <w:spacing w:line="360" w:lineRule="auto" w:after="120"/>
        <w:ind w:firstLine="700"/>
      </w:pPr>
      <w:r>
        <w:rPr>
          <w:rFonts w:ascii="Times New Roman" w:hAnsi="Times New Roman"/>
          <w:b w:val="0"/>
          <w:sz w:val="28"/>
        </w:rPr>
        <w:t>Показатель ROI за трехлетний период рассчитывается как отношение суммарного чистого эффекта к суммарным затратам. Валовой эффект за три года составит 1 420,4 тыс. руб. Затраты за три года составят 782,5 тыс. руб. Чистый эффект равен 637,9 тыс. руб. ROI = 637,9 / 782,5 × 100% = 81,5%. Это означает, что каждый рубль, направленный на совершенствование системы обучения, возвращает вложенную сумму и дополнительно формирует около 0,82 руб. чистого эффекта за трехлетний период.</w:t>
      </w:r>
    </w:p>
    <w:p>
      <w:pPr>
        <w:spacing w:line="360" w:lineRule="auto" w:after="120"/>
        <w:ind w:firstLine="700"/>
      </w:pPr>
      <w:r>
        <w:rPr>
          <w:rFonts w:ascii="Times New Roman" w:hAnsi="Times New Roman"/>
          <w:b w:val="0"/>
          <w:sz w:val="28"/>
        </w:rPr>
        <w:t>Срок окупаемости определяется накопленным денежным потоком. После первого года накопленный поток отрицательный и составляет -73,5 тыс. руб. Во втором году проект приносит 355,7 тыс. руб. чистого эффекта, поэтому окупаемость наступает в начале второго года. Точный срок окупаемости: 1 год + 73,5 / 355,7 = 1,21 года. Следовательно, проект окупается примерно за 1 год и 3 месяца.</w:t>
      </w:r>
    </w:p>
    <w:p>
      <w:pPr>
        <w:spacing w:line="360" w:lineRule="auto" w:after="120"/>
        <w:jc w:val="center"/>
      </w:pPr>
      <w:r>
        <w:rPr>
          <w:rFonts w:ascii="Times New Roman" w:hAnsi="Times New Roman"/>
          <w:b w:val="0"/>
          <w:sz w:val="28"/>
        </w:rPr>
        <w:t>Таблица 3.11. Итоговые показатели экономической эффективности</w:t>
      </w:r>
    </w:p>
    <w:tbl>
      <w:tblPr>
        <w:tblStyle w:val="6"/>
        <w:tblW w:type="auto" w:w="0"/>
        <w:tblLook w:firstColumn="1" w:firstRow="1" w:lastColumn="0" w:lastRow="0" w:noHBand="0" w:noVBand="1" w:val="04A0"/>
      </w:tblPr>
      <w:tblGrid>
        <w:gridCol w:w="3067"/>
        <w:gridCol w:w="3067"/>
        <w:gridCol w:w="3067"/>
      </w:tblGrid>
      <w:tr>
        <w:tc>
          <w:tcPr>
            <w:tcW w:type="dxa" w:w="3067"/>
          </w:tcPr>
          <w:p>
            <w:r>
              <w:rPr>
                <w:rFonts w:ascii="Times New Roman" w:hAnsi="Times New Roman"/>
                <w:b/>
                <w:sz w:val="22"/>
              </w:rPr>
              <w:t>Показатель</w:t>
            </w:r>
          </w:p>
        </w:tc>
        <w:tc>
          <w:tcPr>
            <w:tcW w:type="dxa" w:w="3067"/>
          </w:tcPr>
          <w:p>
            <w:r>
              <w:rPr>
                <w:rFonts w:ascii="Times New Roman" w:hAnsi="Times New Roman"/>
                <w:b/>
                <w:sz w:val="22"/>
              </w:rPr>
              <w:t>Значение</w:t>
            </w:r>
          </w:p>
        </w:tc>
        <w:tc>
          <w:tcPr>
            <w:tcW w:type="dxa" w:w="3067"/>
          </w:tcPr>
          <w:p>
            <w:r>
              <w:rPr>
                <w:rFonts w:ascii="Times New Roman" w:hAnsi="Times New Roman"/>
                <w:b/>
                <w:sz w:val="22"/>
              </w:rPr>
              <w:t>Интерпретация</w:t>
            </w:r>
          </w:p>
        </w:tc>
      </w:tr>
      <w:tr>
        <w:tc>
          <w:tcPr>
            <w:tcW w:type="dxa" w:w="3067"/>
          </w:tcPr>
          <w:p>
            <w:r>
              <w:rPr>
                <w:rFonts w:ascii="Times New Roman" w:hAnsi="Times New Roman"/>
                <w:b w:val="0"/>
                <w:sz w:val="22"/>
              </w:rPr>
              <w:t>Первоначальные затраты</w:t>
            </w:r>
          </w:p>
        </w:tc>
        <w:tc>
          <w:tcPr>
            <w:tcW w:type="dxa" w:w="3067"/>
          </w:tcPr>
          <w:p>
            <w:r>
              <w:rPr>
                <w:rFonts w:ascii="Times New Roman" w:hAnsi="Times New Roman"/>
                <w:b w:val="0"/>
                <w:sz w:val="22"/>
              </w:rPr>
              <w:t>474,5 тыс. руб.</w:t>
            </w:r>
          </w:p>
        </w:tc>
        <w:tc>
          <w:tcPr>
            <w:tcW w:type="dxa" w:w="3067"/>
          </w:tcPr>
          <w:p>
            <w:r>
              <w:rPr>
                <w:rFonts w:ascii="Times New Roman" w:hAnsi="Times New Roman"/>
                <w:b w:val="0"/>
                <w:sz w:val="22"/>
              </w:rPr>
              <w:t>Разовые и годовые затраты первого года</w:t>
            </w:r>
          </w:p>
        </w:tc>
      </w:tr>
      <w:tr>
        <w:tc>
          <w:tcPr>
            <w:tcW w:type="dxa" w:w="3067"/>
          </w:tcPr>
          <w:p>
            <w:r>
              <w:rPr>
                <w:rFonts w:ascii="Times New Roman" w:hAnsi="Times New Roman"/>
                <w:b w:val="0"/>
                <w:sz w:val="22"/>
              </w:rPr>
              <w:t>Суммарные затраты за 3 года</w:t>
            </w:r>
          </w:p>
        </w:tc>
        <w:tc>
          <w:tcPr>
            <w:tcW w:type="dxa" w:w="3067"/>
          </w:tcPr>
          <w:p>
            <w:r>
              <w:rPr>
                <w:rFonts w:ascii="Times New Roman" w:hAnsi="Times New Roman"/>
                <w:b w:val="0"/>
                <w:sz w:val="22"/>
              </w:rPr>
              <w:t>782,5 тыс. руб.</w:t>
            </w:r>
          </w:p>
        </w:tc>
        <w:tc>
          <w:tcPr>
            <w:tcW w:type="dxa" w:w="3067"/>
          </w:tcPr>
          <w:p>
            <w:r>
              <w:rPr>
                <w:rFonts w:ascii="Times New Roman" w:hAnsi="Times New Roman"/>
                <w:b w:val="0"/>
                <w:sz w:val="22"/>
              </w:rPr>
              <w:t>С учетом поддерживающих расходов</w:t>
            </w:r>
          </w:p>
        </w:tc>
      </w:tr>
      <w:tr>
        <w:tc>
          <w:tcPr>
            <w:tcW w:type="dxa" w:w="3067"/>
          </w:tcPr>
          <w:p>
            <w:r>
              <w:rPr>
                <w:rFonts w:ascii="Times New Roman" w:hAnsi="Times New Roman"/>
                <w:b w:val="0"/>
                <w:sz w:val="22"/>
              </w:rPr>
              <w:t>Суммарный валовой эффект за 3 года</w:t>
            </w:r>
          </w:p>
        </w:tc>
        <w:tc>
          <w:tcPr>
            <w:tcW w:type="dxa" w:w="3067"/>
          </w:tcPr>
          <w:p>
            <w:r>
              <w:rPr>
                <w:rFonts w:ascii="Times New Roman" w:hAnsi="Times New Roman"/>
                <w:b w:val="0"/>
                <w:sz w:val="22"/>
              </w:rPr>
              <w:t>1 420,4 тыс. руб.</w:t>
            </w:r>
          </w:p>
        </w:tc>
        <w:tc>
          <w:tcPr>
            <w:tcW w:type="dxa" w:w="3067"/>
          </w:tcPr>
          <w:p>
            <w:r>
              <w:rPr>
                <w:rFonts w:ascii="Times New Roman" w:hAnsi="Times New Roman"/>
                <w:b w:val="0"/>
                <w:sz w:val="22"/>
              </w:rPr>
              <w:t>Дополнительный доход и экономия</w:t>
            </w:r>
          </w:p>
        </w:tc>
      </w:tr>
      <w:tr>
        <w:tc>
          <w:tcPr>
            <w:tcW w:type="dxa" w:w="3067"/>
          </w:tcPr>
          <w:p>
            <w:r>
              <w:rPr>
                <w:rFonts w:ascii="Times New Roman" w:hAnsi="Times New Roman"/>
                <w:b w:val="0"/>
                <w:sz w:val="22"/>
              </w:rPr>
              <w:t>Чистый эффект за 3 года</w:t>
            </w:r>
          </w:p>
        </w:tc>
        <w:tc>
          <w:tcPr>
            <w:tcW w:type="dxa" w:w="3067"/>
          </w:tcPr>
          <w:p>
            <w:r>
              <w:rPr>
                <w:rFonts w:ascii="Times New Roman" w:hAnsi="Times New Roman"/>
                <w:b w:val="0"/>
                <w:sz w:val="22"/>
              </w:rPr>
              <w:t>637,9 тыс. руб.</w:t>
            </w:r>
          </w:p>
        </w:tc>
        <w:tc>
          <w:tcPr>
            <w:tcW w:type="dxa" w:w="3067"/>
          </w:tcPr>
          <w:p>
            <w:r>
              <w:rPr>
                <w:rFonts w:ascii="Times New Roman" w:hAnsi="Times New Roman"/>
                <w:b w:val="0"/>
                <w:sz w:val="22"/>
              </w:rPr>
              <w:t>Разница между эффектом и затратами</w:t>
            </w:r>
          </w:p>
        </w:tc>
      </w:tr>
      <w:tr>
        <w:tc>
          <w:tcPr>
            <w:tcW w:type="dxa" w:w="3067"/>
          </w:tcPr>
          <w:p>
            <w:r>
              <w:rPr>
                <w:rFonts w:ascii="Times New Roman" w:hAnsi="Times New Roman"/>
                <w:b w:val="0"/>
                <w:sz w:val="22"/>
              </w:rPr>
              <w:t>NPV</w:t>
            </w:r>
          </w:p>
        </w:tc>
        <w:tc>
          <w:tcPr>
            <w:tcW w:type="dxa" w:w="3067"/>
          </w:tcPr>
          <w:p>
            <w:r>
              <w:rPr>
                <w:rFonts w:ascii="Times New Roman" w:hAnsi="Times New Roman"/>
                <w:b w:val="0"/>
                <w:sz w:val="22"/>
              </w:rPr>
              <w:t>443,3 тыс. руб.</w:t>
            </w:r>
          </w:p>
        </w:tc>
        <w:tc>
          <w:tcPr>
            <w:tcW w:type="dxa" w:w="3067"/>
          </w:tcPr>
          <w:p>
            <w:r>
              <w:rPr>
                <w:rFonts w:ascii="Times New Roman" w:hAnsi="Times New Roman"/>
                <w:b w:val="0"/>
                <w:sz w:val="22"/>
              </w:rPr>
              <w:t>Положительный дисконтированный доход</w:t>
            </w:r>
          </w:p>
        </w:tc>
      </w:tr>
      <w:tr>
        <w:tc>
          <w:tcPr>
            <w:tcW w:type="dxa" w:w="3067"/>
          </w:tcPr>
          <w:p>
            <w:r>
              <w:rPr>
                <w:rFonts w:ascii="Times New Roman" w:hAnsi="Times New Roman"/>
                <w:b w:val="0"/>
                <w:sz w:val="22"/>
              </w:rPr>
              <w:t>ROI</w:t>
            </w:r>
          </w:p>
        </w:tc>
        <w:tc>
          <w:tcPr>
            <w:tcW w:type="dxa" w:w="3067"/>
          </w:tcPr>
          <w:p>
            <w:r>
              <w:rPr>
                <w:rFonts w:ascii="Times New Roman" w:hAnsi="Times New Roman"/>
                <w:b w:val="0"/>
                <w:sz w:val="22"/>
              </w:rPr>
              <w:t>81,5%</w:t>
            </w:r>
          </w:p>
        </w:tc>
        <w:tc>
          <w:tcPr>
            <w:tcW w:type="dxa" w:w="3067"/>
          </w:tcPr>
          <w:p>
            <w:r>
              <w:rPr>
                <w:rFonts w:ascii="Times New Roman" w:hAnsi="Times New Roman"/>
                <w:b w:val="0"/>
                <w:sz w:val="22"/>
              </w:rPr>
              <w:t>Проект экономически эффективен</w:t>
            </w:r>
          </w:p>
        </w:tc>
      </w:tr>
      <w:tr>
        <w:tc>
          <w:tcPr>
            <w:tcW w:type="dxa" w:w="3067"/>
          </w:tcPr>
          <w:p>
            <w:r>
              <w:rPr>
                <w:rFonts w:ascii="Times New Roman" w:hAnsi="Times New Roman"/>
                <w:b w:val="0"/>
                <w:sz w:val="22"/>
              </w:rPr>
              <w:t>Срок окупаемости</w:t>
            </w:r>
          </w:p>
        </w:tc>
        <w:tc>
          <w:tcPr>
            <w:tcW w:type="dxa" w:w="3067"/>
          </w:tcPr>
          <w:p>
            <w:r>
              <w:rPr>
                <w:rFonts w:ascii="Times New Roman" w:hAnsi="Times New Roman"/>
                <w:b w:val="0"/>
                <w:sz w:val="22"/>
              </w:rPr>
              <w:t>1,21 года</w:t>
            </w:r>
          </w:p>
        </w:tc>
        <w:tc>
          <w:tcPr>
            <w:tcW w:type="dxa" w:w="3067"/>
          </w:tcPr>
          <w:p>
            <w:r>
              <w:rPr>
                <w:rFonts w:ascii="Times New Roman" w:hAnsi="Times New Roman"/>
                <w:b w:val="0"/>
                <w:sz w:val="22"/>
              </w:rPr>
              <w:t>Окупаемость в начале второго года</w:t>
            </w:r>
          </w:p>
        </w:tc>
      </w:tr>
    </w:tbl>
    <w:p>
      <w:pPr>
        <w:spacing w:line="360" w:lineRule="auto" w:after="120"/>
        <w:ind w:firstLine="700"/>
      </w:pPr>
    </w:p>
    <w:p>
      <w:pPr>
        <w:spacing w:line="360" w:lineRule="auto" w:after="120"/>
        <w:ind w:firstLine="700"/>
      </w:pPr>
      <w:r>
        <w:rPr>
          <w:rFonts w:ascii="Times New Roman" w:hAnsi="Times New Roman"/>
          <w:b w:val="0"/>
          <w:sz w:val="28"/>
        </w:rPr>
        <w:t>Помимо прямого экономического эффекта проект имеет социально-организационный результат. Сотрудники получают понятный маршрут развития, доступ к актуальным материалам и поддержку наставников. Руководитель отдела получает инструмент контроля качества подготовки заявок. Компания снижает зависимость от отдельных опытных сотрудников, поскольку знания фиксируются в базе и становятся доступными всему отделу. Это особенно важно при удаленном формате работы и высокой текучести.</w:t>
      </w:r>
    </w:p>
    <w:p>
      <w:pPr>
        <w:spacing w:line="360" w:lineRule="auto" w:after="120"/>
        <w:ind w:firstLine="700"/>
      </w:pPr>
      <w:r>
        <w:rPr>
          <w:rFonts w:ascii="Times New Roman" w:hAnsi="Times New Roman"/>
          <w:b w:val="0"/>
          <w:sz w:val="28"/>
        </w:rPr>
        <w:t>Для проверки устойчивости расчетов целесообразно рассмотреть консервативный сценарий. Если дополнительное количество выигранных контрактов составит не 3-4, а только 2 контракта в год, валовой эффект снизится. Однако даже в этом случае компания получит снижение отклонений, экономию времени, сокращение текучести и повышение управляемости процесса. При этом значительная часть инфраструктуры создается один раз и может использоваться в последующие периоды без повторения первоначальных затрат.</w:t>
      </w:r>
    </w:p>
    <w:p>
      <w:pPr>
        <w:spacing w:line="360" w:lineRule="auto" w:after="120"/>
        <w:ind w:firstLine="700"/>
      </w:pPr>
      <w:r>
        <w:rPr>
          <w:rFonts w:ascii="Times New Roman" w:hAnsi="Times New Roman"/>
          <w:b w:val="0"/>
          <w:sz w:val="28"/>
        </w:rPr>
        <w:t>Основные риски проекта связаны с формальным использованием чек-листов, сопротивлением сотрудников, несвоевременным обновлением базы знаний и недостаточным контролем со стороны руководителя. Для снижения рисков необходимо закрепить ответственность за каждый элемент системы, включить показатели качества в KPI и проводить ежемесячный управленческий контроль. Если база знаний не обновляется, она быстро теряет ценность; если чек-лист заполняется формально, он не снижает ошибки; если результаты обучения не анализируются, система снова становится набором разовых мероприятий.</w:t>
      </w:r>
    </w:p>
    <w:p>
      <w:pPr>
        <w:spacing w:line="360" w:lineRule="auto" w:after="120"/>
        <w:ind w:firstLine="700"/>
      </w:pPr>
      <w:r>
        <w:rPr>
          <w:rFonts w:ascii="Times New Roman" w:hAnsi="Times New Roman"/>
          <w:b w:val="0"/>
          <w:sz w:val="28"/>
        </w:rPr>
        <w:t>Таким образом, экономическая оценка подтверждает целесообразность внедрения предложенных мероприятий. Проект требует умеренных затрат, соответствует масштабу ООО «Лайф Медиа», не нуждается в привлечении инвесторского капитала и имеет положительный дисконтированный доход. Наиболее значимый эффект достигается за счет роста качества заявок, снижения формальных отклонений, увеличения числа выигранных контрактов и закрепления знаний внутри отдела.</w:t>
      </w:r>
    </w:p>
    <w:p>
      <w:pPr>
        <w:spacing w:line="360" w:lineRule="auto" w:after="120"/>
        <w:jc w:val="center"/>
      </w:pPr>
      <w:r>
        <w:rPr>
          <w:rFonts w:ascii="Times New Roman" w:hAnsi="Times New Roman"/>
          <w:b/>
          <w:sz w:val="28"/>
        </w:rPr>
        <w:t>Выводы по третьей главе</w:t>
      </w:r>
    </w:p>
    <w:p>
      <w:pPr>
        <w:spacing w:line="360" w:lineRule="auto" w:after="120"/>
        <w:ind w:firstLine="700"/>
      </w:pPr>
      <w:r>
        <w:rPr>
          <w:rFonts w:ascii="Times New Roman" w:hAnsi="Times New Roman"/>
          <w:b w:val="0"/>
          <w:sz w:val="28"/>
        </w:rPr>
        <w:t>В третьей главе разработан комплекс рекомендаций по совершенствованию системы обучения и развития тендерных специалистов ООО «Лайф Медиа». Рекомендации основаны на результатах второй главы, где были выявлены отсутствие системной адаптации, разрозненность материалов, отсутствие регулярной проверки знаний, повторяемость ошибок и слабая связь обучения с мотивацией.</w:t>
      </w:r>
    </w:p>
    <w:p>
      <w:pPr>
        <w:spacing w:line="360" w:lineRule="auto" w:after="120"/>
        <w:ind w:firstLine="700"/>
      </w:pPr>
      <w:r>
        <w:rPr>
          <w:rFonts w:ascii="Times New Roman" w:hAnsi="Times New Roman"/>
          <w:b w:val="0"/>
          <w:sz w:val="28"/>
        </w:rPr>
        <w:t>Предложена модель «Тендерная академия Лайф Медиа», включающая базу знаний, адаптационный маршрут, внешнее обучение по 44-ФЗ и 223-ФЗ, чек-лист подготовки заявки, реестр ошибок, наставничество и систему оценки эффективности. Данная модель адаптирована к масштабу компании и удаленному формату работы, поэтому не требует создания отдельной HR-службы.</w:t>
      </w:r>
    </w:p>
    <w:p>
      <w:pPr>
        <w:spacing w:line="360" w:lineRule="auto" w:after="120"/>
        <w:ind w:firstLine="700"/>
      </w:pPr>
      <w:r>
        <w:rPr>
          <w:rFonts w:ascii="Times New Roman" w:hAnsi="Times New Roman"/>
          <w:b w:val="0"/>
          <w:sz w:val="28"/>
        </w:rPr>
        <w:t>Технико-экономическое обоснование показало, что первоначальные затраты на внедрение составляют 474,456 тыс. руб. Основные расходы связаны с внешним обучением сотрудников, настройкой базы знаний, LMS, лицензиями и премиями наставникам. После первого года ежегодные поддерживающие расходы снижаются до 154 тыс. руб.</w:t>
      </w:r>
    </w:p>
    <w:p>
      <w:pPr>
        <w:spacing w:line="360" w:lineRule="auto" w:after="120"/>
        <w:ind w:firstLine="700"/>
      </w:pPr>
      <w:r>
        <w:rPr>
          <w:rFonts w:ascii="Times New Roman" w:hAnsi="Times New Roman"/>
          <w:b w:val="0"/>
          <w:sz w:val="28"/>
        </w:rPr>
        <w:t>Экономическая оценка показала, что проект способен снизить долю отклоненных заявок, увеличить количество выигранных контрактов и сократить потери рабочего времени. За трехлетний период чистый эффект составит 637,9 тыс. руб., NPV — 443,3 тыс. руб., ROI — 81,5%, срок окупаемости — около 1,21 года. Следовательно, предложенные мероприятия являются организационно и экономически обоснованными.</w:t>
      </w:r>
    </w:p>
    <w:p>
      <w:pPr>
        <w:spacing w:line="360" w:lineRule="auto" w:after="120"/>
        <w:jc w:val="center"/>
      </w:pPr>
      <w:r>
        <w:rPr>
          <w:rFonts w:ascii="Times New Roman" w:hAnsi="Times New Roman"/>
          <w:b/>
          <w:sz w:val="28"/>
        </w:rPr>
        <w:t>Источники, использованные при расчете стоимости мероприятий третьей главы</w:t>
      </w:r>
    </w:p>
    <w:p>
      <w:pPr>
        <w:spacing w:line="360" w:lineRule="auto" w:after="120"/>
        <w:ind/>
      </w:pPr>
      <w:r>
        <w:rPr>
          <w:rFonts w:ascii="Times New Roman" w:hAnsi="Times New Roman"/>
          <w:b w:val="0"/>
          <w:sz w:val="28"/>
        </w:rPr>
        <w:t>45. Контур.Школа. Курсы повышения квалификации по 44-ФЗ и 223-ФЗ [Электронный ресурс]. — URL: https://school.kontur-f.ru/ (дата обращения: 28.04.2026).</w:t>
      </w:r>
    </w:p>
    <w:p>
      <w:pPr>
        <w:spacing w:line="360" w:lineRule="auto" w:after="120"/>
        <w:ind/>
      </w:pPr>
      <w:r>
        <w:rPr>
          <w:rFonts w:ascii="Times New Roman" w:hAnsi="Times New Roman"/>
          <w:b w:val="0"/>
          <w:sz w:val="28"/>
        </w:rPr>
        <w:t>46. iSpring Learn. LMS Pricing [Электронный ресурс]. — URL: https://ispringsolutions.com/ispring-learn/pricing (дата обращения: 28.04.2026).</w:t>
      </w:r>
    </w:p>
    <w:p>
      <w:pPr>
        <w:spacing w:line="360" w:lineRule="auto" w:after="120"/>
        <w:ind/>
      </w:pPr>
      <w:r>
        <w:rPr>
          <w:rFonts w:ascii="Times New Roman" w:hAnsi="Times New Roman"/>
          <w:b w:val="0"/>
          <w:sz w:val="28"/>
        </w:rPr>
        <w:t>47. Битрикс24. Тарифы и цены [Электронный ресурс]. — URL: https://www.bitrix24.ru/prices/ (дата обращения: 28.04.2026).</w:t>
      </w:r>
    </w:p>
    <w:p>
      <w:pPr>
        <w:spacing w:line="360" w:lineRule="auto" w:after="120"/>
        <w:ind/>
      </w:pPr>
      <w:r>
        <w:rPr>
          <w:rFonts w:ascii="Times New Roman" w:hAnsi="Times New Roman"/>
          <w:b w:val="0"/>
          <w:sz w:val="28"/>
        </w:rPr>
        <w:t>48. Стоимость настройки и внедрения Битрикс24 для малого бизнеса [Электронный ресурс]. — URL: https://b24.org.ru/ (дата обращения: 28.04.2026).</w:t>
      </w:r>
    </w:p>
    <w:p>
      <w:pPr>
        <w:spacing w:line="360" w:lineRule="auto" w:after="120"/>
        <w:ind/>
      </w:pPr>
      <w:r>
        <w:rPr>
          <w:rFonts w:ascii="Times New Roman" w:hAnsi="Times New Roman"/>
          <w:b w:val="0"/>
          <w:sz w:val="28"/>
        </w:rPr>
        <w:t>49. КриптоПро. Прайс-лист на лицензии КриптоПро CSP [Электронный ресурс]. — URL: https://cryptopro.ru/buy/price (дата обращения: 28.04.2026).</w:t>
      </w:r>
    </w:p>
    <w:p>
      <w:pPr>
        <w:spacing w:line="360" w:lineRule="auto" w:after="120"/>
        <w:ind/>
      </w:pPr>
      <w:r>
        <w:rPr>
          <w:rFonts w:ascii="Times New Roman" w:hAnsi="Times New Roman"/>
          <w:b w:val="0"/>
          <w:sz w:val="28"/>
        </w:rPr>
        <w:t>50. Банк России. Ключевая ставка Банка России [Электронный ресурс]. — URL: https://cbr.ru/hd_base/keyrate/ (дата обращения: 28.04.2026).</w:t>
      </w:r>
    </w:p>
    <w:p>
      <w:pPr>
        <w:spacing w:line="360" w:lineRule="auto" w:after="120"/>
        <w:ind/>
      </w:pPr>
      <w:r>
        <w:rPr>
          <w:rFonts w:ascii="Times New Roman" w:hAnsi="Times New Roman"/>
          <w:b w:val="0"/>
          <w:sz w:val="28"/>
        </w:rPr>
        <w:t>51. Разработка электронных курсов: ориентиры стоимости корпоративного e-learning [Электронный ресурс]. — URL: https://crmm.ru/ceny/ (дата обращения: 28.04.2026).</w:t>
      </w:r>
    </w:p>
    <w:sectPr>
      <w:pgSz w:w="11906" w:h="16838"/>
      <w:pgMar w:top="1134" w:right="1005" w:bottom="1134" w:left="1701"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E465A9"/>
    <w:multiLevelType w:val="singleLevel"/>
    <w:tmpl w:val="80E465A9"/>
    <w:lvl w:ilvl="0" w:tentative="0">
      <w:start w:val="1"/>
      <w:numFmt w:val="decimal"/>
      <w:suff w:val="space"/>
      <w:lvlText w:val="%1."/>
      <w:lvlJc w:val="left"/>
    </w:lvl>
  </w:abstractNum>
  <w:abstractNum w:abstractNumId="1">
    <w:nsid w:val="877E51F5"/>
    <w:multiLevelType w:val="singleLevel"/>
    <w:tmpl w:val="877E51F5"/>
    <w:lvl w:ilvl="0" w:tentative="0">
      <w:start w:val="1"/>
      <w:numFmt w:val="bullet"/>
      <w:lvlText w:val="－"/>
      <w:lvlJc w:val="left"/>
      <w:pPr>
        <w:tabs>
          <w:tab w:val="left" w:pos="420"/>
        </w:tabs>
        <w:ind w:left="420" w:leftChars="0" w:hanging="420" w:firstLineChars="0"/>
      </w:pPr>
      <w:rPr>
        <w:rFonts w:hint="default" w:ascii="SimSun" w:hAnsi="SimSun" w:eastAsia="SimSun" w:cs="SimSun"/>
      </w:rPr>
    </w:lvl>
  </w:abstractNum>
  <w:abstractNum w:abstractNumId="2">
    <w:nsid w:val="B0766578"/>
    <w:multiLevelType w:val="multilevel"/>
    <w:tmpl w:val="B0766578"/>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C93567C3"/>
    <w:multiLevelType w:val="singleLevel"/>
    <w:tmpl w:val="C93567C3"/>
    <w:lvl w:ilvl="0" w:tentative="0">
      <w:start w:val="1"/>
      <w:numFmt w:val="decimal"/>
      <w:suff w:val="space"/>
      <w:lvlText w:val="%1."/>
      <w:lvlJc w:val="left"/>
    </w:lvl>
  </w:abstractNum>
  <w:abstractNum w:abstractNumId="4">
    <w:nsid w:val="CFA13AEB"/>
    <w:multiLevelType w:val="multilevel"/>
    <w:tmpl w:val="CFA13AEB"/>
    <w:lvl w:ilvl="0" w:tentative="0">
      <w:start w:val="1"/>
      <w:numFmt w:val="decimal"/>
      <w:suff w:val="space"/>
      <w:lvlText w:val="%1."/>
      <w:lvlJc w:val="left"/>
    </w:lvl>
    <w:lvl w:ilvl="1" w:tentative="0">
      <w:start w:val="1"/>
      <w:numFmt w:val="decimal"/>
      <w:suff w:val="space"/>
      <w:lvlText w:val="%1.%2."/>
      <w:lvlJc w:val="left"/>
      <w:pPr>
        <w:ind w:left="49"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D424E3EA"/>
    <w:multiLevelType w:val="singleLevel"/>
    <w:tmpl w:val="D424E3EA"/>
    <w:lvl w:ilvl="0" w:tentative="0">
      <w:start w:val="1"/>
      <w:numFmt w:val="bullet"/>
      <w:lvlText w:val="－"/>
      <w:lvlJc w:val="left"/>
      <w:pPr>
        <w:tabs>
          <w:tab w:val="left" w:pos="420"/>
        </w:tabs>
        <w:ind w:left="420" w:leftChars="0" w:hanging="420" w:firstLineChars="0"/>
      </w:pPr>
      <w:rPr>
        <w:rFonts w:hint="default" w:ascii="SimSun" w:hAnsi="SimSun" w:eastAsia="SimSun" w:cs="SimSun"/>
      </w:rPr>
    </w:lvl>
  </w:abstractNum>
  <w:abstractNum w:abstractNumId="6">
    <w:nsid w:val="0A2C4583"/>
    <w:multiLevelType w:val="singleLevel"/>
    <w:tmpl w:val="0A2C4583"/>
    <w:lvl w:ilvl="0" w:tentative="0">
      <w:start w:val="1"/>
      <w:numFmt w:val="decimal"/>
      <w:suff w:val="space"/>
      <w:lvlText w:val="%1."/>
      <w:lvlJc w:val="left"/>
    </w:lvl>
  </w:abstractNum>
  <w:abstractNum w:abstractNumId="7">
    <w:nsid w:val="1B00C6AF"/>
    <w:multiLevelType w:val="singleLevel"/>
    <w:tmpl w:val="1B00C6A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1C58038C"/>
    <w:multiLevelType w:val="multilevel"/>
    <w:tmpl w:val="1C5803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4CFDDBC"/>
    <w:multiLevelType w:val="singleLevel"/>
    <w:tmpl w:val="54CFDDBC"/>
    <w:lvl w:ilvl="0" w:tentative="0">
      <w:start w:val="1"/>
      <w:numFmt w:val="decimal"/>
      <w:lvlText w:val="%1."/>
      <w:lvlJc w:val="left"/>
      <w:pPr>
        <w:tabs>
          <w:tab w:val="left" w:pos="425"/>
        </w:tabs>
        <w:ind w:left="425" w:leftChars="0" w:hanging="425" w:firstLineChars="0"/>
      </w:pPr>
      <w:rPr>
        <w:rFonts w:hint="default"/>
      </w:rPr>
    </w:lvl>
  </w:abstractNum>
  <w:abstractNum w:abstractNumId="10">
    <w:nsid w:val="586EF190"/>
    <w:multiLevelType w:val="singleLevel"/>
    <w:tmpl w:val="586EF190"/>
    <w:lvl w:ilvl="0" w:tentative="0">
      <w:start w:val="1"/>
      <w:numFmt w:val="decimal"/>
      <w:suff w:val="space"/>
      <w:lvlText w:val="%1."/>
      <w:lvlJc w:val="left"/>
    </w:lvl>
  </w:abstractNum>
  <w:num w:numId="1">
    <w:abstractNumId w:val="10"/>
  </w:num>
  <w:num w:numId="2">
    <w:abstractNumId w:val="4"/>
  </w:num>
  <w:num w:numId="3">
    <w:abstractNumId w:val="6"/>
  </w:num>
  <w:num w:numId="4">
    <w:abstractNumId w:val="8"/>
  </w:num>
  <w:num w:numId="5">
    <w:abstractNumId w:val="0"/>
  </w:num>
  <w:num w:numId="6">
    <w:abstractNumId w:val="2"/>
  </w:num>
  <w:num w:numId="7">
    <w:abstractNumId w:val="5"/>
  </w:num>
  <w:num w:numId="8">
    <w:abstractNumId w:val="1"/>
  </w:num>
  <w:num w:numId="9">
    <w:abstractNumId w:val="7"/>
  </w:num>
  <w:num w:numId="10">
    <w:abstractNumId w:val="9"/>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002DB3"/>
    <w:rsid w:val="07760E79"/>
    <w:rsid w:val="0A002DB3"/>
    <w:rsid w:val="0C5C5825"/>
    <w:rsid w:val="28465D83"/>
    <w:rsid w:val="3A087590"/>
    <w:rsid w:val="45F606AC"/>
    <w:rsid w:val="4A7373DB"/>
    <w:rsid w:val="66880E8C"/>
    <w:rsid w:val="688C13D2"/>
    <w:rsid w:val="69AC1D7C"/>
    <w:rsid w:val="7C5C7043"/>
    <w:rsid w:val="7D9664B8"/>
    <w:rsid w:val="7EDE6B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 w:type="paragraph" w:styleId="5">
    <w:name w:val="footer"/>
    <w:basedOn w:val="1"/>
    <w:uiPriority w:val="0"/>
    <w:pPr>
      <w:tabs>
        <w:tab w:val="center" w:pos="4153"/>
        <w:tab w:val="right" w:pos="8306"/>
      </w:tabs>
    </w:p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50</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2026-02-20T11:19:00Z</dcterms:created>
  <dc:creator>honor</dc:creator>
  <cp:lastModifiedBy>honor</cp:lastModifiedBy>
  <dcterms:modified xsi:type="dcterms:W3CDTF">2026-04-28T08:35:06Z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AEFFD6447774452090D962037EDF7D7D_11</vt:lpwstr>
  </property>
</Properties>
</file>