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1F72DA">
      <w:pPr>
        <w:keepNext w:val="0"/>
        <w:keepLines w:val="0"/>
        <w:pageBreakBefore w:val="0"/>
        <w:widowControl/>
        <w:kinsoku/>
        <w:wordWrap/>
        <w:overflowPunct/>
        <w:topLinePunct w:val="0"/>
        <w:autoSpaceDE/>
        <w:autoSpaceDN/>
        <w:bidi w:val="0"/>
        <w:adjustRightInd/>
        <w:snapToGrid/>
        <w:spacing w:line="360" w:lineRule="auto"/>
        <w:ind w:firstLine="351" w:firstLineChars="125"/>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rPr>
        <w:t>СОДЕРЖАНИЕ</w:t>
      </w:r>
    </w:p>
    <w:p w14:paraId="3DD40F19">
      <w:pPr>
        <w:keepNext w:val="0"/>
        <w:keepLines w:val="0"/>
        <w:pageBreakBefore w:val="0"/>
        <w:widowControl/>
        <w:tabs>
          <w:tab w:val="right" w:pos="9000"/>
        </w:tabs>
        <w:kinsoku/>
        <w:wordWrap/>
        <w:overflowPunct/>
        <w:topLinePunct w:val="0"/>
        <w:autoSpaceDE/>
        <w:autoSpaceDN/>
        <w:bidi w:val="0"/>
        <w:adjustRightInd/>
        <w:snapToGrid/>
        <w:spacing w:line="276" w:lineRule="auto"/>
        <w:ind w:firstLine="0" w:firstLineChars="0"/>
        <w:jc w:val="both"/>
        <w:textAlignment w:val="auto"/>
        <w:rPr>
          <w:rFonts w:hint="default" w:ascii="Times New Roman" w:hAnsi="Times New Roman"/>
          <w:b/>
          <w:bCs/>
          <w:sz w:val="28"/>
          <w:szCs w:val="28"/>
          <w:lang w:val="ru-RU"/>
        </w:rPr>
      </w:pPr>
    </w:p>
    <w:p w14:paraId="5F93D09D">
      <w:pPr>
        <w:keepNext w:val="0"/>
        <w:keepLines w:val="0"/>
        <w:pageBreakBefore w:val="0"/>
        <w:widowControl/>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ВВЕДЕНИЕ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..........................................................................................................5</w:t>
      </w:r>
    </w:p>
    <w:p w14:paraId="4D44C499">
      <w:pPr>
        <w:keepNext w:val="0"/>
        <w:keepLines w:val="0"/>
        <w:pageBreakBefore w:val="0"/>
        <w:widowControl/>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xml:space="preserve">ГЛАВА 1. </w:t>
      </w:r>
      <w:r>
        <w:rPr>
          <w:rFonts w:hint="default" w:ascii="Times New Roman" w:hAnsi="Times New Roman"/>
          <w:b w:val="0"/>
          <w:bCs w:val="0"/>
          <w:sz w:val="28"/>
          <w:szCs w:val="28"/>
        </w:rPr>
        <w:t xml:space="preserve"> ТЕОРЕТИЧЕСКИЕ ОСНОВЫ ОБУЧЕНИЯ И РАЗВИТИЯ ТЕНДЕРНЫХ СПЕЦИАЛИСТОВ</w:t>
      </w:r>
      <w:r>
        <w:rPr>
          <w:rFonts w:hint="default" w:ascii="Times New Roman" w:hAnsi="Times New Roman"/>
          <w:b w:val="0"/>
          <w:bCs w:val="0"/>
          <w:sz w:val="28"/>
          <w:szCs w:val="28"/>
          <w:lang w:val="ru-RU"/>
        </w:rPr>
        <w:t>.................................................................</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7</w:t>
      </w:r>
    </w:p>
    <w:p w14:paraId="5AFD2EBB">
      <w:pPr>
        <w:keepNext w:val="0"/>
        <w:keepLines w:val="0"/>
        <w:pageBreakBefore w:val="0"/>
        <w:widowControl/>
        <w:numPr>
          <w:ilvl w:val="-2"/>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1.1. Роль и значение обучения персонала в системе управления организацией....................................................................................................</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7</w:t>
      </w:r>
    </w:p>
    <w:p w14:paraId="4CB8F8EB">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1.2. Специфика профессиональных компетенций  тендерных специалистов и современные подходы к их развитию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15</w:t>
      </w:r>
    </w:p>
    <w:p w14:paraId="2B281192">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1.3. Методологические подходы к оценке эффективности обучения тендерных специалистов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20</w:t>
      </w:r>
    </w:p>
    <w:p w14:paraId="661DD75C">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Выводы по первой главе..................................................................................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21</w:t>
      </w:r>
    </w:p>
    <w:p w14:paraId="73672D99">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ГЛАВА 2. АНАЛИЗ СИСТЕМЫ ОБУЧЕНИЯ И РАЗВИТИЯ ТЕНДЕРНЫХ СПЕЦИАЛИСТОВ ООО «ЛАЙФ МЕДИА».....................</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23</w:t>
      </w:r>
    </w:p>
    <w:p w14:paraId="00A40495">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2.1. Общая характеристика ООО «Лайф Медиа» и структуры закупочной деятельности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..23</w:t>
      </w:r>
      <w:r>
        <w:rPr>
          <w:rFonts w:hint="default" w:ascii="Times New Roman" w:hAnsi="Times New Roman"/>
          <w:b w:val="0"/>
          <w:bCs w:val="0"/>
          <w:sz w:val="28"/>
          <w:szCs w:val="28"/>
          <w:lang w:val="ru-RU"/>
        </w:rPr>
        <w:tab/>
      </w:r>
    </w:p>
    <w:p w14:paraId="7AB6EDA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xml:space="preserve">2.2. Анализ системы управления персоналом ООО «Лайф Медиа»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256C1E5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2.3 Оценка эффективности текущей системы обучения и выявление проблем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572FC407">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Выводы по второй главе..................................................................................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0805F5AD">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ГЛАВА 3. СОВЕРШЕНСТВОВАНИЕ СИСТЕМЫ ОБУЧЕНИЯ И РАЗВИТИЯ ТЕНДЕРНЫХ СПЕЦИАЛИСТОВ ООО «ЛАЙФ МЕДИА».........................................................................................................</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7E210436">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3.1. Разработка комплекса мероприятий по совершенствованию системы обучения..........................................................................................................</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 xml:space="preserve">00 </w:t>
      </w:r>
    </w:p>
    <w:p w14:paraId="112B8D19">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3.2. Формирование модели компетенций и внедрение программ профессиональной переподготовки.............................................................</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 xml:space="preserve">00 </w:t>
      </w:r>
    </w:p>
    <w:p w14:paraId="533D2CCE">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3.3. Оценка социально-экономической эффективности предложенных мероприятий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7F21A654">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Выводы по третьей главе................................................................................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2060470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ЗАКЛЮЧЕНИЕ...............................................................................................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001C0BCD">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Список используемой литературы.................................................................</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4DC1787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ПРИЛОЖЕНИЯ...............................................................................................</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0B9CAEF4">
      <w:pPr>
        <w:keepNext w:val="0"/>
        <w:keepLines w:val="0"/>
        <w:pageBreakBefore w:val="0"/>
        <w:widowControl/>
        <w:kinsoku/>
        <w:wordWrap/>
        <w:overflowPunct/>
        <w:topLinePunct w:val="0"/>
        <w:autoSpaceDE/>
        <w:autoSpaceDN/>
        <w:bidi w:val="0"/>
        <w:adjustRightInd/>
        <w:snapToGrid/>
        <w:spacing w:line="276" w:lineRule="auto"/>
        <w:ind w:right="200" w:rightChars="100" w:firstLine="0" w:firstLineChars="0"/>
        <w:jc w:val="both"/>
        <w:textAlignment w:val="auto"/>
        <w:rPr>
          <w:rFonts w:hint="default" w:ascii="Times New Roman" w:hAnsi="Times New Roman"/>
          <w:b w:val="0"/>
          <w:bCs w:val="0"/>
          <w:sz w:val="28"/>
          <w:szCs w:val="28"/>
          <w:lang w:val="ru-RU"/>
        </w:rPr>
      </w:pPr>
    </w:p>
    <w:p w14:paraId="0A21C685">
      <w:pPr>
        <w:keepNext w:val="0"/>
        <w:keepLines w:val="0"/>
        <w:pageBreakBefore w:val="0"/>
        <w:widowControl/>
        <w:kinsoku/>
        <w:wordWrap/>
        <w:overflowPunct/>
        <w:topLinePunct w:val="0"/>
        <w:autoSpaceDE/>
        <w:autoSpaceDN/>
        <w:bidi w:val="0"/>
        <w:adjustRightInd/>
        <w:snapToGrid/>
        <w:spacing w:line="240" w:lineRule="auto"/>
        <w:ind w:right="200" w:rightChars="100" w:firstLine="351" w:firstLineChars="125"/>
        <w:jc w:val="both"/>
        <w:textAlignment w:val="auto"/>
        <w:rPr>
          <w:rFonts w:hint="default" w:ascii="Times New Roman" w:hAnsi="Times New Roman"/>
          <w:b/>
          <w:bCs/>
          <w:sz w:val="28"/>
          <w:szCs w:val="28"/>
          <w:lang w:val="ru-RU"/>
        </w:rPr>
      </w:pPr>
    </w:p>
    <w:p w14:paraId="62E29E97">
      <w:pPr>
        <w:keepNext w:val="0"/>
        <w:keepLines w:val="0"/>
        <w:pageBreakBefore w:val="0"/>
        <w:widowControl/>
        <w:kinsoku/>
        <w:wordWrap/>
        <w:overflowPunct/>
        <w:topLinePunct w:val="0"/>
        <w:autoSpaceDE/>
        <w:autoSpaceDN/>
        <w:bidi w:val="0"/>
        <w:adjustRightInd/>
        <w:snapToGrid/>
        <w:spacing w:line="360" w:lineRule="auto"/>
        <w:ind w:firstLine="351" w:firstLineChars="125"/>
        <w:jc w:val="both"/>
        <w:textAlignment w:val="auto"/>
        <w:rPr>
          <w:rFonts w:hint="default" w:ascii="Times New Roman" w:hAnsi="Times New Roman"/>
          <w:b/>
          <w:bCs/>
          <w:sz w:val="28"/>
          <w:szCs w:val="28"/>
          <w:lang w:val="ru-RU"/>
        </w:rPr>
      </w:pPr>
      <w:r>
        <w:rPr>
          <w:rFonts w:hint="default" w:ascii="Times New Roman" w:hAnsi="Times New Roman"/>
          <w:b/>
          <w:bCs/>
          <w:sz w:val="28"/>
          <w:szCs w:val="28"/>
          <w:lang w:val="ru-RU"/>
        </w:rPr>
        <w:br w:type="page"/>
      </w:r>
      <w:r>
        <w:rPr>
          <w:rFonts w:hint="default" w:ascii="Times New Roman" w:hAnsi="Times New Roman"/>
          <w:b/>
          <w:bCs/>
          <w:sz w:val="28"/>
          <w:szCs w:val="28"/>
          <w:lang w:val="ru-RU"/>
        </w:rPr>
        <w:t>ВВЕДЕНИЕ</w:t>
      </w:r>
    </w:p>
    <w:p w14:paraId="33DBB898">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современной экономической среде закупочная деятельность является важным инструментом как государственных, так и коммерческих структур. От компетентности тендерных специалистов зависит успех и прибыльность, а также конкурентное преимущество компании. Ошибки при подготовке заявок, некорректная оценка рентабельности, нарушение законодательных требований могут повлечь за собой не только упущение контракта, но и внесение предприятия в реестр недобросовестных поставщиков.</w:t>
      </w:r>
    </w:p>
    <w:p w14:paraId="5031145B">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Актуальность темы обусловлена проблемой низкой эффективности участия в тендерах. Несмотря на опыт в закупочной деятельности, компания  ООО «Лайф Медиа» теряет контракты ещё на этапе оформления, это подчёркивает необходимость развития и обучения специалистов.  Вложения в компетенции сотрудников в данном случае  –  эффективный путь к повышению качества закупочных процессов и экономии бюджетных средств.</w:t>
      </w:r>
    </w:p>
    <w:p w14:paraId="5A422A67">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Тема: Совершенствование системы обучения и развития тендерных специалистов (на примере ООО «Лайф Медиа»)</w:t>
      </w:r>
    </w:p>
    <w:p w14:paraId="3A4EF623">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Объект исследования: система управления персоналом</w:t>
      </w:r>
    </w:p>
    <w:p w14:paraId="743B97B5">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Предмет исследования: система обучения и развития тендерных специалистов в ООО «Лайф Медиа»</w:t>
      </w:r>
    </w:p>
    <w:p w14:paraId="4CFA1041">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Цель: разработать рекомендации по совершенствованию системы обучения и развития тендерных специалистов ООО «Лайф Медиа» для повышения закупочной деятельности компании</w:t>
      </w:r>
    </w:p>
    <w:p w14:paraId="21CCC66E">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Задачи:</w:t>
      </w:r>
    </w:p>
    <w:p w14:paraId="2EE54BDB">
      <w:pPr>
        <w:keepNext w:val="0"/>
        <w:keepLines w:val="0"/>
        <w:pageBreakBefore w:val="0"/>
        <w:widowControl/>
        <w:numPr>
          <w:ilvl w:val="0"/>
          <w:numId w:val="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Изучить и раскрыть теоретические аспекты обучения персонала в системе управления организацией и особенности развития тендерных специалистов</w:t>
      </w:r>
    </w:p>
    <w:p w14:paraId="46A9E48C">
      <w:pPr>
        <w:keepNext w:val="0"/>
        <w:keepLines w:val="0"/>
        <w:pageBreakBefore w:val="0"/>
        <w:widowControl/>
        <w:numPr>
          <w:ilvl w:val="0"/>
          <w:numId w:val="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Провести анализ существующей системы обучения и развития тендерных специалистов в ООО «Лайф Медиа»</w:t>
      </w:r>
    </w:p>
    <w:p w14:paraId="029F624A">
      <w:pPr>
        <w:keepNext w:val="0"/>
        <w:keepLines w:val="0"/>
        <w:pageBreakBefore w:val="0"/>
        <w:widowControl/>
        <w:numPr>
          <w:ilvl w:val="0"/>
          <w:numId w:val="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Оценить эффективность действующей системы обучения и выявить ключевые проблемы и причины их возникновения</w:t>
      </w:r>
    </w:p>
    <w:p w14:paraId="59C6AA57">
      <w:pPr>
        <w:keepNext w:val="0"/>
        <w:keepLines w:val="0"/>
        <w:pageBreakBefore w:val="0"/>
        <w:widowControl/>
        <w:numPr>
          <w:ilvl w:val="0"/>
          <w:numId w:val="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Разработать комплекс мероприятий по совершенствованию процесса обучения тендерных специалистов</w:t>
      </w:r>
    </w:p>
    <w:p w14:paraId="5FA1D3C6">
      <w:pPr>
        <w:keepNext w:val="0"/>
        <w:keepLines w:val="0"/>
        <w:pageBreakBefore w:val="0"/>
        <w:widowControl/>
        <w:numPr>
          <w:ilvl w:val="0"/>
          <w:numId w:val="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Предложить инструменты для оценки компетенций и программы профессиональной переподготовки для тендерного отдела </w:t>
      </w:r>
    </w:p>
    <w:p w14:paraId="20E4B7CF">
      <w:pPr>
        <w:keepNext w:val="0"/>
        <w:keepLines w:val="0"/>
        <w:pageBreakBefore w:val="0"/>
        <w:widowControl/>
        <w:numPr>
          <w:ilvl w:val="0"/>
          <w:numId w:val="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Оценить социально-экономическую эффективность предложенных мероприятий</w:t>
      </w:r>
    </w:p>
    <w:p w14:paraId="4A6373A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Методы исследования: </w:t>
      </w:r>
    </w:p>
    <w:p w14:paraId="3CAB7680">
      <w:pPr>
        <w:keepNext w:val="0"/>
        <w:keepLines w:val="0"/>
        <w:pageBreakBefore w:val="0"/>
        <w:widowControl/>
        <w:numPr>
          <w:ilvl w:val="0"/>
          <w:numId w:val="2"/>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Теоретические методы: сопоставление и сравнительный анализ научной литературы, обобщение и систематизация нормативно-правовых документов,  классификация подходов к оценке эффективности системы обучения</w:t>
      </w:r>
    </w:p>
    <w:p w14:paraId="01A85533">
      <w:pPr>
        <w:keepNext w:val="0"/>
        <w:keepLines w:val="0"/>
        <w:pageBreakBefore w:val="0"/>
        <w:widowControl/>
        <w:numPr>
          <w:ilvl w:val="0"/>
          <w:numId w:val="2"/>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Эмпирические методы: анализ внутренней документации, анкетирование и интервьюирование сотрудников, </w:t>
      </w:r>
      <w:r>
        <w:rPr>
          <w:rFonts w:hint="default" w:ascii="Times New Roman" w:hAnsi="Times New Roman"/>
          <w:sz w:val="28"/>
          <w:szCs w:val="28"/>
          <w:lang w:val="en-US"/>
        </w:rPr>
        <w:t>SWOT</w:t>
      </w:r>
      <w:r>
        <w:rPr>
          <w:rFonts w:hint="default" w:ascii="Times New Roman" w:hAnsi="Times New Roman"/>
          <w:sz w:val="28"/>
          <w:szCs w:val="28"/>
          <w:lang w:val="ru-RU"/>
        </w:rPr>
        <w:t>-анализ системы обучения, анализ коэффициентов для оценки результативности закупочной деятельности</w:t>
      </w:r>
    </w:p>
    <w:p w14:paraId="28B905A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Информационная база для исследования:</w:t>
      </w:r>
    </w:p>
    <w:p w14:paraId="46B0950B">
      <w:pPr>
        <w:keepNext w:val="0"/>
        <w:keepLines w:val="0"/>
        <w:pageBreakBefore w:val="0"/>
        <w:widowControl/>
        <w:numPr>
          <w:ilvl w:val="0"/>
          <w:numId w:val="3"/>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Нормативно-правовые акты РФ (№44-ФЗ, №223-ФЗ, профессиональные стандарты)</w:t>
      </w:r>
    </w:p>
    <w:p w14:paraId="7177BEFA">
      <w:pPr>
        <w:keepNext w:val="0"/>
        <w:keepLines w:val="0"/>
        <w:pageBreakBefore w:val="0"/>
        <w:widowControl/>
        <w:numPr>
          <w:ilvl w:val="0"/>
          <w:numId w:val="3"/>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Методические пособия и учебники по управлению персоналом</w:t>
      </w:r>
    </w:p>
    <w:p w14:paraId="73A40B21">
      <w:pPr>
        <w:keepNext w:val="0"/>
        <w:keepLines w:val="0"/>
        <w:pageBreakBefore w:val="0"/>
        <w:widowControl/>
        <w:numPr>
          <w:ilvl w:val="0"/>
          <w:numId w:val="3"/>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Публикации по вопросам закупочной деятельности</w:t>
      </w:r>
    </w:p>
    <w:p w14:paraId="09B7DCAE">
      <w:pPr>
        <w:keepNext w:val="0"/>
        <w:keepLines w:val="0"/>
        <w:pageBreakBefore w:val="0"/>
        <w:widowControl/>
        <w:numPr>
          <w:ilvl w:val="0"/>
          <w:numId w:val="3"/>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Внутренняя документация и отчётность ООО «Лайф Медиа»</w:t>
      </w:r>
    </w:p>
    <w:p w14:paraId="53906F64">
      <w:pPr>
        <w:keepNext w:val="0"/>
        <w:keepLines w:val="0"/>
        <w:pageBreakBefore w:val="0"/>
        <w:widowControl/>
        <w:numPr>
          <w:ilvl w:val="0"/>
          <w:numId w:val="3"/>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Материалы электронных справочно-правовых систем «КонсультантПлюс» и «Гарант»</w:t>
      </w:r>
    </w:p>
    <w:p w14:paraId="1E0A47F5">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sz w:val="28"/>
          <w:szCs w:val="28"/>
          <w:lang w:val="ru-RU"/>
        </w:rPr>
      </w:pPr>
    </w:p>
    <w:p w14:paraId="51E288D3">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p>
    <w:p w14:paraId="4939D7E9">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p>
    <w:p w14:paraId="23C8ACE9">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p>
    <w:p w14:paraId="4F37882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sz w:val="28"/>
          <w:szCs w:val="28"/>
          <w:lang w:val="ru-RU"/>
        </w:rPr>
      </w:pPr>
    </w:p>
    <w:p w14:paraId="24B9F265">
      <w:pPr>
        <w:keepNext w:val="0"/>
        <w:keepLines w:val="0"/>
        <w:pageBreakBefore w:val="0"/>
        <w:widowControl/>
        <w:kinsoku/>
        <w:wordWrap/>
        <w:overflowPunct/>
        <w:topLinePunct w:val="0"/>
        <w:autoSpaceDE/>
        <w:autoSpaceDN/>
        <w:bidi w:val="0"/>
        <w:adjustRightInd/>
        <w:snapToGrid/>
        <w:ind w:firstLine="351" w:firstLineChars="125"/>
        <w:jc w:val="both"/>
        <w:textAlignment w:val="auto"/>
        <w:rPr>
          <w:rFonts w:hint="default" w:ascii="Times New Roman" w:hAnsi="Times New Roman"/>
          <w:b/>
          <w:bCs/>
          <w:sz w:val="28"/>
          <w:szCs w:val="28"/>
        </w:rPr>
      </w:pPr>
      <w:r>
        <w:rPr>
          <w:rFonts w:hint="default" w:ascii="Times New Roman" w:hAnsi="Times New Roman"/>
          <w:b/>
          <w:bCs/>
          <w:sz w:val="28"/>
          <w:szCs w:val="28"/>
          <w:lang w:val="ru-RU"/>
        </w:rPr>
        <w:t>ГЛАВА 1</w:t>
      </w:r>
      <w:r>
        <w:rPr>
          <w:rFonts w:hint="default" w:ascii="Times New Roman" w:hAnsi="Times New Roman"/>
          <w:b/>
          <w:bCs/>
          <w:sz w:val="28"/>
          <w:szCs w:val="28"/>
        </w:rPr>
        <w:t>. ТЕОРЕТИЧЕСКИЕ ОСНОВЫ ОБУЧЕНИЯ И РАЗВИТИЯ ТЕНДЕРНЫХ СПЕЦИАЛИСТОВ</w:t>
      </w:r>
    </w:p>
    <w:p w14:paraId="79BBE093">
      <w:pPr>
        <w:keepNext w:val="0"/>
        <w:keepLines w:val="0"/>
        <w:pageBreakBefore w:val="0"/>
        <w:kinsoku/>
        <w:wordWrap/>
        <w:overflowPunct/>
        <w:topLinePunct w:val="0"/>
        <w:autoSpaceDE/>
        <w:autoSpaceDN/>
        <w:bidi w:val="0"/>
        <w:adjustRightInd/>
        <w:snapToGrid/>
        <w:ind w:firstLine="351" w:firstLineChars="125"/>
        <w:jc w:val="center"/>
        <w:textAlignment w:val="auto"/>
        <w:rPr>
          <w:rFonts w:hint="default" w:ascii="Times New Roman" w:hAnsi="Times New Roman"/>
          <w:b/>
          <w:bCs/>
          <w:sz w:val="28"/>
          <w:szCs w:val="28"/>
        </w:rPr>
      </w:pPr>
    </w:p>
    <w:p w14:paraId="3F44201F">
      <w:pPr>
        <w:keepNext w:val="0"/>
        <w:keepLines w:val="0"/>
        <w:pageBreakBefore w:val="0"/>
        <w:numPr>
          <w:ilvl w:val="0"/>
          <w:numId w:val="0"/>
        </w:numPr>
        <w:kinsoku/>
        <w:wordWrap/>
        <w:overflowPunct/>
        <w:topLinePunct w:val="0"/>
        <w:autoSpaceDE/>
        <w:autoSpaceDN/>
        <w:bidi w:val="0"/>
        <w:adjustRightInd/>
        <w:snapToGrid/>
        <w:ind w:leftChars="125"/>
        <w:jc w:val="both"/>
        <w:textAlignment w:val="auto"/>
        <w:rPr>
          <w:rFonts w:hint="default" w:ascii="Times New Roman" w:hAnsi="Times New Roman"/>
          <w:b/>
          <w:bCs/>
          <w:sz w:val="28"/>
          <w:szCs w:val="28"/>
          <w:lang w:val="ru-RU"/>
        </w:rPr>
      </w:pPr>
      <w:r>
        <w:rPr>
          <w:rFonts w:hint="default" w:ascii="Times New Roman" w:hAnsi="Times New Roman"/>
          <w:b/>
          <w:bCs/>
          <w:sz w:val="28"/>
          <w:szCs w:val="28"/>
          <w:lang w:val="ru-RU"/>
        </w:rPr>
        <w:t xml:space="preserve">1.2. </w:t>
      </w:r>
      <w:r>
        <w:rPr>
          <w:rFonts w:hint="default" w:ascii="Times New Roman" w:hAnsi="Times New Roman"/>
          <w:b/>
          <w:bCs/>
          <w:sz w:val="28"/>
          <w:szCs w:val="28"/>
        </w:rPr>
        <w:t>Роль и значение обучения персонала в системе управления организацией</w:t>
      </w:r>
      <w:r>
        <w:rPr>
          <w:rFonts w:hint="default" w:ascii="Times New Roman" w:hAnsi="Times New Roman"/>
          <w:b/>
          <w:bCs/>
          <w:sz w:val="28"/>
          <w:szCs w:val="28"/>
          <w:lang w:val="ru-RU"/>
        </w:rPr>
        <w:t>, современные тенденции</w:t>
      </w:r>
    </w:p>
    <w:p w14:paraId="58E1DC62">
      <w:pPr>
        <w:keepNext w:val="0"/>
        <w:keepLines w:val="0"/>
        <w:pageBreakBefore w:val="0"/>
        <w:numPr>
          <w:ilvl w:val="0"/>
          <w:numId w:val="0"/>
        </w:numPr>
        <w:kinsoku/>
        <w:wordWrap/>
        <w:overflowPunct/>
        <w:topLinePunct w:val="0"/>
        <w:autoSpaceDE/>
        <w:autoSpaceDN/>
        <w:bidi w:val="0"/>
        <w:adjustRightInd/>
        <w:snapToGrid/>
        <w:ind w:leftChars="0" w:firstLine="350" w:firstLineChars="125"/>
        <w:jc w:val="both"/>
        <w:textAlignment w:val="auto"/>
        <w:rPr>
          <w:rFonts w:hint="default" w:ascii="Times New Roman" w:hAnsi="Times New Roman"/>
          <w:sz w:val="28"/>
          <w:szCs w:val="28"/>
          <w:lang w:val="ru-RU"/>
        </w:rPr>
      </w:pPr>
    </w:p>
    <w:p w14:paraId="5ABB614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современном экономическом мире, характеризующимся постоянными изменениями внешней среды, стремительным развитием технологий и ростом конкуренции, персонал становятся ключевым стратегическим ресурсом организации. Поэтому система обучения и развития сотрудников становится не просто вспомогательной функцией отдела кадров, а перерастает в один из главных элементов управления, который напрямую оказывает влияние на успех, эффективность и конкурентоспособность бизнеса на рынке </w:t>
      </w:r>
      <w:r>
        <w:rPr>
          <w:rFonts w:hint="default" w:ascii="Times New Roman" w:hAnsi="Times New Roman"/>
          <w:sz w:val="28"/>
          <w:szCs w:val="28"/>
          <w:lang w:val="en-US"/>
        </w:rPr>
        <w:t>[</w:t>
      </w:r>
      <w:r>
        <w:rPr>
          <w:rFonts w:hint="default" w:ascii="Times New Roman" w:hAnsi="Times New Roman"/>
          <w:sz w:val="28"/>
          <w:szCs w:val="28"/>
          <w:lang w:val="ru-RU"/>
        </w:rPr>
        <w:t>2, с. 15</w:t>
      </w:r>
      <w:r>
        <w:rPr>
          <w:rFonts w:hint="default" w:ascii="Times New Roman" w:hAnsi="Times New Roman"/>
          <w:sz w:val="28"/>
          <w:szCs w:val="28"/>
          <w:lang w:val="en-US"/>
        </w:rPr>
        <w:t>]</w:t>
      </w:r>
      <w:r>
        <w:rPr>
          <w:rFonts w:hint="default" w:ascii="Times New Roman" w:hAnsi="Times New Roman"/>
          <w:sz w:val="28"/>
          <w:szCs w:val="28"/>
          <w:lang w:val="ru-RU"/>
        </w:rPr>
        <w:t>.</w:t>
      </w:r>
    </w:p>
    <w:p w14:paraId="56356A65">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общем, обучение и развитие персонала – это стратегически спланированный и последовательно реализуемый процесс, направленный на получение новых знаний и умений для  формирования актуального набора компетенций. Тем не менее в контексте управления организацией это понятие имеет более весомое стратегическое значение. Современные исследователи в области административного управления справедливо отмечают, что руководство должно воспринимать обучение и профессиональное развитие как целенаправленный управленческий цикл образовательных мероприятий, а его основная функция – развивать необходимые компетенции у персонала, что критически важно для эффективной реализации стратегических задач компании </w:t>
      </w:r>
      <w:r>
        <w:rPr>
          <w:rFonts w:hint="default" w:ascii="Times New Roman" w:hAnsi="Times New Roman"/>
          <w:sz w:val="28"/>
          <w:szCs w:val="28"/>
          <w:lang w:val="en-US"/>
        </w:rPr>
        <w:t>[</w:t>
      </w:r>
      <w:r>
        <w:rPr>
          <w:rFonts w:hint="default" w:ascii="Times New Roman" w:hAnsi="Times New Roman"/>
          <w:sz w:val="28"/>
          <w:szCs w:val="28"/>
          <w:lang w:val="ru-RU"/>
        </w:rPr>
        <w:t>1, с.48</w:t>
      </w:r>
      <w:r>
        <w:rPr>
          <w:rFonts w:hint="default" w:ascii="Times New Roman" w:hAnsi="Times New Roman"/>
          <w:sz w:val="28"/>
          <w:szCs w:val="28"/>
          <w:lang w:val="en-US"/>
        </w:rPr>
        <w:t>]</w:t>
      </w:r>
      <w:r>
        <w:rPr>
          <w:rFonts w:hint="default" w:ascii="Times New Roman" w:hAnsi="Times New Roman"/>
          <w:sz w:val="28"/>
          <w:szCs w:val="28"/>
          <w:lang w:val="ru-RU"/>
        </w:rPr>
        <w:t>. Данный процесс охватывает планирование, организацию, проведение и контроль учебных мероприятий, которые позволяют персоналу приобретать новые знания и навыки.</w:t>
      </w:r>
    </w:p>
    <w:p w14:paraId="4D94CDDD">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В научной литературе существуют различные подходы к пониманию обучения сотрудников компаний:</w:t>
      </w:r>
    </w:p>
    <w:p w14:paraId="1424F207">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контексте управления персоналом, Гайфуллина М.М., Низамова Г.З. и Маков В.М. В. Р. трактуют обучение как комплекс мер, направленных на профессиональный рост и повышение компетентности сотрудников </w:t>
      </w:r>
      <w:r>
        <w:rPr>
          <w:rFonts w:hint="default" w:ascii="Times New Roman" w:hAnsi="Times New Roman"/>
          <w:sz w:val="28"/>
          <w:szCs w:val="28"/>
          <w:lang w:val="en-US"/>
        </w:rPr>
        <w:t>[</w:t>
      </w:r>
      <w:r>
        <w:rPr>
          <w:rFonts w:hint="default" w:ascii="Times New Roman" w:hAnsi="Times New Roman"/>
          <w:sz w:val="28"/>
          <w:szCs w:val="28"/>
          <w:lang w:val="ru-RU"/>
        </w:rPr>
        <w:t>4, с.7</w:t>
      </w:r>
      <w:r>
        <w:rPr>
          <w:rFonts w:hint="default" w:ascii="Times New Roman" w:hAnsi="Times New Roman"/>
          <w:sz w:val="28"/>
          <w:szCs w:val="28"/>
          <w:lang w:val="en-US"/>
        </w:rPr>
        <w:t>]</w:t>
      </w:r>
      <w:r>
        <w:rPr>
          <w:rFonts w:hint="default" w:ascii="Times New Roman" w:hAnsi="Times New Roman"/>
          <w:sz w:val="28"/>
          <w:szCs w:val="28"/>
          <w:lang w:val="ru-RU"/>
        </w:rPr>
        <w:t xml:space="preserve">. Тонких Н. В. видит в обучении фундаментальный процесс развития личности, охватывающий знания, навыки, способности, поведение и отношение </w:t>
      </w:r>
      <w:r>
        <w:rPr>
          <w:rFonts w:hint="default" w:ascii="Times New Roman" w:hAnsi="Times New Roman"/>
          <w:sz w:val="28"/>
          <w:szCs w:val="28"/>
          <w:lang w:val="en-US"/>
        </w:rPr>
        <w:t>[</w:t>
      </w:r>
      <w:r>
        <w:rPr>
          <w:rFonts w:hint="default" w:ascii="Times New Roman" w:hAnsi="Times New Roman"/>
          <w:sz w:val="28"/>
          <w:szCs w:val="28"/>
          <w:lang w:val="ru-RU"/>
        </w:rPr>
        <w:t>3, с.86</w:t>
      </w:r>
      <w:r>
        <w:rPr>
          <w:rFonts w:hint="default" w:ascii="Times New Roman" w:hAnsi="Times New Roman"/>
          <w:sz w:val="28"/>
          <w:szCs w:val="28"/>
          <w:lang w:val="en-US"/>
        </w:rPr>
        <w:t>]</w:t>
      </w:r>
      <w:r>
        <w:rPr>
          <w:rFonts w:hint="default" w:ascii="Times New Roman" w:hAnsi="Times New Roman"/>
          <w:sz w:val="28"/>
          <w:szCs w:val="28"/>
          <w:lang w:val="ru-RU"/>
        </w:rPr>
        <w:t xml:space="preserve">. Попов А. А. и Мальцева С. М. выделяют обучение персонала как ключевой элемент управления в коммерческих организациях, определяя его как организованный процесс формирования у сотрудников знаний и навыков для достижения конкретных результатов и повышения общей эффективности </w:t>
      </w:r>
      <w:r>
        <w:rPr>
          <w:rFonts w:hint="default" w:ascii="Times New Roman" w:hAnsi="Times New Roman"/>
          <w:sz w:val="28"/>
          <w:szCs w:val="28"/>
          <w:lang w:val="en-US"/>
        </w:rPr>
        <w:t>[</w:t>
      </w:r>
      <w:r>
        <w:rPr>
          <w:rFonts w:hint="default" w:ascii="Times New Roman" w:hAnsi="Times New Roman"/>
          <w:sz w:val="28"/>
          <w:szCs w:val="28"/>
          <w:lang w:val="ru-RU"/>
        </w:rPr>
        <w:t>6, с.25</w:t>
      </w:r>
      <w:r>
        <w:rPr>
          <w:rFonts w:hint="default" w:ascii="Times New Roman" w:hAnsi="Times New Roman"/>
          <w:sz w:val="28"/>
          <w:szCs w:val="28"/>
          <w:lang w:val="en-US"/>
        </w:rPr>
        <w:t>]</w:t>
      </w:r>
      <w:r>
        <w:rPr>
          <w:rFonts w:hint="default" w:ascii="Times New Roman" w:hAnsi="Times New Roman"/>
          <w:sz w:val="28"/>
          <w:szCs w:val="28"/>
          <w:lang w:val="ru-RU"/>
        </w:rPr>
        <w:t xml:space="preserve">. Плетенева О. Г. акцентирует внимание на управленческом аспекте, связывая обучение с осознанием важности развития персонала и сокращения оттока кадров </w:t>
      </w:r>
      <w:r>
        <w:rPr>
          <w:rFonts w:hint="default" w:ascii="Times New Roman" w:hAnsi="Times New Roman"/>
          <w:sz w:val="28"/>
          <w:szCs w:val="28"/>
          <w:lang w:val="en-US"/>
        </w:rPr>
        <w:t>[</w:t>
      </w:r>
      <w:r>
        <w:rPr>
          <w:rFonts w:hint="default" w:ascii="Times New Roman" w:hAnsi="Times New Roman"/>
          <w:sz w:val="28"/>
          <w:szCs w:val="28"/>
          <w:lang w:val="ru-RU"/>
        </w:rPr>
        <w:t>5, с.14</w:t>
      </w:r>
      <w:r>
        <w:rPr>
          <w:rFonts w:hint="default" w:ascii="Times New Roman" w:hAnsi="Times New Roman"/>
          <w:sz w:val="28"/>
          <w:szCs w:val="28"/>
          <w:lang w:val="en-US"/>
        </w:rPr>
        <w:t>]</w:t>
      </w:r>
      <w:r>
        <w:rPr>
          <w:rFonts w:hint="default" w:ascii="Times New Roman" w:hAnsi="Times New Roman"/>
          <w:sz w:val="28"/>
          <w:szCs w:val="28"/>
          <w:lang w:val="ru-RU"/>
        </w:rPr>
        <w:t>.</w:t>
      </w:r>
    </w:p>
    <w:p w14:paraId="52A5E22D">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В наши дни обучение персонала выполняет целый спектр управленческих функций. Оно призвано ликвидировать несоответствие между имеющимися у сотрудников знаниями и навыками и постоянно меняющимися требованиями рабочих мест и бизнес-процессов. Помимо этого, обучение является эффективным способом передачи корпоративных ценностей и норм, что укрепляет культуру компании и способствует единству коллектива. Важно отметить, что хорошо продуманные образовательные программы напрямую способствуют достижению целей предприятия, обеспечивая сотрудников актуальными компетенциями. Наконец, система обучения закладывает основу для планирования карьерного пути и формирования кадрового резерва, целенаправленно подготавливая сотрудников к продвижению. В итоге, обучение становится мостом между текущей деятельностью работника и его будущим ростом в организации</w:t>
      </w:r>
      <w:r>
        <w:rPr>
          <w:rFonts w:hint="default" w:ascii="Times New Roman" w:hAnsi="Times New Roman"/>
          <w:sz w:val="28"/>
          <w:szCs w:val="28"/>
          <w:lang w:val="en-US"/>
        </w:rPr>
        <w:t xml:space="preserve"> [</w:t>
      </w:r>
      <w:r>
        <w:rPr>
          <w:rFonts w:hint="default" w:ascii="Times New Roman" w:hAnsi="Times New Roman"/>
          <w:sz w:val="28"/>
          <w:szCs w:val="28"/>
          <w:lang w:val="ru-RU"/>
        </w:rPr>
        <w:t>4, с.9</w:t>
      </w:r>
      <w:r>
        <w:rPr>
          <w:rFonts w:hint="default" w:ascii="Times New Roman" w:hAnsi="Times New Roman"/>
          <w:sz w:val="28"/>
          <w:szCs w:val="28"/>
          <w:lang w:val="en-US"/>
        </w:rPr>
        <w:t>]</w:t>
      </w:r>
      <w:r>
        <w:rPr>
          <w:rFonts w:hint="default" w:ascii="Times New Roman" w:hAnsi="Times New Roman"/>
          <w:sz w:val="28"/>
          <w:szCs w:val="28"/>
          <w:lang w:val="ru-RU"/>
        </w:rPr>
        <w:t>.</w:t>
      </w:r>
    </w:p>
    <w:p w14:paraId="6ABF0346">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Система обучения является инструментом реализации кадровой политики предприятия и обеспечивает:</w:t>
      </w:r>
    </w:p>
    <w:p w14:paraId="68D0483A">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подготовку работников к выполнению новых функций;</w:t>
      </w:r>
    </w:p>
    <w:p w14:paraId="4696F0BE">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повышение их квалификации в условиях технологических и организационных изменений;</w:t>
      </w:r>
    </w:p>
    <w:p w14:paraId="337FC31D">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формирование корпоративной культуры и ценностей, объединяющих сотрудников;</w:t>
      </w:r>
    </w:p>
    <w:p w14:paraId="4FBCF3E7">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sz w:val="28"/>
          <w:szCs w:val="28"/>
          <w:lang w:val="ru-RU"/>
        </w:rPr>
      </w:pPr>
      <w:r>
        <w:rPr>
          <w:rFonts w:hint="default" w:ascii="Times New Roman" w:hAnsi="Times New Roman" w:cs="Times New Roman"/>
          <w:sz w:val="28"/>
          <w:szCs w:val="28"/>
        </w:rPr>
        <w:t>снижение текучести кадров и повышение их лояльности</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w:t>
      </w:r>
      <w:r>
        <w:rPr>
          <w:rFonts w:hint="default" w:ascii="Times New Roman" w:hAnsi="Times New Roman" w:cs="Times New Roman"/>
          <w:sz w:val="28"/>
          <w:szCs w:val="28"/>
          <w:lang w:val="ru-RU"/>
        </w:rPr>
        <w:t>9</w:t>
      </w:r>
      <w:r>
        <w:rPr>
          <w:rFonts w:hint="default" w:ascii="Times New Roman" w:hAnsi="Times New Roman" w:cs="Times New Roman"/>
          <w:sz w:val="28"/>
          <w:szCs w:val="28"/>
        </w:rPr>
        <w:t>].</w:t>
      </w:r>
    </w:p>
    <w:p w14:paraId="2152AA03">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Обучение следует рассматривать как практический инструмент, ориентированный на достижение конкретных результатов. Основные цели организации обучения</w:t>
      </w:r>
      <w:r>
        <w:rPr>
          <w:rFonts w:hint="default" w:ascii="Times New Roman" w:hAnsi="Times New Roman"/>
          <w:sz w:val="28"/>
          <w:szCs w:val="28"/>
          <w:lang w:val="en-US"/>
        </w:rPr>
        <w:t xml:space="preserve"> </w:t>
      </w:r>
      <w:r>
        <w:rPr>
          <w:rFonts w:hint="default" w:ascii="Times New Roman" w:hAnsi="Times New Roman"/>
          <w:sz w:val="28"/>
          <w:szCs w:val="28"/>
          <w:lang w:val="ru-RU"/>
        </w:rPr>
        <w:t>представлены в таблице 1.1.</w:t>
      </w:r>
    </w:p>
    <w:p w14:paraId="4AC796F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p>
    <w:p w14:paraId="4FF92D90">
      <w:pPr>
        <w:keepNext w:val="0"/>
        <w:keepLines w:val="0"/>
        <w:pageBreakBefore w:val="0"/>
        <w:kinsoku/>
        <w:wordWrap/>
        <w:overflowPunct/>
        <w:topLinePunct w:val="0"/>
        <w:autoSpaceDE/>
        <w:autoSpaceDN/>
        <w:bidi w:val="0"/>
        <w:adjustRightInd/>
        <w:snapToGrid/>
        <w:spacing w:line="360" w:lineRule="auto"/>
        <w:ind w:firstLine="300" w:firstLineChars="125"/>
        <w:jc w:val="right"/>
        <w:textAlignment w:val="auto"/>
        <w:rPr>
          <w:rFonts w:hint="default" w:ascii="Times New Roman" w:hAnsi="Times New Roman"/>
          <w:sz w:val="24"/>
          <w:szCs w:val="24"/>
          <w:lang w:val="en-US"/>
        </w:rPr>
      </w:pPr>
      <w:r>
        <w:rPr>
          <w:rFonts w:hint="default" w:ascii="Times New Roman" w:hAnsi="Times New Roman"/>
          <w:sz w:val="24"/>
          <w:szCs w:val="24"/>
          <w:lang w:val="ru-RU"/>
        </w:rPr>
        <w:t xml:space="preserve">Таблица 1.1.. Влияние обучения на ключевые показатели деятельности организации </w:t>
      </w:r>
      <w:r>
        <w:rPr>
          <w:rFonts w:hint="default" w:ascii="Times New Roman" w:hAnsi="Times New Roman"/>
          <w:sz w:val="24"/>
          <w:szCs w:val="24"/>
          <w:lang w:val="en-US"/>
        </w:rPr>
        <w:t>[</w:t>
      </w:r>
      <w:r>
        <w:rPr>
          <w:rFonts w:hint="default" w:ascii="Times New Roman" w:hAnsi="Times New Roman"/>
          <w:sz w:val="24"/>
          <w:szCs w:val="24"/>
          <w:lang w:val="ru-RU"/>
        </w:rPr>
        <w:t>4,7,8</w:t>
      </w:r>
      <w:r>
        <w:rPr>
          <w:rFonts w:hint="default" w:ascii="Times New Roman" w:hAnsi="Times New Roman"/>
          <w:sz w:val="24"/>
          <w:szCs w:val="24"/>
          <w:lang w:val="en-US"/>
        </w:rPr>
        <w: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4"/>
        <w:gridCol w:w="5358"/>
      </w:tblGrid>
      <w:tr w14:paraId="43E43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8" w:hRule="atLeast"/>
        </w:trPr>
        <w:tc>
          <w:tcPr>
            <w:tcW w:w="3164" w:type="dxa"/>
          </w:tcPr>
          <w:p w14:paraId="608DB17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Направление развития</w:t>
            </w:r>
          </w:p>
        </w:tc>
        <w:tc>
          <w:tcPr>
            <w:tcW w:w="5358" w:type="dxa"/>
          </w:tcPr>
          <w:p w14:paraId="45A6925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Достигаемый результат</w:t>
            </w:r>
          </w:p>
        </w:tc>
      </w:tr>
      <w:tr w14:paraId="5B38B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2" w:hRule="atLeast"/>
        </w:trPr>
        <w:tc>
          <w:tcPr>
            <w:tcW w:w="3164" w:type="dxa"/>
          </w:tcPr>
          <w:p w14:paraId="3A4EC14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Оптимизация производительности и сокращение расходов</w:t>
            </w:r>
          </w:p>
        </w:tc>
        <w:tc>
          <w:tcPr>
            <w:tcW w:w="5358" w:type="dxa"/>
          </w:tcPr>
          <w:p w14:paraId="23AA341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увеличение выработки и улучшение качества работы (сотрудники работают продуктивнее, создают продукт более высокого качества);</w:t>
            </w:r>
          </w:p>
          <w:p w14:paraId="410E2CA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минимизация потерь и экономия ресурсов (снижение числа ошибок и финансовых потерь, связанных с некомпетентностью).</w:t>
            </w:r>
          </w:p>
        </w:tc>
      </w:tr>
      <w:tr w14:paraId="3C218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4" w:type="dxa"/>
          </w:tcPr>
          <w:p w14:paraId="6527FC5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Адаптация навыков к актуальным и перспективным задачам</w:t>
            </w:r>
          </w:p>
          <w:p w14:paraId="642B1A8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организации</w:t>
            </w:r>
          </w:p>
        </w:tc>
        <w:tc>
          <w:tcPr>
            <w:tcW w:w="5358" w:type="dxa"/>
          </w:tcPr>
          <w:p w14:paraId="24CD8CC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xml:space="preserve">–  актуализация знаний и умений (сотрудники получат необходимые </w:t>
            </w:r>
            <w:r>
              <w:rPr>
                <w:rFonts w:hint="default" w:ascii="Times New Roman" w:hAnsi="Times New Roman"/>
                <w:i/>
                <w:iCs/>
                <w:sz w:val="24"/>
                <w:szCs w:val="24"/>
                <w:vertAlign w:val="baseline"/>
                <w:lang w:val="ru-RU"/>
              </w:rPr>
              <w:t>на сегодня</w:t>
            </w:r>
            <w:r>
              <w:rPr>
                <w:rFonts w:hint="default" w:ascii="Times New Roman" w:hAnsi="Times New Roman"/>
                <w:sz w:val="24"/>
                <w:szCs w:val="24"/>
                <w:vertAlign w:val="baseline"/>
                <w:lang w:val="ru-RU"/>
              </w:rPr>
              <w:t xml:space="preserve"> профессиональные навыки и знания, соответствующие текущим требованиям) </w:t>
            </w:r>
          </w:p>
          <w:p w14:paraId="73B48D3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подготовка к будущему (программы развития сформируют компетенции, которые будут востребованы в будущем, обеспечивая компании конкурентное преимущество за счет опережающего развития)</w:t>
            </w:r>
          </w:p>
        </w:tc>
      </w:tr>
      <w:tr w14:paraId="65B1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4" w:type="dxa"/>
          </w:tcPr>
          <w:p w14:paraId="06680DC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Стимулирование вовлеченности и преданности компании</w:t>
            </w:r>
          </w:p>
        </w:tc>
        <w:tc>
          <w:tcPr>
            <w:tcW w:w="5358" w:type="dxa"/>
          </w:tcPr>
          <w:p w14:paraId="5E66E87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повышение мотивации (сотрудники станут более мотивированными и почувствуют свою ценность, видя заботу компании о своем профессиональном росте)</w:t>
            </w:r>
          </w:p>
          <w:p w14:paraId="4CB72C1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xml:space="preserve">–  укрепление лояльности (регулярное обучение способствует формированию привязанности к компании, снижая вероятность ухода ценных сотрудников) </w:t>
            </w:r>
          </w:p>
        </w:tc>
      </w:tr>
      <w:tr w14:paraId="1A38B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4" w:type="dxa"/>
          </w:tcPr>
          <w:p w14:paraId="1F391CD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Создание единого видения и корпоративных ценностей</w:t>
            </w:r>
          </w:p>
          <w:p w14:paraId="4DF4A14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p>
        </w:tc>
        <w:tc>
          <w:tcPr>
            <w:tcW w:w="5358" w:type="dxa"/>
          </w:tcPr>
          <w:p w14:paraId="1110A17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xml:space="preserve">–  формирование общих ценностей (сотрудники усвоят и примут ценности и установки, соответствующие стратегии и целям организации) </w:t>
            </w:r>
          </w:p>
          <w:p w14:paraId="746B52E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укрепление командного духа (чувство единства и командной работы)</w:t>
            </w:r>
          </w:p>
        </w:tc>
      </w:tr>
    </w:tbl>
    <w:p w14:paraId="6E1E5DB6">
      <w:pPr>
        <w:keepNext w:val="0"/>
        <w:keepLines w:val="0"/>
        <w:pageBreakBefore w:val="0"/>
        <w:numPr>
          <w:ilvl w:val="0"/>
          <w:numId w:val="0"/>
        </w:numPr>
        <w:kinsoku/>
        <w:wordWrap/>
        <w:overflowPunct/>
        <w:topLinePunct w:val="0"/>
        <w:autoSpaceDE/>
        <w:autoSpaceDN/>
        <w:bidi w:val="0"/>
        <w:adjustRightInd/>
        <w:snapToGrid/>
        <w:spacing w:line="240" w:lineRule="auto"/>
        <w:ind w:leftChars="0" w:firstLine="350" w:firstLineChars="125"/>
        <w:jc w:val="both"/>
        <w:textAlignment w:val="auto"/>
        <w:rPr>
          <w:rFonts w:hint="default" w:ascii="Times New Roman" w:hAnsi="Times New Roman"/>
          <w:sz w:val="28"/>
          <w:szCs w:val="28"/>
          <w:lang w:val="ru-RU"/>
        </w:rPr>
      </w:pPr>
    </w:p>
    <w:p w14:paraId="4B3D74B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По мнению исследователей, грамотное построение системы обучения позволяет организации достигать синергетического эффекта: рост индивидуальных компетенций сотрудников ведёт к росту общей эффективности бизнес-процессов [10]. При этом важным фактором является взаимосвязь обучения с другими направлениями HR-деятельности — оценкой, мотивацией и карьерным развитием [11].</w:t>
      </w:r>
    </w:p>
    <w:p w14:paraId="6432D9E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современных условиях динамичной экономики практически каждая компания сталкивается с необходимостью подстраиваться под постоянно меняющуюся реальность. Изменения на рынке задают новые стандарты и правила, конкуренты растут, а актуальность инноваций и технологий сохраняется лишь пару лет. В данных условиях бизнес должен выбирать: либо меняться с той же скоростью, что и внешняя среда, либо отставать. И именно тут ключевую роль играет та часть компании, которая эти изменения должна реализовывать на практике, то есть персонал. Как подчёркивает И. Ансофф, отец стратегического менеджмента, для долгосрочного успеха компании критически важно вовремя замечать изменения во внешней среде и гибко перестраивать свои внутренние ресурсы, в первую очередь – человеческие </w:t>
      </w:r>
      <w:r>
        <w:rPr>
          <w:rFonts w:hint="default" w:ascii="Times New Roman" w:hAnsi="Times New Roman"/>
          <w:sz w:val="28"/>
          <w:szCs w:val="28"/>
          <w:lang w:val="en-US"/>
        </w:rPr>
        <w:t>[</w:t>
      </w:r>
      <w:r>
        <w:rPr>
          <w:rFonts w:hint="default" w:ascii="Times New Roman" w:hAnsi="Times New Roman"/>
          <w:sz w:val="28"/>
          <w:szCs w:val="28"/>
          <w:lang w:val="ru-RU"/>
        </w:rPr>
        <w:t>12, с.114</w:t>
      </w:r>
      <w:r>
        <w:rPr>
          <w:rFonts w:hint="default" w:ascii="Times New Roman" w:hAnsi="Times New Roman"/>
          <w:sz w:val="28"/>
          <w:szCs w:val="28"/>
          <w:lang w:val="en-US"/>
        </w:rPr>
        <w:t>]</w:t>
      </w:r>
      <w:r>
        <w:rPr>
          <w:rFonts w:hint="default" w:ascii="Times New Roman" w:hAnsi="Times New Roman"/>
          <w:sz w:val="28"/>
          <w:szCs w:val="28"/>
          <w:lang w:val="ru-RU"/>
        </w:rPr>
        <w:t>.</w:t>
      </w:r>
    </w:p>
    <w:p w14:paraId="7148979E">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Работы Магуры и Курбатовой в сфере менеджмента, отражают, что корпоративное обучение персонала стало критически важным. Они выделяют три основных причины: 1) необходимость новых знаний для успешной реализации стратегий компании, 2) сотрудники с их знаниями и навыками </w:t>
      </w:r>
      <w:r>
        <w:rPr>
          <w:rFonts w:hint="default" w:ascii="Times New Roman" w:hAnsi="Times New Roman"/>
          <w:sz w:val="28"/>
          <w:szCs w:val="28"/>
          <w:vertAlign w:val="baseline"/>
          <w:lang w:val="ru-RU"/>
        </w:rPr>
        <w:t xml:space="preserve">– </w:t>
      </w:r>
      <w:r>
        <w:rPr>
          <w:rFonts w:hint="default" w:ascii="Times New Roman" w:hAnsi="Times New Roman"/>
          <w:sz w:val="28"/>
          <w:szCs w:val="28"/>
          <w:lang w:val="ru-RU"/>
        </w:rPr>
        <w:t xml:space="preserve">основное ядро, определяющее ценность компании, 3) любые изменения обречены на провал если нет предварительной подготовки (так как люди не будут готовы к этому) </w:t>
      </w:r>
      <w:r>
        <w:rPr>
          <w:rFonts w:hint="default" w:ascii="Times New Roman" w:hAnsi="Times New Roman"/>
          <w:sz w:val="28"/>
          <w:szCs w:val="28"/>
          <w:lang w:val="en-US"/>
        </w:rPr>
        <w:t>[</w:t>
      </w:r>
      <w:r>
        <w:rPr>
          <w:rFonts w:hint="default" w:ascii="Times New Roman" w:hAnsi="Times New Roman"/>
          <w:sz w:val="28"/>
          <w:szCs w:val="28"/>
          <w:lang w:val="ru-RU"/>
        </w:rPr>
        <w:t>13, с.79-81</w:t>
      </w:r>
      <w:r>
        <w:rPr>
          <w:rFonts w:hint="default" w:ascii="Times New Roman" w:hAnsi="Times New Roman"/>
          <w:sz w:val="28"/>
          <w:szCs w:val="28"/>
          <w:lang w:val="en-US"/>
        </w:rPr>
        <w:t>]</w:t>
      </w:r>
      <w:r>
        <w:rPr>
          <w:rFonts w:hint="default" w:ascii="Times New Roman" w:hAnsi="Times New Roman"/>
          <w:sz w:val="28"/>
          <w:szCs w:val="28"/>
          <w:lang w:val="ru-RU"/>
        </w:rPr>
        <w:t>.</w:t>
      </w:r>
    </w:p>
    <w:p w14:paraId="72F3437C">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Главная мысль заключается в том, что прежде чем внедрять какие-либо изменения, руководитель должен понять готова ли его команда. Это касается как их профессиональных умений, так и их эмоционального состояния. Сопротивление изменениям </w:t>
      </w:r>
      <w:r>
        <w:rPr>
          <w:rFonts w:hint="default" w:ascii="Times New Roman" w:hAnsi="Times New Roman"/>
          <w:sz w:val="28"/>
          <w:szCs w:val="28"/>
          <w:vertAlign w:val="baseline"/>
          <w:lang w:val="ru-RU"/>
        </w:rPr>
        <w:t xml:space="preserve">– </w:t>
      </w:r>
      <w:r>
        <w:rPr>
          <w:rFonts w:hint="default" w:ascii="Times New Roman" w:hAnsi="Times New Roman"/>
          <w:sz w:val="28"/>
          <w:szCs w:val="28"/>
          <w:lang w:val="ru-RU"/>
        </w:rPr>
        <w:t xml:space="preserve">это нормальная человеческая реакция. Без должного управления, оно может полностью нивелировать эффективность даже самого разумного и логичного решения. Подробное описание этой закономерности можно найти в модели управления изменениями Курта Левина, чья основная идея заключалась в том, что любые преобразования должны проходить стадию «размораживания» </w:t>
      </w:r>
      <w:r>
        <w:rPr>
          <w:rFonts w:hint="default" w:ascii="Times New Roman" w:hAnsi="Times New Roman"/>
          <w:sz w:val="28"/>
          <w:szCs w:val="28"/>
          <w:vertAlign w:val="baseline"/>
          <w:lang w:val="ru-RU"/>
        </w:rPr>
        <w:t xml:space="preserve">– </w:t>
      </w:r>
      <w:r>
        <w:rPr>
          <w:rFonts w:hint="default" w:ascii="Times New Roman" w:hAnsi="Times New Roman"/>
          <w:sz w:val="28"/>
          <w:szCs w:val="28"/>
          <w:lang w:val="ru-RU"/>
        </w:rPr>
        <w:t xml:space="preserve">то есть подготовки сознания сотрудников через информирование и обучение, иначе новый этап («замораживание») новых норм работы просто не наступит </w:t>
      </w:r>
      <w:r>
        <w:rPr>
          <w:rFonts w:hint="default" w:ascii="Times New Roman" w:hAnsi="Times New Roman"/>
          <w:sz w:val="28"/>
          <w:szCs w:val="28"/>
          <w:lang w:val="en-US"/>
        </w:rPr>
        <w:t>[</w:t>
      </w:r>
      <w:r>
        <w:rPr>
          <w:rFonts w:hint="default" w:ascii="Times New Roman" w:hAnsi="Times New Roman"/>
          <w:sz w:val="28"/>
          <w:szCs w:val="28"/>
          <w:lang w:val="ru-RU"/>
        </w:rPr>
        <w:t>14, с.216</w:t>
      </w:r>
      <w:r>
        <w:rPr>
          <w:rFonts w:hint="default" w:ascii="Times New Roman" w:hAnsi="Times New Roman"/>
          <w:sz w:val="28"/>
          <w:szCs w:val="28"/>
          <w:lang w:val="en-US"/>
        </w:rPr>
        <w:t>]</w:t>
      </w:r>
      <w:r>
        <w:rPr>
          <w:rFonts w:hint="default" w:ascii="Times New Roman" w:hAnsi="Times New Roman"/>
          <w:sz w:val="28"/>
          <w:szCs w:val="28"/>
          <w:lang w:val="ru-RU"/>
        </w:rPr>
        <w:t xml:space="preserve">. </w:t>
      </w:r>
    </w:p>
    <w:p w14:paraId="753230E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Внешние изменения, будь то агрессивные действия конкурентов или спад в отрасли, могут заставить компанию меняться так же, как и внутренние стратегические цели. В этот момент становится понятно насколько быстро и эффективно выстроенная нами система обучения  помогает сотрудникам приспосабливаться к новым реалиям. Тут важно проанализировать ситуацию. Главное </w:t>
      </w:r>
      <w:r>
        <w:rPr>
          <w:rFonts w:hint="default" w:ascii="Times New Roman" w:hAnsi="Times New Roman"/>
          <w:sz w:val="28"/>
          <w:szCs w:val="28"/>
          <w:vertAlign w:val="baseline"/>
          <w:lang w:val="ru-RU"/>
        </w:rPr>
        <w:t>–  построить адаптивную систему, которая оперативно предоставит сотрудникам новые знания</w:t>
      </w:r>
      <w:r>
        <w:rPr>
          <w:rFonts w:hint="default" w:ascii="Times New Roman" w:hAnsi="Times New Roman"/>
          <w:sz w:val="28"/>
          <w:szCs w:val="28"/>
          <w:lang w:val="ru-RU"/>
        </w:rPr>
        <w:t>. Для этого потребуется исследовать теоретические концепции, выбрать наиболее подходящие для нашей компании, проанализировать собственный опыт (что оказалось полезным, а что нет), а также определить факторы, которые способствуют или препятствуют развитию. Только после этого можно будет разработать конкретные шаги по совершенствованию системы. Грамотно организованная система непременно положительно повлияет на общую эффективность компании. Сотрудники начнут работать продуктивнее, быстрее будут осваивать новые навыки, увереннее адаптируются к изменениям на рынке. В результате организация становится более и конкурентоспособной. Как справедливо отмечают западные исследователи в области стратегического управления Д. Ульрих и У. Брокбэнк, уникальные компетенции и навыки персонала, развиваемые внутри организации, формируют такую ценность, которую конкуренты не могут воспроизвести простым копированием технологий [15, с.98].</w:t>
      </w:r>
    </w:p>
    <w:p w14:paraId="676AA597">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lang w:val="ru-RU"/>
        </w:rPr>
        <w:t xml:space="preserve">В условиях текущего экономического развития цифровизация стала неотъемлемой частью всех бизнес-процессов, и система подготовки персонала вынуждена адаптироваться к этой новой реальности. Трансформация подходов </w:t>
      </w:r>
      <w:r>
        <w:rPr>
          <w:rFonts w:hint="default" w:ascii="Times New Roman" w:hAnsi="Times New Roman"/>
          <w:sz w:val="28"/>
          <w:szCs w:val="28"/>
          <w:vertAlign w:val="baseline"/>
          <w:lang w:val="ru-RU"/>
        </w:rPr>
        <w:t xml:space="preserve">–  это не желание быть как все, а объективное требование для выживания. Скорость обновления профессиональных знаний и навыков достигла такого уровня, при котором всеми привычные подходы формата повышения квалификации не успевают за потребностями бизнеса. Современные организации активно внедряют цифровые технологии для оптимизации образовательных программ. Эти инновации обеспечивают повышенную гибкость, экономическую эффективность и направленность на достижение измеримых результатов. Исследования подтверждают, что цифровая трансформация корпоративного обучения не только повышает уровень профессиональной квалификации персонала, но и культивирует у сотрудников установку на непрерывное самосовершенствование, что критически важно в условиях динамично развивающейся деловой среды </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16,17</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 Чтобы оставаться конкурентоспособными, компаниям необходимо дать своим сотрудникам возможность учиться постоянно прямо на рабочем месте. Именно цифровые технологии делают это возможным, переделывая подходы к обучению и развитию персонала.</w:t>
      </w:r>
    </w:p>
    <w:p w14:paraId="2BB4735A">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Благодаря цифровизации, обучение перестаёт быть привязанным к конкретному месту и привычным методам, открывая новые возможности для получения знаний. В настоящее время сотрудники повсеместно используют телефоны и ПК не только для выполнения рабочих задач, но и для саморазвития и личного роста, это обесценивает традиционные модели, которые ранее были основаны на стационарных компьютерах и физическом обучении.  Так как информация стала повсеместной и мгновенной, а цифровая среда – основной инструмент для обучения во многих сферах, то непрерывное образование в наше время стало реальностью. С развитием «умного» образования, которое основанное на самообучении, адаптации и мотивации, критически важной компетенцией сотрудника становится способность эффективно применять цифровые инструменты для интеграции в повседневную работу.</w:t>
      </w:r>
    </w:p>
    <w:p w14:paraId="68737B05">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Образовательные технологии представляют большой выбор инструментов для корпоративного обучения. Наибольшее распространение получили интернет-обучение (55% компаний), видеоконференции (46%) и традиционные аудиторные занятия (41%), при этом веб-конференции и внутрикорпоративные сети также занимают заметную долю [18].</w:t>
      </w:r>
    </w:p>
    <w:p w14:paraId="0524873C">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Основой цифрового обучения являются системы управления обучением (</w:t>
      </w:r>
      <w:r>
        <w:rPr>
          <w:rFonts w:hint="default" w:ascii="Times New Roman" w:hAnsi="Times New Roman"/>
          <w:sz w:val="28"/>
          <w:szCs w:val="28"/>
          <w:vertAlign w:val="baseline"/>
          <w:lang w:val="en-US"/>
        </w:rPr>
        <w:t>LMS</w:t>
      </w:r>
      <w:r>
        <w:rPr>
          <w:rFonts w:hint="default" w:ascii="Times New Roman" w:hAnsi="Times New Roman"/>
          <w:sz w:val="28"/>
          <w:szCs w:val="28"/>
          <w:vertAlign w:val="baseline"/>
          <w:lang w:val="ru-RU"/>
        </w:rPr>
        <w:t>), которые представляют собой единую базу электронных курсов и учебных материалов для автоматизации рутинных процессов, контроля успеваемости и формирования индивидуального плана развития. Преимущества заключаются в том, что они экономят ресурсы за счёт сокращения командировок, унифицируют стандарты обучения и имеют прозрачную статистику результатов.  Дальнейшее развитие этого направления – платформы LXP (Learning Experience Platform), которые не просто хранят курсы, а подбирают контент под индивидуальные запросы пользователя [19].</w:t>
      </w:r>
    </w:p>
    <w:p w14:paraId="75B5D926">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Среди российских цифровых ресурсов выделяют порталы «ИНТУИТ», «Деловая среда», Eduson, «Открытое образование», ориентированные на подготовку специалистов конкретных профилей. Активно внедряются вебинары, чат-боты, сервисы интерактивных подсказок и решения на базе искусственного интеллекта  [20].</w:t>
      </w:r>
    </w:p>
    <w:p w14:paraId="20E0B972">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Технологии вовлечения персонала заслуживают особого внимания: геймификация (баллы, бейджи, рейтинги) ускоряет адаптацию и делает обучение увлекательнее [21]. А концепция через развлечение и игровые методики обеспечивает лёгкое усвоение материала [20]. Технологии виртуальной реальности  показывают высокую эффективность, особенно для рабочих профессий. Крупные компании, включая ОАО «РЖД», «Леруа Мерлен», ПАО «Газпром» и ПАО «Сбербанк», уже используют этот инструмент [21]. В сферах, где реальные тренировки невозможны или опасны, например при подготовке служб экстренного реагирования, компьютерные тренажёры и симуляторы становятся незаменимы. Цифровизация обучения выгодна всем и имеет ряд преимуществ – это гибкость, доступность, скорость, автоматизация проверки знаний и экономия.</w:t>
      </w:r>
    </w:p>
    <w:p w14:paraId="339CDE04">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Для бизнеса цифровизация – это ключ к новым возможностям. Она упрощает обмен опытом между сотрудниками, повышает эффективность обучения, порождает новые профессии и гибкие формы занятости, а также делает контроль за персоналом более прозрачным, снижая вероятность ошибок, связанных с человеческим фактором  [22]. Автоматизация образования позволяет компаниям быстрее адаптироваться к меняющимся требованиям рынка труда и гарантирует непрерывное развитие компетенций своих сотрудников.</w:t>
      </w:r>
    </w:p>
    <w:p w14:paraId="03682F38">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 xml:space="preserve">Благодаря тому, что поколение Y выросло в цифровой среде и привыкло к постоянному использованию гаджетов, оно демонстрирует наивысшую готовность к освоению цифровых форматов. Это способствует их быстрой адаптации к современным образовательным технологиям </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23</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 xml:space="preserve">. </w:t>
      </w:r>
    </w:p>
    <w:p w14:paraId="5905B4DC">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Основные барьеры – дефицит необходимых компетенций у персонала, нехватка квалифицированных специалистов по внедрению, а также законодательные и политические ограничения, затрудняющие доступ к зарубежным технологиям (особенно в настоящее время). Степень проникновения цифровых инструментов сильно варьируется по отраслям: лидируют банковский сектор, торговля и телекоммуникации [19].</w:t>
      </w:r>
    </w:p>
    <w:p w14:paraId="6936C81E">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В исследованиях, посвящённых цифровой трансформации образования, отражается множество различных подходов. Так, О.В. Ладыкова акцентирует внимание на цифровых технологиях как на базовом средстве развития профессиональных навыков, особо выделяя значимость внутрикорпоративных сетей для обмена информацией и продвижения организационных ценностей [24]. Т.А. Гилева предлагает оценивать готовность компании через категорию «цифровой зрелости», под которой понимается совокупность необходимых ресурсов и умений для внедрения современных образовательных практик. Исследовательница разделяет процесс на две стадии: внедрение E-Learning как технологической основы и последующую цифровизацию, предполагающую адаптацию программ под индивидуальные запросы и создание виртуальных профессиональных сообществ [17]. В свою очередь, В.В. Верна описывает перспективу формирования «образовательной экосистемы» — целостной среды, где различные структуры взаимодействуют для совместного поиска и апробации инновационных подходов к труду в ответ на изменения в экономике [16].</w:t>
      </w:r>
    </w:p>
    <w:p w14:paraId="615DF041">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Подводя итог, можно сказать, что в современной экономике, основанной на знаниях, обучение сотрудников приобретает первостепенное значение. Оно перестаёт быть второстепенной функцией и становится ключевым элементом управления, гарантирующим стабильное развитие компании в долгосрочной перспективе. Использование актуальных подходов, таких как геймификация, индивидуальные образовательные программы и LMS-платформы, позволяет организациям не только оперативно решать текущие кадровые задачи, но и готовить будущих лидеров, тем самым повышая качество управленческих решений</w:t>
      </w:r>
    </w:p>
    <w:p w14:paraId="5F5C3F7A">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p>
    <w:p w14:paraId="28D8E9A6">
      <w:pPr>
        <w:keepNext w:val="0"/>
        <w:keepLines w:val="0"/>
        <w:pageBreakBefore w:val="0"/>
        <w:numPr>
          <w:ilvl w:val="0"/>
          <w:numId w:val="0"/>
        </w:numPr>
        <w:kinsoku/>
        <w:wordWrap/>
        <w:overflowPunct/>
        <w:topLinePunct w:val="0"/>
        <w:autoSpaceDE/>
        <w:autoSpaceDN/>
        <w:bidi w:val="0"/>
        <w:adjustRightInd/>
        <w:snapToGrid/>
        <w:spacing w:line="360" w:lineRule="auto"/>
        <w:ind w:leftChars="125"/>
        <w:jc w:val="center"/>
        <w:textAlignment w:val="auto"/>
        <w:rPr>
          <w:rFonts w:hint="default" w:ascii="Times New Roman" w:hAnsi="Times New Roman"/>
          <w:b/>
          <w:bCs/>
          <w:sz w:val="28"/>
          <w:szCs w:val="28"/>
          <w:vertAlign w:val="baseline"/>
          <w:lang w:val="ru-RU"/>
        </w:rPr>
      </w:pPr>
      <w:r>
        <w:rPr>
          <w:rFonts w:hint="default" w:ascii="Times New Roman" w:hAnsi="Times New Roman"/>
          <w:b/>
          <w:bCs/>
          <w:sz w:val="28"/>
          <w:szCs w:val="28"/>
          <w:lang w:val="ru-RU"/>
        </w:rPr>
        <w:t xml:space="preserve">1.2. </w:t>
      </w:r>
      <w:r>
        <w:rPr>
          <w:rFonts w:hint="default" w:ascii="Times New Roman" w:hAnsi="Times New Roman"/>
          <w:b/>
          <w:bCs/>
          <w:sz w:val="28"/>
          <w:szCs w:val="28"/>
        </w:rPr>
        <w:t>Специфика профессиональных компетенций  тендерных специалистов и современные подходы к их развитию</w:t>
      </w:r>
    </w:p>
    <w:p w14:paraId="3640E35D">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 современной экономике закупки трансформируются из вспомогательной функции, нацеленной на оперативное удовлетворение потребностей производства, в стратегически значимую деятельность, напрямую влияющую на конкурентоспособность бизнеса. Согласно Е.С. Лисиной, ключевыми драйверами этой трансформации выступают цифровизация и санкционное давление, требующие от специалиста перехода от пассивного реагирования к активному формированию рыночных условий. Это предполагает развитие навыков управления рисками, построения партнёрств и стратегического мышления, вытесняющих простое владение регламентами. Как подчёркивает автор, ответом на новый запрос становится разработка специализированных тренингов и системное обновление образовательных программ, позволяющих реализовать стратегический потенциал закупок [25].</w:t>
      </w:r>
    </w:p>
    <w:p w14:paraId="6777C229">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Переход закупочной деятельности  в стратегически значимую влечет за собой и качественное изменение требований к тендерным специалистам (см.табл.1.2.).</w:t>
      </w:r>
    </w:p>
    <w:p w14:paraId="11AA45D6">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005A7E31">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righ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Таблица 1.2. Стуктура профессиональных компетенций тендерного специалиста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2"/>
        <w:gridCol w:w="3729"/>
        <w:gridCol w:w="2841"/>
      </w:tblGrid>
      <w:tr w14:paraId="113C2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0AECBC2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Блок компетенций</w:t>
            </w:r>
          </w:p>
        </w:tc>
        <w:tc>
          <w:tcPr>
            <w:tcW w:w="3729" w:type="dxa"/>
          </w:tcPr>
          <w:p w14:paraId="34A92AC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Ключевые составляющие</w:t>
            </w:r>
          </w:p>
        </w:tc>
        <w:tc>
          <w:tcPr>
            <w:tcW w:w="2841" w:type="dxa"/>
          </w:tcPr>
          <w:p w14:paraId="43D49FB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Ожидаемый результат</w:t>
            </w:r>
          </w:p>
        </w:tc>
      </w:tr>
      <w:tr w14:paraId="7F7E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1C7034C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Ядро</w:t>
            </w:r>
          </w:p>
          <w:p w14:paraId="7581AF5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ru-RU"/>
              </w:rPr>
              <w:t xml:space="preserve"> </w:t>
            </w:r>
            <w:r>
              <w:rPr>
                <w:rFonts w:hint="default" w:ascii="Times New Roman" w:hAnsi="Times New Roman"/>
                <w:b w:val="0"/>
                <w:bCs w:val="0"/>
                <w:sz w:val="24"/>
                <w:szCs w:val="24"/>
                <w:vertAlign w:val="baseline"/>
                <w:lang w:val="en-US"/>
              </w:rPr>
              <w:t>(Hard skills)</w:t>
            </w:r>
          </w:p>
        </w:tc>
        <w:tc>
          <w:tcPr>
            <w:tcW w:w="3729" w:type="dxa"/>
          </w:tcPr>
          <w:p w14:paraId="79BFE109">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Знание 44-ФЗ, 223-ФЗ, ГК РФ</w:t>
            </w:r>
          </w:p>
          <w:p w14:paraId="183D73E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Работа в ЕИС и на ЭТП</w:t>
            </w:r>
          </w:p>
          <w:p w14:paraId="78662CE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Владение </w:t>
            </w:r>
            <w:r>
              <w:rPr>
                <w:rFonts w:hint="default" w:ascii="Times New Roman" w:hAnsi="Times New Roman"/>
                <w:b w:val="0"/>
                <w:bCs w:val="0"/>
                <w:sz w:val="24"/>
                <w:szCs w:val="24"/>
                <w:vertAlign w:val="baseline"/>
                <w:lang w:val="en-US"/>
              </w:rPr>
              <w:t xml:space="preserve">Exel, Word, </w:t>
            </w:r>
            <w:r>
              <w:rPr>
                <w:rFonts w:hint="default" w:ascii="Times New Roman" w:hAnsi="Times New Roman"/>
                <w:b w:val="0"/>
                <w:bCs w:val="0"/>
                <w:sz w:val="24"/>
                <w:szCs w:val="24"/>
                <w:vertAlign w:val="baseline"/>
                <w:lang w:val="ru-RU"/>
              </w:rPr>
              <w:t>УКЭП</w:t>
            </w:r>
          </w:p>
        </w:tc>
        <w:tc>
          <w:tcPr>
            <w:tcW w:w="2841" w:type="dxa"/>
          </w:tcPr>
          <w:p w14:paraId="06435AA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Безупречное оформление заявок, соответствие нормативам, эффективная работа в цифровой среде</w:t>
            </w:r>
          </w:p>
        </w:tc>
      </w:tr>
      <w:tr w14:paraId="3403C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413E934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Аналитика и экономика</w:t>
            </w:r>
          </w:p>
        </w:tc>
        <w:tc>
          <w:tcPr>
            <w:tcW w:w="3729" w:type="dxa"/>
          </w:tcPr>
          <w:p w14:paraId="2332C4A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Анализ рынка и конкурентов</w:t>
            </w:r>
          </w:p>
          <w:p w14:paraId="27019E4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Расчет рентабельности и себестоимости</w:t>
            </w:r>
          </w:p>
          <w:p w14:paraId="7ED59D1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Оценка вероятности выигрыша</w:t>
            </w:r>
          </w:p>
          <w:p w14:paraId="1566D29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Прогнозирование прибыли</w:t>
            </w:r>
          </w:p>
          <w:p w14:paraId="5C6B2BC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tc>
        <w:tc>
          <w:tcPr>
            <w:tcW w:w="2841" w:type="dxa"/>
          </w:tcPr>
          <w:p w14:paraId="7A741EB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Обоснованный выбор  тендеров, экономическая эффективность участия, превращение затрат в инвестиции</w:t>
            </w:r>
          </w:p>
        </w:tc>
      </w:tr>
      <w:tr w14:paraId="76BDC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6412DFF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Soft skills</w:t>
            </w:r>
          </w:p>
        </w:tc>
        <w:tc>
          <w:tcPr>
            <w:tcW w:w="3729" w:type="dxa"/>
          </w:tcPr>
          <w:p w14:paraId="14F3134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Внимание к деталям</w:t>
            </w:r>
          </w:p>
          <w:p w14:paraId="14D59EE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Стрессоустойчивость и многозадачность</w:t>
            </w:r>
          </w:p>
          <w:p w14:paraId="61C0F14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Межфункциональное взаимодействие</w:t>
            </w:r>
          </w:p>
        </w:tc>
        <w:tc>
          <w:tcPr>
            <w:tcW w:w="2841" w:type="dxa"/>
          </w:tcPr>
          <w:p w14:paraId="602F71E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Минимизация рисков отклонения заявок, эффективная коммуникация внутри компании, </w:t>
            </w:r>
          </w:p>
        </w:tc>
      </w:tr>
    </w:tbl>
    <w:p w14:paraId="5B66221E">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right"/>
        <w:textAlignment w:val="auto"/>
        <w:rPr>
          <w:rFonts w:hint="default" w:ascii="Times New Roman" w:hAnsi="Times New Roman"/>
          <w:b w:val="0"/>
          <w:bCs w:val="0"/>
          <w:sz w:val="28"/>
          <w:szCs w:val="28"/>
          <w:vertAlign w:val="baseline"/>
          <w:lang w:val="ru-RU"/>
        </w:rPr>
      </w:pPr>
    </w:p>
    <w:p w14:paraId="6C1B445B">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Ядро компетенций </w:t>
      </w:r>
      <w:r>
        <w:rPr>
          <w:rFonts w:hint="default" w:ascii="Times New Roman" w:hAnsi="Times New Roman"/>
          <w:sz w:val="28"/>
          <w:szCs w:val="28"/>
          <w:vertAlign w:val="baseline"/>
          <w:lang w:val="ru-RU"/>
        </w:rPr>
        <w:t xml:space="preserve">– нормативно - правовая и цифровая грамотность. Базовый уровень профессиональной подготовки –  глубокое знание и понимание законодательной базы. По мнению экспертов </w:t>
      </w:r>
      <w:r>
        <w:rPr>
          <w:rFonts w:hint="default" w:ascii="Times New Roman" w:hAnsi="Times New Roman"/>
          <w:b w:val="0"/>
          <w:bCs w:val="0"/>
          <w:sz w:val="28"/>
          <w:szCs w:val="28"/>
          <w:vertAlign w:val="baseline"/>
          <w:lang w:val="ru-RU"/>
        </w:rPr>
        <w:t xml:space="preserve">BiCoTender, фундаментом профессии является подробное знание Федеральных законов  № 44-ФЗ и № 223-ФЗ. Не менее важно понимание норм Гражданского кодекса, касающихся заключения и исполнения контракт, а также антимонопольного законодательства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26</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 Главное уметь не просто ориентироваться в базовых знаниях, но и отслеживать постоянные изменения, понимать логику их применения на практике.</w:t>
      </w:r>
    </w:p>
    <w:p w14:paraId="3A0BE4A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В условиях, когда все закупки осуществляются в цифровом  формате, цифровая грамотность становится важнейшим требованием к специалистам. Ключевые инструменты включают уверенную работу в Единой информационной системе (ЕИС) на портале zakupki.gov.ru, на электронных торговых площадках (ЭТП), владение усиленной квалифицированной электронной подписью (УКЭП), а также свободное использование текстовых и табличных редакторов (Word, Excel) для подготовки расчётов и аналитических материалов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26</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1586D1E3">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Эффективное управление закупками требует глубокого аналитического мышления с экономической составляющей. Согласно экспертам РБК, для этого необходимо проводить тщательный анализ рынка закупок, оценивать вероятность успешного исхода тендера, рассчитывать его рентабельность и отслеживать ценовую политику конкурентов. Вместо того чтобы распылять усилия на все доступные процедуры, профессионал осуществляет отбор, ориентируясь на максимальную выгоду и вероятность победы для своей компании</w:t>
      </w:r>
      <w:r>
        <w:rPr>
          <w:rFonts w:hint="default" w:ascii="Times New Roman" w:hAnsi="Times New Roman"/>
          <w:b w:val="0"/>
          <w:bCs w:val="0"/>
          <w:sz w:val="28"/>
          <w:szCs w:val="28"/>
          <w:vertAlign w:val="baseline"/>
          <w:lang w:val="en-US"/>
        </w:rPr>
        <w:t xml:space="preserve"> [27]</w:t>
      </w:r>
      <w:r>
        <w:rPr>
          <w:rFonts w:hint="default" w:ascii="Times New Roman" w:hAnsi="Times New Roman"/>
          <w:b w:val="0"/>
          <w:bCs w:val="0"/>
          <w:sz w:val="28"/>
          <w:szCs w:val="28"/>
          <w:vertAlign w:val="baseline"/>
          <w:lang w:val="ru-RU"/>
        </w:rPr>
        <w:t>. Эксперты BiCoTender подчёркивают, что такой специалист должен быть настоящим экономистом: уметь точно просчитать себестоимость, учесть все дополнительные расходы (на обеспечение, логистику) и спрогнозировать ожидаемую прибыль от контракта. Такой подход трансформирует роль специалиста из простого исполнителя в ценного сотрудника, который активно способствует увеличению прибыли компании, находя наиболее выгодные и перспективные возможности для закупок</w:t>
      </w:r>
      <w:r>
        <w:rPr>
          <w:rFonts w:hint="default" w:ascii="Times New Roman" w:hAnsi="Times New Roman"/>
          <w:b w:val="0"/>
          <w:bCs w:val="0"/>
          <w:sz w:val="28"/>
          <w:szCs w:val="28"/>
          <w:vertAlign w:val="baseline"/>
          <w:lang w:val="en-US"/>
        </w:rPr>
        <w:t xml:space="preserve"> [25]</w:t>
      </w:r>
      <w:r>
        <w:rPr>
          <w:rFonts w:hint="default" w:ascii="Times New Roman" w:hAnsi="Times New Roman"/>
          <w:b w:val="0"/>
          <w:bCs w:val="0"/>
          <w:sz w:val="28"/>
          <w:szCs w:val="28"/>
          <w:vertAlign w:val="baseline"/>
          <w:lang w:val="ru-RU"/>
        </w:rPr>
        <w:t>.</w:t>
      </w:r>
    </w:p>
    <w:p w14:paraId="466469E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Развитие личностных качеств и способность к эффективного взаимодействия также влияет на успех работы тендерного специалиста. BiCoTender относит к числу важнейших качеств дотошность и внимание к деталям </w:t>
      </w:r>
      <w:r>
        <w:rPr>
          <w:rFonts w:hint="default" w:ascii="Times New Roman" w:hAnsi="Times New Roman"/>
          <w:sz w:val="28"/>
          <w:szCs w:val="28"/>
          <w:vertAlign w:val="baseline"/>
          <w:lang w:val="ru-RU"/>
        </w:rPr>
        <w:t xml:space="preserve">– </w:t>
      </w:r>
      <w:r>
        <w:rPr>
          <w:rFonts w:hint="default" w:ascii="Times New Roman" w:hAnsi="Times New Roman"/>
          <w:b w:val="0"/>
          <w:bCs w:val="0"/>
          <w:sz w:val="28"/>
          <w:szCs w:val="28"/>
          <w:vertAlign w:val="baseline"/>
          <w:lang w:val="ru-RU"/>
        </w:rPr>
        <w:t xml:space="preserve">способность глубокого погружения в объёмную документацию в поисках одного слова, которое может повлиять на исход торгов. Высокий уровень стрессоустойчивости, аналитический склад ума и многозадачность также важны, поскольку специалист часто ведёт одновременно несколько тендеров на разных стадиях </w:t>
      </w:r>
      <w:r>
        <w:rPr>
          <w:rFonts w:hint="default" w:ascii="Times New Roman" w:hAnsi="Times New Roman"/>
          <w:b w:val="0"/>
          <w:bCs w:val="0"/>
          <w:sz w:val="28"/>
          <w:szCs w:val="28"/>
          <w:vertAlign w:val="baseline"/>
          <w:lang w:val="en-US"/>
        </w:rPr>
        <w:t>[25]</w:t>
      </w:r>
      <w:r>
        <w:rPr>
          <w:rFonts w:hint="default" w:ascii="Times New Roman" w:hAnsi="Times New Roman"/>
          <w:b w:val="0"/>
          <w:bCs w:val="0"/>
          <w:sz w:val="28"/>
          <w:szCs w:val="28"/>
          <w:vertAlign w:val="baseline"/>
          <w:lang w:val="ru-RU"/>
        </w:rPr>
        <w:t>.</w:t>
      </w:r>
    </w:p>
    <w:p w14:paraId="1C3FCFD5">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Особое значение имеет навык межфункционального взаимодействия. Как отмечается в публикациях РБК, тендерный специалист </w:t>
      </w:r>
      <w:r>
        <w:rPr>
          <w:rFonts w:hint="default" w:ascii="Times New Roman" w:hAnsi="Times New Roman"/>
          <w:sz w:val="28"/>
          <w:szCs w:val="28"/>
          <w:vertAlign w:val="baseline"/>
          <w:lang w:val="ru-RU"/>
        </w:rPr>
        <w:t xml:space="preserve">– связующее звено </w:t>
      </w:r>
      <w:r>
        <w:rPr>
          <w:rFonts w:hint="default" w:ascii="Times New Roman" w:hAnsi="Times New Roman"/>
          <w:b w:val="0"/>
          <w:bCs w:val="0"/>
          <w:sz w:val="28"/>
          <w:szCs w:val="28"/>
          <w:vertAlign w:val="baseline"/>
          <w:lang w:val="ru-RU"/>
        </w:rPr>
        <w:t>между внутренними процессами компании и внешними требованиями. Он  взаимодействует с юристами, отделом закупок, производством, бухгалтерией и коммерческой службой для сбора информации и согласования позиций. От того, насколько быстро и точно он получает данные от коллег, напрямую зависит скорость и качество подготовки успешной заявки</w:t>
      </w:r>
      <w:r>
        <w:rPr>
          <w:rFonts w:hint="default" w:ascii="Times New Roman" w:hAnsi="Times New Roman"/>
          <w:b w:val="0"/>
          <w:bCs w:val="0"/>
          <w:sz w:val="28"/>
          <w:szCs w:val="28"/>
          <w:vertAlign w:val="baseline"/>
          <w:lang w:val="en-US"/>
        </w:rPr>
        <w:t xml:space="preserve"> [27]</w:t>
      </w:r>
      <w:r>
        <w:rPr>
          <w:rFonts w:hint="default" w:ascii="Times New Roman" w:hAnsi="Times New Roman"/>
          <w:b w:val="0"/>
          <w:bCs w:val="0"/>
          <w:sz w:val="28"/>
          <w:szCs w:val="28"/>
          <w:vertAlign w:val="baseline"/>
          <w:lang w:val="ru-RU"/>
        </w:rPr>
        <w:t>.</w:t>
      </w:r>
    </w:p>
    <w:p w14:paraId="3DE7A53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Цифровая трансформация закупок диктует новые стандарты обучения специалистов. Вместо традиционных лекций внедряются комплексные решения, сочетающие теорию с практикой в цифровой среде (см.табл.1.3).</w:t>
      </w:r>
    </w:p>
    <w:p w14:paraId="249C9A03">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0C6578F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righ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Таблица 1.3.  Современные подходы к развитию компетенций в сфере закупок</w:t>
      </w:r>
    </w:p>
    <w:tbl>
      <w:tblPr>
        <w:tblStyle w:val="6"/>
        <w:tblW w:w="876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7"/>
        <w:gridCol w:w="3437"/>
        <w:gridCol w:w="2901"/>
      </w:tblGrid>
      <w:tr w14:paraId="29E48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43085AE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Направление</w:t>
            </w:r>
          </w:p>
        </w:tc>
        <w:tc>
          <w:tcPr>
            <w:tcW w:w="3437" w:type="dxa"/>
          </w:tcPr>
          <w:p w14:paraId="5CEDD70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Образовательные форматы </w:t>
            </w:r>
          </w:p>
        </w:tc>
        <w:tc>
          <w:tcPr>
            <w:tcW w:w="2901" w:type="dxa"/>
          </w:tcPr>
          <w:p w14:paraId="656557A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Примеры реализации</w:t>
            </w:r>
          </w:p>
        </w:tc>
      </w:tr>
      <w:tr w14:paraId="2AB4E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4182F4D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Системное обучение </w:t>
            </w:r>
          </w:p>
        </w:tc>
        <w:tc>
          <w:tcPr>
            <w:tcW w:w="3437" w:type="dxa"/>
          </w:tcPr>
          <w:p w14:paraId="57660FB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Практикумы на учебных ЭТП, тренажёры ЕИС, смешанное обучение, кейсы</w:t>
            </w:r>
          </w:p>
        </w:tc>
        <w:tc>
          <w:tcPr>
            <w:tcW w:w="2901" w:type="dxa"/>
          </w:tcPr>
          <w:p w14:paraId="4D2953C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СФУ (учебная «РТС-тендер») [28]; НИУ ВШЭ (Пермь) (вебинары + практика) [29]</w:t>
            </w:r>
          </w:p>
        </w:tc>
      </w:tr>
      <w:tr w14:paraId="688D3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597BD25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Игровые методы и геймификация</w:t>
            </w:r>
          </w:p>
        </w:tc>
        <w:tc>
          <w:tcPr>
            <w:tcW w:w="3437" w:type="dxa"/>
          </w:tcPr>
          <w:p w14:paraId="2E81918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Настольные и онлайн-игры, деловые симуляторы, квесты</w:t>
            </w:r>
          </w:p>
        </w:tc>
        <w:tc>
          <w:tcPr>
            <w:tcW w:w="2901" w:type="dxa"/>
          </w:tcPr>
          <w:p w14:paraId="460282F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ЭТП Аудиториум: «Закупочный детектив» (10 тыс. обученных) [30]; монография Гладилиной, Молокановой [31]</w:t>
            </w:r>
          </w:p>
        </w:tc>
      </w:tr>
      <w:tr w14:paraId="216D6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7A2FEF2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Государственные и отраслевые инициативы</w:t>
            </w:r>
          </w:p>
        </w:tc>
        <w:tc>
          <w:tcPr>
            <w:tcW w:w="3437" w:type="dxa"/>
          </w:tcPr>
          <w:p w14:paraId="729FB0C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Программы адаптации, наставничество, бесплатные курсы</w:t>
            </w:r>
          </w:p>
        </w:tc>
        <w:tc>
          <w:tcPr>
            <w:tcW w:w="2901" w:type="dxa"/>
          </w:tcPr>
          <w:p w14:paraId="2CBC15F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«Закупщик. Новое поколение» (Госкомитет РТ) [32]; «Школа профессионалов» (ЭТП РЕГИОН, 2500+ участников) [33]</w:t>
            </w:r>
          </w:p>
        </w:tc>
      </w:tr>
    </w:tbl>
    <w:p w14:paraId="2DFB85BE">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1FBCD19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Рассмотрим подробнее каждое направление:</w:t>
      </w:r>
    </w:p>
    <w:p w14:paraId="580171B5">
      <w:pPr>
        <w:keepNext w:val="0"/>
        <w:keepLines w:val="0"/>
        <w:pageBreakBefore w:val="0"/>
        <w:numPr>
          <w:ilvl w:val="0"/>
          <w:numId w:val="5"/>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Системное обучение и работа с цифровыми средами. </w:t>
      </w:r>
    </w:p>
    <w:p w14:paraId="2BF8C9B5">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Ключевым условием является интеграция учебного процесса с реальными электронными торговыми площадками, что способствует развитию практических навыков.В качестве показательного примера можно привести программу профессиональной переподготовки Сибирского федерального университета, которая предоставляет слушателям доступ к учебной ЭТП «РТС-тендер» и тренажёру-иммитатору личного кабинета ЕИС. Аналогичный подход реализуется в программах НИУ ВШЭ, где обучение строится на смешанном формате (очные занятия и вебинары) с отработкой навыков на практических кейсах и анализом документации на предмет рисков. Это даёт возможность освоить все площадки для работы в безопасном варианте, исключая возможность ошибок при реальной работе с закупками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29</w:t>
      </w:r>
      <w:r>
        <w:rPr>
          <w:rFonts w:hint="default" w:ascii="Times New Roman" w:hAnsi="Times New Roman"/>
          <w:b w:val="0"/>
          <w:bCs w:val="0"/>
          <w:sz w:val="28"/>
          <w:szCs w:val="28"/>
          <w:vertAlign w:val="baseline"/>
          <w:lang w:val="en-US"/>
        </w:rPr>
        <w:t>,35]</w:t>
      </w:r>
      <w:r>
        <w:rPr>
          <w:rFonts w:hint="default" w:ascii="Times New Roman" w:hAnsi="Times New Roman"/>
          <w:b w:val="0"/>
          <w:bCs w:val="0"/>
          <w:sz w:val="28"/>
          <w:szCs w:val="28"/>
          <w:vertAlign w:val="baseline"/>
          <w:lang w:val="ru-RU"/>
        </w:rPr>
        <w:t>.</w:t>
      </w:r>
    </w:p>
    <w:p w14:paraId="1F720A78">
      <w:pPr>
        <w:keepNext w:val="0"/>
        <w:keepLines w:val="0"/>
        <w:pageBreakBefore w:val="0"/>
        <w:numPr>
          <w:ilvl w:val="0"/>
          <w:numId w:val="5"/>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Игровые методы и геймификация.</w:t>
      </w:r>
    </w:p>
    <w:p w14:paraId="3FD84A5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 последние годы обучение закупочным процедурам потерпело значительные изменения благодаря внедрению игровых форматов. Проект «Закупочные решения: игровые методы обучения» ЭТП Аудиториум (ЭТП Газпромбанка) предлагает настольные и онлайн-игры, включая «Закупочный детектив» и «Город уже давно спит, а закупщики продолжают работать». Эти игры позволяют безопасно отрабатывать сложные ситуации и анализировать ошибки без негативных последствий для бизнеса. . Проект достиг впечатляющих масштабов: более 10 тысяч специалистов из различных регионов России уже приняли участие в обучении, а сам проект был отмечен премией «Эффективное образование — 2025»</w:t>
      </w:r>
      <w:r>
        <w:rPr>
          <w:rFonts w:hint="default" w:ascii="Times New Roman" w:hAnsi="Times New Roman"/>
          <w:b w:val="0"/>
          <w:bCs w:val="0"/>
          <w:sz w:val="28"/>
          <w:szCs w:val="28"/>
          <w:vertAlign w:val="baseline"/>
          <w:lang w:val="en-US"/>
        </w:rPr>
        <w:t xml:space="preserve"> [3</w:t>
      </w:r>
      <w:r>
        <w:rPr>
          <w:rFonts w:hint="default" w:ascii="Times New Roman" w:hAnsi="Times New Roman"/>
          <w:b w:val="0"/>
          <w:bCs w:val="0"/>
          <w:sz w:val="28"/>
          <w:szCs w:val="28"/>
          <w:vertAlign w:val="baseline"/>
          <w:lang w:val="ru-RU"/>
        </w:rPr>
        <w:t>0</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 xml:space="preserve">. То, что игры полезны для учебы, подтверждают и ученые: в монографии И.П. Гладилиной и Ю.А. Молокановой рассматривается проблема повышения квалификации специалистов в сфере закупок на основе игровых методов и обосновывается необходимость нового образовательного формата для эффективной работы в цифровых системах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31</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62C31532">
      <w:pPr>
        <w:keepNext w:val="0"/>
        <w:keepLines w:val="0"/>
        <w:pageBreakBefore w:val="0"/>
        <w:numPr>
          <w:ilvl w:val="0"/>
          <w:numId w:val="5"/>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Государственные и отраслевые инициативы.</w:t>
      </w:r>
    </w:p>
    <w:p w14:paraId="5C7E95DB">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Региональные власти и ведущие компании активно способствуют обновлению образовательных подходов.  В качестве примера, в Татарстане действует программа «Закупщик. Новое поколение» (Госкомитет РТ по закупкам), эта программа создана для того, чтобы помочь начинающим специалистам успешно адаптироваться. Она объединяет теоретические знания, решение реальных задач и наставничество от опытных экспертов отрасли, а также оказывает помощь выпускникам в трудоустройстве </w:t>
      </w:r>
      <w:r>
        <w:rPr>
          <w:rFonts w:hint="default" w:ascii="Times New Roman" w:hAnsi="Times New Roman"/>
          <w:b w:val="0"/>
          <w:bCs w:val="0"/>
          <w:sz w:val="28"/>
          <w:szCs w:val="28"/>
          <w:vertAlign w:val="baseline"/>
          <w:lang w:val="en-US"/>
        </w:rPr>
        <w:t>[32]</w:t>
      </w:r>
      <w:r>
        <w:rPr>
          <w:rFonts w:hint="default" w:ascii="Times New Roman" w:hAnsi="Times New Roman"/>
          <w:b w:val="0"/>
          <w:bCs w:val="0"/>
          <w:sz w:val="28"/>
          <w:szCs w:val="28"/>
          <w:vertAlign w:val="baseline"/>
          <w:lang w:val="ru-RU"/>
        </w:rPr>
        <w:t>.  Ещё один значимый проект – федеральная «Школа профессионалов» от ЭТП «РЕГИОН». Проект предоставляет бесплатное обучение специалистов по законодательству 223-ФЗ, используя современные цифровые образовательные инструменты, и уже охватил более 2500 участников из 88 регионов страны</w:t>
      </w:r>
      <w:r>
        <w:rPr>
          <w:rFonts w:hint="default" w:ascii="Times New Roman" w:hAnsi="Times New Roman"/>
          <w:b w:val="0"/>
          <w:bCs w:val="0"/>
          <w:sz w:val="28"/>
          <w:szCs w:val="28"/>
          <w:vertAlign w:val="baseline"/>
          <w:lang w:val="en-US"/>
        </w:rPr>
        <w:t xml:space="preserve"> [33]</w:t>
      </w:r>
      <w:r>
        <w:rPr>
          <w:rFonts w:hint="default" w:ascii="Times New Roman" w:hAnsi="Times New Roman"/>
          <w:b w:val="0"/>
          <w:bCs w:val="0"/>
          <w:sz w:val="28"/>
          <w:szCs w:val="28"/>
          <w:vertAlign w:val="baseline"/>
          <w:lang w:val="ru-RU"/>
        </w:rPr>
        <w:t>.</w:t>
      </w:r>
    </w:p>
    <w:p w14:paraId="3574BCB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Итак, тендерный специалист представляет собой гибридного эксперта, объединяющего в себе юридическую подкованность, аналитическое мышление, уверенное владение цифровыми технологиями и мастерство переговорщика. Развитие его компетенций сегодня строится на симбиозе фундаментальных знаний, цифровых инструментов и интерактивных форматов обучения . Это обеспечивает организациям минимизацию потенциальных рисков и существенное повышение результативности их участия в тендерах.</w:t>
      </w:r>
    </w:p>
    <w:p w14:paraId="2436DE1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4C2245F7">
      <w:pPr>
        <w:keepNext w:val="0"/>
        <w:keepLines w:val="0"/>
        <w:pageBreakBefore w:val="0"/>
        <w:numPr>
          <w:ilvl w:val="0"/>
          <w:numId w:val="0"/>
        </w:numPr>
        <w:kinsoku/>
        <w:wordWrap/>
        <w:overflowPunct/>
        <w:topLinePunct w:val="0"/>
        <w:autoSpaceDE/>
        <w:autoSpaceDN/>
        <w:bidi w:val="0"/>
        <w:adjustRightInd/>
        <w:snapToGrid/>
        <w:spacing w:line="360" w:lineRule="auto"/>
        <w:ind w:leftChars="125"/>
        <w:jc w:val="center"/>
        <w:textAlignment w:val="auto"/>
        <w:rPr>
          <w:rFonts w:hint="default" w:ascii="Times New Roman" w:hAnsi="Times New Roman"/>
          <w:b/>
          <w:bCs/>
          <w:sz w:val="28"/>
          <w:szCs w:val="28"/>
        </w:rPr>
      </w:pPr>
      <w:r>
        <w:rPr>
          <w:rFonts w:hint="default" w:ascii="Times New Roman" w:hAnsi="Times New Roman"/>
          <w:b/>
          <w:bCs/>
          <w:sz w:val="28"/>
          <w:szCs w:val="28"/>
          <w:lang w:val="ru-RU"/>
        </w:rPr>
        <w:t xml:space="preserve">1.3. </w:t>
      </w:r>
      <w:r>
        <w:rPr>
          <w:rFonts w:hint="default" w:ascii="Times New Roman" w:hAnsi="Times New Roman"/>
          <w:b/>
          <w:bCs/>
          <w:sz w:val="28"/>
          <w:szCs w:val="28"/>
        </w:rPr>
        <w:t>Методологические подходы к оценке эффективности обучения тендерных специалистов</w:t>
      </w:r>
    </w:p>
    <w:p w14:paraId="1369E272">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 современном HR-менеджменте обучение персонала это не просто затраты, а стратегические инвестиции. Для тендерных специалистов это особенно важно, так как их работа напрямую влияет на финансовые показатели. Согласно РБК, внедрение системного обучения и аналитики значительно могут повысить эффективность тендерного отдела – рост конверсии вырастет с 8% до 25%, а доля госзакупок – с 15% до 42% [35]. Но чтобы эти инвестиции были оправданы, нужна надёжная система оценки эффективности обучения.</w:t>
      </w:r>
    </w:p>
    <w:p w14:paraId="1226645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Эффективность обучения – это соотношение результата и затраченных на его достижение ресурсов. Методология оценки опирается на ряд принципов: объективность, надёжность (стабильность результатов), достоверность (точность отображения реальности), комплексность (всесторонний анализ) и прогнозируемость (способность предвидеть) [36, с.81].</w:t>
      </w:r>
    </w:p>
    <w:p w14:paraId="44BF6F8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Оценить, насколько эффективно обучение в сфере закупок, довольно сложно. Во-первых, влияние внешних обстоятельств (изменение законодательства, рыночная конъюнктура и тд.) сложно отделить от эффекта обучения. Во-вторых, новые знания не дают мгновенного эффекта. В-третьих, тяжело выделить «чистый» вклад обучения в улучшение показателей на фоне других факторов, таких как мотивация или изменения в организации [37].</w:t>
      </w:r>
    </w:p>
    <w:p w14:paraId="1DDFBE16">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С.Келман в своём исследовании показал, что процент выигранных тендеров сильно меняется из-за общей экономической ситуации и сезонности бюджетных расходов [43]. Чтобы получить более точную оценку, западные специалисты предлагают сравнивать тех, кто учился, с теми, кто не учился. Это поможет понять что именно дало обучение, а не внешние обстоятельства [44, с.45].</w:t>
      </w:r>
    </w:p>
    <w:p w14:paraId="509894B9">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Существует несколько классических моделей оценки эффективности обучения. Наиболее распространённая – модель Д.Киркпатрика, разработанная в 1950-х годах.  Она предполагает последовательную оценку на четырёх уровнях: реакция, усвоение, поведение, результаты. Первый уровень измеряет удовлетворённость участников обучением, второй оценивает прирост знаний посредством тестирования, третий выявляет степень применения знаний на работе, четвёртый определяет влияние обучения на бизнес-показатели </w:t>
      </w:r>
      <w:r>
        <w:rPr>
          <w:rFonts w:hint="default" w:ascii="Times New Roman" w:hAnsi="Times New Roman"/>
          <w:b w:val="0"/>
          <w:bCs w:val="0"/>
          <w:sz w:val="28"/>
          <w:szCs w:val="28"/>
          <w:vertAlign w:val="baseline"/>
          <w:lang w:val="en-US"/>
        </w:rPr>
        <w:t>[38]</w:t>
      </w:r>
      <w:r>
        <w:rPr>
          <w:rFonts w:hint="default" w:ascii="Times New Roman" w:hAnsi="Times New Roman"/>
          <w:b w:val="0"/>
          <w:bCs w:val="0"/>
          <w:sz w:val="28"/>
          <w:szCs w:val="28"/>
          <w:vertAlign w:val="baseline"/>
          <w:lang w:val="ru-RU"/>
        </w:rPr>
        <w:t>.</w:t>
      </w:r>
    </w:p>
    <w:p w14:paraId="0C23CE6F">
      <w:pPr>
        <w:keepNext w:val="0"/>
        <w:keepLines w:val="0"/>
        <w:pageBreakBefore w:val="0"/>
        <w:numPr>
          <w:ilvl w:val="0"/>
          <w:numId w:val="6"/>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Модель Дж. Филлипса (ROI) дополняет подход Киркпатрика, добавляя пятый уровень — возврат на инвестиции. Данная модель позволяет рассчитать, сколько единиц прибыли приносит каждая единица валюты, вложенная в обучение [37].</w:t>
      </w:r>
    </w:p>
    <w:p w14:paraId="5C254D78">
      <w:pPr>
        <w:keepNext w:val="0"/>
        <w:keepLines w:val="0"/>
        <w:pageBreakBefore w:val="0"/>
        <w:numPr>
          <w:ilvl w:val="0"/>
          <w:numId w:val="0"/>
        </w:numPr>
        <w:kinsoku/>
        <w:wordWrap/>
        <w:overflowPunct/>
        <w:topLinePunct w:val="0"/>
        <w:autoSpaceDE/>
        <w:autoSpaceDN/>
        <w:bidi w:val="0"/>
        <w:adjustRightInd/>
        <w:snapToGrid/>
        <w:spacing w:line="360" w:lineRule="auto"/>
        <w:ind w:leftChars="125"/>
        <w:jc w:val="both"/>
        <w:textAlignment w:val="auto"/>
        <w:rPr>
          <w:rFonts w:hint="default" w:ascii="Times New Roman" w:hAnsi="Times New Roman"/>
          <w:b w:val="0"/>
          <w:bCs w:val="0"/>
          <w:sz w:val="28"/>
          <w:szCs w:val="28"/>
          <w:lang w:val="ru-RU"/>
        </w:rPr>
      </w:pPr>
    </w:p>
    <w:p w14:paraId="6BD61D9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Расчёт ROI производится по формуле:</w:t>
      </w:r>
    </w:p>
    <w:p w14:paraId="574C3465">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lang w:val="ru-RU"/>
        </w:rPr>
      </w:pPr>
    </w:p>
    <w:p w14:paraId="3EDEFD86">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both"/>
        <w:textAlignment w:val="auto"/>
        <w:rPr>
          <w:rFonts w:hint="default" w:hAnsi="Cambria Math" w:cstheme="minorBidi"/>
          <w:b w:val="0"/>
          <w:i w:val="0"/>
          <w:sz w:val="24"/>
          <w:szCs w:val="24"/>
          <w:lang w:val="ru-RU" w:eastAsia="zh-CN" w:bidi="ar-SA"/>
        </w:rPr>
      </w:pPr>
      <m:oMathPara>
        <m:oMath>
          <m:r>
            <m:rPr>
              <m:sty m:val="p"/>
            </m:rPr>
            <w:rPr>
              <w:rFonts w:hint="default" w:ascii="Cambria Math" w:hAnsi="Cambria Math" w:cstheme="minorBidi"/>
              <w:sz w:val="24"/>
              <w:szCs w:val="24"/>
              <w:lang w:val="en-US" w:eastAsia="zh-CN" w:bidi="ar-SA"/>
            </w:rPr>
            <m:t>ROI=(</m:t>
          </m:r>
          <m:f>
            <m:fPr>
              <m:ctrlPr>
                <w:rPr>
                  <w:rFonts w:hint="default" w:ascii="Cambria Math" w:hAnsi="Cambria Math" w:cstheme="minorBidi"/>
                  <w:b w:val="0"/>
                  <w:bCs w:val="0"/>
                  <w:i w:val="0"/>
                  <w:iCs/>
                  <w:sz w:val="24"/>
                  <w:szCs w:val="24"/>
                  <w:lang w:val="en-US" w:eastAsia="zh-CN" w:bidi="ar-SA"/>
                </w:rPr>
              </m:ctrlPr>
            </m:fPr>
            <m:num>
              <m:r>
                <m:rPr>
                  <m:sty m:val="p"/>
                </m:rPr>
                <w:rPr>
                  <w:rFonts w:hint="default" w:ascii="Cambria Math" w:hAnsi="Cambria Math" w:cstheme="minorBidi"/>
                  <w:sz w:val="24"/>
                  <w:szCs w:val="24"/>
                  <w:lang w:val="ru-RU" w:eastAsia="zh-CN" w:bidi="ar-SA"/>
                </w:rPr>
                <m:t>Доходы от обучения − Затраты</m:t>
              </m:r>
              <m:ctrlPr>
                <w:rPr>
                  <w:rFonts w:hint="default" w:ascii="Cambria Math" w:hAnsi="Cambria Math" w:cstheme="minorBidi"/>
                  <w:b w:val="0"/>
                  <w:bCs w:val="0"/>
                  <w:i w:val="0"/>
                  <w:iCs/>
                  <w:sz w:val="24"/>
                  <w:szCs w:val="24"/>
                  <w:lang w:val="en-US" w:eastAsia="zh-CN" w:bidi="ar-SA"/>
                </w:rPr>
              </m:ctrlPr>
            </m:num>
            <m:den>
              <m:r>
                <m:rPr>
                  <m:sty m:val="p"/>
                </m:rPr>
                <w:rPr>
                  <w:rFonts w:hint="default" w:ascii="Cambria Math" w:hAnsi="Cambria Math" w:cstheme="minorBidi"/>
                  <w:sz w:val="24"/>
                  <w:szCs w:val="24"/>
                  <w:lang w:val="ru-RU" w:eastAsia="zh-CN" w:bidi="ar-SA"/>
                </w:rPr>
                <m:t>Затраты</m:t>
              </m:r>
              <m:ctrlPr>
                <w:rPr>
                  <w:rFonts w:hint="default" w:ascii="Cambria Math" w:hAnsi="Cambria Math" w:cstheme="minorBidi"/>
                  <w:b w:val="0"/>
                  <w:bCs w:val="0"/>
                  <w:i w:val="0"/>
                  <w:iCs/>
                  <w:sz w:val="24"/>
                  <w:szCs w:val="24"/>
                  <w:lang w:val="en-US" w:eastAsia="zh-CN" w:bidi="ar-SA"/>
                </w:rPr>
              </m:ctrlPr>
            </m:den>
          </m:f>
          <m:r>
            <m:rPr>
              <m:sty m:val="p"/>
            </m:rPr>
            <w:rPr>
              <w:rFonts w:hint="default" w:ascii="Cambria Math" w:hAnsi="Cambria Math" w:cstheme="minorBidi"/>
              <w:sz w:val="24"/>
              <w:szCs w:val="24"/>
              <w:lang w:val="en-US" w:eastAsia="zh-CN" w:bidi="ar-SA"/>
            </w:rPr>
            <m:t>)</m:t>
          </m:r>
          <m:r>
            <m:rPr>
              <m:sty m:val="p"/>
            </m:rPr>
            <w:rPr>
              <w:rFonts w:hint="default" w:ascii="Cambria Math" w:hAnsi="Cambria Math" w:cstheme="minorBidi"/>
              <w:sz w:val="24"/>
              <w:szCs w:val="24"/>
              <w:lang w:val="ru-RU" w:eastAsia="zh-CN" w:bidi="ar-SA"/>
            </w:rPr>
            <m:t>∗100%</m:t>
          </m:r>
        </m:oMath>
      </m:oMathPara>
    </w:p>
    <w:p w14:paraId="196E25A9">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both"/>
        <w:textAlignment w:val="auto"/>
        <w:rPr>
          <w:rFonts w:hint="default" w:hAnsi="Cambria Math" w:cstheme="minorBidi"/>
          <w:b w:val="0"/>
          <w:i w:val="0"/>
          <w:sz w:val="24"/>
          <w:szCs w:val="24"/>
          <w:lang w:val="ru-RU" w:eastAsia="zh-CN" w:bidi="ar-SA"/>
        </w:rPr>
      </w:pPr>
    </w:p>
    <w:p w14:paraId="666DC42C">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Использование модели Филлипса сталкивается с рядом трудностей. Во-первых, это процесс, требующий значительных временных затрат. Во-вторых, существует сложность в отделении истинного эффекта обучения от влияния посторонних факторов, что затрудняет точную оценку.</w:t>
      </w:r>
    </w:p>
    <w:p w14:paraId="11651DAC">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Важно понимать, что не все программы требуют оценки по пятому уровню. Согласно рекомендациям Джека Филлипса, оценка по различным уровням должна применяться дифференцированно: 90-100% программ оцениваются по 1-му уровню, 40-60% – по 2-му, 30% – по 3-му, 10-20% – по 4-му, и только 5-10% наиболее стратегически значимых и дорогостоящих программ требуют расчёта ROI [</w:t>
      </w:r>
      <w:r>
        <w:rPr>
          <w:rFonts w:hint="default" w:ascii="Times New Roman" w:hAnsi="Times New Roman"/>
          <w:b w:val="0"/>
          <w:bCs w:val="0"/>
          <w:sz w:val="28"/>
          <w:szCs w:val="28"/>
          <w:vertAlign w:val="baseline"/>
          <w:lang w:val="en-US"/>
        </w:rPr>
        <w:t>39</w:t>
      </w:r>
      <w:r>
        <w:rPr>
          <w:rFonts w:hint="default" w:ascii="Times New Roman" w:hAnsi="Times New Roman"/>
          <w:b w:val="0"/>
          <w:bCs w:val="0"/>
          <w:sz w:val="28"/>
          <w:szCs w:val="28"/>
          <w:vertAlign w:val="baseline"/>
          <w:lang w:val="ru-RU"/>
        </w:rPr>
        <w:t>].</w:t>
      </w:r>
    </w:p>
    <w:p w14:paraId="2F5D51AB">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Чтобы обучение действительно приносило пользу и постоянно совершенствовалось, важно оценивать результативность. Выделяют следующие ключевые этапы:</w:t>
      </w:r>
    </w:p>
    <w:p w14:paraId="2D030DB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1. Предварительная оценка: проводится с целью определения текущего уровня компетенций  и выявления пробелов. Для этого используются тесты по законодательной базе, анализ рабочих показателей, беседы с руководством. </w:t>
      </w:r>
    </w:p>
    <w:p w14:paraId="726DFF7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2. Текущая оценка: направлена на контроль усвоения материала и оперативную корректировку программы. Применяются практические задания, разбор реальных ситуаций и деловые игры.</w:t>
      </w:r>
    </w:p>
    <w:p w14:paraId="7C1C9A40">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3. Итоговая оценка: состоит из двух частей – оценка реакции обучающихся (анкеты удовлетворённости) и оценки усвоения знаний (повторные тесты, экзамены)</w:t>
      </w:r>
    </w:p>
    <w:p w14:paraId="2A06B653">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4. Отсроченная оценка (через 3-6 месяцев): наблюдение за поведением на рабочем месте, оценка со стороны руководства, анализ динамики ключевых показателей результативности. На этом этапе можно определить, произошло ли реальное внедрение знаний в практику и как это отразилось на бизнес-процессах [35].</w:t>
      </w:r>
    </w:p>
    <w:p w14:paraId="0A343BA0">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Для полной оценки деятельности тендерного отдела необходима система метрик, которая будет охватывать все ключевые направления его деятельности. Исследование А.Г.Николаевой в сфере закупок показало, что нет единого стандарта показателей для оценки, что требует адаптации существующих подходов к специфике конкретного предприятия [40]. </w:t>
      </w:r>
    </w:p>
    <w:p w14:paraId="4312A51A">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Основываясь на изученных материалах и практическом опыте, предлагается следующая система показателей для оценки эффективности обучения специалистов по закупкам</w:t>
      </w:r>
      <w:r>
        <w:rPr>
          <w:rFonts w:hint="default" w:ascii="Times New Roman" w:hAnsi="Times New Roman"/>
          <w:b w:val="0"/>
          <w:bCs w:val="0"/>
          <w:sz w:val="28"/>
          <w:szCs w:val="28"/>
          <w:vertAlign w:val="baseline"/>
          <w:lang w:val="en-US"/>
        </w:rPr>
        <w:t xml:space="preserve"> (</w:t>
      </w:r>
      <w:r>
        <w:rPr>
          <w:rFonts w:hint="default" w:ascii="Times New Roman" w:hAnsi="Times New Roman"/>
          <w:b w:val="0"/>
          <w:bCs w:val="0"/>
          <w:sz w:val="28"/>
          <w:szCs w:val="28"/>
          <w:vertAlign w:val="baseline"/>
          <w:lang w:val="ru-RU"/>
        </w:rPr>
        <w:t>см.табл.1.4</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5176C871">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25BA0D7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righ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Таблица 1.4.  Система показателей оценки эффективности обучения тендерных специалистов</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9"/>
        <w:gridCol w:w="3832"/>
        <w:gridCol w:w="2381"/>
      </w:tblGrid>
      <w:tr w14:paraId="297C8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667E232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Группа показателей</w:t>
            </w:r>
          </w:p>
        </w:tc>
        <w:tc>
          <w:tcPr>
            <w:tcW w:w="3832" w:type="dxa"/>
          </w:tcPr>
          <w:p w14:paraId="7D7A743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Примеры метрик</w:t>
            </w:r>
          </w:p>
        </w:tc>
        <w:tc>
          <w:tcPr>
            <w:tcW w:w="2381" w:type="dxa"/>
          </w:tcPr>
          <w:p w14:paraId="2845C6F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Метод сбора</w:t>
            </w:r>
          </w:p>
        </w:tc>
      </w:tr>
      <w:tr w14:paraId="02E19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3D65411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p w14:paraId="0C54EC6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Показатели результативности</w:t>
            </w:r>
          </w:p>
        </w:tc>
        <w:tc>
          <w:tcPr>
            <w:tcW w:w="3832" w:type="dxa"/>
          </w:tcPr>
          <w:p w14:paraId="184C897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Конверсия (соотношение поданных заявок к выигранным); доля госзакупок в общем обороте; доля выигранных НМЦК; средняя рентабельность выигранных контрактов</w:t>
            </w:r>
          </w:p>
        </w:tc>
        <w:tc>
          <w:tcPr>
            <w:tcW w:w="2381" w:type="dxa"/>
          </w:tcPr>
          <w:p w14:paraId="3CEA050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CRM</w:t>
            </w:r>
            <w:r>
              <w:rPr>
                <w:rFonts w:hint="default" w:ascii="Times New Roman" w:hAnsi="Times New Roman"/>
                <w:b w:val="0"/>
                <w:bCs w:val="0"/>
                <w:sz w:val="24"/>
                <w:szCs w:val="24"/>
                <w:vertAlign w:val="baseline"/>
                <w:lang w:val="ru-RU"/>
              </w:rPr>
              <w:t xml:space="preserve">-система,  финансовая отчетность, отчеты тендерного отдела </w:t>
            </w:r>
            <w:r>
              <w:rPr>
                <w:rFonts w:hint="default" w:ascii="Times New Roman" w:hAnsi="Times New Roman"/>
                <w:b w:val="0"/>
                <w:bCs w:val="0"/>
                <w:sz w:val="24"/>
                <w:szCs w:val="24"/>
                <w:vertAlign w:val="baseline"/>
                <w:lang w:val="en-US"/>
              </w:rPr>
              <w:t>[35]</w:t>
            </w:r>
          </w:p>
        </w:tc>
      </w:tr>
      <w:tr w14:paraId="691D6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60F7B4C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p w14:paraId="5C58A98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Показатели качества процессов</w:t>
            </w:r>
          </w:p>
        </w:tc>
        <w:tc>
          <w:tcPr>
            <w:tcW w:w="3832" w:type="dxa"/>
          </w:tcPr>
          <w:p w14:paraId="38301B8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Количество отклоненных заявок по вине отдела; доля закупок с нарушением дедлайна; количество замечаний внутреннего аудита; количество выигранных жалоб в ФАС</w:t>
            </w:r>
          </w:p>
        </w:tc>
        <w:tc>
          <w:tcPr>
            <w:tcW w:w="2381" w:type="dxa"/>
          </w:tcPr>
          <w:p w14:paraId="731ADFE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Реестры закупок, протоколы ФАС, данные ЭТП</w:t>
            </w:r>
          </w:p>
        </w:tc>
      </w:tr>
      <w:tr w14:paraId="1AC65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7C8FF33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p w14:paraId="0A384FC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Показатели развития персонала </w:t>
            </w:r>
          </w:p>
        </w:tc>
        <w:tc>
          <w:tcPr>
            <w:tcW w:w="3832" w:type="dxa"/>
          </w:tcPr>
          <w:p w14:paraId="0BB177A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Уровень владения компетенциями; доля сотрудников, прошедших обучение и подтвердивших повышение квалификации; индекс удовлетворенности обучением</w:t>
            </w:r>
          </w:p>
        </w:tc>
        <w:tc>
          <w:tcPr>
            <w:tcW w:w="2381" w:type="dxa"/>
          </w:tcPr>
          <w:p w14:paraId="003F207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Результаты тестирования, опросы, кадровая отчётность </w:t>
            </w:r>
            <w:r>
              <w:rPr>
                <w:rFonts w:hint="default" w:ascii="Times New Roman" w:hAnsi="Times New Roman"/>
                <w:b w:val="0"/>
                <w:bCs w:val="0"/>
                <w:sz w:val="24"/>
                <w:szCs w:val="24"/>
                <w:vertAlign w:val="baseline"/>
                <w:lang w:val="en-US"/>
              </w:rPr>
              <w:t>[40]</w:t>
            </w:r>
          </w:p>
        </w:tc>
      </w:tr>
      <w:tr w14:paraId="505FC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6EAC0E8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en-US"/>
              </w:rPr>
            </w:pPr>
          </w:p>
          <w:p w14:paraId="1D1DDFB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en-US"/>
              </w:rPr>
              <w:t>HR</w:t>
            </w:r>
            <w:r>
              <w:rPr>
                <w:rFonts w:hint="default" w:ascii="Times New Roman" w:hAnsi="Times New Roman"/>
                <w:b w:val="0"/>
                <w:bCs w:val="0"/>
                <w:sz w:val="24"/>
                <w:szCs w:val="24"/>
                <w:vertAlign w:val="baseline"/>
                <w:lang w:val="ru-RU"/>
              </w:rPr>
              <w:t>-показатели процесса обучения</w:t>
            </w:r>
          </w:p>
        </w:tc>
        <w:tc>
          <w:tcPr>
            <w:tcW w:w="3832" w:type="dxa"/>
          </w:tcPr>
          <w:p w14:paraId="49B8404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Доля успешно прошедших итоговый контроль; удовлетворённость руководителей программ обучения; стоимость обучения на одного сотрудника; среднее количество часов обучения на одного сотрудника</w:t>
            </w:r>
          </w:p>
        </w:tc>
        <w:tc>
          <w:tcPr>
            <w:tcW w:w="2381" w:type="dxa"/>
          </w:tcPr>
          <w:p w14:paraId="2BAA156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ru-RU"/>
              </w:rPr>
              <w:t xml:space="preserve">Кадровая отчётность, опросы руководителей, бюджетирование </w:t>
            </w:r>
            <w:r>
              <w:rPr>
                <w:rFonts w:hint="default" w:ascii="Times New Roman" w:hAnsi="Times New Roman"/>
                <w:b w:val="0"/>
                <w:bCs w:val="0"/>
                <w:sz w:val="24"/>
                <w:szCs w:val="24"/>
                <w:vertAlign w:val="baseline"/>
                <w:lang w:val="en-US"/>
              </w:rPr>
              <w:t>[41]</w:t>
            </w:r>
          </w:p>
        </w:tc>
      </w:tr>
    </w:tbl>
    <w:p w14:paraId="096DFC4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752A023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Эффективность обучения тендерных специалистов оценивается с помощью различных инструментов сбора данных, выбор которых зависит от поставленных задач. Методы сбора данных и инструменты оценки можно разделить следующим образом:</w:t>
      </w:r>
    </w:p>
    <w:p w14:paraId="6BFCAF7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Количественные методы:</w:t>
      </w:r>
    </w:p>
    <w:p w14:paraId="398A0805">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Статистический анализ: оценка воронки продаж, коэффициента конверсии и процента  успешных сделок до/после обучения;</w:t>
      </w:r>
    </w:p>
    <w:p w14:paraId="72DCF5B9">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Финансовая оценка обучения: расчёт возврата инвестиций (ROI) по методике Д.Филлипса;</w:t>
      </w:r>
    </w:p>
    <w:p w14:paraId="6A380093">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Оценка знаний: проведение тестирования (входное/выходное) для изменения прироста знаний;</w:t>
      </w:r>
    </w:p>
    <w:p w14:paraId="061D26CE">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Сбор обратной связи: изучение подготовленных тендерных заявок, жалоб и законченных договоров с использованием шкал Лайкерта.</w:t>
      </w:r>
    </w:p>
    <w:p w14:paraId="39541E51">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Качественные методы:</w:t>
      </w:r>
    </w:p>
    <w:p w14:paraId="47EE9ECB">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Интервью: беседы по компетенциям с сотрудникам и их руководителями;</w:t>
      </w:r>
    </w:p>
    <w:p w14:paraId="7681D761">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Ассессмент-центр: деловые игры, кейсы для оценки навыков </w:t>
      </w:r>
    </w:p>
    <w:p w14:paraId="7DBCB208">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Оценка «360 градусов»: комплексная оценка со стороны руководства, коллег и подчинённых;</w:t>
      </w:r>
    </w:p>
    <w:p w14:paraId="0C03BFB3">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Анализ результатов работы: изучение подготовленных заявок, жалоб и договоров </w:t>
      </w:r>
      <w:r>
        <w:rPr>
          <w:rFonts w:hint="default" w:ascii="Times New Roman" w:hAnsi="Times New Roman"/>
          <w:b w:val="0"/>
          <w:bCs w:val="0"/>
          <w:sz w:val="28"/>
          <w:szCs w:val="28"/>
          <w:vertAlign w:val="baseline"/>
          <w:lang w:val="en-US"/>
        </w:rPr>
        <w:t>[38</w:t>
      </w:r>
      <w:r>
        <w:rPr>
          <w:rFonts w:hint="default" w:ascii="Times New Roman" w:hAnsi="Times New Roman"/>
          <w:b w:val="0"/>
          <w:bCs w:val="0"/>
          <w:sz w:val="28"/>
          <w:szCs w:val="28"/>
          <w:vertAlign w:val="baseline"/>
          <w:lang w:val="ru-RU"/>
        </w:rPr>
        <w:t>,41,35</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5419B86A">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Комбинированные подходы предполагают использование нескольких методов одновременно для получения более достоверных результатов. Например, можно сопоставить данные тестирования с реальными показателями деятельности или использовать контрольные группы для выделения чистого эффекта обучения </w:t>
      </w:r>
      <w:r>
        <w:rPr>
          <w:rFonts w:hint="default" w:ascii="Times New Roman" w:hAnsi="Times New Roman"/>
          <w:b w:val="0"/>
          <w:bCs w:val="0"/>
          <w:sz w:val="28"/>
          <w:szCs w:val="28"/>
          <w:vertAlign w:val="baseline"/>
          <w:lang w:val="en-US"/>
        </w:rPr>
        <w:t>[41]</w:t>
      </w:r>
      <w:r>
        <w:rPr>
          <w:rFonts w:hint="default" w:ascii="Times New Roman" w:hAnsi="Times New Roman"/>
          <w:b w:val="0"/>
          <w:bCs w:val="0"/>
          <w:sz w:val="28"/>
          <w:szCs w:val="28"/>
          <w:vertAlign w:val="baseline"/>
          <w:lang w:val="ru-RU"/>
        </w:rPr>
        <w:t>.</w:t>
      </w:r>
    </w:p>
    <w:p w14:paraId="7CC237AA">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Внедрение системы оценки эффективности обучения на практике сталкивается с рядом трудностей:</w:t>
      </w:r>
    </w:p>
    <w:p w14:paraId="5BEC4F23">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1. Методологические проблемы: отсутствие единого стандарта показателей, задержка во времени между обучением и проявлением его результатов, трудность в определении вклада обучения в общий успех (т.к. влияют многочисленные факторы) </w:t>
      </w:r>
    </w:p>
    <w:p w14:paraId="67E6409B">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2. Организационные проблемы: существенные временные и финансовые затраты на проведение всесторонней оценки, сопротивление сотрудников (страх перед оценкой, непонимание целей), отсутствие единой системы хранения данных </w:t>
      </w:r>
    </w:p>
    <w:p w14:paraId="20B169B3">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3. Проблема изоляции эффектов обучения</w:t>
      </w:r>
    </w:p>
    <w:p w14:paraId="751896AF">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Для преодоления этих ограничений рекомендуется использовать комбинацию различных методов оценки, поэтапно внедрять оценочные процедуры, объяснять сотрудникам цели и автоматизировать сбор и анализ данных (например, с помощью CRM-систем).</w:t>
      </w:r>
    </w:p>
    <w:p w14:paraId="3F823CE5">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Анализ показал, что оценка эффективности обучения специалистов по тендерам должна быть комплексной и многогранной. Она должна охватывать реакцию участников, усвоение знаний, изменения в поведении и, главное, бизнес-результаты. В основе лежит модель Киркпатрика из четырёх уровней, а для наиболее важных программ добавляется расчёт ROI по методике Филлипса. Важно проводить отложенную оценку (через 3-6 месяцев) для выявления реальных изменений в работе. Система показателей должна быть сбалансированной, учитывая не только бизнес-результаты, но и качество процессов и развитие сотрудников. Цель – создать непрерывный цикл «диагностика - обучение - оценка - корректировка», чтобы обучение стало инвестицией, повышающей конкурентоспособность компании в закупках.</w:t>
      </w:r>
    </w:p>
    <w:p w14:paraId="54FBE68D">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p>
    <w:p w14:paraId="6DFE3CA9">
      <w:pPr>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br w:type="page"/>
      </w:r>
    </w:p>
    <w:p w14:paraId="38A2800C">
      <w:pPr>
        <w:keepNext w:val="0"/>
        <w:keepLines w:val="0"/>
        <w:pageBreakBefore w:val="0"/>
        <w:numPr>
          <w:ilvl w:val="0"/>
          <w:numId w:val="0"/>
        </w:numPr>
        <w:kinsoku/>
        <w:wordWrap/>
        <w:overflowPunct/>
        <w:topLinePunct w:val="0"/>
        <w:autoSpaceDE/>
        <w:autoSpaceDN/>
        <w:bidi w:val="0"/>
        <w:adjustRightInd/>
        <w:snapToGrid/>
        <w:spacing w:line="360" w:lineRule="auto"/>
        <w:ind w:firstLine="351" w:firstLineChars="125"/>
        <w:jc w:val="both"/>
        <w:textAlignment w:val="auto"/>
        <w:rPr>
          <w:rFonts w:hint="default" w:ascii="Times New Roman" w:hAnsi="Times New Roman"/>
          <w:b/>
          <w:bCs/>
          <w:sz w:val="28"/>
          <w:szCs w:val="28"/>
          <w:vertAlign w:val="baseline"/>
          <w:lang w:val="ru-RU"/>
        </w:rPr>
      </w:pPr>
      <w:r>
        <w:rPr>
          <w:rFonts w:hint="default" w:ascii="Times New Roman" w:hAnsi="Times New Roman"/>
          <w:b/>
          <w:bCs/>
          <w:sz w:val="28"/>
          <w:szCs w:val="28"/>
          <w:vertAlign w:val="baseline"/>
          <w:lang w:val="ru-RU"/>
        </w:rPr>
        <w:t>Выводы по первой главе</w:t>
      </w:r>
    </w:p>
    <w:p w14:paraId="140424C4">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Теоретическое исследование показало, что подготовка тендерных специалистов выступает важным элементом, определяющим успешность деятельности компании. Это обусловлено тем, что уровень профессионализма данных сотрудников прямо сказывается на эффективности всей системы закупок. Ошибки в подготовке документации или нарушение установленных законодательством норм могут повлечь за собой не только срыв контрактов, но репутационные потери. Следовательно, совершенствование системы обучения данной категории персонала становится актуальной задачей.</w:t>
      </w:r>
    </w:p>
    <w:p w14:paraId="3580E5C7">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sz w:val="28"/>
          <w:szCs w:val="28"/>
          <w:vertAlign w:val="baseline"/>
          <w:lang w:val="ru-RU"/>
        </w:rPr>
        <w:t xml:space="preserve">Анализ профессиональных компетенций тендерных специалистов выявил их комплексный характер. Навыки включают в себя знание законодательства (в частности, 44-ФЗ и 223-ФЗ), экономические аспекты (определение НМЦК, анализ прибыльности), владение цифровыми инструментами и торговыми площадками. Учитывая такую структуру требуемых компетенций, необходимо сместить акцент с устаревших методов обучения на программы, ориентированные на практику и формирующие </w:t>
      </w:r>
      <w:r>
        <w:rPr>
          <w:rFonts w:hint="default" w:ascii="Times New Roman" w:hAnsi="Times New Roman"/>
          <w:b w:val="0"/>
          <w:bCs w:val="0"/>
          <w:color w:val="000000" w:themeColor="text1"/>
          <w:sz w:val="28"/>
          <w:szCs w:val="28"/>
          <w:vertAlign w:val="baseline"/>
          <w:lang w:val="ru-RU"/>
          <w14:textFill>
            <w14:solidFill>
              <w14:schemeClr w14:val="tx1"/>
            </w14:solidFill>
          </w14:textFill>
        </w:rPr>
        <w:t xml:space="preserve"> навыки применения знаний в реальных закупочных процедурах.</w:t>
      </w:r>
    </w:p>
    <w:p w14:paraId="7197E103">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color w:val="000000" w:themeColor="text1"/>
          <w:sz w:val="28"/>
          <w:szCs w:val="28"/>
          <w:vertAlign w:val="baseline"/>
          <w:lang w:val="ru-RU"/>
          <w14:textFill>
            <w14:solidFill>
              <w14:schemeClr w14:val="tx1"/>
            </w14:solidFill>
          </w14:textFill>
        </w:rPr>
        <w:t>Анализ существующих методик оценки эффективности обучения выявил необходимость корректировки традиционных моделей Д.Киркпатрика и Филлипса в контексте профессиональной подготовки. Ключевые трудности обусловлены воздействием обстоятельств, независящих от учебного процесса (рыночная конъюнктура, изменения законодательства) и сложностью выделения «чистого» эффекта обучения. Исследование международного опыта позволило определить актуальность направления: анализ активности сотрудников на электронных цифровых площадках и использование сравнительных групп для оценки.</w:t>
      </w:r>
    </w:p>
    <w:p w14:paraId="295395D2">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color w:val="000000" w:themeColor="text1"/>
          <w:sz w:val="28"/>
          <w:szCs w:val="28"/>
          <w:vertAlign w:val="baseline"/>
          <w:lang w:val="ru-RU"/>
          <w14:textFill>
            <w14:solidFill>
              <w14:schemeClr w14:val="tx1"/>
            </w14:solidFill>
          </w14:textFill>
        </w:rPr>
        <w:t>В результате синтеза существующих подходов была создана система критериев, определяющих эффективность обучения. Она включает в себя количественные показатели, качественные  характеристики и бизнес-критерии. Такой подход обеспечивает комплексный анализ влияния обучения на профессиональные компетенции  сотрудников и конечные результаты закупочной деятельности.</w:t>
      </w:r>
    </w:p>
    <w:p w14:paraId="03507A2F">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color w:val="000000" w:themeColor="text1"/>
          <w:sz w:val="28"/>
          <w:szCs w:val="28"/>
          <w:vertAlign w:val="baseline"/>
          <w:lang w:val="ru-RU"/>
          <w14:textFill>
            <w14:solidFill>
              <w14:schemeClr w14:val="tx1"/>
            </w14:solidFill>
          </w14:textFill>
        </w:rPr>
        <w:t>Поставленные в первой главе задачи выполнены, что создает теоретическую базу для последующего анализа существующей системы обучения в ООО «Лайф Медиа» и разработки практических рекомендаций по её совершенствованию.</w:t>
      </w:r>
    </w:p>
    <w:p w14:paraId="72A5300B">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C00000"/>
          <w:sz w:val="28"/>
          <w:szCs w:val="28"/>
          <w:vertAlign w:val="baseline"/>
          <w:lang w:val="ru-RU"/>
        </w:rPr>
      </w:pPr>
    </w:p>
    <w:p w14:paraId="752C9CE6">
      <w:pPr>
        <w:rPr>
          <w:rFonts w:hint="default" w:ascii="Times New Roman" w:hAnsi="Times New Roman"/>
          <w:b w:val="0"/>
          <w:bCs w:val="0"/>
          <w:color w:val="C00000"/>
          <w:sz w:val="28"/>
          <w:szCs w:val="28"/>
          <w:vertAlign w:val="baseline"/>
          <w:lang w:val="ru-RU"/>
        </w:rPr>
      </w:pPr>
      <w:r>
        <w:rPr>
          <w:rFonts w:hint="default" w:ascii="Times New Roman" w:hAnsi="Times New Roman"/>
          <w:b w:val="0"/>
          <w:bCs w:val="0"/>
          <w:color w:val="C00000"/>
          <w:sz w:val="28"/>
          <w:szCs w:val="28"/>
          <w:vertAlign w:val="baseline"/>
          <w:lang w:val="ru-RU"/>
        </w:rPr>
        <w:br w:type="page"/>
      </w:r>
    </w:p>
    <w:p w14:paraId="3D6A801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360" w:lineRule="auto"/>
        <w:ind w:left="200" w:leftChars="0" w:right="200" w:rightChars="100" w:hanging="200" w:hangingChars="71"/>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rPr>
        <w:t>ГЛАВА 2. АНАЛИЗ СИСТЕМЫ ОБУЧЕНИЯ И РАЗВИТИЯ ТЕНДЕРНЫХ СПЕЦИАЛИСТОВ ООО «ЛАЙФ МЕДИА»</w:t>
      </w:r>
    </w:p>
    <w:p w14:paraId="798E5449">
      <w:pPr>
        <w:keepNext w:val="0"/>
        <w:keepLines w:val="0"/>
        <w:pageBreakBefore w:val="0"/>
        <w:numPr>
          <w:ilvl w:val="1"/>
          <w:numId w:val="2"/>
        </w:numPr>
        <w:kinsoku/>
        <w:wordWrap/>
        <w:overflowPunct/>
        <w:topLinePunct w:val="0"/>
        <w:autoSpaceDE/>
        <w:autoSpaceDN/>
        <w:bidi w:val="0"/>
        <w:adjustRightInd/>
        <w:snapToGrid/>
        <w:spacing w:line="360" w:lineRule="auto"/>
        <w:ind w:left="49" w:leftChars="0" w:firstLine="351" w:firstLineChars="0"/>
        <w:jc w:val="both"/>
        <w:textAlignment w:val="auto"/>
        <w:rPr>
          <w:rFonts w:hint="default" w:ascii="Times New Roman" w:hAnsi="Times New Roman"/>
          <w:b/>
          <w:bCs/>
          <w:sz w:val="28"/>
          <w:szCs w:val="28"/>
          <w:lang w:val="ru-RU"/>
        </w:rPr>
      </w:pPr>
      <w:r>
        <w:rPr>
          <w:rFonts w:hint="default" w:ascii="Times New Roman" w:hAnsi="Times New Roman"/>
          <w:b/>
          <w:bCs/>
          <w:sz w:val="28"/>
          <w:szCs w:val="28"/>
          <w:lang w:val="ru-RU"/>
        </w:rPr>
        <w:t xml:space="preserve">Общая характеристика ООО «Лайф Медиа» и структуры закупочной деятельности </w:t>
      </w:r>
    </w:p>
    <w:p w14:paraId="60F809CE">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Общество с ограниченной ответственностью «Лайф Медиа» является активно развивающимся предприятием, специализирующимся на оптовых поставках техники и оборудования. Его успех и динамичное развитие обусловлены активным участием в государственных и корпоративных закупках. Компания была зарегистрирована 16 февраля 2016 года в г.Нижнем Новгороде, и с тех пор успешно работает на рынках B2B и B2G.</w:t>
      </w:r>
    </w:p>
    <w:p w14:paraId="353BE1D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Основная миссия ООО «Лайф Медиа» заключается в предоставлении коммерческим и государственным организациям надёжной техники и оборудования по оптимальным ценам посредством проведения честных конкурентных закупок.   Стратегическая цель компании на среднесрочную перспективу — увеличение доли выигранных тендеров до 25% от общего числа поданных заявок и расширение географии поставок за пределы Приволжского федерального округа.</w:t>
      </w:r>
    </w:p>
    <w:p w14:paraId="485A554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Основные реквизиты и структура управления:</w:t>
      </w:r>
    </w:p>
    <w:p w14:paraId="02D307C1">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Юридический адрес: 603122, Нижегородская область, г. о. город Нижний Новгород, г. Нижний Новгород, ул. Богородского, д. 7, к. 1, кв. 81.</w:t>
      </w:r>
    </w:p>
    <w:p w14:paraId="227AF605">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ОГРН: 1165261050790</w:t>
      </w:r>
    </w:p>
    <w:p w14:paraId="6EEF8E2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ИНН: 5261103730</w:t>
      </w:r>
    </w:p>
    <w:p w14:paraId="1A762FE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Организационно-правовая форма: общество с ограниченной ответственностью</w:t>
      </w:r>
    </w:p>
    <w:p w14:paraId="01B9B7F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Руководитель и учредитель: генеральный директор — Бакаев Кирилл Владимирович</w:t>
      </w:r>
    </w:p>
    <w:p w14:paraId="3A31778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видом деятельности в соответствии с Общероссийским классификатором видов экономической деятельности (ОКВЭД) является 46.14.1 — деятельность агентов по оптовой торговле компьютерной техникой, телекоммуникационным оборудованием и прочим офисным оборудованием. Компания также имеет более 37 дополнительных направлений деятельности, включая онлайн–торговлю офисной мебелью, медицинским оборудованием и автозапчастями, что позволяет ей участвовать в самых разнообразных тендерных процедурах —  от поставок офисного оборудования в школы до оснащения медицинских учреждений.</w:t>
      </w:r>
    </w:p>
    <w:p w14:paraId="593B639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Организационная структура компании является линейно-функциональной, типичной для контрактов малого бизнеса и обеспечивающей высокую эффективность принятия решений. Организацию возглавляет генеральный директор, который обеспечивает общее стратегическое управление и контроль за финансовыми результатами. Следующие ключевые подразделения подчиняются непосредственно генеральному директору:</w:t>
      </w:r>
    </w:p>
    <w:p w14:paraId="19649373">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Тендерный отдел ( 8 специалистов)</w:t>
      </w:r>
    </w:p>
    <w:p w14:paraId="056AD284">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Сотрудники отдела занимаются мониторингом электронных торговых площадок (ЭТП) и единой информационной системы (ЕИС) в поисказ подходящего тендера, анализом конкурсной документации, подготовкой пакета документов для участия в торгах, расчётом начальной минимальной цены контракта (НМЦК), подачей заявок, участие в аукционах, сопровождением заключения контрактов по выигранным торгам.</w:t>
      </w:r>
    </w:p>
    <w:p w14:paraId="61882B55">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логистики и снабжения (3 специалиста)</w:t>
      </w:r>
    </w:p>
    <w:p w14:paraId="4F191019">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задачи отдела входит доставка товаров клиентам, поиск оптимальных логистических решений, контроль сроков поставки, взаимодействие с транспортными компаниями.</w:t>
      </w:r>
    </w:p>
    <w:p w14:paraId="28A8FC3F">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Бухгалтерия (1 специалист);</w:t>
      </w:r>
    </w:p>
    <w:p w14:paraId="26434F12">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Занимается ведением налогового и бухгалтерского учёта, расчётом заработной платы и страховых взносов, оформлением кадровых документов, сдачей отчётов в контролирующие органы (ФНС, СФР).</w:t>
      </w:r>
    </w:p>
    <w:p w14:paraId="32E34DBA">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продаж и взаимодействия с клиентами (4 сотрудника)</w:t>
      </w:r>
    </w:p>
    <w:p w14:paraId="35B55F5E">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занимается частными (нетендерными) заказами, консультирует клиентов по ассортименту и условиям поставки, обрабатывает входящие заявки, сопровождает сделки от выставления счёта до отгрузки товара</w:t>
      </w:r>
    </w:p>
    <w:p w14:paraId="0DEAD148">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Юрисконсульт (специалист по аутсорсингу на контрактной основе);</w:t>
      </w:r>
    </w:p>
    <w:p w14:paraId="23E58F00">
      <w:pPr>
        <w:keepNext w:val="0"/>
        <w:keepLines w:val="0"/>
        <w:pageBreakBefore w:val="0"/>
        <w:widowControl/>
        <w:numPr>
          <w:ilvl w:val="-2"/>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en-US"/>
        </w:rPr>
        <w:t>Консультирует</w:t>
      </w:r>
      <w:r>
        <w:rPr>
          <w:rFonts w:hint="default" w:ascii="Times New Roman" w:hAnsi="Times New Roman"/>
          <w:b w:val="0"/>
          <w:bCs w:val="0"/>
          <w:sz w:val="28"/>
          <w:szCs w:val="28"/>
          <w:lang w:val="ru-RU"/>
        </w:rPr>
        <w:t xml:space="preserve"> по вопросам заключения контрактов, проверяет договорную документацию, участвует в разрешении спорных ситуаций с заказчиками</w:t>
      </w:r>
    </w:p>
    <w:p w14:paraId="303B0BF2">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xml:space="preserve">Системный администратор (1 сотрудник, обеспечивающий работу </w:t>
      </w:r>
      <w:r>
        <w:rPr>
          <w:rFonts w:hint="default" w:ascii="Times New Roman" w:hAnsi="Times New Roman"/>
          <w:b w:val="0"/>
          <w:bCs w:val="0"/>
          <w:sz w:val="28"/>
          <w:szCs w:val="28"/>
          <w:lang w:val="en-US"/>
        </w:rPr>
        <w:t>IT</w:t>
      </w:r>
      <w:r>
        <w:rPr>
          <w:rFonts w:hint="default" w:ascii="Times New Roman" w:hAnsi="Times New Roman"/>
          <w:b w:val="0"/>
          <w:bCs w:val="0"/>
          <w:sz w:val="28"/>
          <w:szCs w:val="28"/>
          <w:lang w:val="ru-RU"/>
        </w:rPr>
        <w:t>-инфраструктуры).</w:t>
      </w:r>
    </w:p>
    <w:p w14:paraId="25582FD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каждом из перечисленных отделов сотрудники подписывают должностную инструкцию, регламентирующую их права, обязанности и ответственность (Приложение 1). Тендерный отдел, являясь центральным подразделением, имеет неформальную внутреннюю специализацию: одни специалисты специализируются на поиске закупок по 44-ФЗ (государственные нужды), другие — по 223-ФЗ (закупки государственных корпораций и естественных монополий), а также есть сотрудники, ответственные за подготовку ценовых предложений и рецензирование контрактов.</w:t>
      </w:r>
    </w:p>
    <w:p w14:paraId="4E2ACBD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Закупочная деятельность ООО «Лайф Медиа» основана на постоянном мониторинге электронных торговых площадок (ЕТП), таких как СберАСТ, РТС-Тендер, ЭТП ГПБ, и Единой информационной системы в сфере закупок (ЕИС). Бизнес-модель компании предполагает поиск лотов, начальная максимальная цена контракта (НМЦК) которых позволяет приобрести оборудование у производителя или дистрибьютора со скидкой, обеспечивающей маржу не менее 10-15%. Процесс участия в тендере включает следующие этапы:</w:t>
      </w:r>
    </w:p>
    <w:p w14:paraId="6FAF3025">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Поиск и анализ закупки (проверка требований заказчика, изучение технического задания);</w:t>
      </w:r>
    </w:p>
    <w:p w14:paraId="3DE80CB5">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Подготовка тендерного предложения (сбор коммерческих предложений от поставщиков, расчёт стоимости, формирование ценового предложения);</w:t>
      </w:r>
    </w:p>
    <w:p w14:paraId="23F4946C">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Подача и обеспечение тендерного предложения (при необходимости —  внесение обеспечения тендерного предложения);</w:t>
      </w:r>
    </w:p>
    <w:p w14:paraId="188C00DA">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Отслеживание результатов тендера и защита интересов компании в случае их обжалования (с привлечением юристконсульта);</w:t>
      </w:r>
    </w:p>
    <w:p w14:paraId="4185D177">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Сопровождение контракта в случае победы (взаимодействие с отделом логистики при отгрузке товара).</w:t>
      </w:r>
    </w:p>
    <w:p w14:paraId="5952E1F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Фундаментальной особенностью деятельности ООО «Лайф Медиа» является полностью удалённый формат работы для большинства сотрудников, и в первую очередь для ключевого тендерного отдела. Такой подход сложился исторически и обусловлен несколькими факторами:</w:t>
      </w:r>
    </w:p>
    <w:p w14:paraId="32B7172F">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Характер деятельности: работа на электронных торговых площадках  и в ЕИС не требует физического присутствия в офисе и может осуществляться из любой точки мира при стабильном подключении к Интернету.</w:t>
      </w:r>
    </w:p>
    <w:p w14:paraId="73489673">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Экономическая эффективность: отсутствие затрат на аренду большого офиса и организацию рабочих мест позволяет компании направлять ресурсы на развитие и мотивацию сотрудников.</w:t>
      </w:r>
    </w:p>
    <w:p w14:paraId="6FB0DF70">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Расширение географии поиска персонала: возможность нанимать лучших специалистов из любого региона, а не только из Нижнего Новгорода.</w:t>
      </w:r>
    </w:p>
    <w:p w14:paraId="5B507E57">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Цифровая инфраструктура компании включает в себя следующие элементы:</w:t>
      </w:r>
    </w:p>
    <w:p w14:paraId="3B419E18">
      <w:pPr>
        <w:keepNext w:val="0"/>
        <w:keepLines w:val="0"/>
        <w:pageBreakBefore w:val="0"/>
        <w:widowControl/>
        <w:numPr>
          <w:ilvl w:val="0"/>
          <w:numId w:val="1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Корпоративный портал и система управления задачами: Битрикс24 используется для координации работы, где распределяются задачи, отслеживаются сроки выполнения,  документооборот;</w:t>
      </w:r>
    </w:p>
    <w:p w14:paraId="47422891">
      <w:pPr>
        <w:keepNext w:val="0"/>
        <w:keepLines w:val="0"/>
        <w:pageBreakBefore w:val="0"/>
        <w:widowControl/>
        <w:numPr>
          <w:ilvl w:val="0"/>
          <w:numId w:val="11"/>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Средства коммуникации: основным каналом оперативной коммуникации является корпоративный мессенджер Битрикс24 со структурированными чатами, Zoom используется для официальных видеоконференций, совещаний по планированию и собеседований.</w:t>
      </w:r>
    </w:p>
    <w:p w14:paraId="1FF094F1">
      <w:pPr>
        <w:keepNext w:val="0"/>
        <w:keepLines w:val="0"/>
        <w:pageBreakBefore w:val="0"/>
        <w:widowControl/>
        <w:numPr>
          <w:ilvl w:val="0"/>
          <w:numId w:val="11"/>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Облачное хранилище: все рабочие документы, шаблоны приложений, регламенты и отчеты хранятся в облаке (Google Workspace/Яндекс.Диск), обеспечивая круглосуточный доступ к актуальной информации для всех сотрудников.</w:t>
      </w:r>
    </w:p>
    <w:p w14:paraId="01401180">
      <w:pPr>
        <w:keepNext w:val="0"/>
        <w:keepLines w:val="0"/>
        <w:pageBreakBefore w:val="0"/>
        <w:widowControl/>
        <w:numPr>
          <w:ilvl w:val="0"/>
          <w:numId w:val="11"/>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Электронный документооборот (ЭДО): кадровые документы и контракты с контрагентами подписываются с использованием электронной подписи, что полностью исключает необходимость личного присутствия.</w:t>
      </w:r>
    </w:p>
    <w:p w14:paraId="70BCF41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Проведём анализ основных финансово-экономических показателей за последние 3 года (2022-2025 гг.), чтобы выявить основные тенденции развития компании и функционирование тендерного отдела (см.табл.1.1.)</w:t>
      </w:r>
    </w:p>
    <w:p w14:paraId="7A965C5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p>
    <w:p w14:paraId="5F9C099F">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00" w:firstLineChars="125"/>
        <w:jc w:val="right"/>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rPr>
        <w:t>Таблица 1.1. Основные финансовые показатели ООО «Лайф Медиа» за 2022-2025 гг.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4"/>
        <w:gridCol w:w="1517"/>
        <w:gridCol w:w="1121"/>
        <w:gridCol w:w="1192"/>
        <w:gridCol w:w="1552"/>
        <w:gridCol w:w="1570"/>
      </w:tblGrid>
      <w:tr w14:paraId="4A3A1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4A0AD29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Показатель</w:t>
            </w:r>
          </w:p>
        </w:tc>
        <w:tc>
          <w:tcPr>
            <w:tcW w:w="1517" w:type="dxa"/>
            <w:vAlign w:val="center"/>
          </w:tcPr>
          <w:p w14:paraId="0858C37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2023</w:t>
            </w:r>
          </w:p>
        </w:tc>
        <w:tc>
          <w:tcPr>
            <w:tcW w:w="1121" w:type="dxa"/>
            <w:vAlign w:val="center"/>
          </w:tcPr>
          <w:p w14:paraId="6F83072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2024</w:t>
            </w:r>
          </w:p>
        </w:tc>
        <w:tc>
          <w:tcPr>
            <w:tcW w:w="1192" w:type="dxa"/>
            <w:vAlign w:val="center"/>
          </w:tcPr>
          <w:p w14:paraId="5E9B630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2025</w:t>
            </w:r>
          </w:p>
        </w:tc>
        <w:tc>
          <w:tcPr>
            <w:tcW w:w="1552" w:type="dxa"/>
            <w:vAlign w:val="center"/>
          </w:tcPr>
          <w:p w14:paraId="33411C6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Абсолютное отклонение (2025 к 2024)</w:t>
            </w:r>
          </w:p>
        </w:tc>
        <w:tc>
          <w:tcPr>
            <w:tcW w:w="1570" w:type="dxa"/>
            <w:vAlign w:val="center"/>
          </w:tcPr>
          <w:p w14:paraId="47455DD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Темп роста 2025/2024, %</w:t>
            </w:r>
          </w:p>
        </w:tc>
      </w:tr>
      <w:tr w14:paraId="2636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011DE2F8">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Общая выручка, тыс.руб.</w:t>
            </w:r>
          </w:p>
        </w:tc>
        <w:tc>
          <w:tcPr>
            <w:tcW w:w="1517" w:type="dxa"/>
            <w:vAlign w:val="center"/>
          </w:tcPr>
          <w:p w14:paraId="40A039F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42 680</w:t>
            </w:r>
          </w:p>
        </w:tc>
        <w:tc>
          <w:tcPr>
            <w:tcW w:w="1121" w:type="dxa"/>
            <w:vAlign w:val="center"/>
          </w:tcPr>
          <w:p w14:paraId="7DEFC6C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44 520</w:t>
            </w:r>
          </w:p>
        </w:tc>
        <w:tc>
          <w:tcPr>
            <w:tcW w:w="1192" w:type="dxa"/>
            <w:vAlign w:val="center"/>
          </w:tcPr>
          <w:p w14:paraId="2E65255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41 350</w:t>
            </w:r>
          </w:p>
        </w:tc>
        <w:tc>
          <w:tcPr>
            <w:tcW w:w="1552" w:type="dxa"/>
            <w:vAlign w:val="center"/>
          </w:tcPr>
          <w:p w14:paraId="0CA0E9D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- 3 170</w:t>
            </w:r>
          </w:p>
        </w:tc>
        <w:tc>
          <w:tcPr>
            <w:tcW w:w="1570" w:type="dxa"/>
            <w:vAlign w:val="center"/>
          </w:tcPr>
          <w:p w14:paraId="3947978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92,9</w:t>
            </w:r>
          </w:p>
        </w:tc>
      </w:tr>
      <w:tr w14:paraId="6BD49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46EDD13">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Выручка от тендерной деятельности, тыс.руб.</w:t>
            </w:r>
          </w:p>
        </w:tc>
        <w:tc>
          <w:tcPr>
            <w:tcW w:w="1517" w:type="dxa"/>
            <w:vAlign w:val="center"/>
          </w:tcPr>
          <w:p w14:paraId="6F01C28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34 120</w:t>
            </w:r>
          </w:p>
        </w:tc>
        <w:tc>
          <w:tcPr>
            <w:tcW w:w="1121" w:type="dxa"/>
            <w:vAlign w:val="center"/>
          </w:tcPr>
          <w:p w14:paraId="1C69CA6C">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35 860</w:t>
            </w:r>
          </w:p>
        </w:tc>
        <w:tc>
          <w:tcPr>
            <w:tcW w:w="1192" w:type="dxa"/>
            <w:vAlign w:val="center"/>
          </w:tcPr>
          <w:p w14:paraId="0F904AF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30 840</w:t>
            </w:r>
          </w:p>
        </w:tc>
        <w:tc>
          <w:tcPr>
            <w:tcW w:w="1552" w:type="dxa"/>
            <w:vAlign w:val="center"/>
          </w:tcPr>
          <w:p w14:paraId="08A9864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- 5 020</w:t>
            </w:r>
          </w:p>
        </w:tc>
        <w:tc>
          <w:tcPr>
            <w:tcW w:w="1570" w:type="dxa"/>
            <w:vAlign w:val="center"/>
          </w:tcPr>
          <w:p w14:paraId="4359E668">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86,0</w:t>
            </w:r>
          </w:p>
        </w:tc>
      </w:tr>
      <w:tr w14:paraId="0904E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7898079B">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Доля тендерной выручки в общей, %</w:t>
            </w:r>
          </w:p>
        </w:tc>
        <w:tc>
          <w:tcPr>
            <w:tcW w:w="1517" w:type="dxa"/>
            <w:vAlign w:val="center"/>
          </w:tcPr>
          <w:p w14:paraId="669608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79,9</w:t>
            </w:r>
          </w:p>
        </w:tc>
        <w:tc>
          <w:tcPr>
            <w:tcW w:w="1121" w:type="dxa"/>
            <w:vAlign w:val="center"/>
          </w:tcPr>
          <w:p w14:paraId="4DB24FB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80,5</w:t>
            </w:r>
          </w:p>
        </w:tc>
        <w:tc>
          <w:tcPr>
            <w:tcW w:w="1192" w:type="dxa"/>
            <w:vAlign w:val="center"/>
          </w:tcPr>
          <w:p w14:paraId="15A236A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74,6</w:t>
            </w:r>
          </w:p>
        </w:tc>
        <w:tc>
          <w:tcPr>
            <w:tcW w:w="1552" w:type="dxa"/>
            <w:vAlign w:val="center"/>
          </w:tcPr>
          <w:p w14:paraId="4AC73B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- 5,9 п.п.</w:t>
            </w:r>
          </w:p>
        </w:tc>
        <w:tc>
          <w:tcPr>
            <w:tcW w:w="1570" w:type="dxa"/>
            <w:vAlign w:val="center"/>
          </w:tcPr>
          <w:p w14:paraId="1EADE6B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w:t>
            </w:r>
          </w:p>
        </w:tc>
      </w:tr>
      <w:tr w14:paraId="70F7E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11751732">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Себестоимость продаж, тыс.руб.</w:t>
            </w:r>
          </w:p>
        </w:tc>
        <w:tc>
          <w:tcPr>
            <w:tcW w:w="1517" w:type="dxa"/>
            <w:vAlign w:val="center"/>
          </w:tcPr>
          <w:p w14:paraId="0798241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31 450</w:t>
            </w:r>
          </w:p>
        </w:tc>
        <w:tc>
          <w:tcPr>
            <w:tcW w:w="1121" w:type="dxa"/>
            <w:vAlign w:val="center"/>
          </w:tcPr>
          <w:p w14:paraId="7F98015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33 620</w:t>
            </w:r>
          </w:p>
        </w:tc>
        <w:tc>
          <w:tcPr>
            <w:tcW w:w="1192" w:type="dxa"/>
            <w:vAlign w:val="center"/>
          </w:tcPr>
          <w:p w14:paraId="68FC3D79">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32 180</w:t>
            </w:r>
          </w:p>
        </w:tc>
        <w:tc>
          <w:tcPr>
            <w:tcW w:w="1552" w:type="dxa"/>
            <w:vAlign w:val="center"/>
          </w:tcPr>
          <w:p w14:paraId="78EC1CF8">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- 1 440</w:t>
            </w:r>
          </w:p>
        </w:tc>
        <w:tc>
          <w:tcPr>
            <w:tcW w:w="1570" w:type="dxa"/>
            <w:vAlign w:val="center"/>
          </w:tcPr>
          <w:p w14:paraId="056B5B0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95,7</w:t>
            </w:r>
          </w:p>
        </w:tc>
      </w:tr>
      <w:tr w14:paraId="36683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5806BAAE">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Валовая прибыль, тыс.руб.</w:t>
            </w:r>
          </w:p>
        </w:tc>
        <w:tc>
          <w:tcPr>
            <w:tcW w:w="1517" w:type="dxa"/>
            <w:vAlign w:val="center"/>
          </w:tcPr>
          <w:p w14:paraId="1E8099F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11 230</w:t>
            </w:r>
          </w:p>
        </w:tc>
        <w:tc>
          <w:tcPr>
            <w:tcW w:w="1121" w:type="dxa"/>
            <w:vAlign w:val="center"/>
          </w:tcPr>
          <w:p w14:paraId="2617C63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10 900</w:t>
            </w:r>
          </w:p>
        </w:tc>
        <w:tc>
          <w:tcPr>
            <w:tcW w:w="1192" w:type="dxa"/>
            <w:vAlign w:val="center"/>
          </w:tcPr>
          <w:p w14:paraId="71E29F3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9 170</w:t>
            </w:r>
          </w:p>
        </w:tc>
        <w:tc>
          <w:tcPr>
            <w:tcW w:w="1552" w:type="dxa"/>
            <w:vAlign w:val="center"/>
          </w:tcPr>
          <w:p w14:paraId="4E2B974B">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- 1 730</w:t>
            </w:r>
          </w:p>
        </w:tc>
        <w:tc>
          <w:tcPr>
            <w:tcW w:w="1570" w:type="dxa"/>
            <w:vAlign w:val="center"/>
          </w:tcPr>
          <w:p w14:paraId="314AC88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84.1</w:t>
            </w:r>
          </w:p>
        </w:tc>
      </w:tr>
      <w:tr w14:paraId="1A4AA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75B18C19">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Коммерческие расходы, тыс.руб.</w:t>
            </w:r>
          </w:p>
        </w:tc>
        <w:tc>
          <w:tcPr>
            <w:tcW w:w="1517" w:type="dxa"/>
            <w:vAlign w:val="center"/>
          </w:tcPr>
          <w:p w14:paraId="7F0A6C34">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360" w:firstLineChars="150"/>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 3 080</w:t>
            </w:r>
          </w:p>
        </w:tc>
        <w:tc>
          <w:tcPr>
            <w:tcW w:w="1121" w:type="dxa"/>
            <w:vAlign w:val="center"/>
          </w:tcPr>
          <w:p w14:paraId="5B29A7F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3 260</w:t>
            </w:r>
          </w:p>
        </w:tc>
        <w:tc>
          <w:tcPr>
            <w:tcW w:w="1192" w:type="dxa"/>
            <w:vAlign w:val="center"/>
          </w:tcPr>
          <w:p w14:paraId="59BC0CF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3 190</w:t>
            </w:r>
          </w:p>
        </w:tc>
        <w:tc>
          <w:tcPr>
            <w:tcW w:w="1552" w:type="dxa"/>
            <w:vAlign w:val="center"/>
          </w:tcPr>
          <w:p w14:paraId="11ECACC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- 70</w:t>
            </w:r>
          </w:p>
        </w:tc>
        <w:tc>
          <w:tcPr>
            <w:tcW w:w="1570" w:type="dxa"/>
            <w:vAlign w:val="center"/>
          </w:tcPr>
          <w:p w14:paraId="456C461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97,9</w:t>
            </w:r>
          </w:p>
        </w:tc>
      </w:tr>
      <w:tr w14:paraId="17B5A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4E37D8AB">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Управленские расходы, тыс.руб.</w:t>
            </w:r>
          </w:p>
        </w:tc>
        <w:tc>
          <w:tcPr>
            <w:tcW w:w="1517" w:type="dxa"/>
            <w:vAlign w:val="center"/>
          </w:tcPr>
          <w:p w14:paraId="0A0C1B6C">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3 150</w:t>
            </w:r>
          </w:p>
        </w:tc>
        <w:tc>
          <w:tcPr>
            <w:tcW w:w="1121" w:type="dxa"/>
            <w:vAlign w:val="center"/>
          </w:tcPr>
          <w:p w14:paraId="24E851A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3 240</w:t>
            </w:r>
          </w:p>
        </w:tc>
        <w:tc>
          <w:tcPr>
            <w:tcW w:w="1192" w:type="dxa"/>
            <w:vAlign w:val="center"/>
          </w:tcPr>
          <w:p w14:paraId="11A75F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3 210</w:t>
            </w:r>
          </w:p>
        </w:tc>
        <w:tc>
          <w:tcPr>
            <w:tcW w:w="1552" w:type="dxa"/>
            <w:vAlign w:val="center"/>
          </w:tcPr>
          <w:p w14:paraId="2B97388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- 30</w:t>
            </w:r>
          </w:p>
        </w:tc>
        <w:tc>
          <w:tcPr>
            <w:tcW w:w="1570" w:type="dxa"/>
            <w:vAlign w:val="center"/>
          </w:tcPr>
          <w:p w14:paraId="642DA7C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99,1</w:t>
            </w:r>
          </w:p>
        </w:tc>
      </w:tr>
      <w:tr w14:paraId="5A24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A98C1CA">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Прибыль от продаж, тыс.руб.</w:t>
            </w:r>
          </w:p>
        </w:tc>
        <w:tc>
          <w:tcPr>
            <w:tcW w:w="1517" w:type="dxa"/>
            <w:vAlign w:val="center"/>
          </w:tcPr>
          <w:p w14:paraId="34164DF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5 000</w:t>
            </w:r>
          </w:p>
        </w:tc>
        <w:tc>
          <w:tcPr>
            <w:tcW w:w="1121" w:type="dxa"/>
            <w:vAlign w:val="center"/>
          </w:tcPr>
          <w:p w14:paraId="5333155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4 400</w:t>
            </w:r>
          </w:p>
        </w:tc>
        <w:tc>
          <w:tcPr>
            <w:tcW w:w="1192" w:type="dxa"/>
            <w:vAlign w:val="center"/>
          </w:tcPr>
          <w:p w14:paraId="1CAE9EE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2 770</w:t>
            </w:r>
          </w:p>
        </w:tc>
        <w:tc>
          <w:tcPr>
            <w:tcW w:w="1552" w:type="dxa"/>
            <w:vAlign w:val="center"/>
          </w:tcPr>
          <w:p w14:paraId="0562407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- 1 630</w:t>
            </w:r>
          </w:p>
        </w:tc>
        <w:tc>
          <w:tcPr>
            <w:tcW w:w="1570" w:type="dxa"/>
            <w:vAlign w:val="center"/>
          </w:tcPr>
          <w:p w14:paraId="43530A73">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63,0</w:t>
            </w:r>
          </w:p>
        </w:tc>
      </w:tr>
      <w:tr w14:paraId="5C6BE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2B850D9">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Чистая прибыль, тыс.руб.</w:t>
            </w:r>
          </w:p>
        </w:tc>
        <w:tc>
          <w:tcPr>
            <w:tcW w:w="1517" w:type="dxa"/>
            <w:vAlign w:val="center"/>
          </w:tcPr>
          <w:p w14:paraId="5261B96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4 000</w:t>
            </w:r>
          </w:p>
        </w:tc>
        <w:tc>
          <w:tcPr>
            <w:tcW w:w="1121" w:type="dxa"/>
            <w:vAlign w:val="center"/>
          </w:tcPr>
          <w:p w14:paraId="5C64289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3 520</w:t>
            </w:r>
          </w:p>
        </w:tc>
        <w:tc>
          <w:tcPr>
            <w:tcW w:w="1192" w:type="dxa"/>
            <w:vAlign w:val="center"/>
          </w:tcPr>
          <w:p w14:paraId="71D2B3A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2 216</w:t>
            </w:r>
          </w:p>
        </w:tc>
        <w:tc>
          <w:tcPr>
            <w:tcW w:w="1552" w:type="dxa"/>
            <w:vAlign w:val="center"/>
          </w:tcPr>
          <w:p w14:paraId="2F35F2D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- 1 304</w:t>
            </w:r>
          </w:p>
        </w:tc>
        <w:tc>
          <w:tcPr>
            <w:tcW w:w="1570" w:type="dxa"/>
            <w:vAlign w:val="center"/>
          </w:tcPr>
          <w:p w14:paraId="595B584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63,0</w:t>
            </w:r>
          </w:p>
        </w:tc>
      </w:tr>
    </w:tbl>
    <w:p w14:paraId="0330813D">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lang w:val="ru-RU"/>
        </w:rPr>
      </w:pPr>
    </w:p>
    <w:p w14:paraId="2C71D4F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Из таблицы 1.1. видно, что за анализируемый период общая выручка ООО «Лайф Медиа» сократилась на 7,9% и составила в 2025 году 41,3 млн.руб. При этом выручка от тендерной деятельности снизилась ощутимее —  на 14% и составила 30,8 млн.руб. Валовая прибыль снизилась на 15,9% и составила 9,1 млн.руб. Управленческие и коммерческие расходы практически не изменились и остались на том же уровне, не сокращаясь вслед за падением доходов. В итоге прибыль от продаж и чистая прибыль упали на 37%, составив 2,7 млн.руб. и 2,2 млн.руб. соответственно. Компания сохраняет положительную прибыль, однако ухудшение показателей требует анализа эффективности работы ключевого подразделения — тендерного отдела.</w:t>
      </w:r>
    </w:p>
    <w:p w14:paraId="2142D3B0">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p>
    <w:p w14:paraId="199DC25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1" w:firstLineChars="125"/>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rPr>
        <w:t>2.2. Анализ системы управления персоналом ООО «Лайф Медиа»</w:t>
      </w:r>
    </w:p>
    <w:p w14:paraId="74509818">
      <w:pPr>
        <w:spacing w:after="120" w:line="360" w:lineRule="auto"/>
        <w:ind w:firstLine="700"/>
        <w:jc w:val="both"/>
      </w:pPr>
      <w:r>
        <w:rPr>
          <w:rFonts w:ascii="Times New Roman" w:hAnsi="Times New Roman"/>
          <w:b w:val="0"/>
          <w:sz w:val="28"/>
        </w:rPr>
        <w:t>Система управления персоналом ООО «Лайф Медиа» формируется с уч</w:t>
      </w:r>
      <w:r>
        <w:rPr>
          <w:rFonts w:ascii="Times New Roman" w:hAnsi="Times New Roman"/>
          <w:b w:val="0"/>
          <w:sz w:val="28"/>
          <w:lang w:val="ru-RU"/>
        </w:rPr>
        <w:t>ё</w:t>
      </w:r>
      <w:r>
        <w:rPr>
          <w:rFonts w:ascii="Times New Roman" w:hAnsi="Times New Roman"/>
          <w:b w:val="0"/>
          <w:sz w:val="28"/>
        </w:rPr>
        <w:t>том двух особенностей предприятия: малого масштаба бизнеса и полностью удал</w:t>
      </w:r>
      <w:r>
        <w:rPr>
          <w:rFonts w:ascii="Times New Roman" w:hAnsi="Times New Roman"/>
          <w:b w:val="0"/>
          <w:sz w:val="28"/>
          <w:lang w:val="ru-RU"/>
        </w:rPr>
        <w:t>ё</w:t>
      </w:r>
      <w:r>
        <w:rPr>
          <w:rFonts w:ascii="Times New Roman" w:hAnsi="Times New Roman"/>
          <w:b w:val="0"/>
          <w:sz w:val="28"/>
        </w:rPr>
        <w:t>нного формата работы большинства сотрудников. В компании отсутствует самостоятельная HR-служба, поэтому кадровые функции распределены между несколькими участниками управления. Генеральный директор принимает ключевые кадровые решения и определяет требования к персоналу, руководитель тендерного отдела участвует в подборе, оценке и текущей координации специалистов, бухгалтерия обеспечивает кадровое делопроизводство, расч</w:t>
      </w:r>
      <w:r>
        <w:rPr>
          <w:rFonts w:ascii="Times New Roman" w:hAnsi="Times New Roman"/>
          <w:b w:val="0"/>
          <w:sz w:val="28"/>
          <w:lang w:val="ru-RU"/>
        </w:rPr>
        <w:t>ё</w:t>
      </w:r>
      <w:r>
        <w:rPr>
          <w:rFonts w:ascii="Times New Roman" w:hAnsi="Times New Roman"/>
          <w:b w:val="0"/>
          <w:sz w:val="28"/>
        </w:rPr>
        <w:t>т заработной платы и оформление обязательных документов.</w:t>
      </w:r>
    </w:p>
    <w:p w14:paraId="4EB788E4">
      <w:pPr>
        <w:spacing w:after="120" w:line="360" w:lineRule="auto"/>
        <w:ind w:firstLine="700"/>
        <w:jc w:val="both"/>
      </w:pPr>
      <w:r>
        <w:rPr>
          <w:rFonts w:ascii="Times New Roman" w:hAnsi="Times New Roman"/>
          <w:b w:val="0"/>
          <w:sz w:val="28"/>
        </w:rPr>
        <w:t>Такое распределение функций типично для малого предприятия, однако оно делает систему управления персоналом зависимой от текущей загрузки руководителей. Отдельные кадровые процессы выполняются, но не всегда оформлены как единая последовательность: подбор запускается под конкретную вакансию, адаптация проходит преимущественно в рабочем процессе, а развитие сотрудников не выделено в самостоятельное направление управления.</w:t>
      </w:r>
    </w:p>
    <w:p w14:paraId="75978D2A">
      <w:pPr>
        <w:spacing w:after="120" w:line="360" w:lineRule="auto"/>
        <w:ind w:firstLine="700"/>
        <w:jc w:val="both"/>
      </w:pPr>
      <w:r>
        <w:rPr>
          <w:rFonts w:ascii="Times New Roman" w:hAnsi="Times New Roman"/>
          <w:b w:val="0"/>
          <w:sz w:val="28"/>
        </w:rPr>
        <w:t>Поиск персонала носит проектный характер и чаще всего связан с потребностями тендерного отдела. Основными каналами привлечения выступают hh.ru, Авито, Работа.ru и профессиональные рекомендации. Важным преимуществом работодателя является удал</w:t>
      </w:r>
      <w:r>
        <w:rPr>
          <w:rFonts w:ascii="Times New Roman" w:hAnsi="Times New Roman"/>
          <w:b w:val="0"/>
          <w:sz w:val="28"/>
          <w:lang w:val="ru-RU"/>
        </w:rPr>
        <w:t>ё</w:t>
      </w:r>
      <w:r>
        <w:rPr>
          <w:rFonts w:ascii="Times New Roman" w:hAnsi="Times New Roman"/>
          <w:b w:val="0"/>
          <w:sz w:val="28"/>
        </w:rPr>
        <w:t>нный формат, позволяющий привлекать кандидатов не только из Нижнего Новгорода, но и из других регионов. При этом удал</w:t>
      </w:r>
      <w:r>
        <w:rPr>
          <w:rFonts w:ascii="Times New Roman" w:hAnsi="Times New Roman"/>
          <w:b w:val="0"/>
          <w:sz w:val="28"/>
          <w:lang w:val="ru-RU"/>
        </w:rPr>
        <w:t>ё</w:t>
      </w:r>
      <w:r>
        <w:rPr>
          <w:rFonts w:ascii="Times New Roman" w:hAnsi="Times New Roman"/>
          <w:b w:val="0"/>
          <w:sz w:val="28"/>
        </w:rPr>
        <w:t>нная занятость повышает требования к самостоятельности, цифровой дисциплине и умению работать с электронными документами.</w:t>
      </w:r>
    </w:p>
    <w:p w14:paraId="359267C0">
      <w:pPr>
        <w:spacing w:after="120" w:line="360" w:lineRule="auto"/>
        <w:ind w:firstLine="700"/>
        <w:jc w:val="both"/>
      </w:pPr>
      <w:r>
        <w:rPr>
          <w:rFonts w:ascii="Times New Roman" w:hAnsi="Times New Roman"/>
          <w:b w:val="0"/>
          <w:sz w:val="28"/>
        </w:rPr>
        <w:t>Отбор кандидатов построен по классической воронке. Сначала проводится скрининг резюме с уч</w:t>
      </w:r>
      <w:r>
        <w:rPr>
          <w:rFonts w:ascii="Times New Roman" w:hAnsi="Times New Roman"/>
          <w:b w:val="0"/>
          <w:sz w:val="28"/>
          <w:lang w:val="ru-RU"/>
        </w:rPr>
        <w:t>ё</w:t>
      </w:r>
      <w:r>
        <w:rPr>
          <w:rFonts w:ascii="Times New Roman" w:hAnsi="Times New Roman"/>
          <w:b w:val="0"/>
          <w:sz w:val="28"/>
        </w:rPr>
        <w:t>том опыта работы с 44-ФЗ и 223-ФЗ, затем телефонное интервью с руководителем отдела, после чего кандидат выполняет тестовое задание на основе реальных рабочих ситуаций: анализ документации, расчет НМЦК, выявление ошибок в заявке. Финальный этап включает видеоинтервью с генеральным директором и оформление через электронный документооборот. При</w:t>
      </w:r>
      <w:r>
        <w:rPr>
          <w:rFonts w:ascii="Times New Roman" w:hAnsi="Times New Roman"/>
          <w:b w:val="0"/>
          <w:sz w:val="28"/>
          <w:lang w:val="ru-RU"/>
        </w:rPr>
        <w:t>ё</w:t>
      </w:r>
      <w:r>
        <w:rPr>
          <w:rFonts w:ascii="Times New Roman" w:hAnsi="Times New Roman"/>
          <w:b w:val="0"/>
          <w:sz w:val="28"/>
        </w:rPr>
        <w:t>м на работу сопровождается получением электронных копий документов, подготовкой трудового договора, приказа о пр</w:t>
      </w:r>
      <w:r>
        <w:rPr>
          <w:rFonts w:ascii="Times New Roman" w:hAnsi="Times New Roman"/>
          <w:b w:val="0"/>
          <w:sz w:val="28"/>
          <w:lang w:val="ru-RU"/>
        </w:rPr>
        <w:t>иё</w:t>
      </w:r>
      <w:r>
        <w:rPr>
          <w:rFonts w:ascii="Times New Roman" w:hAnsi="Times New Roman"/>
          <w:b w:val="0"/>
          <w:sz w:val="28"/>
        </w:rPr>
        <w:t>ме, ознакомлением с должностной инструкцией и внесением сведений в электронную трудовую книжку.</w:t>
      </w:r>
    </w:p>
    <w:p w14:paraId="4A0AA29F">
      <w:pPr>
        <w:spacing w:after="120" w:line="360" w:lineRule="auto"/>
        <w:ind w:firstLine="700"/>
        <w:jc w:val="both"/>
        <w:rPr>
          <w:rFonts w:hint="default"/>
          <w:lang w:val="ru-RU"/>
        </w:rPr>
      </w:pPr>
      <w:r>
        <w:rPr>
          <w:rFonts w:ascii="Times New Roman" w:hAnsi="Times New Roman"/>
          <w:b w:val="0"/>
          <w:sz w:val="28"/>
        </w:rPr>
        <w:t>Кадровый потенциал компании во многом определяется тендерным отделом, так как он обеспечивает основную часть выручки. Поэтому анализ структуры персонала целесообразно начинать с оценки численности и роли подразделений</w:t>
      </w:r>
      <w:r>
        <w:rPr>
          <w:rFonts w:hint="default" w:ascii="Times New Roman" w:hAnsi="Times New Roman"/>
          <w:b w:val="0"/>
          <w:sz w:val="28"/>
          <w:lang w:val="ru-RU"/>
        </w:rPr>
        <w:t xml:space="preserve"> (см.табл.2.1.).</w:t>
      </w:r>
    </w:p>
    <w:p w14:paraId="3BC8CF81">
      <w:pPr>
        <w:spacing w:after="120" w:line="360" w:lineRule="auto"/>
        <w:jc w:val="right"/>
        <w:rPr>
          <w:sz w:val="24"/>
          <w:szCs w:val="24"/>
        </w:rPr>
      </w:pPr>
      <w:r>
        <w:rPr>
          <w:rFonts w:ascii="Times New Roman" w:hAnsi="Times New Roman"/>
          <w:b w:val="0"/>
          <w:sz w:val="24"/>
          <w:szCs w:val="24"/>
        </w:rPr>
        <w:t>Таблица 2.1. Структура персонала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B71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8BB0900">
            <w:pPr>
              <w:widowControl w:val="0"/>
              <w:jc w:val="center"/>
              <w:rPr>
                <w:b w:val="0"/>
                <w:bCs/>
              </w:rPr>
            </w:pPr>
            <w:r>
              <w:rPr>
                <w:rFonts w:ascii="Times New Roman" w:hAnsi="Times New Roman"/>
                <w:b w:val="0"/>
                <w:bCs/>
                <w:sz w:val="24"/>
              </w:rPr>
              <w:t>Категория персонала</w:t>
            </w:r>
          </w:p>
        </w:tc>
        <w:tc>
          <w:tcPr>
            <w:tcW w:w="3118" w:type="dxa"/>
          </w:tcPr>
          <w:p w14:paraId="1A1521E5">
            <w:pPr>
              <w:widowControl w:val="0"/>
              <w:jc w:val="center"/>
              <w:rPr>
                <w:b w:val="0"/>
                <w:bCs/>
              </w:rPr>
            </w:pPr>
            <w:r>
              <w:rPr>
                <w:rFonts w:ascii="Times New Roman" w:hAnsi="Times New Roman"/>
                <w:b w:val="0"/>
                <w:bCs/>
                <w:sz w:val="24"/>
              </w:rPr>
              <w:t>Подразделение</w:t>
            </w:r>
          </w:p>
        </w:tc>
        <w:tc>
          <w:tcPr>
            <w:tcW w:w="3118" w:type="dxa"/>
          </w:tcPr>
          <w:p w14:paraId="1134C011">
            <w:pPr>
              <w:widowControl w:val="0"/>
              <w:jc w:val="center"/>
              <w:rPr>
                <w:b w:val="0"/>
                <w:bCs/>
              </w:rPr>
            </w:pPr>
            <w:r>
              <w:rPr>
                <w:rFonts w:ascii="Times New Roman" w:hAnsi="Times New Roman"/>
                <w:b w:val="0"/>
                <w:bCs/>
                <w:sz w:val="24"/>
              </w:rPr>
              <w:t>Количество, чел.</w:t>
            </w:r>
          </w:p>
        </w:tc>
      </w:tr>
      <w:tr w14:paraId="37733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360BD09">
            <w:pPr>
              <w:widowControl w:val="0"/>
              <w:jc w:val="both"/>
            </w:pPr>
            <w:r>
              <w:rPr>
                <w:rFonts w:ascii="Times New Roman" w:hAnsi="Times New Roman"/>
                <w:sz w:val="24"/>
              </w:rPr>
              <w:t>Основной персонал</w:t>
            </w:r>
          </w:p>
        </w:tc>
        <w:tc>
          <w:tcPr>
            <w:tcW w:w="3118" w:type="dxa"/>
          </w:tcPr>
          <w:p w14:paraId="4912AF8E">
            <w:pPr>
              <w:widowControl w:val="0"/>
              <w:jc w:val="both"/>
            </w:pPr>
            <w:r>
              <w:rPr>
                <w:rFonts w:ascii="Times New Roman" w:hAnsi="Times New Roman"/>
                <w:sz w:val="24"/>
              </w:rPr>
              <w:t>Тендерный отдел</w:t>
            </w:r>
          </w:p>
        </w:tc>
        <w:tc>
          <w:tcPr>
            <w:tcW w:w="3118" w:type="dxa"/>
          </w:tcPr>
          <w:p w14:paraId="2933C2D0">
            <w:pPr>
              <w:widowControl w:val="0"/>
              <w:jc w:val="center"/>
            </w:pPr>
            <w:r>
              <w:rPr>
                <w:rFonts w:ascii="Times New Roman" w:hAnsi="Times New Roman"/>
                <w:sz w:val="24"/>
              </w:rPr>
              <w:t>8</w:t>
            </w:r>
          </w:p>
        </w:tc>
      </w:tr>
      <w:tr w14:paraId="04830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C99569A">
            <w:pPr>
              <w:widowControl w:val="0"/>
              <w:jc w:val="both"/>
            </w:pPr>
            <w:r>
              <w:rPr>
                <w:rFonts w:ascii="Times New Roman" w:hAnsi="Times New Roman"/>
                <w:sz w:val="24"/>
              </w:rPr>
              <w:t>Вспомогательный персонал</w:t>
            </w:r>
          </w:p>
        </w:tc>
        <w:tc>
          <w:tcPr>
            <w:tcW w:w="3118" w:type="dxa"/>
          </w:tcPr>
          <w:p w14:paraId="6EB1435D">
            <w:pPr>
              <w:widowControl w:val="0"/>
              <w:jc w:val="both"/>
            </w:pPr>
            <w:r>
              <w:rPr>
                <w:rFonts w:ascii="Times New Roman" w:hAnsi="Times New Roman"/>
                <w:sz w:val="24"/>
              </w:rPr>
              <w:t>Отдел логистики и поставок</w:t>
            </w:r>
          </w:p>
        </w:tc>
        <w:tc>
          <w:tcPr>
            <w:tcW w:w="3118" w:type="dxa"/>
          </w:tcPr>
          <w:p w14:paraId="7A394153">
            <w:pPr>
              <w:widowControl w:val="0"/>
              <w:jc w:val="center"/>
            </w:pPr>
            <w:r>
              <w:rPr>
                <w:rFonts w:ascii="Times New Roman" w:hAnsi="Times New Roman"/>
                <w:sz w:val="24"/>
              </w:rPr>
              <w:t>3</w:t>
            </w:r>
          </w:p>
        </w:tc>
      </w:tr>
      <w:tr w14:paraId="7B483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BB9EA01">
            <w:pPr>
              <w:widowControl w:val="0"/>
              <w:jc w:val="both"/>
            </w:pPr>
            <w:r>
              <w:rPr>
                <w:rFonts w:ascii="Times New Roman" w:hAnsi="Times New Roman"/>
                <w:sz w:val="24"/>
              </w:rPr>
              <w:t>Коммерческий персонал</w:t>
            </w:r>
          </w:p>
        </w:tc>
        <w:tc>
          <w:tcPr>
            <w:tcW w:w="3118" w:type="dxa"/>
          </w:tcPr>
          <w:p w14:paraId="02027662">
            <w:pPr>
              <w:widowControl w:val="0"/>
              <w:jc w:val="both"/>
            </w:pPr>
            <w:r>
              <w:rPr>
                <w:rFonts w:ascii="Times New Roman" w:hAnsi="Times New Roman"/>
                <w:sz w:val="24"/>
              </w:rPr>
              <w:t>Отдел продаж</w:t>
            </w:r>
          </w:p>
        </w:tc>
        <w:tc>
          <w:tcPr>
            <w:tcW w:w="3118" w:type="dxa"/>
          </w:tcPr>
          <w:p w14:paraId="4567988D">
            <w:pPr>
              <w:widowControl w:val="0"/>
              <w:jc w:val="center"/>
            </w:pPr>
            <w:r>
              <w:rPr>
                <w:rFonts w:ascii="Times New Roman" w:hAnsi="Times New Roman"/>
                <w:sz w:val="24"/>
              </w:rPr>
              <w:t>4</w:t>
            </w:r>
          </w:p>
        </w:tc>
      </w:tr>
      <w:tr w14:paraId="59FD4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76CF844">
            <w:pPr>
              <w:widowControl w:val="0"/>
              <w:jc w:val="both"/>
            </w:pPr>
            <w:r>
              <w:rPr>
                <w:rFonts w:ascii="Times New Roman" w:hAnsi="Times New Roman"/>
                <w:sz w:val="24"/>
              </w:rPr>
              <w:t>Административно-управленческий персонал</w:t>
            </w:r>
          </w:p>
        </w:tc>
        <w:tc>
          <w:tcPr>
            <w:tcW w:w="3118" w:type="dxa"/>
          </w:tcPr>
          <w:p w14:paraId="496399DD">
            <w:pPr>
              <w:widowControl w:val="0"/>
              <w:jc w:val="both"/>
            </w:pPr>
            <w:r>
              <w:rPr>
                <w:rFonts w:ascii="Times New Roman" w:hAnsi="Times New Roman"/>
                <w:sz w:val="24"/>
              </w:rPr>
              <w:t>Бухгалтерия, системный администратор</w:t>
            </w:r>
          </w:p>
        </w:tc>
        <w:tc>
          <w:tcPr>
            <w:tcW w:w="3118" w:type="dxa"/>
          </w:tcPr>
          <w:p w14:paraId="2AA95519">
            <w:pPr>
              <w:widowControl w:val="0"/>
              <w:jc w:val="center"/>
            </w:pPr>
            <w:r>
              <w:rPr>
                <w:rFonts w:ascii="Times New Roman" w:hAnsi="Times New Roman"/>
                <w:sz w:val="24"/>
              </w:rPr>
              <w:t>2</w:t>
            </w:r>
          </w:p>
        </w:tc>
      </w:tr>
      <w:tr w14:paraId="796E9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37294DD">
            <w:pPr>
              <w:widowControl w:val="0"/>
              <w:jc w:val="both"/>
            </w:pPr>
            <w:r>
              <w:rPr>
                <w:rFonts w:ascii="Times New Roman" w:hAnsi="Times New Roman"/>
                <w:sz w:val="24"/>
              </w:rPr>
              <w:t>Итого</w:t>
            </w:r>
          </w:p>
        </w:tc>
        <w:tc>
          <w:tcPr>
            <w:tcW w:w="3118" w:type="dxa"/>
          </w:tcPr>
          <w:p w14:paraId="4EF3A9EC">
            <w:pPr>
              <w:widowControl w:val="0"/>
              <w:jc w:val="both"/>
            </w:pPr>
          </w:p>
        </w:tc>
        <w:tc>
          <w:tcPr>
            <w:tcW w:w="3118" w:type="dxa"/>
          </w:tcPr>
          <w:p w14:paraId="0430D3EC">
            <w:pPr>
              <w:widowControl w:val="0"/>
              <w:jc w:val="center"/>
            </w:pPr>
            <w:r>
              <w:rPr>
                <w:rFonts w:ascii="Times New Roman" w:hAnsi="Times New Roman"/>
                <w:sz w:val="24"/>
              </w:rPr>
              <w:t>17</w:t>
            </w:r>
          </w:p>
        </w:tc>
      </w:tr>
    </w:tbl>
    <w:p w14:paraId="6197A2F8">
      <w:pPr>
        <w:spacing w:after="120" w:line="360" w:lineRule="auto"/>
        <w:ind w:firstLine="700"/>
        <w:jc w:val="both"/>
      </w:pPr>
    </w:p>
    <w:p w14:paraId="2FD6C8A9">
      <w:pPr>
        <w:spacing w:after="120" w:line="360" w:lineRule="auto"/>
        <w:ind w:firstLine="700"/>
        <w:jc w:val="both"/>
      </w:pPr>
      <w:r>
        <w:rPr>
          <w:rFonts w:ascii="Times New Roman" w:hAnsi="Times New Roman"/>
          <w:b w:val="0"/>
          <w:sz w:val="28"/>
        </w:rPr>
        <w:t>Из таблицы видно, что тендерные специалисты составляют крупнейшую группу персонала — 8 человек из 17. Это подтверждает приоритетность данного подразделения для бизнес-модели предприятия. Логистика и продажи обеспечивают сопровождение контрактов и работу с частными заказами, а административно-управленческий блок представлен минимальным составом, что соответствует масштабу малого бизнеса.</w:t>
      </w:r>
    </w:p>
    <w:p w14:paraId="399828B9">
      <w:pPr>
        <w:spacing w:after="120" w:line="360" w:lineRule="auto"/>
        <w:ind w:firstLine="700"/>
        <w:jc w:val="both"/>
        <w:rPr>
          <w:rFonts w:ascii="Times New Roman" w:hAnsi="Times New Roman"/>
          <w:b w:val="0"/>
          <w:sz w:val="28"/>
        </w:rPr>
      </w:pPr>
      <w:r>
        <w:rPr>
          <w:rFonts w:ascii="Times New Roman" w:hAnsi="Times New Roman"/>
          <w:b w:val="0"/>
          <w:sz w:val="28"/>
        </w:rPr>
        <w:t>Для оценки устойчивости кадрового состава были рассмотрены возраст, стаж работы и уровень образования сотрудников тендерного отдел</w:t>
      </w:r>
      <w:r>
        <w:rPr>
          <w:rFonts w:ascii="Times New Roman" w:hAnsi="Times New Roman"/>
          <w:b w:val="0"/>
          <w:sz w:val="28"/>
          <w:lang w:val="ru-RU"/>
        </w:rPr>
        <w:t>а</w:t>
      </w:r>
      <w:r>
        <w:rPr>
          <w:rFonts w:hint="default" w:ascii="Times New Roman" w:hAnsi="Times New Roman"/>
          <w:b w:val="0"/>
          <w:sz w:val="28"/>
          <w:lang w:val="ru-RU"/>
        </w:rPr>
        <w:t xml:space="preserve"> (см.табл.2.2-2.4.)</w:t>
      </w:r>
      <w:r>
        <w:rPr>
          <w:rFonts w:ascii="Times New Roman" w:hAnsi="Times New Roman"/>
          <w:b w:val="0"/>
          <w:sz w:val="28"/>
        </w:rPr>
        <w:t>.</w:t>
      </w:r>
    </w:p>
    <w:p w14:paraId="24096CEC">
      <w:pPr>
        <w:spacing w:after="120" w:line="360" w:lineRule="auto"/>
        <w:ind w:firstLine="700"/>
        <w:jc w:val="both"/>
        <w:rPr>
          <w:rFonts w:ascii="Times New Roman" w:hAnsi="Times New Roman"/>
          <w:b w:val="0"/>
          <w:sz w:val="28"/>
        </w:rPr>
      </w:pPr>
    </w:p>
    <w:p w14:paraId="087BFED9">
      <w:pPr>
        <w:spacing w:after="120" w:line="360" w:lineRule="auto"/>
        <w:ind w:firstLine="700"/>
        <w:jc w:val="both"/>
        <w:rPr>
          <w:rFonts w:ascii="Times New Roman" w:hAnsi="Times New Roman"/>
          <w:b w:val="0"/>
          <w:sz w:val="28"/>
        </w:rPr>
      </w:pPr>
    </w:p>
    <w:p w14:paraId="13E9017C">
      <w:pPr>
        <w:spacing w:after="120" w:line="360" w:lineRule="auto"/>
        <w:jc w:val="right"/>
        <w:rPr>
          <w:sz w:val="18"/>
          <w:szCs w:val="18"/>
        </w:rPr>
      </w:pPr>
      <w:r>
        <w:rPr>
          <w:rFonts w:ascii="Times New Roman" w:hAnsi="Times New Roman"/>
          <w:b w:val="0"/>
          <w:sz w:val="24"/>
          <w:szCs w:val="18"/>
        </w:rPr>
        <w:t>Таблица 2.2. Возрастная структура тендерных специалистов ООО «Лайф Медиа»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6AEE1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9D1A175">
            <w:pPr>
              <w:widowControl w:val="0"/>
              <w:jc w:val="both"/>
              <w:rPr>
                <w:b w:val="0"/>
                <w:bCs/>
              </w:rPr>
            </w:pPr>
            <w:r>
              <w:rPr>
                <w:rFonts w:ascii="Times New Roman" w:hAnsi="Times New Roman"/>
                <w:b w:val="0"/>
                <w:bCs/>
                <w:sz w:val="24"/>
              </w:rPr>
              <w:t>Возрастная группа</w:t>
            </w:r>
          </w:p>
        </w:tc>
        <w:tc>
          <w:tcPr>
            <w:tcW w:w="3118" w:type="dxa"/>
          </w:tcPr>
          <w:p w14:paraId="09C407A7">
            <w:pPr>
              <w:widowControl w:val="0"/>
              <w:jc w:val="both"/>
              <w:rPr>
                <w:b w:val="0"/>
                <w:bCs/>
              </w:rPr>
            </w:pPr>
            <w:r>
              <w:rPr>
                <w:rFonts w:ascii="Times New Roman" w:hAnsi="Times New Roman"/>
                <w:b w:val="0"/>
                <w:bCs/>
                <w:sz w:val="24"/>
              </w:rPr>
              <w:t>Количество, чел.</w:t>
            </w:r>
          </w:p>
        </w:tc>
        <w:tc>
          <w:tcPr>
            <w:tcW w:w="3118" w:type="dxa"/>
          </w:tcPr>
          <w:p w14:paraId="2D587BFE">
            <w:pPr>
              <w:widowControl w:val="0"/>
              <w:jc w:val="both"/>
              <w:rPr>
                <w:b w:val="0"/>
                <w:bCs/>
              </w:rPr>
            </w:pPr>
            <w:r>
              <w:rPr>
                <w:rFonts w:ascii="Times New Roman" w:hAnsi="Times New Roman"/>
                <w:b w:val="0"/>
                <w:bCs/>
                <w:sz w:val="24"/>
              </w:rPr>
              <w:t>Доля, %</w:t>
            </w:r>
          </w:p>
        </w:tc>
      </w:tr>
      <w:tr w14:paraId="3A8C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116144F">
            <w:pPr>
              <w:widowControl w:val="0"/>
              <w:jc w:val="both"/>
            </w:pPr>
            <w:r>
              <w:rPr>
                <w:rFonts w:ascii="Times New Roman" w:hAnsi="Times New Roman"/>
                <w:sz w:val="24"/>
              </w:rPr>
              <w:t>До 25 лет</w:t>
            </w:r>
          </w:p>
        </w:tc>
        <w:tc>
          <w:tcPr>
            <w:tcW w:w="3118" w:type="dxa"/>
          </w:tcPr>
          <w:p w14:paraId="4A452016">
            <w:pPr>
              <w:widowControl w:val="0"/>
              <w:jc w:val="center"/>
            </w:pPr>
            <w:r>
              <w:rPr>
                <w:rFonts w:ascii="Times New Roman" w:hAnsi="Times New Roman"/>
                <w:sz w:val="24"/>
              </w:rPr>
              <w:t>2</w:t>
            </w:r>
          </w:p>
        </w:tc>
        <w:tc>
          <w:tcPr>
            <w:tcW w:w="3118" w:type="dxa"/>
          </w:tcPr>
          <w:p w14:paraId="1EB2975B">
            <w:pPr>
              <w:widowControl w:val="0"/>
              <w:jc w:val="center"/>
            </w:pPr>
            <w:r>
              <w:rPr>
                <w:rFonts w:ascii="Times New Roman" w:hAnsi="Times New Roman"/>
                <w:sz w:val="24"/>
              </w:rPr>
              <w:t>25,0</w:t>
            </w:r>
          </w:p>
        </w:tc>
      </w:tr>
      <w:tr w14:paraId="0EC9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E2C7B74">
            <w:pPr>
              <w:widowControl w:val="0"/>
              <w:jc w:val="both"/>
            </w:pPr>
            <w:r>
              <w:rPr>
                <w:rFonts w:ascii="Times New Roman" w:hAnsi="Times New Roman"/>
                <w:sz w:val="24"/>
              </w:rPr>
              <w:t>25-35 лет</w:t>
            </w:r>
          </w:p>
        </w:tc>
        <w:tc>
          <w:tcPr>
            <w:tcW w:w="3118" w:type="dxa"/>
          </w:tcPr>
          <w:p w14:paraId="2FCADC3E">
            <w:pPr>
              <w:widowControl w:val="0"/>
              <w:jc w:val="center"/>
            </w:pPr>
            <w:r>
              <w:rPr>
                <w:rFonts w:ascii="Times New Roman" w:hAnsi="Times New Roman"/>
                <w:sz w:val="24"/>
              </w:rPr>
              <w:t>5</w:t>
            </w:r>
          </w:p>
        </w:tc>
        <w:tc>
          <w:tcPr>
            <w:tcW w:w="3118" w:type="dxa"/>
          </w:tcPr>
          <w:p w14:paraId="19E29200">
            <w:pPr>
              <w:widowControl w:val="0"/>
              <w:jc w:val="center"/>
            </w:pPr>
            <w:r>
              <w:rPr>
                <w:rFonts w:ascii="Times New Roman" w:hAnsi="Times New Roman"/>
                <w:sz w:val="24"/>
              </w:rPr>
              <w:t>62,5</w:t>
            </w:r>
          </w:p>
        </w:tc>
      </w:tr>
      <w:tr w14:paraId="1802E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E6C907D">
            <w:pPr>
              <w:widowControl w:val="0"/>
              <w:jc w:val="both"/>
            </w:pPr>
            <w:r>
              <w:rPr>
                <w:rFonts w:ascii="Times New Roman" w:hAnsi="Times New Roman"/>
                <w:sz w:val="24"/>
              </w:rPr>
              <w:t>36-45 лет</w:t>
            </w:r>
          </w:p>
        </w:tc>
        <w:tc>
          <w:tcPr>
            <w:tcW w:w="3118" w:type="dxa"/>
          </w:tcPr>
          <w:p w14:paraId="19E5DDAF">
            <w:pPr>
              <w:widowControl w:val="0"/>
              <w:jc w:val="center"/>
            </w:pPr>
            <w:r>
              <w:rPr>
                <w:rFonts w:ascii="Times New Roman" w:hAnsi="Times New Roman"/>
                <w:sz w:val="24"/>
              </w:rPr>
              <w:t>1</w:t>
            </w:r>
          </w:p>
        </w:tc>
        <w:tc>
          <w:tcPr>
            <w:tcW w:w="3118" w:type="dxa"/>
          </w:tcPr>
          <w:p w14:paraId="112DC88D">
            <w:pPr>
              <w:widowControl w:val="0"/>
              <w:jc w:val="center"/>
            </w:pPr>
            <w:r>
              <w:rPr>
                <w:rFonts w:ascii="Times New Roman" w:hAnsi="Times New Roman"/>
                <w:sz w:val="24"/>
              </w:rPr>
              <w:t>12,5</w:t>
            </w:r>
          </w:p>
        </w:tc>
      </w:tr>
      <w:tr w14:paraId="7E9D8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4A656F0">
            <w:pPr>
              <w:widowControl w:val="0"/>
              <w:jc w:val="both"/>
            </w:pPr>
            <w:r>
              <w:rPr>
                <w:rFonts w:ascii="Times New Roman" w:hAnsi="Times New Roman"/>
                <w:sz w:val="24"/>
              </w:rPr>
              <w:t>Старше 45 лет</w:t>
            </w:r>
          </w:p>
        </w:tc>
        <w:tc>
          <w:tcPr>
            <w:tcW w:w="3118" w:type="dxa"/>
          </w:tcPr>
          <w:p w14:paraId="6C8B4B02">
            <w:pPr>
              <w:widowControl w:val="0"/>
              <w:jc w:val="center"/>
            </w:pPr>
            <w:r>
              <w:rPr>
                <w:rFonts w:ascii="Times New Roman" w:hAnsi="Times New Roman"/>
                <w:sz w:val="24"/>
              </w:rPr>
              <w:t>0</w:t>
            </w:r>
          </w:p>
        </w:tc>
        <w:tc>
          <w:tcPr>
            <w:tcW w:w="3118" w:type="dxa"/>
          </w:tcPr>
          <w:p w14:paraId="59B36ECC">
            <w:pPr>
              <w:widowControl w:val="0"/>
              <w:jc w:val="center"/>
            </w:pPr>
            <w:r>
              <w:rPr>
                <w:rFonts w:ascii="Times New Roman" w:hAnsi="Times New Roman"/>
                <w:sz w:val="24"/>
              </w:rPr>
              <w:t>0</w:t>
            </w:r>
          </w:p>
        </w:tc>
      </w:tr>
    </w:tbl>
    <w:p w14:paraId="59BFA3A7">
      <w:pPr>
        <w:spacing w:after="120" w:line="360" w:lineRule="auto"/>
        <w:ind w:firstLine="700"/>
        <w:jc w:val="both"/>
      </w:pPr>
    </w:p>
    <w:p w14:paraId="6B87EC72">
      <w:pPr>
        <w:spacing w:after="120" w:line="360" w:lineRule="auto"/>
        <w:jc w:val="right"/>
        <w:rPr>
          <w:sz w:val="18"/>
          <w:szCs w:val="18"/>
        </w:rPr>
      </w:pPr>
      <w:r>
        <w:rPr>
          <w:rFonts w:ascii="Times New Roman" w:hAnsi="Times New Roman"/>
          <w:b w:val="0"/>
          <w:sz w:val="24"/>
          <w:szCs w:val="18"/>
        </w:rPr>
        <w:t>Таблица 2.3. Структура тендерных специалистов по продолжительности работы в ООО «Лайф Медиа»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4C249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B728FF">
            <w:pPr>
              <w:widowControl w:val="0"/>
              <w:jc w:val="center"/>
              <w:rPr>
                <w:b w:val="0"/>
                <w:bCs/>
              </w:rPr>
            </w:pPr>
            <w:r>
              <w:rPr>
                <w:rFonts w:ascii="Times New Roman" w:hAnsi="Times New Roman"/>
                <w:b w:val="0"/>
                <w:bCs/>
                <w:sz w:val="24"/>
              </w:rPr>
              <w:t>Стаж в компании</w:t>
            </w:r>
          </w:p>
        </w:tc>
        <w:tc>
          <w:tcPr>
            <w:tcW w:w="3118" w:type="dxa"/>
          </w:tcPr>
          <w:p w14:paraId="286DFCB9">
            <w:pPr>
              <w:widowControl w:val="0"/>
              <w:jc w:val="center"/>
              <w:rPr>
                <w:b w:val="0"/>
                <w:bCs/>
              </w:rPr>
            </w:pPr>
            <w:r>
              <w:rPr>
                <w:rFonts w:ascii="Times New Roman" w:hAnsi="Times New Roman"/>
                <w:b w:val="0"/>
                <w:bCs/>
                <w:sz w:val="24"/>
              </w:rPr>
              <w:t>Количество, чел.</w:t>
            </w:r>
          </w:p>
        </w:tc>
        <w:tc>
          <w:tcPr>
            <w:tcW w:w="3118" w:type="dxa"/>
          </w:tcPr>
          <w:p w14:paraId="7C663C3B">
            <w:pPr>
              <w:widowControl w:val="0"/>
              <w:jc w:val="center"/>
              <w:rPr>
                <w:b w:val="0"/>
                <w:bCs/>
              </w:rPr>
            </w:pPr>
            <w:r>
              <w:rPr>
                <w:rFonts w:ascii="Times New Roman" w:hAnsi="Times New Roman"/>
                <w:b w:val="0"/>
                <w:bCs/>
                <w:sz w:val="24"/>
              </w:rPr>
              <w:t>Доля, %</w:t>
            </w:r>
          </w:p>
        </w:tc>
      </w:tr>
      <w:tr w14:paraId="4F8A2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85EF0FC">
            <w:pPr>
              <w:widowControl w:val="0"/>
              <w:jc w:val="left"/>
            </w:pPr>
            <w:r>
              <w:rPr>
                <w:rFonts w:ascii="Times New Roman" w:hAnsi="Times New Roman"/>
                <w:sz w:val="24"/>
              </w:rPr>
              <w:t>Менее 3 месяцев</w:t>
            </w:r>
          </w:p>
        </w:tc>
        <w:tc>
          <w:tcPr>
            <w:tcW w:w="3118" w:type="dxa"/>
          </w:tcPr>
          <w:p w14:paraId="78CBC6F4">
            <w:pPr>
              <w:widowControl w:val="0"/>
              <w:jc w:val="center"/>
            </w:pPr>
            <w:r>
              <w:rPr>
                <w:rFonts w:ascii="Times New Roman" w:hAnsi="Times New Roman"/>
                <w:sz w:val="24"/>
              </w:rPr>
              <w:t>2</w:t>
            </w:r>
          </w:p>
        </w:tc>
        <w:tc>
          <w:tcPr>
            <w:tcW w:w="3118" w:type="dxa"/>
          </w:tcPr>
          <w:p w14:paraId="78CB4B68">
            <w:pPr>
              <w:widowControl w:val="0"/>
              <w:jc w:val="center"/>
            </w:pPr>
            <w:r>
              <w:rPr>
                <w:rFonts w:ascii="Times New Roman" w:hAnsi="Times New Roman"/>
                <w:sz w:val="24"/>
              </w:rPr>
              <w:t>25,0</w:t>
            </w:r>
          </w:p>
        </w:tc>
      </w:tr>
      <w:tr w14:paraId="3253D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D094033">
            <w:pPr>
              <w:widowControl w:val="0"/>
              <w:jc w:val="left"/>
            </w:pPr>
            <w:r>
              <w:rPr>
                <w:rFonts w:ascii="Times New Roman" w:hAnsi="Times New Roman"/>
                <w:sz w:val="24"/>
              </w:rPr>
              <w:t>От 3 до 6 месяцев</w:t>
            </w:r>
          </w:p>
        </w:tc>
        <w:tc>
          <w:tcPr>
            <w:tcW w:w="3118" w:type="dxa"/>
          </w:tcPr>
          <w:p w14:paraId="59244FEB">
            <w:pPr>
              <w:widowControl w:val="0"/>
              <w:jc w:val="center"/>
            </w:pPr>
            <w:r>
              <w:rPr>
                <w:rFonts w:ascii="Times New Roman" w:hAnsi="Times New Roman"/>
                <w:sz w:val="24"/>
              </w:rPr>
              <w:t>1</w:t>
            </w:r>
          </w:p>
        </w:tc>
        <w:tc>
          <w:tcPr>
            <w:tcW w:w="3118" w:type="dxa"/>
          </w:tcPr>
          <w:p w14:paraId="0BAEBF85">
            <w:pPr>
              <w:widowControl w:val="0"/>
              <w:jc w:val="center"/>
            </w:pPr>
            <w:r>
              <w:rPr>
                <w:rFonts w:ascii="Times New Roman" w:hAnsi="Times New Roman"/>
                <w:sz w:val="24"/>
              </w:rPr>
              <w:t>12,5</w:t>
            </w:r>
          </w:p>
        </w:tc>
      </w:tr>
      <w:tr w14:paraId="24ED7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6A6954">
            <w:pPr>
              <w:widowControl w:val="0"/>
              <w:jc w:val="left"/>
            </w:pPr>
            <w:r>
              <w:rPr>
                <w:rFonts w:ascii="Times New Roman" w:hAnsi="Times New Roman"/>
                <w:sz w:val="24"/>
              </w:rPr>
              <w:t>От 6 до 12 месяцев</w:t>
            </w:r>
          </w:p>
        </w:tc>
        <w:tc>
          <w:tcPr>
            <w:tcW w:w="3118" w:type="dxa"/>
          </w:tcPr>
          <w:p w14:paraId="3CC08993">
            <w:pPr>
              <w:widowControl w:val="0"/>
              <w:jc w:val="center"/>
            </w:pPr>
            <w:r>
              <w:rPr>
                <w:rFonts w:ascii="Times New Roman" w:hAnsi="Times New Roman"/>
                <w:sz w:val="24"/>
              </w:rPr>
              <w:t>2</w:t>
            </w:r>
          </w:p>
        </w:tc>
        <w:tc>
          <w:tcPr>
            <w:tcW w:w="3118" w:type="dxa"/>
          </w:tcPr>
          <w:p w14:paraId="638982D7">
            <w:pPr>
              <w:widowControl w:val="0"/>
              <w:jc w:val="center"/>
            </w:pPr>
            <w:r>
              <w:rPr>
                <w:rFonts w:ascii="Times New Roman" w:hAnsi="Times New Roman"/>
                <w:sz w:val="24"/>
              </w:rPr>
              <w:t>25,0</w:t>
            </w:r>
          </w:p>
        </w:tc>
      </w:tr>
      <w:tr w14:paraId="55F52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7380A37">
            <w:pPr>
              <w:widowControl w:val="0"/>
              <w:jc w:val="left"/>
            </w:pPr>
            <w:r>
              <w:rPr>
                <w:rFonts w:ascii="Times New Roman" w:hAnsi="Times New Roman"/>
                <w:sz w:val="24"/>
              </w:rPr>
              <w:t>От 1 до 2 лет</w:t>
            </w:r>
          </w:p>
        </w:tc>
        <w:tc>
          <w:tcPr>
            <w:tcW w:w="3118" w:type="dxa"/>
          </w:tcPr>
          <w:p w14:paraId="35B6596D">
            <w:pPr>
              <w:widowControl w:val="0"/>
              <w:jc w:val="center"/>
            </w:pPr>
            <w:r>
              <w:rPr>
                <w:rFonts w:ascii="Times New Roman" w:hAnsi="Times New Roman"/>
                <w:sz w:val="24"/>
              </w:rPr>
              <w:t>1</w:t>
            </w:r>
          </w:p>
        </w:tc>
        <w:tc>
          <w:tcPr>
            <w:tcW w:w="3118" w:type="dxa"/>
          </w:tcPr>
          <w:p w14:paraId="2F390803">
            <w:pPr>
              <w:widowControl w:val="0"/>
              <w:jc w:val="center"/>
            </w:pPr>
            <w:r>
              <w:rPr>
                <w:rFonts w:ascii="Times New Roman" w:hAnsi="Times New Roman"/>
                <w:sz w:val="24"/>
              </w:rPr>
              <w:t>12,5</w:t>
            </w:r>
          </w:p>
        </w:tc>
      </w:tr>
      <w:tr w14:paraId="17E6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949EC51">
            <w:pPr>
              <w:widowControl w:val="0"/>
              <w:jc w:val="left"/>
            </w:pPr>
            <w:r>
              <w:rPr>
                <w:rFonts w:ascii="Times New Roman" w:hAnsi="Times New Roman"/>
                <w:sz w:val="24"/>
              </w:rPr>
              <w:t>Более 2 лет</w:t>
            </w:r>
          </w:p>
        </w:tc>
        <w:tc>
          <w:tcPr>
            <w:tcW w:w="3118" w:type="dxa"/>
          </w:tcPr>
          <w:p w14:paraId="1D792DF9">
            <w:pPr>
              <w:widowControl w:val="0"/>
              <w:jc w:val="center"/>
            </w:pPr>
            <w:r>
              <w:rPr>
                <w:rFonts w:ascii="Times New Roman" w:hAnsi="Times New Roman"/>
                <w:sz w:val="24"/>
              </w:rPr>
              <w:t>2</w:t>
            </w:r>
          </w:p>
        </w:tc>
        <w:tc>
          <w:tcPr>
            <w:tcW w:w="3118" w:type="dxa"/>
          </w:tcPr>
          <w:p w14:paraId="1C6C86AE">
            <w:pPr>
              <w:widowControl w:val="0"/>
              <w:jc w:val="center"/>
            </w:pPr>
            <w:r>
              <w:rPr>
                <w:rFonts w:ascii="Times New Roman" w:hAnsi="Times New Roman"/>
                <w:sz w:val="24"/>
              </w:rPr>
              <w:t>25,0</w:t>
            </w:r>
          </w:p>
        </w:tc>
      </w:tr>
    </w:tbl>
    <w:p w14:paraId="0EE41526">
      <w:pPr>
        <w:spacing w:after="120" w:line="360" w:lineRule="auto"/>
        <w:ind w:firstLine="700"/>
        <w:jc w:val="center"/>
      </w:pPr>
    </w:p>
    <w:p w14:paraId="28E04785">
      <w:pPr>
        <w:spacing w:after="120" w:line="360" w:lineRule="auto"/>
        <w:jc w:val="right"/>
        <w:rPr>
          <w:sz w:val="24"/>
          <w:szCs w:val="24"/>
        </w:rPr>
      </w:pPr>
      <w:r>
        <w:rPr>
          <w:rFonts w:ascii="Times New Roman" w:hAnsi="Times New Roman"/>
          <w:b w:val="0"/>
          <w:sz w:val="24"/>
          <w:szCs w:val="24"/>
        </w:rPr>
        <w:t>Таблица 2.4. Уровень образования специалистов тендерного отдела ООО «Лайф Медиа»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5F49C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23903AE">
            <w:pPr>
              <w:widowControl w:val="0"/>
              <w:jc w:val="center"/>
              <w:rPr>
                <w:b w:val="0"/>
                <w:bCs/>
              </w:rPr>
            </w:pPr>
            <w:r>
              <w:rPr>
                <w:rFonts w:ascii="Times New Roman" w:hAnsi="Times New Roman"/>
                <w:b w:val="0"/>
                <w:bCs/>
                <w:sz w:val="24"/>
              </w:rPr>
              <w:t>Уровень образования</w:t>
            </w:r>
          </w:p>
        </w:tc>
        <w:tc>
          <w:tcPr>
            <w:tcW w:w="3118" w:type="dxa"/>
          </w:tcPr>
          <w:p w14:paraId="46F7DD53">
            <w:pPr>
              <w:widowControl w:val="0"/>
              <w:jc w:val="center"/>
              <w:rPr>
                <w:b w:val="0"/>
                <w:bCs/>
              </w:rPr>
            </w:pPr>
            <w:r>
              <w:rPr>
                <w:rFonts w:ascii="Times New Roman" w:hAnsi="Times New Roman"/>
                <w:b w:val="0"/>
                <w:bCs/>
                <w:sz w:val="24"/>
              </w:rPr>
              <w:t>Количество, чел.</w:t>
            </w:r>
          </w:p>
        </w:tc>
        <w:tc>
          <w:tcPr>
            <w:tcW w:w="3118" w:type="dxa"/>
          </w:tcPr>
          <w:p w14:paraId="6CA0CFBA">
            <w:pPr>
              <w:widowControl w:val="0"/>
              <w:jc w:val="center"/>
              <w:rPr>
                <w:b w:val="0"/>
                <w:bCs/>
              </w:rPr>
            </w:pPr>
            <w:r>
              <w:rPr>
                <w:rFonts w:ascii="Times New Roman" w:hAnsi="Times New Roman"/>
                <w:b w:val="0"/>
                <w:bCs/>
                <w:sz w:val="24"/>
              </w:rPr>
              <w:t>Доля, %</w:t>
            </w:r>
          </w:p>
        </w:tc>
      </w:tr>
      <w:tr w14:paraId="45DF9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A32696C">
            <w:pPr>
              <w:widowControl w:val="0"/>
              <w:jc w:val="both"/>
            </w:pPr>
            <w:r>
              <w:rPr>
                <w:rFonts w:ascii="Times New Roman" w:hAnsi="Times New Roman"/>
                <w:sz w:val="24"/>
              </w:rPr>
              <w:t>Высшее профильное (экономика/менеджмент)</w:t>
            </w:r>
          </w:p>
        </w:tc>
        <w:tc>
          <w:tcPr>
            <w:tcW w:w="3118" w:type="dxa"/>
          </w:tcPr>
          <w:p w14:paraId="09200554">
            <w:pPr>
              <w:widowControl w:val="0"/>
              <w:jc w:val="center"/>
            </w:pPr>
            <w:r>
              <w:rPr>
                <w:rFonts w:ascii="Times New Roman" w:hAnsi="Times New Roman"/>
                <w:sz w:val="24"/>
              </w:rPr>
              <w:t>3</w:t>
            </w:r>
          </w:p>
        </w:tc>
        <w:tc>
          <w:tcPr>
            <w:tcW w:w="3118" w:type="dxa"/>
          </w:tcPr>
          <w:p w14:paraId="3F6C2D04">
            <w:pPr>
              <w:widowControl w:val="0"/>
              <w:jc w:val="center"/>
            </w:pPr>
            <w:r>
              <w:rPr>
                <w:rFonts w:ascii="Times New Roman" w:hAnsi="Times New Roman"/>
                <w:sz w:val="24"/>
              </w:rPr>
              <w:t>37,5</w:t>
            </w:r>
          </w:p>
        </w:tc>
      </w:tr>
      <w:tr w14:paraId="7144B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642C008">
            <w:pPr>
              <w:widowControl w:val="0"/>
              <w:jc w:val="both"/>
            </w:pPr>
            <w:r>
              <w:rPr>
                <w:rFonts w:ascii="Times New Roman" w:hAnsi="Times New Roman"/>
                <w:sz w:val="24"/>
              </w:rPr>
              <w:t>Высшее непрофильное</w:t>
            </w:r>
          </w:p>
        </w:tc>
        <w:tc>
          <w:tcPr>
            <w:tcW w:w="3118" w:type="dxa"/>
          </w:tcPr>
          <w:p w14:paraId="382FF2B7">
            <w:pPr>
              <w:widowControl w:val="0"/>
              <w:jc w:val="center"/>
            </w:pPr>
            <w:r>
              <w:rPr>
                <w:rFonts w:ascii="Times New Roman" w:hAnsi="Times New Roman"/>
                <w:sz w:val="24"/>
              </w:rPr>
              <w:t>4</w:t>
            </w:r>
          </w:p>
        </w:tc>
        <w:tc>
          <w:tcPr>
            <w:tcW w:w="3118" w:type="dxa"/>
          </w:tcPr>
          <w:p w14:paraId="7FABE1C5">
            <w:pPr>
              <w:widowControl w:val="0"/>
              <w:jc w:val="center"/>
            </w:pPr>
            <w:r>
              <w:rPr>
                <w:rFonts w:ascii="Times New Roman" w:hAnsi="Times New Roman"/>
                <w:sz w:val="24"/>
              </w:rPr>
              <w:t>50,0</w:t>
            </w:r>
          </w:p>
        </w:tc>
      </w:tr>
      <w:tr w14:paraId="7C675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C74B734">
            <w:pPr>
              <w:widowControl w:val="0"/>
              <w:jc w:val="both"/>
            </w:pPr>
            <w:r>
              <w:rPr>
                <w:rFonts w:ascii="Times New Roman" w:hAnsi="Times New Roman"/>
                <w:sz w:val="24"/>
              </w:rPr>
              <w:t>Среднее профессиональное</w:t>
            </w:r>
          </w:p>
        </w:tc>
        <w:tc>
          <w:tcPr>
            <w:tcW w:w="3118" w:type="dxa"/>
          </w:tcPr>
          <w:p w14:paraId="16E51624">
            <w:pPr>
              <w:widowControl w:val="0"/>
              <w:jc w:val="center"/>
            </w:pPr>
            <w:r>
              <w:rPr>
                <w:rFonts w:ascii="Times New Roman" w:hAnsi="Times New Roman"/>
                <w:sz w:val="24"/>
              </w:rPr>
              <w:t>1</w:t>
            </w:r>
          </w:p>
        </w:tc>
        <w:tc>
          <w:tcPr>
            <w:tcW w:w="3118" w:type="dxa"/>
          </w:tcPr>
          <w:p w14:paraId="3E870898">
            <w:pPr>
              <w:widowControl w:val="0"/>
              <w:jc w:val="center"/>
            </w:pPr>
            <w:r>
              <w:rPr>
                <w:rFonts w:ascii="Times New Roman" w:hAnsi="Times New Roman"/>
                <w:sz w:val="24"/>
              </w:rPr>
              <w:t>12,5</w:t>
            </w:r>
          </w:p>
        </w:tc>
      </w:tr>
    </w:tbl>
    <w:p w14:paraId="7BA5A4D2">
      <w:pPr>
        <w:spacing w:after="120" w:line="360" w:lineRule="auto"/>
        <w:ind w:firstLine="700"/>
        <w:jc w:val="both"/>
      </w:pPr>
    </w:p>
    <w:p w14:paraId="4E6557BD">
      <w:pPr>
        <w:spacing w:after="120" w:line="360" w:lineRule="auto"/>
        <w:ind w:firstLine="700"/>
        <w:jc w:val="both"/>
      </w:pPr>
      <w:r>
        <w:rPr>
          <w:rFonts w:ascii="Times New Roman" w:hAnsi="Times New Roman"/>
          <w:b w:val="0"/>
          <w:sz w:val="28"/>
        </w:rPr>
        <w:t>Представленные данные показывают, что тендерный отдел состоит преимущественно из молодых сотрудников: 7 из 8 специалистов находятся в возрасте до 35 лет. Это созда</w:t>
      </w:r>
      <w:r>
        <w:rPr>
          <w:rFonts w:ascii="Times New Roman" w:hAnsi="Times New Roman"/>
          <w:b w:val="0"/>
          <w:sz w:val="28"/>
          <w:lang w:val="ru-RU"/>
        </w:rPr>
        <w:t>ё</w:t>
      </w:r>
      <w:r>
        <w:rPr>
          <w:rFonts w:ascii="Times New Roman" w:hAnsi="Times New Roman"/>
          <w:b w:val="0"/>
          <w:sz w:val="28"/>
        </w:rPr>
        <w:t>т потенциал для освоения цифровых инструментов и профессионального роста. Одновременно структура стажа указывает на недостаточную устойчивость кадрового состава: 5 сотрудников, или 62,5%, работают в компании менее одного года, а стаж более двух лет имеют только 2 человека. Следовательно, в отделе ограничена доля работников, которые могут выступать носителями устойчивого опыта.</w:t>
      </w:r>
    </w:p>
    <w:p w14:paraId="540C0331">
      <w:pPr>
        <w:spacing w:after="120" w:line="360" w:lineRule="auto"/>
        <w:ind w:firstLine="700"/>
        <w:jc w:val="both"/>
      </w:pPr>
      <w:r>
        <w:rPr>
          <w:rFonts w:ascii="Times New Roman" w:hAnsi="Times New Roman"/>
          <w:b w:val="0"/>
          <w:sz w:val="28"/>
        </w:rPr>
        <w:t>Образовательная структура также неоднородна. Профильное высшее образование имеют 3 специалиста, тогда как 5 сотрудников обладают непрофильным или средним профессиональным образованием. Это не означает невозможность эффективной работы, но повышает значение внутренней адаптации, передачи практических знаний и регулярного обновления компетенций, особенно с уч</w:t>
      </w:r>
      <w:r>
        <w:rPr>
          <w:rFonts w:ascii="Times New Roman" w:hAnsi="Times New Roman"/>
          <w:b w:val="0"/>
          <w:sz w:val="28"/>
          <w:lang w:val="ru-RU"/>
        </w:rPr>
        <w:t>ё</w:t>
      </w:r>
      <w:r>
        <w:rPr>
          <w:rFonts w:ascii="Times New Roman" w:hAnsi="Times New Roman"/>
          <w:b w:val="0"/>
          <w:sz w:val="28"/>
        </w:rPr>
        <w:t>том изменений законодательства о закупках.</w:t>
      </w:r>
    </w:p>
    <w:p w14:paraId="166A653E">
      <w:pPr>
        <w:spacing w:after="120" w:line="360" w:lineRule="auto"/>
        <w:ind w:firstLine="700"/>
        <w:jc w:val="both"/>
        <w:rPr>
          <w:rFonts w:hint="default"/>
          <w:lang w:val="ru-RU"/>
        </w:rPr>
      </w:pPr>
      <w:r>
        <w:rPr>
          <w:rFonts w:ascii="Times New Roman" w:hAnsi="Times New Roman"/>
          <w:b w:val="0"/>
          <w:sz w:val="28"/>
        </w:rPr>
        <w:t>Стабильность персонала является важным условием качества работы тендерного отдела. Подготовка заявки требует знания законодательства, опыта работы с электронными площадками, понимания требований заказчиков и внутренних правил компании. При высокой сменяемости сотрудников часть опыта теряется, а новые работники вынуждены осваивать сложные операции в ускоренном режиме.</w:t>
      </w:r>
      <w:r>
        <w:rPr>
          <w:rFonts w:hint="default" w:ascii="Times New Roman" w:hAnsi="Times New Roman"/>
          <w:b w:val="0"/>
          <w:sz w:val="28"/>
          <w:lang w:val="ru-RU"/>
        </w:rPr>
        <w:t xml:space="preserve"> Анализ движения персонала компании за последние два года отражён в таблице 2.5.</w:t>
      </w:r>
    </w:p>
    <w:p w14:paraId="019826D2">
      <w:pPr>
        <w:spacing w:after="120" w:line="360" w:lineRule="auto"/>
        <w:jc w:val="right"/>
        <w:rPr>
          <w:sz w:val="24"/>
          <w:szCs w:val="24"/>
        </w:rPr>
      </w:pPr>
      <w:r>
        <w:rPr>
          <w:rFonts w:ascii="Times New Roman" w:hAnsi="Times New Roman"/>
          <w:b w:val="0"/>
          <w:sz w:val="24"/>
          <w:szCs w:val="24"/>
        </w:rPr>
        <w:t>Таблица 2.5. Анализ движения персонала тендерного отдела ООО «Лайф Медиа» за 2024-2025 гг.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0862C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3F03AD6F">
            <w:pPr>
              <w:widowControl w:val="0"/>
              <w:jc w:val="center"/>
              <w:rPr>
                <w:b w:val="0"/>
                <w:bCs/>
              </w:rPr>
            </w:pPr>
            <w:r>
              <w:rPr>
                <w:rFonts w:ascii="Times New Roman" w:hAnsi="Times New Roman"/>
                <w:b w:val="0"/>
                <w:bCs/>
                <w:sz w:val="24"/>
              </w:rPr>
              <w:t>Показатель</w:t>
            </w:r>
          </w:p>
        </w:tc>
        <w:tc>
          <w:tcPr>
            <w:tcW w:w="3118" w:type="dxa"/>
          </w:tcPr>
          <w:p w14:paraId="7480F63C">
            <w:pPr>
              <w:widowControl w:val="0"/>
              <w:jc w:val="center"/>
              <w:rPr>
                <w:b w:val="0"/>
                <w:bCs/>
              </w:rPr>
            </w:pPr>
            <w:r>
              <w:rPr>
                <w:rFonts w:ascii="Times New Roman" w:hAnsi="Times New Roman"/>
                <w:b w:val="0"/>
                <w:bCs/>
                <w:sz w:val="24"/>
              </w:rPr>
              <w:t>2024</w:t>
            </w:r>
          </w:p>
        </w:tc>
        <w:tc>
          <w:tcPr>
            <w:tcW w:w="3118" w:type="dxa"/>
          </w:tcPr>
          <w:p w14:paraId="39974636">
            <w:pPr>
              <w:widowControl w:val="0"/>
              <w:jc w:val="center"/>
              <w:rPr>
                <w:b w:val="0"/>
                <w:bCs/>
              </w:rPr>
            </w:pPr>
            <w:r>
              <w:rPr>
                <w:rFonts w:ascii="Times New Roman" w:hAnsi="Times New Roman"/>
                <w:b w:val="0"/>
                <w:bCs/>
                <w:sz w:val="24"/>
              </w:rPr>
              <w:t>2025</w:t>
            </w:r>
          </w:p>
        </w:tc>
      </w:tr>
      <w:tr w14:paraId="1525E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08844B9">
            <w:pPr>
              <w:widowControl w:val="0"/>
              <w:jc w:val="both"/>
            </w:pPr>
            <w:r>
              <w:rPr>
                <w:rFonts w:ascii="Times New Roman" w:hAnsi="Times New Roman"/>
                <w:sz w:val="24"/>
              </w:rPr>
              <w:t>Численность на начало года, чел.</w:t>
            </w:r>
          </w:p>
        </w:tc>
        <w:tc>
          <w:tcPr>
            <w:tcW w:w="3118" w:type="dxa"/>
          </w:tcPr>
          <w:p w14:paraId="36ACDEDC">
            <w:pPr>
              <w:widowControl w:val="0"/>
              <w:jc w:val="center"/>
            </w:pPr>
            <w:r>
              <w:rPr>
                <w:rFonts w:ascii="Times New Roman" w:hAnsi="Times New Roman"/>
                <w:sz w:val="24"/>
              </w:rPr>
              <w:t>7</w:t>
            </w:r>
          </w:p>
        </w:tc>
        <w:tc>
          <w:tcPr>
            <w:tcW w:w="3118" w:type="dxa"/>
          </w:tcPr>
          <w:p w14:paraId="5B0615E3">
            <w:pPr>
              <w:widowControl w:val="0"/>
              <w:jc w:val="center"/>
            </w:pPr>
            <w:r>
              <w:rPr>
                <w:rFonts w:ascii="Times New Roman" w:hAnsi="Times New Roman"/>
                <w:sz w:val="24"/>
              </w:rPr>
              <w:t>8</w:t>
            </w:r>
          </w:p>
        </w:tc>
      </w:tr>
      <w:tr w14:paraId="61521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4C53297">
            <w:pPr>
              <w:widowControl w:val="0"/>
              <w:jc w:val="both"/>
            </w:pPr>
            <w:r>
              <w:rPr>
                <w:rFonts w:ascii="Times New Roman" w:hAnsi="Times New Roman"/>
                <w:sz w:val="24"/>
              </w:rPr>
              <w:t>Принято, чел.</w:t>
            </w:r>
          </w:p>
        </w:tc>
        <w:tc>
          <w:tcPr>
            <w:tcW w:w="3118" w:type="dxa"/>
          </w:tcPr>
          <w:p w14:paraId="4B758032">
            <w:pPr>
              <w:widowControl w:val="0"/>
              <w:jc w:val="center"/>
            </w:pPr>
            <w:r>
              <w:rPr>
                <w:rFonts w:ascii="Times New Roman" w:hAnsi="Times New Roman"/>
                <w:sz w:val="24"/>
              </w:rPr>
              <w:t>4</w:t>
            </w:r>
          </w:p>
        </w:tc>
        <w:tc>
          <w:tcPr>
            <w:tcW w:w="3118" w:type="dxa"/>
          </w:tcPr>
          <w:p w14:paraId="5BAA0035">
            <w:pPr>
              <w:widowControl w:val="0"/>
              <w:jc w:val="center"/>
            </w:pPr>
            <w:r>
              <w:rPr>
                <w:rFonts w:ascii="Times New Roman" w:hAnsi="Times New Roman"/>
                <w:sz w:val="24"/>
              </w:rPr>
              <w:t>3</w:t>
            </w:r>
          </w:p>
        </w:tc>
      </w:tr>
      <w:tr w14:paraId="0B610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4BB7AA2">
            <w:pPr>
              <w:widowControl w:val="0"/>
              <w:jc w:val="both"/>
            </w:pPr>
            <w:r>
              <w:rPr>
                <w:rFonts w:ascii="Times New Roman" w:hAnsi="Times New Roman"/>
                <w:sz w:val="24"/>
              </w:rPr>
              <w:t>Уволено, чел.</w:t>
            </w:r>
          </w:p>
        </w:tc>
        <w:tc>
          <w:tcPr>
            <w:tcW w:w="3118" w:type="dxa"/>
          </w:tcPr>
          <w:p w14:paraId="50B279E2">
            <w:pPr>
              <w:widowControl w:val="0"/>
              <w:jc w:val="center"/>
            </w:pPr>
            <w:r>
              <w:rPr>
                <w:rFonts w:ascii="Times New Roman" w:hAnsi="Times New Roman"/>
                <w:sz w:val="24"/>
              </w:rPr>
              <w:t>3</w:t>
            </w:r>
          </w:p>
        </w:tc>
        <w:tc>
          <w:tcPr>
            <w:tcW w:w="3118" w:type="dxa"/>
          </w:tcPr>
          <w:p w14:paraId="46494AAA">
            <w:pPr>
              <w:widowControl w:val="0"/>
              <w:jc w:val="center"/>
            </w:pPr>
            <w:r>
              <w:rPr>
                <w:rFonts w:ascii="Times New Roman" w:hAnsi="Times New Roman"/>
                <w:sz w:val="24"/>
              </w:rPr>
              <w:t>3</w:t>
            </w:r>
          </w:p>
        </w:tc>
      </w:tr>
      <w:tr w14:paraId="43924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957B353">
            <w:pPr>
              <w:widowControl w:val="0"/>
              <w:jc w:val="both"/>
            </w:pPr>
            <w:r>
              <w:rPr>
                <w:rFonts w:ascii="Times New Roman" w:hAnsi="Times New Roman"/>
                <w:sz w:val="24"/>
              </w:rPr>
              <w:t>Численность на конец года, чел.</w:t>
            </w:r>
          </w:p>
        </w:tc>
        <w:tc>
          <w:tcPr>
            <w:tcW w:w="3118" w:type="dxa"/>
          </w:tcPr>
          <w:p w14:paraId="78290EB3">
            <w:pPr>
              <w:widowControl w:val="0"/>
              <w:jc w:val="center"/>
            </w:pPr>
            <w:r>
              <w:rPr>
                <w:rFonts w:ascii="Times New Roman" w:hAnsi="Times New Roman"/>
                <w:sz w:val="24"/>
              </w:rPr>
              <w:t>8</w:t>
            </w:r>
          </w:p>
        </w:tc>
        <w:tc>
          <w:tcPr>
            <w:tcW w:w="3118" w:type="dxa"/>
          </w:tcPr>
          <w:p w14:paraId="025F9952">
            <w:pPr>
              <w:widowControl w:val="0"/>
              <w:jc w:val="center"/>
            </w:pPr>
            <w:r>
              <w:rPr>
                <w:rFonts w:ascii="Times New Roman" w:hAnsi="Times New Roman"/>
                <w:sz w:val="24"/>
              </w:rPr>
              <w:t>8</w:t>
            </w:r>
          </w:p>
        </w:tc>
      </w:tr>
      <w:tr w14:paraId="7A639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CCA4327">
            <w:pPr>
              <w:widowControl w:val="0"/>
              <w:jc w:val="both"/>
            </w:pPr>
            <w:r>
              <w:rPr>
                <w:rFonts w:ascii="Times New Roman" w:hAnsi="Times New Roman"/>
                <w:sz w:val="24"/>
              </w:rPr>
              <w:t>Коэф. оборота по приему, %</w:t>
            </w:r>
          </w:p>
        </w:tc>
        <w:tc>
          <w:tcPr>
            <w:tcW w:w="3118" w:type="dxa"/>
          </w:tcPr>
          <w:p w14:paraId="3E95B414">
            <w:pPr>
              <w:widowControl w:val="0"/>
              <w:jc w:val="center"/>
            </w:pPr>
            <w:r>
              <w:rPr>
                <w:rFonts w:ascii="Times New Roman" w:hAnsi="Times New Roman"/>
                <w:sz w:val="24"/>
              </w:rPr>
              <w:t>55,3</w:t>
            </w:r>
          </w:p>
        </w:tc>
        <w:tc>
          <w:tcPr>
            <w:tcW w:w="3118" w:type="dxa"/>
          </w:tcPr>
          <w:p w14:paraId="05C7454D">
            <w:pPr>
              <w:widowControl w:val="0"/>
              <w:jc w:val="center"/>
            </w:pPr>
            <w:r>
              <w:rPr>
                <w:rFonts w:ascii="Times New Roman" w:hAnsi="Times New Roman"/>
                <w:sz w:val="24"/>
              </w:rPr>
              <w:t>37,5</w:t>
            </w:r>
          </w:p>
        </w:tc>
      </w:tr>
      <w:tr w14:paraId="093D2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9DC2DA">
            <w:pPr>
              <w:widowControl w:val="0"/>
              <w:jc w:val="both"/>
            </w:pPr>
            <w:r>
              <w:rPr>
                <w:rFonts w:ascii="Times New Roman" w:hAnsi="Times New Roman"/>
                <w:sz w:val="24"/>
              </w:rPr>
              <w:t>Коэф. оборота по выбытию, %</w:t>
            </w:r>
          </w:p>
        </w:tc>
        <w:tc>
          <w:tcPr>
            <w:tcW w:w="3118" w:type="dxa"/>
          </w:tcPr>
          <w:p w14:paraId="763FADB3">
            <w:pPr>
              <w:widowControl w:val="0"/>
              <w:jc w:val="center"/>
            </w:pPr>
            <w:r>
              <w:rPr>
                <w:rFonts w:ascii="Times New Roman" w:hAnsi="Times New Roman"/>
                <w:sz w:val="24"/>
              </w:rPr>
              <w:t>40,0</w:t>
            </w:r>
          </w:p>
        </w:tc>
        <w:tc>
          <w:tcPr>
            <w:tcW w:w="3118" w:type="dxa"/>
          </w:tcPr>
          <w:p w14:paraId="2ABE88BF">
            <w:pPr>
              <w:widowControl w:val="0"/>
              <w:jc w:val="center"/>
            </w:pPr>
            <w:r>
              <w:rPr>
                <w:rFonts w:ascii="Times New Roman" w:hAnsi="Times New Roman"/>
                <w:sz w:val="24"/>
              </w:rPr>
              <w:t>37,5</w:t>
            </w:r>
          </w:p>
        </w:tc>
      </w:tr>
      <w:tr w14:paraId="3014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3481E912">
            <w:pPr>
              <w:widowControl w:val="0"/>
              <w:jc w:val="both"/>
            </w:pPr>
            <w:r>
              <w:rPr>
                <w:rFonts w:ascii="Times New Roman" w:hAnsi="Times New Roman"/>
                <w:sz w:val="24"/>
              </w:rPr>
              <w:t>Коэф. текучести кадров, %</w:t>
            </w:r>
          </w:p>
        </w:tc>
        <w:tc>
          <w:tcPr>
            <w:tcW w:w="3118" w:type="dxa"/>
          </w:tcPr>
          <w:p w14:paraId="37F014FA">
            <w:pPr>
              <w:widowControl w:val="0"/>
              <w:jc w:val="center"/>
            </w:pPr>
            <w:r>
              <w:rPr>
                <w:rFonts w:ascii="Times New Roman" w:hAnsi="Times New Roman"/>
                <w:sz w:val="24"/>
              </w:rPr>
              <w:t>37,5</w:t>
            </w:r>
          </w:p>
        </w:tc>
        <w:tc>
          <w:tcPr>
            <w:tcW w:w="3118" w:type="dxa"/>
          </w:tcPr>
          <w:p w14:paraId="7F33AA49">
            <w:pPr>
              <w:widowControl w:val="0"/>
              <w:jc w:val="center"/>
            </w:pPr>
            <w:r>
              <w:rPr>
                <w:rFonts w:ascii="Times New Roman" w:hAnsi="Times New Roman"/>
                <w:sz w:val="24"/>
              </w:rPr>
              <w:t>37,5</w:t>
            </w:r>
          </w:p>
        </w:tc>
      </w:tr>
    </w:tbl>
    <w:p w14:paraId="75883488">
      <w:pPr>
        <w:spacing w:after="120" w:line="360" w:lineRule="auto"/>
        <w:ind w:firstLine="700"/>
        <w:jc w:val="both"/>
      </w:pPr>
    </w:p>
    <w:p w14:paraId="3BCED1CD">
      <w:pPr>
        <w:spacing w:after="120" w:line="360" w:lineRule="auto"/>
        <w:ind w:firstLine="700"/>
        <w:jc w:val="both"/>
      </w:pPr>
      <w:r>
        <w:rPr>
          <w:rFonts w:ascii="Times New Roman" w:hAnsi="Times New Roman"/>
          <w:b w:val="0"/>
          <w:sz w:val="28"/>
        </w:rPr>
        <w:t>По данным таблицы коэффициент текучести в 2024-2025 гг. сохраняется на уровне 37,5%. Ежегодно отдел теряет 3 специалиста и одновременно принимает новых сотрудников. Формально численность подразделения оста</w:t>
      </w:r>
      <w:r>
        <w:rPr>
          <w:rFonts w:ascii="Times New Roman" w:hAnsi="Times New Roman"/>
          <w:b w:val="0"/>
          <w:sz w:val="28"/>
          <w:lang w:val="ru-RU"/>
        </w:rPr>
        <w:t>ё</w:t>
      </w:r>
      <w:r>
        <w:rPr>
          <w:rFonts w:ascii="Times New Roman" w:hAnsi="Times New Roman"/>
          <w:b w:val="0"/>
          <w:sz w:val="28"/>
        </w:rPr>
        <w:t>тся стабильной, но состав команды постоянно обновляется. Для тендерного отдела это является существенным риском, поскольку качество работы зависит не только от количества сотрудников, но и от накопленного опыта подготовки заявок.</w:t>
      </w:r>
    </w:p>
    <w:p w14:paraId="0452E638">
      <w:pPr>
        <w:spacing w:after="120" w:line="360" w:lineRule="auto"/>
        <w:ind w:firstLine="700"/>
        <w:jc w:val="both"/>
        <w:rPr>
          <w:rFonts w:hint="default" w:ascii="Times New Roman" w:hAnsi="Times New Roman"/>
          <w:b w:val="0"/>
          <w:sz w:val="28"/>
          <w:lang w:val="ru-RU"/>
        </w:rPr>
      </w:pPr>
      <w:r>
        <w:rPr>
          <w:rFonts w:ascii="Times New Roman" w:hAnsi="Times New Roman"/>
          <w:b w:val="0"/>
          <w:sz w:val="28"/>
        </w:rPr>
        <w:t>Мотивация персонала в ООО «Лайф Медиа» построена на сочетании материальных и нематериальных факторов. Материальная часть закреплена в системе оплаты труда и премирования</w:t>
      </w:r>
      <w:r>
        <w:rPr>
          <w:rFonts w:hint="default" w:ascii="Times New Roman" w:hAnsi="Times New Roman"/>
          <w:b w:val="0"/>
          <w:sz w:val="28"/>
          <w:lang w:val="ru-RU"/>
        </w:rPr>
        <w:t xml:space="preserve"> (см.табл.2.6-2.7.).</w:t>
      </w:r>
    </w:p>
    <w:p w14:paraId="5398B0E5">
      <w:pPr>
        <w:spacing w:after="120" w:line="360" w:lineRule="auto"/>
        <w:ind w:firstLine="700"/>
        <w:jc w:val="both"/>
        <w:rPr>
          <w:rFonts w:hint="default" w:ascii="Times New Roman" w:hAnsi="Times New Roman"/>
          <w:b w:val="0"/>
          <w:sz w:val="28"/>
          <w:lang w:val="ru-RU"/>
        </w:rPr>
      </w:pPr>
    </w:p>
    <w:p w14:paraId="4CC77079">
      <w:pPr>
        <w:spacing w:after="120" w:line="360" w:lineRule="auto"/>
        <w:jc w:val="right"/>
        <w:rPr>
          <w:sz w:val="24"/>
          <w:szCs w:val="24"/>
        </w:rPr>
      </w:pPr>
      <w:r>
        <w:rPr>
          <w:rFonts w:ascii="Times New Roman" w:hAnsi="Times New Roman"/>
          <w:b w:val="0"/>
          <w:sz w:val="24"/>
          <w:szCs w:val="24"/>
        </w:rPr>
        <w:t>Таблица 2.6. Структура дохода тендерного специалиста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A2D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C6BBCB6">
            <w:pPr>
              <w:widowControl w:val="0"/>
              <w:jc w:val="center"/>
              <w:rPr>
                <w:b w:val="0"/>
                <w:bCs/>
              </w:rPr>
            </w:pPr>
            <w:r>
              <w:rPr>
                <w:rFonts w:ascii="Times New Roman" w:hAnsi="Times New Roman"/>
                <w:b w:val="0"/>
                <w:bCs/>
                <w:sz w:val="24"/>
              </w:rPr>
              <w:t>Компонент</w:t>
            </w:r>
          </w:p>
        </w:tc>
        <w:tc>
          <w:tcPr>
            <w:tcW w:w="3118" w:type="dxa"/>
          </w:tcPr>
          <w:p w14:paraId="2E09B422">
            <w:pPr>
              <w:widowControl w:val="0"/>
              <w:jc w:val="center"/>
              <w:rPr>
                <w:b w:val="0"/>
                <w:bCs/>
              </w:rPr>
            </w:pPr>
            <w:r>
              <w:rPr>
                <w:rFonts w:ascii="Times New Roman" w:hAnsi="Times New Roman"/>
                <w:b w:val="0"/>
                <w:bCs/>
                <w:sz w:val="24"/>
              </w:rPr>
              <w:t>Размер</w:t>
            </w:r>
          </w:p>
        </w:tc>
        <w:tc>
          <w:tcPr>
            <w:tcW w:w="3118" w:type="dxa"/>
          </w:tcPr>
          <w:p w14:paraId="2BCEC7AF">
            <w:pPr>
              <w:widowControl w:val="0"/>
              <w:jc w:val="center"/>
              <w:rPr>
                <w:b w:val="0"/>
                <w:bCs/>
              </w:rPr>
            </w:pPr>
            <w:r>
              <w:rPr>
                <w:rFonts w:ascii="Times New Roman" w:hAnsi="Times New Roman"/>
                <w:b w:val="0"/>
                <w:bCs/>
                <w:sz w:val="24"/>
              </w:rPr>
              <w:t>Условия получения</w:t>
            </w:r>
          </w:p>
        </w:tc>
      </w:tr>
      <w:tr w14:paraId="12E48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1BD07CB">
            <w:pPr>
              <w:widowControl w:val="0"/>
              <w:jc w:val="both"/>
            </w:pPr>
            <w:r>
              <w:rPr>
                <w:rFonts w:ascii="Times New Roman" w:hAnsi="Times New Roman"/>
                <w:sz w:val="24"/>
              </w:rPr>
              <w:t>Должностной оклад</w:t>
            </w:r>
          </w:p>
        </w:tc>
        <w:tc>
          <w:tcPr>
            <w:tcW w:w="3118" w:type="dxa"/>
          </w:tcPr>
          <w:p w14:paraId="0FEC234A">
            <w:pPr>
              <w:widowControl w:val="0"/>
              <w:jc w:val="both"/>
            </w:pPr>
            <w:r>
              <w:rPr>
                <w:rFonts w:ascii="Times New Roman" w:hAnsi="Times New Roman"/>
                <w:sz w:val="24"/>
              </w:rPr>
              <w:t>57 000 руб. в месяц</w:t>
            </w:r>
          </w:p>
        </w:tc>
        <w:tc>
          <w:tcPr>
            <w:tcW w:w="3118" w:type="dxa"/>
          </w:tcPr>
          <w:p w14:paraId="1C06CE7A">
            <w:pPr>
              <w:widowControl w:val="0"/>
              <w:jc w:val="both"/>
            </w:pPr>
            <w:r>
              <w:rPr>
                <w:rFonts w:ascii="Times New Roman" w:hAnsi="Times New Roman"/>
                <w:sz w:val="24"/>
              </w:rPr>
              <w:t>Гарантированно и независимо от результатов</w:t>
            </w:r>
          </w:p>
        </w:tc>
      </w:tr>
      <w:tr w14:paraId="1849E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7F64E2A">
            <w:pPr>
              <w:widowControl w:val="0"/>
              <w:jc w:val="both"/>
            </w:pPr>
            <w:r>
              <w:rPr>
                <w:rFonts w:ascii="Times New Roman" w:hAnsi="Times New Roman"/>
                <w:sz w:val="24"/>
              </w:rPr>
              <w:t>Квартальная премия</w:t>
            </w:r>
          </w:p>
        </w:tc>
        <w:tc>
          <w:tcPr>
            <w:tcW w:w="3118" w:type="dxa"/>
          </w:tcPr>
          <w:p w14:paraId="11959D3F">
            <w:pPr>
              <w:widowControl w:val="0"/>
              <w:jc w:val="both"/>
            </w:pPr>
            <w:r>
              <w:rPr>
                <w:rFonts w:ascii="Times New Roman" w:hAnsi="Times New Roman"/>
                <w:sz w:val="24"/>
              </w:rPr>
              <w:t>До 30% от оклада (до 17 000 руб.)</w:t>
            </w:r>
          </w:p>
        </w:tc>
        <w:tc>
          <w:tcPr>
            <w:tcW w:w="3118" w:type="dxa"/>
          </w:tcPr>
          <w:p w14:paraId="6288267B">
            <w:pPr>
              <w:widowControl w:val="0"/>
              <w:jc w:val="both"/>
            </w:pPr>
            <w:r>
              <w:rPr>
                <w:rFonts w:ascii="Times New Roman" w:hAnsi="Times New Roman"/>
                <w:sz w:val="24"/>
              </w:rPr>
              <w:t>Зависит от выполнения KPI</w:t>
            </w:r>
          </w:p>
        </w:tc>
      </w:tr>
      <w:tr w14:paraId="1B74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7ABD6B8">
            <w:pPr>
              <w:widowControl w:val="0"/>
              <w:jc w:val="both"/>
            </w:pPr>
            <w:r>
              <w:rPr>
                <w:rFonts w:ascii="Times New Roman" w:hAnsi="Times New Roman"/>
                <w:sz w:val="24"/>
              </w:rPr>
              <w:t>Годовая премия</w:t>
            </w:r>
          </w:p>
        </w:tc>
        <w:tc>
          <w:tcPr>
            <w:tcW w:w="3118" w:type="dxa"/>
          </w:tcPr>
          <w:p w14:paraId="1DD9253F">
            <w:pPr>
              <w:widowControl w:val="0"/>
              <w:jc w:val="both"/>
            </w:pPr>
            <w:r>
              <w:rPr>
                <w:rFonts w:ascii="Times New Roman" w:hAnsi="Times New Roman"/>
                <w:sz w:val="24"/>
              </w:rPr>
              <w:t>Переменная (обычно 50% от оклада)</w:t>
            </w:r>
          </w:p>
        </w:tc>
        <w:tc>
          <w:tcPr>
            <w:tcW w:w="3118" w:type="dxa"/>
          </w:tcPr>
          <w:p w14:paraId="0BE70916">
            <w:pPr>
              <w:widowControl w:val="0"/>
              <w:jc w:val="both"/>
            </w:pPr>
            <w:r>
              <w:rPr>
                <w:rFonts w:ascii="Times New Roman" w:hAnsi="Times New Roman"/>
                <w:sz w:val="24"/>
              </w:rPr>
              <w:t>По итогам работы за год, решение генерального директора</w:t>
            </w:r>
          </w:p>
        </w:tc>
      </w:tr>
    </w:tbl>
    <w:p w14:paraId="68EA81E4">
      <w:pPr>
        <w:spacing w:after="120" w:line="360" w:lineRule="auto"/>
        <w:ind w:firstLine="700"/>
        <w:jc w:val="both"/>
      </w:pPr>
    </w:p>
    <w:p w14:paraId="39B3CD35">
      <w:pPr>
        <w:spacing w:after="120" w:line="360" w:lineRule="auto"/>
        <w:jc w:val="right"/>
      </w:pPr>
      <w:r>
        <w:rPr>
          <w:rFonts w:ascii="Times New Roman" w:hAnsi="Times New Roman"/>
          <w:b w:val="0"/>
          <w:sz w:val="24"/>
          <w:szCs w:val="24"/>
        </w:rPr>
        <w:t>Таблица 2.7. Инструменты нематериальной мотивации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CE5A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D0079F">
            <w:pPr>
              <w:widowControl w:val="0"/>
              <w:jc w:val="center"/>
              <w:rPr>
                <w:b w:val="0"/>
                <w:bCs/>
              </w:rPr>
            </w:pPr>
            <w:r>
              <w:rPr>
                <w:rFonts w:ascii="Times New Roman" w:hAnsi="Times New Roman"/>
                <w:b w:val="0"/>
                <w:bCs/>
                <w:sz w:val="24"/>
              </w:rPr>
              <w:t>Инструмент</w:t>
            </w:r>
          </w:p>
        </w:tc>
        <w:tc>
          <w:tcPr>
            <w:tcW w:w="3118" w:type="dxa"/>
          </w:tcPr>
          <w:p w14:paraId="52F3C22F">
            <w:pPr>
              <w:widowControl w:val="0"/>
              <w:jc w:val="center"/>
              <w:rPr>
                <w:b w:val="0"/>
                <w:bCs/>
              </w:rPr>
            </w:pPr>
            <w:r>
              <w:rPr>
                <w:rFonts w:ascii="Times New Roman" w:hAnsi="Times New Roman"/>
                <w:b w:val="0"/>
                <w:bCs/>
                <w:sz w:val="24"/>
              </w:rPr>
              <w:t>Как работает</w:t>
            </w:r>
          </w:p>
        </w:tc>
        <w:tc>
          <w:tcPr>
            <w:tcW w:w="3118" w:type="dxa"/>
          </w:tcPr>
          <w:p w14:paraId="347627B0">
            <w:pPr>
              <w:widowControl w:val="0"/>
              <w:jc w:val="center"/>
              <w:rPr>
                <w:b w:val="0"/>
                <w:bCs/>
              </w:rPr>
            </w:pPr>
            <w:r>
              <w:rPr>
                <w:rFonts w:ascii="Times New Roman" w:hAnsi="Times New Roman"/>
                <w:b w:val="0"/>
                <w:bCs/>
                <w:sz w:val="24"/>
              </w:rPr>
              <w:t>Почему мотивирует</w:t>
            </w:r>
          </w:p>
        </w:tc>
      </w:tr>
      <w:tr w14:paraId="02D45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5EA0104">
            <w:pPr>
              <w:widowControl w:val="0"/>
              <w:jc w:val="both"/>
            </w:pPr>
            <w:r>
              <w:rPr>
                <w:rFonts w:ascii="Times New Roman" w:hAnsi="Times New Roman"/>
                <w:sz w:val="24"/>
              </w:rPr>
              <w:t>Полностью удаленный формат</w:t>
            </w:r>
          </w:p>
        </w:tc>
        <w:tc>
          <w:tcPr>
            <w:tcW w:w="3118" w:type="dxa"/>
          </w:tcPr>
          <w:p w14:paraId="5C4DDA16">
            <w:pPr>
              <w:widowControl w:val="0"/>
              <w:jc w:val="both"/>
            </w:pPr>
            <w:r>
              <w:rPr>
                <w:rFonts w:ascii="Times New Roman" w:hAnsi="Times New Roman"/>
                <w:sz w:val="24"/>
              </w:rPr>
              <w:t>Сотрудник может жить в любом городе и не тратить время и средства на дорогу</w:t>
            </w:r>
          </w:p>
        </w:tc>
        <w:tc>
          <w:tcPr>
            <w:tcW w:w="3118" w:type="dxa"/>
          </w:tcPr>
          <w:p w14:paraId="3FDAB2EA">
            <w:pPr>
              <w:widowControl w:val="0"/>
              <w:jc w:val="both"/>
            </w:pPr>
            <w:r>
              <w:rPr>
                <w:rFonts w:ascii="Times New Roman" w:hAnsi="Times New Roman"/>
                <w:sz w:val="24"/>
              </w:rPr>
              <w:t>Свобода и экономия ресурсов</w:t>
            </w:r>
          </w:p>
        </w:tc>
      </w:tr>
      <w:tr w14:paraId="1A4F6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A3C1684">
            <w:pPr>
              <w:widowControl w:val="0"/>
              <w:jc w:val="both"/>
            </w:pPr>
            <w:r>
              <w:rPr>
                <w:rFonts w:ascii="Times New Roman" w:hAnsi="Times New Roman"/>
                <w:sz w:val="24"/>
              </w:rPr>
              <w:t>Гибкое начало рабочего дня</w:t>
            </w:r>
          </w:p>
        </w:tc>
        <w:tc>
          <w:tcPr>
            <w:tcW w:w="3118" w:type="dxa"/>
          </w:tcPr>
          <w:p w14:paraId="46BF678B">
            <w:pPr>
              <w:widowControl w:val="0"/>
              <w:jc w:val="both"/>
            </w:pPr>
            <w:r>
              <w:rPr>
                <w:rFonts w:ascii="Times New Roman" w:hAnsi="Times New Roman"/>
                <w:sz w:val="24"/>
              </w:rPr>
              <w:t>Можно начать рабочий день с 8:00 до 11:00 при условии выполнения нормы времени и участия в созвоне</w:t>
            </w:r>
          </w:p>
        </w:tc>
        <w:tc>
          <w:tcPr>
            <w:tcW w:w="3118" w:type="dxa"/>
          </w:tcPr>
          <w:p w14:paraId="2752534B">
            <w:pPr>
              <w:widowControl w:val="0"/>
              <w:jc w:val="both"/>
            </w:pPr>
            <w:r>
              <w:rPr>
                <w:rFonts w:ascii="Times New Roman" w:hAnsi="Times New Roman"/>
                <w:sz w:val="24"/>
              </w:rPr>
              <w:t>Возможность подстроить график под личные обстоятельства</w:t>
            </w:r>
          </w:p>
        </w:tc>
      </w:tr>
      <w:tr w14:paraId="3D41E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664D8F8">
            <w:pPr>
              <w:widowControl w:val="0"/>
              <w:jc w:val="both"/>
            </w:pPr>
            <w:r>
              <w:rPr>
                <w:rFonts w:ascii="Times New Roman" w:hAnsi="Times New Roman"/>
                <w:sz w:val="24"/>
              </w:rPr>
              <w:t>Прозрачная система премирования</w:t>
            </w:r>
          </w:p>
        </w:tc>
        <w:tc>
          <w:tcPr>
            <w:tcW w:w="3118" w:type="dxa"/>
          </w:tcPr>
          <w:p w14:paraId="63254F53">
            <w:pPr>
              <w:widowControl w:val="0"/>
              <w:jc w:val="both"/>
            </w:pPr>
            <w:r>
              <w:rPr>
                <w:rFonts w:ascii="Times New Roman" w:hAnsi="Times New Roman"/>
                <w:sz w:val="24"/>
              </w:rPr>
              <w:t>В Битрикс24 отражаются KPI и текущий прогресс</w:t>
            </w:r>
          </w:p>
        </w:tc>
        <w:tc>
          <w:tcPr>
            <w:tcW w:w="3118" w:type="dxa"/>
          </w:tcPr>
          <w:p w14:paraId="37561B86">
            <w:pPr>
              <w:widowControl w:val="0"/>
              <w:jc w:val="both"/>
            </w:pPr>
            <w:r>
              <w:rPr>
                <w:rFonts w:ascii="Times New Roman" w:hAnsi="Times New Roman"/>
                <w:sz w:val="24"/>
              </w:rPr>
              <w:t>Понятность критериев оценки</w:t>
            </w:r>
          </w:p>
        </w:tc>
      </w:tr>
    </w:tbl>
    <w:p w14:paraId="3E986660">
      <w:pPr>
        <w:spacing w:after="120" w:line="360" w:lineRule="auto"/>
        <w:ind w:firstLine="700"/>
        <w:jc w:val="both"/>
      </w:pPr>
    </w:p>
    <w:p w14:paraId="294D7F7F">
      <w:pPr>
        <w:spacing w:after="120" w:line="360" w:lineRule="auto"/>
        <w:ind w:firstLine="700"/>
        <w:jc w:val="both"/>
      </w:pPr>
      <w:r>
        <w:rPr>
          <w:rFonts w:ascii="Times New Roman" w:hAnsi="Times New Roman"/>
          <w:b w:val="0"/>
          <w:sz w:val="28"/>
        </w:rPr>
        <w:t>Сильными сторонами мотивации являются прозрачность KPI, удал</w:t>
      </w:r>
      <w:r>
        <w:rPr>
          <w:rFonts w:ascii="Times New Roman" w:hAnsi="Times New Roman"/>
          <w:b w:val="0"/>
          <w:sz w:val="28"/>
          <w:lang w:val="ru-RU"/>
        </w:rPr>
        <w:t>ё</w:t>
      </w:r>
      <w:r>
        <w:rPr>
          <w:rFonts w:ascii="Times New Roman" w:hAnsi="Times New Roman"/>
          <w:b w:val="0"/>
          <w:sz w:val="28"/>
        </w:rPr>
        <w:t>нный формат и гибкость рабочего графика. Однако действующая система почти не связана с профессиональным развитием. Премирование ориентировано на результат работы, но не выделяет обучение, наставничество или передачу опыта как самостоятельные ценности. В условиях высокой текучести это снижает заинтересованность опытных сотрудников в системной помощи новичкам и не созда</w:t>
      </w:r>
      <w:r>
        <w:rPr>
          <w:rFonts w:ascii="Times New Roman" w:hAnsi="Times New Roman"/>
          <w:b w:val="0"/>
          <w:sz w:val="28"/>
          <w:lang w:val="ru-RU"/>
        </w:rPr>
        <w:t>ё</w:t>
      </w:r>
      <w:r>
        <w:rPr>
          <w:rFonts w:ascii="Times New Roman" w:hAnsi="Times New Roman"/>
          <w:b w:val="0"/>
          <w:sz w:val="28"/>
        </w:rPr>
        <w:t>т устойчивого механизма накопления знаний внутри отдела.</w:t>
      </w:r>
    </w:p>
    <w:p w14:paraId="26222376">
      <w:pPr>
        <w:spacing w:after="120" w:line="360" w:lineRule="auto"/>
        <w:ind w:firstLine="700"/>
        <w:jc w:val="both"/>
      </w:pPr>
      <w:r>
        <w:rPr>
          <w:rFonts w:ascii="Times New Roman" w:hAnsi="Times New Roman"/>
          <w:b w:val="0"/>
          <w:sz w:val="28"/>
        </w:rPr>
        <w:t>Финансовые результаты предприятия напрямую зависят от эффективности использования персонала. Структура среднемесячных выплат представлена в таблице 2.8.</w:t>
      </w:r>
    </w:p>
    <w:p w14:paraId="10257DF1">
      <w:pPr>
        <w:spacing w:after="120" w:line="360" w:lineRule="auto"/>
        <w:jc w:val="both"/>
      </w:pPr>
      <w:r>
        <w:rPr>
          <w:rFonts w:ascii="Times New Roman" w:hAnsi="Times New Roman"/>
          <w:b w:val="0"/>
          <w:sz w:val="28"/>
        </w:rPr>
        <w:t>Таблица 2.8. Структура персонала и среднемесячные выплаты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9"/>
        <w:gridCol w:w="2339"/>
        <w:gridCol w:w="2339"/>
        <w:gridCol w:w="2339"/>
      </w:tblGrid>
      <w:tr w14:paraId="667DC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48831161">
            <w:pPr>
              <w:widowControl w:val="0"/>
              <w:jc w:val="center"/>
              <w:rPr>
                <w:b w:val="0"/>
                <w:bCs/>
              </w:rPr>
            </w:pPr>
            <w:r>
              <w:rPr>
                <w:rFonts w:ascii="Times New Roman" w:hAnsi="Times New Roman"/>
                <w:b w:val="0"/>
                <w:bCs/>
                <w:sz w:val="24"/>
              </w:rPr>
              <w:t>Категория</w:t>
            </w:r>
          </w:p>
        </w:tc>
        <w:tc>
          <w:tcPr>
            <w:tcW w:w="2339" w:type="dxa"/>
          </w:tcPr>
          <w:p w14:paraId="2B3B9210">
            <w:pPr>
              <w:widowControl w:val="0"/>
              <w:jc w:val="center"/>
              <w:rPr>
                <w:b w:val="0"/>
                <w:bCs/>
              </w:rPr>
            </w:pPr>
            <w:r>
              <w:rPr>
                <w:rFonts w:ascii="Times New Roman" w:hAnsi="Times New Roman"/>
                <w:b w:val="0"/>
                <w:bCs/>
                <w:sz w:val="24"/>
              </w:rPr>
              <w:t>Кол-во</w:t>
            </w:r>
          </w:p>
        </w:tc>
        <w:tc>
          <w:tcPr>
            <w:tcW w:w="2339" w:type="dxa"/>
          </w:tcPr>
          <w:p w14:paraId="54E75134">
            <w:pPr>
              <w:widowControl w:val="0"/>
              <w:jc w:val="center"/>
              <w:rPr>
                <w:b w:val="0"/>
                <w:bCs/>
              </w:rPr>
            </w:pPr>
            <w:r>
              <w:rPr>
                <w:rFonts w:ascii="Times New Roman" w:hAnsi="Times New Roman"/>
                <w:b w:val="0"/>
                <w:bCs/>
                <w:sz w:val="24"/>
              </w:rPr>
              <w:t>Среднемесячная выплата, руб.</w:t>
            </w:r>
          </w:p>
        </w:tc>
        <w:tc>
          <w:tcPr>
            <w:tcW w:w="2339" w:type="dxa"/>
          </w:tcPr>
          <w:p w14:paraId="4FDFE93B">
            <w:pPr>
              <w:widowControl w:val="0"/>
              <w:jc w:val="center"/>
              <w:rPr>
                <w:b w:val="0"/>
                <w:bCs/>
              </w:rPr>
            </w:pPr>
            <w:r>
              <w:rPr>
                <w:rFonts w:ascii="Times New Roman" w:hAnsi="Times New Roman"/>
                <w:b w:val="0"/>
                <w:bCs/>
                <w:sz w:val="24"/>
              </w:rPr>
              <w:t>Всего в месяц на категорию, руб.</w:t>
            </w:r>
          </w:p>
        </w:tc>
      </w:tr>
      <w:tr w14:paraId="49D7E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35F8194">
            <w:pPr>
              <w:widowControl w:val="0"/>
              <w:jc w:val="both"/>
            </w:pPr>
            <w:r>
              <w:rPr>
                <w:rFonts w:ascii="Times New Roman" w:hAnsi="Times New Roman"/>
                <w:sz w:val="24"/>
              </w:rPr>
              <w:t>Тендерные специалисты</w:t>
            </w:r>
          </w:p>
        </w:tc>
        <w:tc>
          <w:tcPr>
            <w:tcW w:w="2339" w:type="dxa"/>
            <w:vAlign w:val="center"/>
          </w:tcPr>
          <w:p w14:paraId="67D102AC">
            <w:pPr>
              <w:widowControl w:val="0"/>
              <w:jc w:val="center"/>
            </w:pPr>
            <w:r>
              <w:rPr>
                <w:rFonts w:ascii="Times New Roman" w:hAnsi="Times New Roman"/>
                <w:sz w:val="24"/>
              </w:rPr>
              <w:t>8</w:t>
            </w:r>
          </w:p>
        </w:tc>
        <w:tc>
          <w:tcPr>
            <w:tcW w:w="2339" w:type="dxa"/>
            <w:vAlign w:val="center"/>
          </w:tcPr>
          <w:p w14:paraId="31C69C79">
            <w:pPr>
              <w:widowControl w:val="0"/>
              <w:jc w:val="center"/>
            </w:pPr>
            <w:r>
              <w:rPr>
                <w:rFonts w:ascii="Times New Roman" w:hAnsi="Times New Roman"/>
                <w:sz w:val="24"/>
              </w:rPr>
              <w:t>63 175</w:t>
            </w:r>
          </w:p>
        </w:tc>
        <w:tc>
          <w:tcPr>
            <w:tcW w:w="2339" w:type="dxa"/>
            <w:vAlign w:val="center"/>
          </w:tcPr>
          <w:p w14:paraId="44A2F499">
            <w:pPr>
              <w:widowControl w:val="0"/>
              <w:jc w:val="center"/>
            </w:pPr>
            <w:r>
              <w:rPr>
                <w:rFonts w:ascii="Times New Roman" w:hAnsi="Times New Roman"/>
                <w:sz w:val="24"/>
              </w:rPr>
              <w:t>505 400</w:t>
            </w:r>
          </w:p>
        </w:tc>
      </w:tr>
      <w:tr w14:paraId="60E56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BC5F66D">
            <w:pPr>
              <w:widowControl w:val="0"/>
              <w:jc w:val="both"/>
            </w:pPr>
            <w:r>
              <w:rPr>
                <w:rFonts w:ascii="Times New Roman" w:hAnsi="Times New Roman"/>
                <w:sz w:val="24"/>
              </w:rPr>
              <w:t>Отдел продаж</w:t>
            </w:r>
          </w:p>
        </w:tc>
        <w:tc>
          <w:tcPr>
            <w:tcW w:w="2339" w:type="dxa"/>
            <w:vAlign w:val="center"/>
          </w:tcPr>
          <w:p w14:paraId="60588DD2">
            <w:pPr>
              <w:widowControl w:val="0"/>
              <w:jc w:val="center"/>
            </w:pPr>
            <w:r>
              <w:rPr>
                <w:rFonts w:ascii="Times New Roman" w:hAnsi="Times New Roman"/>
                <w:sz w:val="24"/>
              </w:rPr>
              <w:t>4</w:t>
            </w:r>
          </w:p>
        </w:tc>
        <w:tc>
          <w:tcPr>
            <w:tcW w:w="2339" w:type="dxa"/>
            <w:vAlign w:val="center"/>
          </w:tcPr>
          <w:p w14:paraId="5EEA2851">
            <w:pPr>
              <w:widowControl w:val="0"/>
              <w:jc w:val="center"/>
            </w:pPr>
            <w:r>
              <w:rPr>
                <w:rFonts w:ascii="Times New Roman" w:hAnsi="Times New Roman"/>
                <w:sz w:val="24"/>
              </w:rPr>
              <w:t>48 000</w:t>
            </w:r>
          </w:p>
        </w:tc>
        <w:tc>
          <w:tcPr>
            <w:tcW w:w="2339" w:type="dxa"/>
            <w:vAlign w:val="center"/>
          </w:tcPr>
          <w:p w14:paraId="226C7ADA">
            <w:pPr>
              <w:widowControl w:val="0"/>
              <w:jc w:val="center"/>
            </w:pPr>
            <w:r>
              <w:rPr>
                <w:rFonts w:ascii="Times New Roman" w:hAnsi="Times New Roman"/>
                <w:sz w:val="24"/>
              </w:rPr>
              <w:t>192 000</w:t>
            </w:r>
          </w:p>
        </w:tc>
      </w:tr>
      <w:tr w14:paraId="03669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14DB289">
            <w:pPr>
              <w:widowControl w:val="0"/>
              <w:jc w:val="both"/>
            </w:pPr>
            <w:r>
              <w:rPr>
                <w:rFonts w:ascii="Times New Roman" w:hAnsi="Times New Roman"/>
                <w:sz w:val="24"/>
              </w:rPr>
              <w:t>Отдел логистики</w:t>
            </w:r>
          </w:p>
        </w:tc>
        <w:tc>
          <w:tcPr>
            <w:tcW w:w="2339" w:type="dxa"/>
            <w:vAlign w:val="center"/>
          </w:tcPr>
          <w:p w14:paraId="6B809240">
            <w:pPr>
              <w:widowControl w:val="0"/>
              <w:jc w:val="center"/>
            </w:pPr>
            <w:r>
              <w:rPr>
                <w:rFonts w:ascii="Times New Roman" w:hAnsi="Times New Roman"/>
                <w:sz w:val="24"/>
              </w:rPr>
              <w:t>3</w:t>
            </w:r>
          </w:p>
        </w:tc>
        <w:tc>
          <w:tcPr>
            <w:tcW w:w="2339" w:type="dxa"/>
            <w:vAlign w:val="center"/>
          </w:tcPr>
          <w:p w14:paraId="356D5ACA">
            <w:pPr>
              <w:widowControl w:val="0"/>
              <w:jc w:val="center"/>
            </w:pPr>
            <w:r>
              <w:rPr>
                <w:rFonts w:ascii="Times New Roman" w:hAnsi="Times New Roman"/>
                <w:sz w:val="24"/>
              </w:rPr>
              <w:t>45 000</w:t>
            </w:r>
          </w:p>
        </w:tc>
        <w:tc>
          <w:tcPr>
            <w:tcW w:w="2339" w:type="dxa"/>
            <w:vAlign w:val="center"/>
          </w:tcPr>
          <w:p w14:paraId="3DB7FFB3">
            <w:pPr>
              <w:widowControl w:val="0"/>
              <w:jc w:val="center"/>
            </w:pPr>
            <w:r>
              <w:rPr>
                <w:rFonts w:ascii="Times New Roman" w:hAnsi="Times New Roman"/>
                <w:sz w:val="24"/>
              </w:rPr>
              <w:t>135 000</w:t>
            </w:r>
          </w:p>
        </w:tc>
      </w:tr>
      <w:tr w14:paraId="7BAE5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690CB819">
            <w:pPr>
              <w:widowControl w:val="0"/>
              <w:jc w:val="both"/>
            </w:pPr>
            <w:r>
              <w:rPr>
                <w:rFonts w:ascii="Times New Roman" w:hAnsi="Times New Roman"/>
                <w:sz w:val="24"/>
              </w:rPr>
              <w:t>Генеральный директор</w:t>
            </w:r>
          </w:p>
        </w:tc>
        <w:tc>
          <w:tcPr>
            <w:tcW w:w="2339" w:type="dxa"/>
            <w:vAlign w:val="center"/>
          </w:tcPr>
          <w:p w14:paraId="2DDB6C16">
            <w:pPr>
              <w:widowControl w:val="0"/>
              <w:jc w:val="center"/>
            </w:pPr>
            <w:r>
              <w:rPr>
                <w:rFonts w:ascii="Times New Roman" w:hAnsi="Times New Roman"/>
                <w:sz w:val="24"/>
              </w:rPr>
              <w:t>1</w:t>
            </w:r>
          </w:p>
        </w:tc>
        <w:tc>
          <w:tcPr>
            <w:tcW w:w="2339" w:type="dxa"/>
            <w:vAlign w:val="center"/>
          </w:tcPr>
          <w:p w14:paraId="66C3F969">
            <w:pPr>
              <w:widowControl w:val="0"/>
              <w:jc w:val="center"/>
            </w:pPr>
            <w:r>
              <w:rPr>
                <w:rFonts w:ascii="Times New Roman" w:hAnsi="Times New Roman"/>
                <w:sz w:val="24"/>
              </w:rPr>
              <w:t>60 000</w:t>
            </w:r>
          </w:p>
        </w:tc>
        <w:tc>
          <w:tcPr>
            <w:tcW w:w="2339" w:type="dxa"/>
            <w:vAlign w:val="center"/>
          </w:tcPr>
          <w:p w14:paraId="414B5514">
            <w:pPr>
              <w:widowControl w:val="0"/>
              <w:jc w:val="center"/>
            </w:pPr>
            <w:r>
              <w:rPr>
                <w:rFonts w:ascii="Times New Roman" w:hAnsi="Times New Roman"/>
                <w:sz w:val="24"/>
              </w:rPr>
              <w:t>60 000</w:t>
            </w:r>
          </w:p>
        </w:tc>
      </w:tr>
      <w:tr w14:paraId="0AE8C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6478607">
            <w:pPr>
              <w:widowControl w:val="0"/>
              <w:jc w:val="both"/>
            </w:pPr>
            <w:r>
              <w:rPr>
                <w:rFonts w:ascii="Times New Roman" w:hAnsi="Times New Roman"/>
                <w:sz w:val="24"/>
              </w:rPr>
              <w:t>Бухгалтер</w:t>
            </w:r>
          </w:p>
        </w:tc>
        <w:tc>
          <w:tcPr>
            <w:tcW w:w="2339" w:type="dxa"/>
            <w:vAlign w:val="center"/>
          </w:tcPr>
          <w:p w14:paraId="5F56ED29">
            <w:pPr>
              <w:widowControl w:val="0"/>
              <w:jc w:val="center"/>
            </w:pPr>
            <w:r>
              <w:rPr>
                <w:rFonts w:ascii="Times New Roman" w:hAnsi="Times New Roman"/>
                <w:sz w:val="24"/>
              </w:rPr>
              <w:t>1</w:t>
            </w:r>
          </w:p>
        </w:tc>
        <w:tc>
          <w:tcPr>
            <w:tcW w:w="2339" w:type="dxa"/>
            <w:vAlign w:val="center"/>
          </w:tcPr>
          <w:p w14:paraId="5183B69F">
            <w:pPr>
              <w:widowControl w:val="0"/>
              <w:jc w:val="center"/>
            </w:pPr>
            <w:r>
              <w:rPr>
                <w:rFonts w:ascii="Times New Roman" w:hAnsi="Times New Roman"/>
                <w:sz w:val="24"/>
              </w:rPr>
              <w:t>57 292</w:t>
            </w:r>
          </w:p>
        </w:tc>
        <w:tc>
          <w:tcPr>
            <w:tcW w:w="2339" w:type="dxa"/>
            <w:vAlign w:val="center"/>
          </w:tcPr>
          <w:p w14:paraId="41E2161A">
            <w:pPr>
              <w:widowControl w:val="0"/>
              <w:jc w:val="center"/>
            </w:pPr>
            <w:r>
              <w:rPr>
                <w:rFonts w:ascii="Times New Roman" w:hAnsi="Times New Roman"/>
                <w:sz w:val="24"/>
              </w:rPr>
              <w:t>57 292</w:t>
            </w:r>
          </w:p>
        </w:tc>
      </w:tr>
      <w:tr w14:paraId="35598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079E675">
            <w:pPr>
              <w:widowControl w:val="0"/>
              <w:jc w:val="both"/>
            </w:pPr>
            <w:r>
              <w:rPr>
                <w:rFonts w:ascii="Times New Roman" w:hAnsi="Times New Roman"/>
                <w:sz w:val="24"/>
              </w:rPr>
              <w:t>Системный администратор</w:t>
            </w:r>
          </w:p>
        </w:tc>
        <w:tc>
          <w:tcPr>
            <w:tcW w:w="2339" w:type="dxa"/>
            <w:vAlign w:val="center"/>
          </w:tcPr>
          <w:p w14:paraId="479F09BC">
            <w:pPr>
              <w:widowControl w:val="0"/>
              <w:jc w:val="center"/>
            </w:pPr>
            <w:r>
              <w:rPr>
                <w:rFonts w:ascii="Times New Roman" w:hAnsi="Times New Roman"/>
                <w:sz w:val="24"/>
              </w:rPr>
              <w:t>0,5</w:t>
            </w:r>
          </w:p>
        </w:tc>
        <w:tc>
          <w:tcPr>
            <w:tcW w:w="2339" w:type="dxa"/>
            <w:vAlign w:val="center"/>
          </w:tcPr>
          <w:p w14:paraId="6D63671B">
            <w:pPr>
              <w:widowControl w:val="0"/>
              <w:jc w:val="center"/>
            </w:pPr>
            <w:r>
              <w:rPr>
                <w:rFonts w:ascii="Times New Roman" w:hAnsi="Times New Roman"/>
                <w:sz w:val="24"/>
              </w:rPr>
              <w:t>60 000</w:t>
            </w:r>
          </w:p>
        </w:tc>
        <w:tc>
          <w:tcPr>
            <w:tcW w:w="2339" w:type="dxa"/>
            <w:vAlign w:val="center"/>
          </w:tcPr>
          <w:p w14:paraId="375B3328">
            <w:pPr>
              <w:widowControl w:val="0"/>
              <w:jc w:val="center"/>
            </w:pPr>
            <w:r>
              <w:rPr>
                <w:rFonts w:ascii="Times New Roman" w:hAnsi="Times New Roman"/>
                <w:sz w:val="24"/>
              </w:rPr>
              <w:t>30 000</w:t>
            </w:r>
          </w:p>
        </w:tc>
      </w:tr>
      <w:tr w14:paraId="746D8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FA8F0B5">
            <w:pPr>
              <w:widowControl w:val="0"/>
              <w:jc w:val="both"/>
            </w:pPr>
            <w:r>
              <w:rPr>
                <w:rFonts w:ascii="Times New Roman" w:hAnsi="Times New Roman"/>
                <w:sz w:val="24"/>
              </w:rPr>
              <w:t>Юрист (аутсорсинг)</w:t>
            </w:r>
          </w:p>
        </w:tc>
        <w:tc>
          <w:tcPr>
            <w:tcW w:w="2339" w:type="dxa"/>
            <w:vAlign w:val="center"/>
          </w:tcPr>
          <w:p w14:paraId="416038C0">
            <w:pPr>
              <w:widowControl w:val="0"/>
              <w:jc w:val="center"/>
            </w:pPr>
            <w:r>
              <w:rPr>
                <w:rFonts w:ascii="Times New Roman" w:hAnsi="Times New Roman"/>
                <w:sz w:val="24"/>
              </w:rPr>
              <w:t>-</w:t>
            </w:r>
          </w:p>
        </w:tc>
        <w:tc>
          <w:tcPr>
            <w:tcW w:w="2339" w:type="dxa"/>
            <w:vAlign w:val="center"/>
          </w:tcPr>
          <w:p w14:paraId="5DCF617A">
            <w:pPr>
              <w:widowControl w:val="0"/>
              <w:jc w:val="center"/>
            </w:pPr>
            <w:r>
              <w:rPr>
                <w:rFonts w:ascii="Times New Roman" w:hAnsi="Times New Roman"/>
                <w:sz w:val="24"/>
              </w:rPr>
              <w:t>12 500</w:t>
            </w:r>
          </w:p>
        </w:tc>
        <w:tc>
          <w:tcPr>
            <w:tcW w:w="2339" w:type="dxa"/>
            <w:vAlign w:val="center"/>
          </w:tcPr>
          <w:p w14:paraId="04BA7BD8">
            <w:pPr>
              <w:widowControl w:val="0"/>
              <w:jc w:val="center"/>
            </w:pPr>
            <w:r>
              <w:rPr>
                <w:rFonts w:ascii="Times New Roman" w:hAnsi="Times New Roman"/>
                <w:sz w:val="24"/>
              </w:rPr>
              <w:t>12 500</w:t>
            </w:r>
          </w:p>
        </w:tc>
      </w:tr>
      <w:tr w14:paraId="3CB72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696B7828">
            <w:pPr>
              <w:widowControl w:val="0"/>
              <w:jc w:val="both"/>
            </w:pPr>
            <w:r>
              <w:rPr>
                <w:rFonts w:ascii="Times New Roman" w:hAnsi="Times New Roman"/>
                <w:sz w:val="24"/>
              </w:rPr>
              <w:t>Итого</w:t>
            </w:r>
          </w:p>
        </w:tc>
        <w:tc>
          <w:tcPr>
            <w:tcW w:w="2339" w:type="dxa"/>
            <w:vAlign w:val="center"/>
          </w:tcPr>
          <w:p w14:paraId="4047E21E">
            <w:pPr>
              <w:widowControl w:val="0"/>
              <w:jc w:val="center"/>
            </w:pPr>
            <w:r>
              <w:rPr>
                <w:rFonts w:ascii="Times New Roman" w:hAnsi="Times New Roman"/>
                <w:sz w:val="24"/>
              </w:rPr>
              <w:t>-</w:t>
            </w:r>
          </w:p>
        </w:tc>
        <w:tc>
          <w:tcPr>
            <w:tcW w:w="2339" w:type="dxa"/>
            <w:vAlign w:val="center"/>
          </w:tcPr>
          <w:p w14:paraId="44626848">
            <w:pPr>
              <w:widowControl w:val="0"/>
              <w:jc w:val="center"/>
            </w:pPr>
            <w:r>
              <w:rPr>
                <w:rFonts w:ascii="Times New Roman" w:hAnsi="Times New Roman"/>
                <w:sz w:val="24"/>
              </w:rPr>
              <w:t>-</w:t>
            </w:r>
          </w:p>
        </w:tc>
        <w:tc>
          <w:tcPr>
            <w:tcW w:w="2339" w:type="dxa"/>
            <w:vAlign w:val="center"/>
          </w:tcPr>
          <w:p w14:paraId="3D0E97B3">
            <w:pPr>
              <w:widowControl w:val="0"/>
              <w:jc w:val="center"/>
            </w:pPr>
            <w:r>
              <w:rPr>
                <w:rFonts w:ascii="Times New Roman" w:hAnsi="Times New Roman"/>
                <w:sz w:val="24"/>
              </w:rPr>
              <w:t>979 692</w:t>
            </w:r>
          </w:p>
        </w:tc>
      </w:tr>
    </w:tbl>
    <w:p w14:paraId="7B5DCDD0">
      <w:pPr>
        <w:spacing w:after="120" w:line="360" w:lineRule="auto"/>
        <w:ind w:firstLine="700"/>
        <w:jc w:val="both"/>
      </w:pPr>
    </w:p>
    <w:p w14:paraId="39DAD71D">
      <w:pPr>
        <w:spacing w:after="120" w:line="360" w:lineRule="auto"/>
        <w:ind w:firstLine="700"/>
        <w:jc w:val="both"/>
      </w:pPr>
      <w:r>
        <w:rPr>
          <w:rFonts w:ascii="Times New Roman" w:hAnsi="Times New Roman"/>
          <w:b w:val="0"/>
          <w:sz w:val="28"/>
        </w:rPr>
        <w:t>Тендерные специалисты имеют наиболее высокий совокупный фонд ежемесячных выплат среди подразделений. Это объясняется их вкладом в выручку компании и сложностью выполняемых функций. При этом высокая стоимость персонала требует сопоставления затрат с качеством работы и результативностью участия в тендерах.</w:t>
      </w:r>
    </w:p>
    <w:p w14:paraId="7D97751B">
      <w:pPr>
        <w:spacing w:after="120" w:line="360" w:lineRule="auto"/>
        <w:ind w:firstLine="700"/>
        <w:jc w:val="both"/>
        <w:rPr>
          <w:rFonts w:ascii="Times New Roman" w:hAnsi="Times New Roman"/>
          <w:b w:val="0"/>
          <w:sz w:val="28"/>
        </w:rPr>
      </w:pPr>
      <w:r>
        <w:rPr>
          <w:rFonts w:ascii="Times New Roman" w:hAnsi="Times New Roman"/>
          <w:b w:val="0"/>
          <w:sz w:val="28"/>
          <w:lang w:val="ru-RU"/>
        </w:rPr>
        <w:t>Из</w:t>
      </w:r>
      <w:r>
        <w:rPr>
          <w:rFonts w:hint="default" w:ascii="Times New Roman" w:hAnsi="Times New Roman"/>
          <w:b w:val="0"/>
          <w:sz w:val="28"/>
          <w:lang w:val="ru-RU"/>
        </w:rPr>
        <w:t xml:space="preserve"> таблицы 2.9. видно, что о</w:t>
      </w:r>
      <w:r>
        <w:rPr>
          <w:rFonts w:ascii="Times New Roman" w:hAnsi="Times New Roman"/>
          <w:b w:val="0"/>
          <w:sz w:val="28"/>
        </w:rPr>
        <w:t>бщие затраты на персонал в 2025 году составляют 15,445 млн руб., или около 37,3% от выручки. Для торговой компании такая доля является высокой по сравнению с ориентиром 20-30%. При этом расходы на обучение составляют всего 45 тыс. руб., то есть около 0,37% от ФОТ и 0,29% от общих затрат на персонал. Следовательно, основная часть кадровых расходов направлена на оплату труда и обязательные начисления, тогда как развитие компетенций финансируется минимально.</w:t>
      </w:r>
    </w:p>
    <w:p w14:paraId="0C4331B3">
      <w:pPr>
        <w:spacing w:after="120" w:line="360" w:lineRule="auto"/>
        <w:jc w:val="right"/>
        <w:rPr>
          <w:sz w:val="24"/>
          <w:szCs w:val="24"/>
        </w:rPr>
      </w:pPr>
      <w:r>
        <w:rPr>
          <w:rFonts w:ascii="Times New Roman" w:hAnsi="Times New Roman"/>
          <w:b w:val="0"/>
          <w:sz w:val="24"/>
          <w:szCs w:val="24"/>
        </w:rPr>
        <w:t>Таблица 2.9. Расходы на оплату труда и затраты на персонал ООО «Лайф Медиа» в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7"/>
        <w:gridCol w:w="4677"/>
      </w:tblGrid>
      <w:tr w14:paraId="36CAD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vAlign w:val="center"/>
          </w:tcPr>
          <w:p w14:paraId="0FF7CA8A">
            <w:pPr>
              <w:widowControl w:val="0"/>
              <w:jc w:val="center"/>
              <w:rPr>
                <w:b w:val="0"/>
                <w:bCs/>
              </w:rPr>
            </w:pPr>
            <w:r>
              <w:rPr>
                <w:rFonts w:ascii="Times New Roman" w:hAnsi="Times New Roman"/>
                <w:b w:val="0"/>
                <w:bCs/>
                <w:sz w:val="24"/>
              </w:rPr>
              <w:t>Показатель</w:t>
            </w:r>
          </w:p>
        </w:tc>
        <w:tc>
          <w:tcPr>
            <w:tcW w:w="4677" w:type="dxa"/>
            <w:vAlign w:val="center"/>
          </w:tcPr>
          <w:p w14:paraId="05986340">
            <w:pPr>
              <w:widowControl w:val="0"/>
              <w:jc w:val="center"/>
              <w:rPr>
                <w:b w:val="0"/>
                <w:bCs/>
              </w:rPr>
            </w:pPr>
            <w:r>
              <w:rPr>
                <w:rFonts w:ascii="Times New Roman" w:hAnsi="Times New Roman"/>
                <w:b w:val="0"/>
                <w:bCs/>
                <w:sz w:val="24"/>
              </w:rPr>
              <w:t>Сумма, тыс. руб.</w:t>
            </w:r>
          </w:p>
        </w:tc>
      </w:tr>
      <w:tr w14:paraId="4FA8E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FB8D5F4">
            <w:pPr>
              <w:widowControl w:val="0"/>
              <w:jc w:val="both"/>
            </w:pPr>
            <w:r>
              <w:rPr>
                <w:rFonts w:ascii="Times New Roman" w:hAnsi="Times New Roman"/>
                <w:sz w:val="24"/>
              </w:rPr>
              <w:t>ФОТ тендерного отдела (8 чел.)</w:t>
            </w:r>
          </w:p>
        </w:tc>
        <w:tc>
          <w:tcPr>
            <w:tcW w:w="4677" w:type="dxa"/>
            <w:vAlign w:val="top"/>
          </w:tcPr>
          <w:p w14:paraId="0BEED842">
            <w:pPr>
              <w:widowControl w:val="0"/>
              <w:jc w:val="center"/>
            </w:pPr>
            <w:r>
              <w:rPr>
                <w:rFonts w:ascii="Times New Roman" w:hAnsi="Times New Roman"/>
                <w:sz w:val="24"/>
              </w:rPr>
              <w:t>6 100</w:t>
            </w:r>
          </w:p>
        </w:tc>
      </w:tr>
      <w:tr w14:paraId="356A6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3CF6D12">
            <w:pPr>
              <w:widowControl w:val="0"/>
              <w:jc w:val="both"/>
            </w:pPr>
            <w:r>
              <w:rPr>
                <w:rFonts w:ascii="Times New Roman" w:hAnsi="Times New Roman"/>
                <w:sz w:val="24"/>
              </w:rPr>
              <w:t>ФОТ отдела продаж (4 чел.)</w:t>
            </w:r>
          </w:p>
        </w:tc>
        <w:tc>
          <w:tcPr>
            <w:tcW w:w="4677" w:type="dxa"/>
            <w:vAlign w:val="top"/>
          </w:tcPr>
          <w:p w14:paraId="0112CB19">
            <w:pPr>
              <w:widowControl w:val="0"/>
              <w:jc w:val="center"/>
            </w:pPr>
            <w:r>
              <w:rPr>
                <w:rFonts w:ascii="Times New Roman" w:hAnsi="Times New Roman"/>
                <w:sz w:val="24"/>
              </w:rPr>
              <w:t>2 400</w:t>
            </w:r>
          </w:p>
        </w:tc>
      </w:tr>
      <w:tr w14:paraId="660BF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803EACA">
            <w:pPr>
              <w:widowControl w:val="0"/>
              <w:jc w:val="both"/>
            </w:pPr>
            <w:r>
              <w:rPr>
                <w:rFonts w:ascii="Times New Roman" w:hAnsi="Times New Roman"/>
                <w:sz w:val="24"/>
              </w:rPr>
              <w:t>ФОТ отдела логистики (3 чел.)</w:t>
            </w:r>
          </w:p>
        </w:tc>
        <w:tc>
          <w:tcPr>
            <w:tcW w:w="4677" w:type="dxa"/>
            <w:vAlign w:val="top"/>
          </w:tcPr>
          <w:p w14:paraId="36D7D4E9">
            <w:pPr>
              <w:widowControl w:val="0"/>
              <w:jc w:val="center"/>
            </w:pPr>
            <w:r>
              <w:rPr>
                <w:rFonts w:ascii="Times New Roman" w:hAnsi="Times New Roman"/>
                <w:sz w:val="24"/>
              </w:rPr>
              <w:t>1 600</w:t>
            </w:r>
          </w:p>
        </w:tc>
      </w:tr>
    </w:tbl>
    <w:p w14:paraId="7F0B1EF4">
      <w:pPr>
        <w:spacing w:after="120" w:line="360" w:lineRule="auto"/>
        <w:jc w:val="right"/>
        <w:rPr>
          <w:rFonts w:hint="default" w:ascii="Times New Roman" w:hAnsi="Times New Roman"/>
          <w:b w:val="0"/>
          <w:sz w:val="24"/>
          <w:szCs w:val="18"/>
          <w:lang w:val="ru-RU"/>
        </w:rPr>
      </w:pPr>
      <w:r>
        <w:rPr>
          <w:rFonts w:ascii="Times New Roman" w:hAnsi="Times New Roman"/>
          <w:b w:val="0"/>
          <w:sz w:val="24"/>
          <w:szCs w:val="18"/>
          <w:lang w:val="ru-RU"/>
        </w:rPr>
        <w:t>Продолжение</w:t>
      </w:r>
      <w:r>
        <w:rPr>
          <w:rFonts w:hint="default" w:ascii="Times New Roman" w:hAnsi="Times New Roman"/>
          <w:b w:val="0"/>
          <w:sz w:val="24"/>
          <w:szCs w:val="18"/>
          <w:lang w:val="ru-RU"/>
        </w:rPr>
        <w:t xml:space="preserve"> таблицы 2.9.</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7"/>
        <w:gridCol w:w="4677"/>
      </w:tblGrid>
      <w:tr w14:paraId="6AB33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4677" w:type="dxa"/>
          </w:tcPr>
          <w:p w14:paraId="3E484F33">
            <w:pPr>
              <w:widowControl w:val="0"/>
              <w:jc w:val="both"/>
            </w:pPr>
            <w:r>
              <w:rPr>
                <w:rFonts w:ascii="Times New Roman" w:hAnsi="Times New Roman"/>
                <w:sz w:val="24"/>
              </w:rPr>
              <w:t>ФОТ административно-управленческого блока (2,5 ставки)</w:t>
            </w:r>
          </w:p>
        </w:tc>
        <w:tc>
          <w:tcPr>
            <w:tcW w:w="4677" w:type="dxa"/>
            <w:vAlign w:val="top"/>
          </w:tcPr>
          <w:p w14:paraId="3A80E2C8">
            <w:pPr>
              <w:widowControl w:val="0"/>
              <w:jc w:val="center"/>
            </w:pPr>
            <w:r>
              <w:rPr>
                <w:rFonts w:ascii="Times New Roman" w:hAnsi="Times New Roman"/>
                <w:sz w:val="24"/>
              </w:rPr>
              <w:t>1 500</w:t>
            </w:r>
          </w:p>
        </w:tc>
      </w:tr>
      <w:tr w14:paraId="425E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7A6933B0">
            <w:pPr>
              <w:widowControl w:val="0"/>
              <w:jc w:val="both"/>
            </w:pPr>
            <w:r>
              <w:rPr>
                <w:rFonts w:ascii="Times New Roman" w:hAnsi="Times New Roman"/>
                <w:sz w:val="24"/>
              </w:rPr>
              <w:t>Итого ФОТ</w:t>
            </w:r>
          </w:p>
        </w:tc>
        <w:tc>
          <w:tcPr>
            <w:tcW w:w="4677" w:type="dxa"/>
            <w:vAlign w:val="top"/>
          </w:tcPr>
          <w:p w14:paraId="7395689D">
            <w:pPr>
              <w:widowControl w:val="0"/>
              <w:jc w:val="center"/>
            </w:pPr>
            <w:r>
              <w:rPr>
                <w:rFonts w:ascii="Times New Roman" w:hAnsi="Times New Roman"/>
                <w:sz w:val="24"/>
              </w:rPr>
              <w:t>11 600</w:t>
            </w:r>
          </w:p>
        </w:tc>
      </w:tr>
      <w:tr w14:paraId="628AF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0765B56D">
            <w:pPr>
              <w:widowControl w:val="0"/>
              <w:jc w:val="both"/>
            </w:pPr>
            <w:r>
              <w:rPr>
                <w:rFonts w:ascii="Times New Roman" w:hAnsi="Times New Roman"/>
                <w:sz w:val="24"/>
              </w:rPr>
              <w:t>Страховые взносы (30%)</w:t>
            </w:r>
          </w:p>
        </w:tc>
        <w:tc>
          <w:tcPr>
            <w:tcW w:w="4677" w:type="dxa"/>
            <w:vAlign w:val="top"/>
          </w:tcPr>
          <w:p w14:paraId="41861602">
            <w:pPr>
              <w:widowControl w:val="0"/>
              <w:jc w:val="center"/>
            </w:pPr>
            <w:r>
              <w:rPr>
                <w:rFonts w:ascii="Times New Roman" w:hAnsi="Times New Roman"/>
                <w:sz w:val="24"/>
              </w:rPr>
              <w:t>3 480</w:t>
            </w:r>
          </w:p>
        </w:tc>
      </w:tr>
      <w:tr w14:paraId="484B0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49876556">
            <w:pPr>
              <w:widowControl w:val="0"/>
              <w:jc w:val="both"/>
            </w:pPr>
            <w:r>
              <w:rPr>
                <w:rFonts w:ascii="Times New Roman" w:hAnsi="Times New Roman"/>
                <w:sz w:val="24"/>
              </w:rPr>
              <w:t>Подбор персонала</w:t>
            </w:r>
          </w:p>
        </w:tc>
        <w:tc>
          <w:tcPr>
            <w:tcW w:w="4677" w:type="dxa"/>
            <w:vAlign w:val="top"/>
          </w:tcPr>
          <w:p w14:paraId="5D110CBF">
            <w:pPr>
              <w:widowControl w:val="0"/>
              <w:jc w:val="center"/>
            </w:pPr>
            <w:r>
              <w:rPr>
                <w:rFonts w:ascii="Times New Roman" w:hAnsi="Times New Roman"/>
                <w:sz w:val="24"/>
              </w:rPr>
              <w:t>170</w:t>
            </w:r>
          </w:p>
        </w:tc>
      </w:tr>
      <w:tr w14:paraId="58622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74A0F40E">
            <w:pPr>
              <w:widowControl w:val="0"/>
              <w:jc w:val="both"/>
            </w:pPr>
            <w:r>
              <w:rPr>
                <w:rFonts w:ascii="Times New Roman" w:hAnsi="Times New Roman"/>
                <w:sz w:val="24"/>
              </w:rPr>
              <w:t>Обучение</w:t>
            </w:r>
          </w:p>
        </w:tc>
        <w:tc>
          <w:tcPr>
            <w:tcW w:w="4677" w:type="dxa"/>
            <w:vAlign w:val="top"/>
          </w:tcPr>
          <w:p w14:paraId="0C7C3BF2">
            <w:pPr>
              <w:widowControl w:val="0"/>
              <w:jc w:val="center"/>
            </w:pPr>
            <w:r>
              <w:rPr>
                <w:rFonts w:ascii="Times New Roman" w:hAnsi="Times New Roman"/>
                <w:sz w:val="24"/>
              </w:rPr>
              <w:t>45</w:t>
            </w:r>
          </w:p>
        </w:tc>
      </w:tr>
      <w:tr w14:paraId="4E58B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037E628">
            <w:pPr>
              <w:widowControl w:val="0"/>
              <w:jc w:val="both"/>
            </w:pPr>
            <w:r>
              <w:rPr>
                <w:rFonts w:ascii="Times New Roman" w:hAnsi="Times New Roman"/>
                <w:sz w:val="24"/>
              </w:rPr>
              <w:t>Юрист (аутсорсинг)</w:t>
            </w:r>
          </w:p>
        </w:tc>
        <w:tc>
          <w:tcPr>
            <w:tcW w:w="4677" w:type="dxa"/>
            <w:vAlign w:val="top"/>
          </w:tcPr>
          <w:p w14:paraId="192B4D6D">
            <w:pPr>
              <w:widowControl w:val="0"/>
              <w:jc w:val="center"/>
            </w:pPr>
            <w:r>
              <w:rPr>
                <w:rFonts w:ascii="Times New Roman" w:hAnsi="Times New Roman"/>
                <w:sz w:val="24"/>
              </w:rPr>
              <w:t>150</w:t>
            </w:r>
          </w:p>
        </w:tc>
      </w:tr>
      <w:tr w14:paraId="17D9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052FD57E">
            <w:pPr>
              <w:widowControl w:val="0"/>
              <w:jc w:val="both"/>
            </w:pPr>
            <w:r>
              <w:rPr>
                <w:rFonts w:ascii="Times New Roman" w:hAnsi="Times New Roman"/>
                <w:sz w:val="24"/>
              </w:rPr>
              <w:t>Общие затраты на персонал</w:t>
            </w:r>
          </w:p>
        </w:tc>
        <w:tc>
          <w:tcPr>
            <w:tcW w:w="4677" w:type="dxa"/>
            <w:vAlign w:val="top"/>
          </w:tcPr>
          <w:p w14:paraId="3F75D601">
            <w:pPr>
              <w:widowControl w:val="0"/>
              <w:jc w:val="center"/>
            </w:pPr>
            <w:r>
              <w:rPr>
                <w:rFonts w:ascii="Times New Roman" w:hAnsi="Times New Roman"/>
                <w:sz w:val="24"/>
              </w:rPr>
              <w:t>15 445</w:t>
            </w:r>
          </w:p>
        </w:tc>
      </w:tr>
    </w:tbl>
    <w:p w14:paraId="7DD47675">
      <w:pPr>
        <w:spacing w:after="120" w:line="360" w:lineRule="auto"/>
        <w:jc w:val="both"/>
        <w:rPr>
          <w:rFonts w:hint="default" w:ascii="Times New Roman" w:hAnsi="Times New Roman"/>
          <w:b w:val="0"/>
          <w:sz w:val="28"/>
          <w:lang w:val="ru-RU"/>
        </w:rPr>
      </w:pPr>
    </w:p>
    <w:p w14:paraId="692A4A99">
      <w:pPr>
        <w:spacing w:after="120" w:line="360" w:lineRule="auto"/>
        <w:ind w:firstLine="700"/>
        <w:jc w:val="both"/>
        <w:rPr>
          <w:rFonts w:ascii="Times New Roman" w:hAnsi="Times New Roman"/>
          <w:b w:val="0"/>
          <w:sz w:val="28"/>
        </w:rPr>
      </w:pPr>
      <w:r>
        <w:rPr>
          <w:rFonts w:ascii="Times New Roman" w:hAnsi="Times New Roman"/>
          <w:b w:val="0"/>
          <w:sz w:val="28"/>
        </w:rPr>
        <w:t>Формальное наличие статьи «обучение» не означает существования полноценной системы развития. По имеющимся данным, средства используются эпизодически: чаще всего приобретаются доступы к записям вебинаров по изменениям 44-ФЗ и 223-ФЗ. При этом отсутствуют единая программа обучения, регулярное тестирование, внутренняя база знаний и оценка того, как обучение влияет на качество подготовки заявок.</w:t>
      </w:r>
    </w:p>
    <w:p w14:paraId="27A4EE6D">
      <w:pPr>
        <w:spacing w:after="120" w:line="360" w:lineRule="auto"/>
        <w:ind w:firstLine="700"/>
        <w:jc w:val="center"/>
        <w:rPr>
          <w:rFonts w:ascii="Times New Roman" w:hAnsi="Times New Roman"/>
          <w:b/>
          <w:bCs/>
          <w:sz w:val="28"/>
        </w:rPr>
      </w:pPr>
    </w:p>
    <w:p w14:paraId="45F1CF0B">
      <w:pPr>
        <w:numPr>
          <w:ilvl w:val="1"/>
          <w:numId w:val="2"/>
        </w:numPr>
        <w:spacing w:after="120" w:line="360" w:lineRule="auto"/>
        <w:ind w:left="49" w:leftChars="0" w:firstLine="351" w:firstLineChars="0"/>
        <w:jc w:val="center"/>
        <w:rPr>
          <w:rFonts w:hint="default" w:ascii="Times New Roman" w:hAnsi="Times New Roman"/>
          <w:b/>
          <w:bCs/>
          <w:sz w:val="28"/>
          <w:lang w:val="ru-RU"/>
        </w:rPr>
      </w:pPr>
      <w:r>
        <w:rPr>
          <w:rFonts w:hint="default" w:ascii="Times New Roman" w:hAnsi="Times New Roman"/>
          <w:b/>
          <w:bCs/>
          <w:sz w:val="28"/>
          <w:szCs w:val="28"/>
          <w:lang w:val="ru-RU"/>
        </w:rPr>
        <w:t>Оценка эффективности текущей системы обучения и выявление проблем</w:t>
      </w:r>
    </w:p>
    <w:p w14:paraId="61DC43F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sz w:val="28"/>
          <w:szCs w:val="28"/>
          <w:lang w:val="ru-RU"/>
        </w:rPr>
        <w:br w:type="page"/>
      </w:r>
      <w:r>
        <w:rPr>
          <w:rFonts w:hint="default" w:ascii="Times New Roman" w:hAnsi="Times New Roman"/>
          <w:b w:val="0"/>
          <w:bCs w:val="0"/>
          <w:color w:val="auto"/>
          <w:sz w:val="28"/>
          <w:szCs w:val="28"/>
          <w:lang w:val="ru-RU"/>
        </w:rPr>
        <w:t>Тендерный отдел ООО «Лайф Медиа» является ключевым подразделением компании, так как именно через участие в государственных корпоративных закупках формируется основная часть выручки. Работа специалистов отдела связана с постоянным анализом документации заказчиков, отслеживанием изменений в законодательстве, расчётом ценовых предложений, подготовкой комплектов документов и технической</w:t>
      </w:r>
      <w:r>
        <w:rPr>
          <w:rFonts w:hint="default" w:ascii="Times New Roman" w:hAnsi="Times New Roman"/>
          <w:b w:val="0"/>
          <w:bCs w:val="0"/>
          <w:color w:val="auto"/>
          <w:sz w:val="28"/>
          <w:szCs w:val="28"/>
          <w:lang w:val="ru-RU"/>
        </w:rPr>
        <w:tab/>
      </w:r>
      <w:r>
        <w:rPr>
          <w:rFonts w:hint="default" w:ascii="Times New Roman" w:hAnsi="Times New Roman"/>
          <w:b w:val="0"/>
          <w:bCs w:val="0"/>
          <w:color w:val="auto"/>
          <w:sz w:val="28"/>
          <w:szCs w:val="28"/>
          <w:lang w:val="ru-RU"/>
        </w:rPr>
        <w:t xml:space="preserve"> подачей заявок на электронных торговых площадках (ЭТП). При таком характере деятельности квалификация сотрудников напрямую влияет не только на качество выполнения отдельных операций, но и на финансовый результат компании.</w:t>
      </w:r>
    </w:p>
    <w:p w14:paraId="75A9EB39">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b w:val="0"/>
          <w:bCs w:val="0"/>
          <w:color w:val="auto"/>
          <w:sz w:val="28"/>
          <w:szCs w:val="28"/>
          <w:lang w:val="ru-RU"/>
        </w:rPr>
        <w:t>Несмотря на высокую значимость тендерного отдела, в компании отсутствует целостная система обучения и развития персонала. Под системой обучения в данном случае понимается не разовой направление сотрудников на курс или самостоятельное изучение материалов, а совокупность взаимосвязанных элементов: вводная адаптация новых работников, регулярное обновление знаний, разбор ошибок, единая база знаний, наставничество и оценка влияния обучения на рабочие показатели. В ООО «Лайф Медиа» такие элементы либо полностью отсутствуют, либо существуют фрагментарно и не связаны между собой.</w:t>
      </w:r>
    </w:p>
    <w:p w14:paraId="7CAABE3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b w:val="0"/>
          <w:bCs w:val="0"/>
          <w:color w:val="auto"/>
          <w:sz w:val="28"/>
          <w:szCs w:val="28"/>
          <w:lang w:val="ru-RU"/>
        </w:rPr>
        <w:t>Фактически обучение тендерных специалистов строится преимущественно на самостоятельном поиске информации и передаче знаний от более опытных сотрудников в процессе работы. Такой формат нельзя считать устойчивой системой, поскольку он зависит от личной инициативы конкретных сотрудников, загруженности руководителя отдела и наличия свободного времени и желания коллег. Если новый специалист сталкивается с нестандартной закупкой, изменением формы документа или особенностями электронной торговой площадки (ЭТП), то чаще всего он получает информацию ситуацтивно, то есть через устное пояснение, поиск в открытых источниках или просмотр ранее поданных заявок.</w:t>
      </w:r>
    </w:p>
    <w:p w14:paraId="33FADAC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b w:val="0"/>
          <w:bCs w:val="0"/>
          <w:color w:val="auto"/>
          <w:sz w:val="28"/>
          <w:szCs w:val="28"/>
          <w:lang w:val="ru-RU"/>
        </w:rPr>
        <w:t>Отсутствие системности проявляется прежде всего в том, что в компании нет утверждённой программы адаптации тендерного специалиста. Новый сотрудник не проходит введение в должность через путь, где были бы закреплены темы, сроки освоения, ответственные лица. В результате скорость включения в работу зависит от первоначального уровня подготовки человека.</w:t>
      </w:r>
    </w:p>
    <w:p w14:paraId="11CA3F9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bCs w:val="0"/>
          <w:color w:val="auto"/>
          <w:sz w:val="28"/>
          <w:szCs w:val="28"/>
          <w:lang w:val="ru-RU"/>
        </w:rPr>
        <w:t xml:space="preserve">Второй важный признак отсутствия системы обучения связан с тем, что в компании нет единой базы актуальных учебных и рабочих материалов. Документы, шаблоны, образцы заполнения форм и инструкций хранятся разрозненно. Часть материалов находится в общих папках, часть </w:t>
      </w:r>
      <w:r>
        <w:rPr>
          <w:rFonts w:ascii="Times New Roman" w:hAnsi="Times New Roman"/>
          <w:b w:val="0"/>
          <w:i w:val="0"/>
          <w:sz w:val="28"/>
        </w:rPr>
        <w:t xml:space="preserve">— </w:t>
      </w:r>
      <w:r>
        <w:rPr>
          <w:rFonts w:ascii="Times New Roman" w:hAnsi="Times New Roman"/>
          <w:b w:val="0"/>
          <w:i w:val="0"/>
          <w:sz w:val="28"/>
          <w:lang w:val="ru-RU"/>
        </w:rPr>
        <w:t>у</w:t>
      </w:r>
      <w:r>
        <w:rPr>
          <w:rFonts w:hint="default" w:ascii="Times New Roman" w:hAnsi="Times New Roman"/>
          <w:b w:val="0"/>
          <w:i w:val="0"/>
          <w:sz w:val="28"/>
          <w:lang w:val="ru-RU"/>
        </w:rPr>
        <w:t xml:space="preserve"> отдельных сотрудников, часть </w:t>
      </w:r>
      <w:r>
        <w:rPr>
          <w:rFonts w:ascii="Times New Roman" w:hAnsi="Times New Roman"/>
          <w:b w:val="0"/>
          <w:i w:val="0"/>
          <w:sz w:val="28"/>
        </w:rPr>
        <w:t xml:space="preserve">— </w:t>
      </w:r>
      <w:r>
        <w:rPr>
          <w:rFonts w:hint="default" w:ascii="Times New Roman" w:hAnsi="Times New Roman"/>
          <w:b w:val="0"/>
          <w:i w:val="0"/>
          <w:sz w:val="28"/>
          <w:lang w:val="ru-RU"/>
        </w:rPr>
        <w:t xml:space="preserve"> в переписках или задачах Битрикс24. при этом не закреплён порядок регулярного обновления таких материалов после изменений в 44-ФЗ и 223-ФЗ, требованиях заказчиков или правилах электронных площадок. Это создаёт риск использования устаревших форм и неодинакового подхода к подготовке заявок.</w:t>
      </w:r>
    </w:p>
    <w:p w14:paraId="149C1A7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i w:val="0"/>
          <w:sz w:val="28"/>
          <w:lang w:val="ru-RU"/>
        </w:rPr>
        <w:t>Третья проблема заключается в отсутствии регулярной проверки знаний. В компании не проводится тестирование по изменениям законодательства, не фиксируются результаты изучения обучающих материалов, не оценивается готовность специалиста к самостоятельной работе с отдельными типами закупок. Поэтому руководитель не получает объективной информации о том, какие направления имеют проблемы.</w:t>
      </w:r>
    </w:p>
    <w:p w14:paraId="31E03C9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i w:val="0"/>
          <w:sz w:val="28"/>
          <w:lang w:val="ru-RU"/>
        </w:rPr>
        <w:t xml:space="preserve">Четвёртая проблема </w:t>
      </w:r>
      <w:r>
        <w:rPr>
          <w:rFonts w:ascii="Times New Roman" w:hAnsi="Times New Roman"/>
          <w:b w:val="0"/>
          <w:i w:val="0"/>
          <w:sz w:val="28"/>
        </w:rPr>
        <w:t xml:space="preserve">— </w:t>
      </w:r>
      <w:r>
        <w:rPr>
          <w:rFonts w:hint="default" w:ascii="Times New Roman" w:hAnsi="Times New Roman"/>
          <w:b w:val="0"/>
          <w:i w:val="0"/>
          <w:sz w:val="28"/>
          <w:lang w:val="ru-RU"/>
        </w:rPr>
        <w:t xml:space="preserve"> отсутствие системного разбора ошибок. Если заявка отклоняется, ошибка обсуждается устно и, как правило, в привязке к конкретному случаю. Такая информация не превращается в общую базу знаний отдела: не фиксируется причина отклонения, не формируется перечень типовых ошибок, не анализируется повторяемость нарушений по сотрудникам и по видам закупки. В результате один и тот же тип ошибки может повторяться у разных специалистов, потому что отдельный опыт не становится общим знанием подразделения.</w:t>
      </w:r>
    </w:p>
    <w:p w14:paraId="76FD2ED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i w:val="0"/>
          <w:sz w:val="28"/>
          <w:lang w:val="ru-RU"/>
        </w:rPr>
        <w:t>В таблице 3.1. отражено фактическое состояние сситемц обучения тендерных специалистов компании.</w:t>
      </w:r>
    </w:p>
    <w:p w14:paraId="563248EF">
      <w:pPr>
        <w:spacing w:after="120" w:line="360" w:lineRule="auto"/>
        <w:ind w:firstLine="700"/>
      </w:pPr>
    </w:p>
    <w:p w14:paraId="7D471671">
      <w:pPr>
        <w:spacing w:after="120" w:line="360" w:lineRule="auto"/>
        <w:ind w:firstLine="700"/>
        <w:jc w:val="right"/>
        <w:rPr>
          <w:sz w:val="24"/>
          <w:szCs w:val="24"/>
        </w:rPr>
      </w:pPr>
      <w:r>
        <w:rPr>
          <w:rFonts w:ascii="Times New Roman" w:hAnsi="Times New Roman"/>
          <w:b w:val="0"/>
          <w:i w:val="0"/>
          <w:sz w:val="24"/>
          <w:szCs w:val="24"/>
        </w:rPr>
        <w:t>Таблица 3.1. Характеристика фактического состояния обучения тендерных специалистов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EB3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BB9F1FC">
            <w:pPr>
              <w:widowControl w:val="0"/>
              <w:spacing w:line="240" w:lineRule="auto"/>
              <w:jc w:val="center"/>
              <w:rPr>
                <w:b w:val="0"/>
                <w:bCs/>
                <w:sz w:val="24"/>
                <w:szCs w:val="24"/>
              </w:rPr>
            </w:pPr>
            <w:r>
              <w:rPr>
                <w:rFonts w:ascii="Times New Roman" w:hAnsi="Times New Roman"/>
                <w:b w:val="0"/>
                <w:bCs/>
                <w:sz w:val="24"/>
                <w:szCs w:val="24"/>
              </w:rPr>
              <w:t>Элемент системы обучения</w:t>
            </w:r>
          </w:p>
        </w:tc>
        <w:tc>
          <w:tcPr>
            <w:tcW w:w="3118" w:type="dxa"/>
          </w:tcPr>
          <w:p w14:paraId="1A45EDE8">
            <w:pPr>
              <w:widowControl w:val="0"/>
              <w:spacing w:line="240" w:lineRule="auto"/>
              <w:jc w:val="center"/>
              <w:rPr>
                <w:b w:val="0"/>
                <w:bCs/>
                <w:sz w:val="24"/>
                <w:szCs w:val="24"/>
              </w:rPr>
            </w:pPr>
            <w:r>
              <w:rPr>
                <w:rFonts w:ascii="Times New Roman" w:hAnsi="Times New Roman"/>
                <w:b w:val="0"/>
                <w:bCs/>
                <w:sz w:val="24"/>
                <w:szCs w:val="24"/>
              </w:rPr>
              <w:t>Фактическое состояние в компании</w:t>
            </w:r>
          </w:p>
        </w:tc>
        <w:tc>
          <w:tcPr>
            <w:tcW w:w="3118" w:type="dxa"/>
          </w:tcPr>
          <w:p w14:paraId="503F45C3">
            <w:pPr>
              <w:widowControl w:val="0"/>
              <w:spacing w:line="240" w:lineRule="auto"/>
              <w:jc w:val="center"/>
              <w:rPr>
                <w:b w:val="0"/>
                <w:bCs/>
                <w:sz w:val="24"/>
                <w:szCs w:val="24"/>
              </w:rPr>
            </w:pPr>
            <w:r>
              <w:rPr>
                <w:rFonts w:ascii="Times New Roman" w:hAnsi="Times New Roman"/>
                <w:b w:val="0"/>
                <w:bCs/>
                <w:sz w:val="24"/>
                <w:szCs w:val="24"/>
              </w:rPr>
              <w:t>Проявление в работе отдела</w:t>
            </w:r>
          </w:p>
        </w:tc>
      </w:tr>
      <w:tr w14:paraId="4FAED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F8257A3">
            <w:pPr>
              <w:widowControl w:val="0"/>
              <w:spacing w:line="240" w:lineRule="auto"/>
              <w:jc w:val="both"/>
              <w:rPr>
                <w:sz w:val="24"/>
                <w:szCs w:val="24"/>
              </w:rPr>
            </w:pPr>
            <w:r>
              <w:rPr>
                <w:rFonts w:ascii="Times New Roman" w:hAnsi="Times New Roman"/>
                <w:sz w:val="24"/>
                <w:szCs w:val="24"/>
              </w:rPr>
              <w:t>Вводная адаптация</w:t>
            </w:r>
          </w:p>
        </w:tc>
        <w:tc>
          <w:tcPr>
            <w:tcW w:w="3118" w:type="dxa"/>
          </w:tcPr>
          <w:p w14:paraId="01E2C35F">
            <w:pPr>
              <w:widowControl w:val="0"/>
              <w:spacing w:line="240" w:lineRule="auto"/>
              <w:jc w:val="both"/>
              <w:rPr>
                <w:sz w:val="24"/>
                <w:szCs w:val="24"/>
              </w:rPr>
            </w:pPr>
            <w:r>
              <w:rPr>
                <w:rFonts w:ascii="Times New Roman" w:hAnsi="Times New Roman"/>
                <w:sz w:val="24"/>
                <w:szCs w:val="24"/>
              </w:rPr>
              <w:t>Единая программа адаптации отсутствует</w:t>
            </w:r>
          </w:p>
        </w:tc>
        <w:tc>
          <w:tcPr>
            <w:tcW w:w="3118" w:type="dxa"/>
          </w:tcPr>
          <w:p w14:paraId="3A2E20D6">
            <w:pPr>
              <w:widowControl w:val="0"/>
              <w:spacing w:line="240" w:lineRule="auto"/>
              <w:jc w:val="both"/>
              <w:rPr>
                <w:sz w:val="24"/>
                <w:szCs w:val="24"/>
              </w:rPr>
            </w:pPr>
            <w:r>
              <w:rPr>
                <w:rFonts w:ascii="Times New Roman" w:hAnsi="Times New Roman"/>
                <w:sz w:val="24"/>
                <w:szCs w:val="24"/>
              </w:rPr>
              <w:t>Новый сотрудник осваивает работу через устные пояснения и текущие задачи</w:t>
            </w:r>
          </w:p>
        </w:tc>
      </w:tr>
      <w:tr w14:paraId="195EB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BFC080">
            <w:pPr>
              <w:widowControl w:val="0"/>
              <w:spacing w:line="240" w:lineRule="auto"/>
              <w:jc w:val="both"/>
              <w:rPr>
                <w:sz w:val="24"/>
                <w:szCs w:val="24"/>
              </w:rPr>
            </w:pPr>
            <w:r>
              <w:rPr>
                <w:rFonts w:ascii="Times New Roman" w:hAnsi="Times New Roman"/>
                <w:sz w:val="24"/>
                <w:szCs w:val="24"/>
              </w:rPr>
              <w:t>Учебные материалы</w:t>
            </w:r>
          </w:p>
        </w:tc>
        <w:tc>
          <w:tcPr>
            <w:tcW w:w="3118" w:type="dxa"/>
          </w:tcPr>
          <w:p w14:paraId="1C8877F6">
            <w:pPr>
              <w:widowControl w:val="0"/>
              <w:spacing w:line="240" w:lineRule="auto"/>
              <w:jc w:val="both"/>
              <w:rPr>
                <w:sz w:val="24"/>
                <w:szCs w:val="24"/>
              </w:rPr>
            </w:pPr>
            <w:r>
              <w:rPr>
                <w:rFonts w:ascii="Times New Roman" w:hAnsi="Times New Roman"/>
                <w:sz w:val="24"/>
                <w:szCs w:val="24"/>
              </w:rPr>
              <w:t>Единая база актуальных материалов не сформирована</w:t>
            </w:r>
          </w:p>
        </w:tc>
        <w:tc>
          <w:tcPr>
            <w:tcW w:w="3118" w:type="dxa"/>
          </w:tcPr>
          <w:p w14:paraId="6D5BA582">
            <w:pPr>
              <w:widowControl w:val="0"/>
              <w:spacing w:line="240" w:lineRule="auto"/>
              <w:jc w:val="both"/>
              <w:rPr>
                <w:sz w:val="24"/>
                <w:szCs w:val="24"/>
              </w:rPr>
            </w:pPr>
            <w:r>
              <w:rPr>
                <w:rFonts w:ascii="Times New Roman" w:hAnsi="Times New Roman"/>
                <w:sz w:val="24"/>
                <w:szCs w:val="24"/>
              </w:rPr>
              <w:t>Сотрудники используют разные источники, часть шаблонов может устаревать</w:t>
            </w:r>
          </w:p>
        </w:tc>
      </w:tr>
      <w:tr w14:paraId="51E9D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7DE8FAA">
            <w:pPr>
              <w:widowControl w:val="0"/>
              <w:spacing w:line="240" w:lineRule="auto"/>
              <w:jc w:val="both"/>
              <w:rPr>
                <w:sz w:val="24"/>
                <w:szCs w:val="24"/>
              </w:rPr>
            </w:pPr>
            <w:r>
              <w:rPr>
                <w:rFonts w:ascii="Times New Roman" w:hAnsi="Times New Roman"/>
                <w:sz w:val="24"/>
                <w:szCs w:val="24"/>
              </w:rPr>
              <w:t>Обновление знаний</w:t>
            </w:r>
          </w:p>
        </w:tc>
        <w:tc>
          <w:tcPr>
            <w:tcW w:w="3118" w:type="dxa"/>
          </w:tcPr>
          <w:p w14:paraId="4F19315E">
            <w:pPr>
              <w:widowControl w:val="0"/>
              <w:spacing w:line="240" w:lineRule="auto"/>
              <w:jc w:val="both"/>
              <w:rPr>
                <w:sz w:val="24"/>
                <w:szCs w:val="24"/>
              </w:rPr>
            </w:pPr>
            <w:r>
              <w:rPr>
                <w:rFonts w:ascii="Times New Roman" w:hAnsi="Times New Roman"/>
                <w:sz w:val="24"/>
                <w:szCs w:val="24"/>
              </w:rPr>
              <w:t>Происходит эпизодически через вебинары и самостоятельный поиск информации</w:t>
            </w:r>
          </w:p>
        </w:tc>
        <w:tc>
          <w:tcPr>
            <w:tcW w:w="3118" w:type="dxa"/>
          </w:tcPr>
          <w:p w14:paraId="5298CDDD">
            <w:pPr>
              <w:widowControl w:val="0"/>
              <w:spacing w:line="240" w:lineRule="auto"/>
              <w:jc w:val="both"/>
              <w:rPr>
                <w:sz w:val="24"/>
                <w:szCs w:val="24"/>
              </w:rPr>
            </w:pPr>
            <w:r>
              <w:rPr>
                <w:rFonts w:ascii="Times New Roman" w:hAnsi="Times New Roman"/>
                <w:sz w:val="24"/>
                <w:szCs w:val="24"/>
              </w:rPr>
              <w:t>Изменения законодательства не всегда одинаково быстро доходят до всех сотрудников</w:t>
            </w:r>
          </w:p>
        </w:tc>
      </w:tr>
      <w:tr w14:paraId="57053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3FE5A3B">
            <w:pPr>
              <w:widowControl w:val="0"/>
              <w:spacing w:line="240" w:lineRule="auto"/>
              <w:jc w:val="both"/>
              <w:rPr>
                <w:sz w:val="24"/>
                <w:szCs w:val="24"/>
              </w:rPr>
            </w:pPr>
            <w:r>
              <w:rPr>
                <w:rFonts w:ascii="Times New Roman" w:hAnsi="Times New Roman"/>
                <w:sz w:val="24"/>
                <w:szCs w:val="24"/>
              </w:rPr>
              <w:t>Проверка знаний</w:t>
            </w:r>
          </w:p>
        </w:tc>
        <w:tc>
          <w:tcPr>
            <w:tcW w:w="3118" w:type="dxa"/>
          </w:tcPr>
          <w:p w14:paraId="788095DF">
            <w:pPr>
              <w:widowControl w:val="0"/>
              <w:spacing w:line="240" w:lineRule="auto"/>
              <w:jc w:val="both"/>
              <w:rPr>
                <w:sz w:val="24"/>
                <w:szCs w:val="24"/>
              </w:rPr>
            </w:pPr>
            <w:r>
              <w:rPr>
                <w:rFonts w:ascii="Times New Roman" w:hAnsi="Times New Roman"/>
                <w:sz w:val="24"/>
                <w:szCs w:val="24"/>
              </w:rPr>
              <w:t>Регулярное тестирование не проводится</w:t>
            </w:r>
          </w:p>
        </w:tc>
        <w:tc>
          <w:tcPr>
            <w:tcW w:w="3118" w:type="dxa"/>
          </w:tcPr>
          <w:p w14:paraId="15DAA408">
            <w:pPr>
              <w:widowControl w:val="0"/>
              <w:spacing w:line="240" w:lineRule="auto"/>
              <w:jc w:val="both"/>
              <w:rPr>
                <w:sz w:val="24"/>
                <w:szCs w:val="24"/>
              </w:rPr>
            </w:pPr>
            <w:r>
              <w:rPr>
                <w:rFonts w:ascii="Times New Roman" w:hAnsi="Times New Roman"/>
                <w:sz w:val="24"/>
                <w:szCs w:val="24"/>
              </w:rPr>
              <w:t>Руководитель не имеет точной картины по пробелам в знаниях специалистов</w:t>
            </w:r>
          </w:p>
        </w:tc>
      </w:tr>
      <w:tr w14:paraId="6E46A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31DCBF6">
            <w:pPr>
              <w:widowControl w:val="0"/>
              <w:spacing w:line="240" w:lineRule="auto"/>
              <w:jc w:val="both"/>
              <w:rPr>
                <w:sz w:val="24"/>
                <w:szCs w:val="24"/>
              </w:rPr>
            </w:pPr>
            <w:r>
              <w:rPr>
                <w:rFonts w:ascii="Times New Roman" w:hAnsi="Times New Roman"/>
                <w:sz w:val="24"/>
                <w:szCs w:val="24"/>
              </w:rPr>
              <w:t>Разбор ошибок</w:t>
            </w:r>
          </w:p>
        </w:tc>
        <w:tc>
          <w:tcPr>
            <w:tcW w:w="3118" w:type="dxa"/>
          </w:tcPr>
          <w:p w14:paraId="648ED9EF">
            <w:pPr>
              <w:widowControl w:val="0"/>
              <w:spacing w:line="240" w:lineRule="auto"/>
              <w:jc w:val="both"/>
              <w:rPr>
                <w:sz w:val="24"/>
                <w:szCs w:val="24"/>
              </w:rPr>
            </w:pPr>
            <w:r>
              <w:rPr>
                <w:rFonts w:ascii="Times New Roman" w:hAnsi="Times New Roman"/>
                <w:sz w:val="24"/>
                <w:szCs w:val="24"/>
              </w:rPr>
              <w:t>Ошибки обсуждаются устно и не фиксируются в единой базе</w:t>
            </w:r>
          </w:p>
        </w:tc>
        <w:tc>
          <w:tcPr>
            <w:tcW w:w="3118" w:type="dxa"/>
          </w:tcPr>
          <w:p w14:paraId="4FE97557">
            <w:pPr>
              <w:widowControl w:val="0"/>
              <w:spacing w:line="240" w:lineRule="auto"/>
              <w:jc w:val="both"/>
              <w:rPr>
                <w:sz w:val="24"/>
                <w:szCs w:val="24"/>
              </w:rPr>
            </w:pPr>
            <w:r>
              <w:rPr>
                <w:rFonts w:ascii="Times New Roman" w:hAnsi="Times New Roman"/>
                <w:sz w:val="24"/>
                <w:szCs w:val="24"/>
              </w:rPr>
              <w:t>Повторяющиеся ошибки не превращаются в общий опыт отдела</w:t>
            </w:r>
          </w:p>
        </w:tc>
      </w:tr>
      <w:tr w14:paraId="5F3FA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041087B">
            <w:pPr>
              <w:widowControl w:val="0"/>
              <w:spacing w:line="240" w:lineRule="auto"/>
              <w:jc w:val="both"/>
              <w:rPr>
                <w:sz w:val="24"/>
                <w:szCs w:val="24"/>
              </w:rPr>
            </w:pPr>
            <w:r>
              <w:rPr>
                <w:rFonts w:ascii="Times New Roman" w:hAnsi="Times New Roman"/>
                <w:sz w:val="24"/>
                <w:szCs w:val="24"/>
              </w:rPr>
              <w:t>Наставничество</w:t>
            </w:r>
          </w:p>
        </w:tc>
        <w:tc>
          <w:tcPr>
            <w:tcW w:w="3118" w:type="dxa"/>
          </w:tcPr>
          <w:p w14:paraId="4A3EB0BC">
            <w:pPr>
              <w:widowControl w:val="0"/>
              <w:spacing w:line="240" w:lineRule="auto"/>
              <w:jc w:val="both"/>
              <w:rPr>
                <w:sz w:val="24"/>
                <w:szCs w:val="24"/>
              </w:rPr>
            </w:pPr>
            <w:r>
              <w:rPr>
                <w:rFonts w:ascii="Times New Roman" w:hAnsi="Times New Roman"/>
                <w:sz w:val="24"/>
                <w:szCs w:val="24"/>
              </w:rPr>
              <w:t>Формально не закреплено</w:t>
            </w:r>
          </w:p>
        </w:tc>
        <w:tc>
          <w:tcPr>
            <w:tcW w:w="3118" w:type="dxa"/>
          </w:tcPr>
          <w:p w14:paraId="175D22C0">
            <w:pPr>
              <w:widowControl w:val="0"/>
              <w:spacing w:line="240" w:lineRule="auto"/>
              <w:jc w:val="both"/>
              <w:rPr>
                <w:sz w:val="24"/>
                <w:szCs w:val="24"/>
              </w:rPr>
            </w:pPr>
            <w:r>
              <w:rPr>
                <w:rFonts w:ascii="Times New Roman" w:hAnsi="Times New Roman"/>
                <w:sz w:val="24"/>
                <w:szCs w:val="24"/>
              </w:rPr>
              <w:t>Передача опыта зависит от личной инициативы опытных сотрудников</w:t>
            </w:r>
          </w:p>
        </w:tc>
      </w:tr>
      <w:tr w14:paraId="568F0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6FD078C">
            <w:pPr>
              <w:widowControl w:val="0"/>
              <w:spacing w:line="240" w:lineRule="auto"/>
              <w:jc w:val="both"/>
              <w:rPr>
                <w:sz w:val="24"/>
                <w:szCs w:val="24"/>
              </w:rPr>
            </w:pPr>
            <w:r>
              <w:rPr>
                <w:rFonts w:ascii="Times New Roman" w:hAnsi="Times New Roman"/>
                <w:sz w:val="24"/>
                <w:szCs w:val="24"/>
              </w:rPr>
              <w:t>Оценка эффективности обучения</w:t>
            </w:r>
          </w:p>
        </w:tc>
        <w:tc>
          <w:tcPr>
            <w:tcW w:w="3118" w:type="dxa"/>
          </w:tcPr>
          <w:p w14:paraId="038F0B21">
            <w:pPr>
              <w:widowControl w:val="0"/>
              <w:spacing w:line="240" w:lineRule="auto"/>
              <w:jc w:val="both"/>
              <w:rPr>
                <w:sz w:val="24"/>
                <w:szCs w:val="24"/>
              </w:rPr>
            </w:pPr>
            <w:r>
              <w:rPr>
                <w:rFonts w:ascii="Times New Roman" w:hAnsi="Times New Roman"/>
                <w:sz w:val="24"/>
                <w:szCs w:val="24"/>
              </w:rPr>
              <w:t>Не проводится</w:t>
            </w:r>
          </w:p>
        </w:tc>
        <w:tc>
          <w:tcPr>
            <w:tcW w:w="3118" w:type="dxa"/>
          </w:tcPr>
          <w:p w14:paraId="11B3787B">
            <w:pPr>
              <w:widowControl w:val="0"/>
              <w:spacing w:line="240" w:lineRule="auto"/>
              <w:jc w:val="both"/>
              <w:rPr>
                <w:sz w:val="24"/>
                <w:szCs w:val="24"/>
              </w:rPr>
            </w:pPr>
            <w:r>
              <w:rPr>
                <w:rFonts w:ascii="Times New Roman" w:hAnsi="Times New Roman"/>
                <w:sz w:val="24"/>
                <w:szCs w:val="24"/>
              </w:rPr>
              <w:t>Невозможно определить, влияет ли обучение на качество заявок и количество отклонений</w:t>
            </w:r>
          </w:p>
        </w:tc>
      </w:tr>
    </w:tbl>
    <w:p w14:paraId="231D5F22">
      <w:pPr>
        <w:spacing w:after="120" w:line="240" w:lineRule="auto"/>
        <w:ind w:firstLine="700"/>
        <w:rPr>
          <w:sz w:val="24"/>
          <w:szCs w:val="24"/>
        </w:rPr>
      </w:pPr>
    </w:p>
    <w:p w14:paraId="4AD3D4C4">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Таким</w:t>
      </w:r>
      <w:r>
        <w:rPr>
          <w:rFonts w:hint="default" w:ascii="Times New Roman" w:hAnsi="Times New Roman"/>
          <w:b w:val="0"/>
          <w:i w:val="0"/>
          <w:sz w:val="28"/>
          <w:lang w:val="ru-RU"/>
        </w:rPr>
        <w:t xml:space="preserve"> образом, в тендерном отделе ООО «Лайф Медиа» присутствуют отдельные обучающие действия, но они не образуют целостной системы. Компания несёт минимальные и формальные затраты, которые имеют эпизодический характер.</w:t>
      </w:r>
    </w:p>
    <w:p w14:paraId="7FF4D824">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Чтобы оценить насколько отсутствие системного обучения отражается на деятельности тендерного отдела, необходимо рассмотреть показатели участия компании в закупках (см.табл.3.2.). Для ООО «Лайф Медиа» важны не только количество поданных заявок и число выигранных контрактов, но и доля заявок, признанных соответствующими требованиям заказчика. Именно этот показатель отражает, насколько качественно сотрудники выполняют подготовительный этап работы: проверяют документацию, собирают обязательные формы, соблюдают требования к файлам, срокам и электронной подписи. </w:t>
      </w:r>
    </w:p>
    <w:p w14:paraId="7126ACB7">
      <w:pPr>
        <w:spacing w:after="120" w:line="360" w:lineRule="auto"/>
        <w:ind w:firstLine="700"/>
        <w:jc w:val="both"/>
        <w:rPr>
          <w:sz w:val="24"/>
          <w:szCs w:val="24"/>
        </w:rPr>
      </w:pPr>
      <w:r>
        <w:rPr>
          <w:rFonts w:ascii="Times New Roman" w:hAnsi="Times New Roman"/>
          <w:b w:val="0"/>
          <w:i w:val="0"/>
          <w:sz w:val="24"/>
          <w:szCs w:val="24"/>
        </w:rPr>
        <w:t>Таблица 3.2. Результаты участия ООО «Лайф Медиа» в тендерах за 2023-2025 гг.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7"/>
        <w:gridCol w:w="1071"/>
        <w:gridCol w:w="2240"/>
        <w:gridCol w:w="1414"/>
        <w:gridCol w:w="1425"/>
        <w:gridCol w:w="1367"/>
        <w:gridCol w:w="1277"/>
      </w:tblGrid>
      <w:tr w14:paraId="777D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vAlign w:val="center"/>
          </w:tcPr>
          <w:p w14:paraId="16D06A5C">
            <w:pPr>
              <w:widowControl w:val="0"/>
              <w:jc w:val="both"/>
              <w:rPr>
                <w:b w:val="0"/>
                <w:bCs/>
              </w:rPr>
            </w:pPr>
            <w:r>
              <w:rPr>
                <w:rFonts w:ascii="Times New Roman" w:hAnsi="Times New Roman"/>
                <w:b w:val="0"/>
                <w:bCs/>
                <w:sz w:val="24"/>
              </w:rPr>
              <w:t>Год</w:t>
            </w:r>
          </w:p>
        </w:tc>
        <w:tc>
          <w:tcPr>
            <w:tcW w:w="1071" w:type="dxa"/>
            <w:vAlign w:val="center"/>
          </w:tcPr>
          <w:p w14:paraId="6FC70E4E">
            <w:pPr>
              <w:widowControl w:val="0"/>
              <w:jc w:val="both"/>
              <w:rPr>
                <w:b w:val="0"/>
                <w:bCs/>
              </w:rPr>
            </w:pPr>
            <w:r>
              <w:rPr>
                <w:rFonts w:ascii="Times New Roman" w:hAnsi="Times New Roman"/>
                <w:b w:val="0"/>
                <w:bCs/>
                <w:sz w:val="24"/>
              </w:rPr>
              <w:t>Подано заявок</w:t>
            </w:r>
          </w:p>
        </w:tc>
        <w:tc>
          <w:tcPr>
            <w:tcW w:w="2240" w:type="dxa"/>
            <w:vAlign w:val="center"/>
          </w:tcPr>
          <w:p w14:paraId="000F2935">
            <w:pPr>
              <w:widowControl w:val="0"/>
              <w:jc w:val="both"/>
              <w:rPr>
                <w:b w:val="0"/>
                <w:bCs/>
              </w:rPr>
            </w:pPr>
            <w:r>
              <w:rPr>
                <w:rFonts w:ascii="Times New Roman" w:hAnsi="Times New Roman"/>
                <w:b w:val="0"/>
                <w:bCs/>
                <w:sz w:val="24"/>
              </w:rPr>
              <w:t>Признано соответствующими</w:t>
            </w:r>
          </w:p>
        </w:tc>
        <w:tc>
          <w:tcPr>
            <w:tcW w:w="1414" w:type="dxa"/>
            <w:vAlign w:val="center"/>
          </w:tcPr>
          <w:p w14:paraId="55C2D6C9">
            <w:pPr>
              <w:widowControl w:val="0"/>
              <w:jc w:val="both"/>
              <w:rPr>
                <w:b w:val="0"/>
                <w:bCs/>
              </w:rPr>
            </w:pPr>
            <w:r>
              <w:rPr>
                <w:rFonts w:ascii="Times New Roman" w:hAnsi="Times New Roman"/>
                <w:b w:val="0"/>
                <w:bCs/>
                <w:sz w:val="24"/>
              </w:rPr>
              <w:t>Отклонено на этапе допуска</w:t>
            </w:r>
          </w:p>
        </w:tc>
        <w:tc>
          <w:tcPr>
            <w:tcW w:w="1425" w:type="dxa"/>
            <w:vAlign w:val="center"/>
          </w:tcPr>
          <w:p w14:paraId="465C3E86">
            <w:pPr>
              <w:widowControl w:val="0"/>
              <w:jc w:val="both"/>
              <w:rPr>
                <w:b w:val="0"/>
                <w:bCs/>
              </w:rPr>
            </w:pPr>
            <w:r>
              <w:rPr>
                <w:rFonts w:ascii="Times New Roman" w:hAnsi="Times New Roman"/>
                <w:b w:val="0"/>
                <w:bCs/>
                <w:sz w:val="24"/>
              </w:rPr>
              <w:t>Выиграно контрактов</w:t>
            </w:r>
          </w:p>
        </w:tc>
        <w:tc>
          <w:tcPr>
            <w:tcW w:w="1367" w:type="dxa"/>
            <w:vAlign w:val="center"/>
          </w:tcPr>
          <w:p w14:paraId="086B7A49">
            <w:pPr>
              <w:widowControl w:val="0"/>
              <w:jc w:val="both"/>
              <w:rPr>
                <w:b w:val="0"/>
                <w:bCs/>
              </w:rPr>
            </w:pPr>
            <w:r>
              <w:rPr>
                <w:rFonts w:ascii="Times New Roman" w:hAnsi="Times New Roman"/>
                <w:b w:val="0"/>
                <w:bCs/>
                <w:sz w:val="24"/>
              </w:rPr>
              <w:t>Конверсия из заявки в победу, %</w:t>
            </w:r>
          </w:p>
        </w:tc>
        <w:tc>
          <w:tcPr>
            <w:tcW w:w="1277" w:type="dxa"/>
            <w:vAlign w:val="center"/>
          </w:tcPr>
          <w:p w14:paraId="0E3245F2">
            <w:pPr>
              <w:widowControl w:val="0"/>
              <w:jc w:val="both"/>
              <w:rPr>
                <w:b w:val="0"/>
                <w:bCs/>
              </w:rPr>
            </w:pPr>
            <w:r>
              <w:rPr>
                <w:rFonts w:ascii="Times New Roman" w:hAnsi="Times New Roman"/>
                <w:b w:val="0"/>
                <w:bCs/>
                <w:sz w:val="24"/>
              </w:rPr>
              <w:t>Доля отклоненных заявок, %</w:t>
            </w:r>
          </w:p>
        </w:tc>
      </w:tr>
      <w:tr w14:paraId="7E7ED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46701573">
            <w:pPr>
              <w:widowControl w:val="0"/>
              <w:jc w:val="both"/>
            </w:pPr>
            <w:r>
              <w:rPr>
                <w:rFonts w:ascii="Times New Roman" w:hAnsi="Times New Roman"/>
                <w:sz w:val="24"/>
              </w:rPr>
              <w:t>2023</w:t>
            </w:r>
          </w:p>
        </w:tc>
        <w:tc>
          <w:tcPr>
            <w:tcW w:w="1071" w:type="dxa"/>
          </w:tcPr>
          <w:p w14:paraId="1D9C41A2">
            <w:pPr>
              <w:widowControl w:val="0"/>
              <w:jc w:val="both"/>
            </w:pPr>
            <w:r>
              <w:rPr>
                <w:rFonts w:ascii="Times New Roman" w:hAnsi="Times New Roman"/>
                <w:sz w:val="24"/>
              </w:rPr>
              <w:t>168</w:t>
            </w:r>
          </w:p>
        </w:tc>
        <w:tc>
          <w:tcPr>
            <w:tcW w:w="2240" w:type="dxa"/>
          </w:tcPr>
          <w:p w14:paraId="00AECB0C">
            <w:pPr>
              <w:widowControl w:val="0"/>
              <w:jc w:val="both"/>
            </w:pPr>
            <w:r>
              <w:rPr>
                <w:rFonts w:ascii="Times New Roman" w:hAnsi="Times New Roman"/>
                <w:sz w:val="24"/>
              </w:rPr>
              <w:t>142</w:t>
            </w:r>
          </w:p>
        </w:tc>
        <w:tc>
          <w:tcPr>
            <w:tcW w:w="1414" w:type="dxa"/>
          </w:tcPr>
          <w:p w14:paraId="231D7E6B">
            <w:pPr>
              <w:widowControl w:val="0"/>
              <w:jc w:val="both"/>
            </w:pPr>
            <w:r>
              <w:rPr>
                <w:rFonts w:ascii="Times New Roman" w:hAnsi="Times New Roman"/>
                <w:sz w:val="24"/>
              </w:rPr>
              <w:t>26</w:t>
            </w:r>
          </w:p>
        </w:tc>
        <w:tc>
          <w:tcPr>
            <w:tcW w:w="1425" w:type="dxa"/>
          </w:tcPr>
          <w:p w14:paraId="532762C4">
            <w:pPr>
              <w:widowControl w:val="0"/>
              <w:jc w:val="both"/>
            </w:pPr>
            <w:r>
              <w:rPr>
                <w:rFonts w:ascii="Times New Roman" w:hAnsi="Times New Roman"/>
                <w:sz w:val="24"/>
              </w:rPr>
              <w:t>35</w:t>
            </w:r>
          </w:p>
        </w:tc>
        <w:tc>
          <w:tcPr>
            <w:tcW w:w="1367" w:type="dxa"/>
          </w:tcPr>
          <w:p w14:paraId="17D66410">
            <w:pPr>
              <w:widowControl w:val="0"/>
              <w:jc w:val="both"/>
            </w:pPr>
            <w:r>
              <w:rPr>
                <w:rFonts w:ascii="Times New Roman" w:hAnsi="Times New Roman"/>
                <w:sz w:val="24"/>
              </w:rPr>
              <w:t>20,8</w:t>
            </w:r>
          </w:p>
        </w:tc>
        <w:tc>
          <w:tcPr>
            <w:tcW w:w="1277" w:type="dxa"/>
          </w:tcPr>
          <w:p w14:paraId="63E49711">
            <w:pPr>
              <w:widowControl w:val="0"/>
              <w:jc w:val="both"/>
            </w:pPr>
            <w:r>
              <w:rPr>
                <w:rFonts w:ascii="Times New Roman" w:hAnsi="Times New Roman"/>
                <w:sz w:val="24"/>
              </w:rPr>
              <w:t>15,5</w:t>
            </w:r>
          </w:p>
        </w:tc>
      </w:tr>
      <w:tr w14:paraId="196A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520CBBE0">
            <w:pPr>
              <w:widowControl w:val="0"/>
              <w:jc w:val="both"/>
            </w:pPr>
            <w:r>
              <w:rPr>
                <w:rFonts w:ascii="Times New Roman" w:hAnsi="Times New Roman"/>
                <w:sz w:val="24"/>
              </w:rPr>
              <w:t>2024</w:t>
            </w:r>
          </w:p>
        </w:tc>
        <w:tc>
          <w:tcPr>
            <w:tcW w:w="1071" w:type="dxa"/>
          </w:tcPr>
          <w:p w14:paraId="28AC77C9">
            <w:pPr>
              <w:widowControl w:val="0"/>
              <w:jc w:val="both"/>
            </w:pPr>
            <w:r>
              <w:rPr>
                <w:rFonts w:ascii="Times New Roman" w:hAnsi="Times New Roman"/>
                <w:sz w:val="24"/>
              </w:rPr>
              <w:t>185</w:t>
            </w:r>
          </w:p>
        </w:tc>
        <w:tc>
          <w:tcPr>
            <w:tcW w:w="2240" w:type="dxa"/>
          </w:tcPr>
          <w:p w14:paraId="075B619C">
            <w:pPr>
              <w:widowControl w:val="0"/>
              <w:jc w:val="both"/>
            </w:pPr>
            <w:r>
              <w:rPr>
                <w:rFonts w:ascii="Times New Roman" w:hAnsi="Times New Roman"/>
                <w:sz w:val="24"/>
              </w:rPr>
              <w:t>158</w:t>
            </w:r>
          </w:p>
        </w:tc>
        <w:tc>
          <w:tcPr>
            <w:tcW w:w="1414" w:type="dxa"/>
          </w:tcPr>
          <w:p w14:paraId="7280F81F">
            <w:pPr>
              <w:widowControl w:val="0"/>
              <w:jc w:val="both"/>
            </w:pPr>
            <w:r>
              <w:rPr>
                <w:rFonts w:ascii="Times New Roman" w:hAnsi="Times New Roman"/>
                <w:sz w:val="24"/>
              </w:rPr>
              <w:t>27</w:t>
            </w:r>
          </w:p>
        </w:tc>
        <w:tc>
          <w:tcPr>
            <w:tcW w:w="1425" w:type="dxa"/>
          </w:tcPr>
          <w:p w14:paraId="728268C7">
            <w:pPr>
              <w:widowControl w:val="0"/>
              <w:jc w:val="both"/>
            </w:pPr>
            <w:r>
              <w:rPr>
                <w:rFonts w:ascii="Times New Roman" w:hAnsi="Times New Roman"/>
                <w:sz w:val="24"/>
              </w:rPr>
              <w:t>42</w:t>
            </w:r>
          </w:p>
        </w:tc>
        <w:tc>
          <w:tcPr>
            <w:tcW w:w="1367" w:type="dxa"/>
          </w:tcPr>
          <w:p w14:paraId="5C56E20F">
            <w:pPr>
              <w:widowControl w:val="0"/>
              <w:jc w:val="both"/>
            </w:pPr>
            <w:r>
              <w:rPr>
                <w:rFonts w:ascii="Times New Roman" w:hAnsi="Times New Roman"/>
                <w:sz w:val="24"/>
              </w:rPr>
              <w:t>22,7</w:t>
            </w:r>
          </w:p>
        </w:tc>
        <w:tc>
          <w:tcPr>
            <w:tcW w:w="1277" w:type="dxa"/>
          </w:tcPr>
          <w:p w14:paraId="170A83A1">
            <w:pPr>
              <w:widowControl w:val="0"/>
              <w:jc w:val="both"/>
            </w:pPr>
            <w:r>
              <w:rPr>
                <w:rFonts w:ascii="Times New Roman" w:hAnsi="Times New Roman"/>
                <w:sz w:val="24"/>
              </w:rPr>
              <w:t>14,6</w:t>
            </w:r>
          </w:p>
        </w:tc>
      </w:tr>
      <w:tr w14:paraId="02475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5E2D62DF">
            <w:pPr>
              <w:widowControl w:val="0"/>
              <w:jc w:val="both"/>
            </w:pPr>
            <w:r>
              <w:rPr>
                <w:rFonts w:ascii="Times New Roman" w:hAnsi="Times New Roman"/>
                <w:sz w:val="24"/>
              </w:rPr>
              <w:t>2025</w:t>
            </w:r>
          </w:p>
        </w:tc>
        <w:tc>
          <w:tcPr>
            <w:tcW w:w="1071" w:type="dxa"/>
          </w:tcPr>
          <w:p w14:paraId="5432F0D6">
            <w:pPr>
              <w:widowControl w:val="0"/>
              <w:jc w:val="both"/>
            </w:pPr>
            <w:r>
              <w:rPr>
                <w:rFonts w:ascii="Times New Roman" w:hAnsi="Times New Roman"/>
                <w:sz w:val="24"/>
              </w:rPr>
              <w:t>152</w:t>
            </w:r>
          </w:p>
        </w:tc>
        <w:tc>
          <w:tcPr>
            <w:tcW w:w="2240" w:type="dxa"/>
          </w:tcPr>
          <w:p w14:paraId="41B57518">
            <w:pPr>
              <w:widowControl w:val="0"/>
              <w:jc w:val="both"/>
            </w:pPr>
            <w:r>
              <w:rPr>
                <w:rFonts w:ascii="Times New Roman" w:hAnsi="Times New Roman"/>
                <w:sz w:val="24"/>
              </w:rPr>
              <w:t>128</w:t>
            </w:r>
          </w:p>
        </w:tc>
        <w:tc>
          <w:tcPr>
            <w:tcW w:w="1414" w:type="dxa"/>
          </w:tcPr>
          <w:p w14:paraId="317BF322">
            <w:pPr>
              <w:widowControl w:val="0"/>
              <w:jc w:val="both"/>
            </w:pPr>
            <w:r>
              <w:rPr>
                <w:rFonts w:ascii="Times New Roman" w:hAnsi="Times New Roman"/>
                <w:sz w:val="24"/>
              </w:rPr>
              <w:t>24</w:t>
            </w:r>
          </w:p>
        </w:tc>
        <w:tc>
          <w:tcPr>
            <w:tcW w:w="1425" w:type="dxa"/>
          </w:tcPr>
          <w:p w14:paraId="197F0EA1">
            <w:pPr>
              <w:widowControl w:val="0"/>
              <w:jc w:val="both"/>
            </w:pPr>
            <w:r>
              <w:rPr>
                <w:rFonts w:ascii="Times New Roman" w:hAnsi="Times New Roman"/>
                <w:sz w:val="24"/>
              </w:rPr>
              <w:t>35</w:t>
            </w:r>
          </w:p>
        </w:tc>
        <w:tc>
          <w:tcPr>
            <w:tcW w:w="1367" w:type="dxa"/>
          </w:tcPr>
          <w:p w14:paraId="7C99D8C9">
            <w:pPr>
              <w:widowControl w:val="0"/>
              <w:jc w:val="both"/>
            </w:pPr>
            <w:r>
              <w:rPr>
                <w:rFonts w:ascii="Times New Roman" w:hAnsi="Times New Roman"/>
                <w:sz w:val="24"/>
              </w:rPr>
              <w:t>23,0</w:t>
            </w:r>
          </w:p>
        </w:tc>
        <w:tc>
          <w:tcPr>
            <w:tcW w:w="1277" w:type="dxa"/>
          </w:tcPr>
          <w:p w14:paraId="60EAF8B8">
            <w:pPr>
              <w:widowControl w:val="0"/>
              <w:jc w:val="both"/>
            </w:pPr>
            <w:r>
              <w:rPr>
                <w:rFonts w:ascii="Times New Roman" w:hAnsi="Times New Roman"/>
                <w:sz w:val="24"/>
              </w:rPr>
              <w:t>15,8</w:t>
            </w:r>
          </w:p>
        </w:tc>
      </w:tr>
    </w:tbl>
    <w:p w14:paraId="599B5FF3">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 </w:t>
      </w:r>
    </w:p>
    <w:p w14:paraId="5E124254">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Данные таблицы показывают, что доля выигранных тендеров за анализируемый период находится примерно на одном уровне. Небольшой рост конверсии сам по себе не свидетельствует о качественном развитии системы подготовки персонала, поскольку одновременно сохраняется высокая доля заявок, отклонённых ещё на стадии торгов. В относительном выражении показатель отклонений держится в диапазоне 14,6-15,8%.</w:t>
      </w:r>
    </w:p>
    <w:p w14:paraId="7099CDFF">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Для тендерной деятельности отклонение заявки на этапе допуска является особенно значимым показателем. Если компания проигрывает торги по цене или условиям исполнения, то это может быть связано с рыночной конкуренцией. Но если заявка не допускается до торгов, то причина чаще всего находится внутри процесса подготовки: неправильно выбранная форма документа, отсутствие обязательного файла, некорректная электронная подпись, арифметическая ошибка, неверное толкование требования заказчика. Такие ошибки относятся к правленческим, то есть их можно выявлять, учитывать и снижать за счёт стандартизации работы и накопления знаний внутри отдела.</w:t>
      </w:r>
    </w:p>
    <w:p w14:paraId="02097924">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Для более точного понимания характера проблем были обобщены причины отклонения заявок за 2023-2025 годы. Всего за три гола было выявлено 77 случаев отклонения заявок на этапе допуска. Анализ причин показывает, что ошибки распределяются по нескольким группам (см.табл.3.3.).</w:t>
      </w:r>
    </w:p>
    <w:p w14:paraId="798012B3">
      <w:pPr>
        <w:spacing w:after="120" w:line="360" w:lineRule="auto"/>
        <w:ind w:firstLine="700"/>
        <w:jc w:val="both"/>
        <w:rPr>
          <w:rFonts w:hint="default" w:ascii="Times New Roman" w:hAnsi="Times New Roman"/>
          <w:b w:val="0"/>
          <w:i w:val="0"/>
          <w:sz w:val="28"/>
          <w:lang w:val="ru-RU"/>
        </w:rPr>
      </w:pPr>
    </w:p>
    <w:p w14:paraId="1664213F">
      <w:pPr>
        <w:spacing w:after="120" w:line="360" w:lineRule="auto"/>
        <w:ind w:firstLine="700"/>
        <w:jc w:val="center"/>
        <w:rPr>
          <w:rFonts w:hint="default" w:ascii="Times New Roman" w:hAnsi="Times New Roman" w:cs="Times New Roman"/>
          <w:sz w:val="24"/>
          <w:szCs w:val="24"/>
        </w:rPr>
      </w:pPr>
      <w:r>
        <w:rPr>
          <w:rFonts w:ascii="Times New Roman" w:hAnsi="Times New Roman"/>
          <w:b w:val="0"/>
          <w:i w:val="0"/>
          <w:sz w:val="24"/>
          <w:szCs w:val="18"/>
        </w:rPr>
        <w:t>Таблица 3.3. Структура причин отклонения заявок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9"/>
        <w:gridCol w:w="1995"/>
        <w:gridCol w:w="1930"/>
        <w:gridCol w:w="3092"/>
      </w:tblGrid>
      <w:tr w14:paraId="5DE38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vAlign w:val="center"/>
          </w:tcPr>
          <w:p w14:paraId="68EEF42A">
            <w:pPr>
              <w:widowControl w:val="0"/>
              <w:jc w:val="center"/>
              <w:rPr>
                <w:b w:val="0"/>
                <w:bCs/>
              </w:rPr>
            </w:pPr>
            <w:r>
              <w:rPr>
                <w:rFonts w:ascii="Times New Roman" w:hAnsi="Times New Roman"/>
                <w:b w:val="0"/>
                <w:bCs/>
                <w:sz w:val="24"/>
              </w:rPr>
              <w:t>Группа ошибок</w:t>
            </w:r>
          </w:p>
        </w:tc>
        <w:tc>
          <w:tcPr>
            <w:tcW w:w="1995" w:type="dxa"/>
            <w:vAlign w:val="center"/>
          </w:tcPr>
          <w:p w14:paraId="01B1C3FC">
            <w:pPr>
              <w:widowControl w:val="0"/>
              <w:jc w:val="center"/>
              <w:rPr>
                <w:b w:val="0"/>
                <w:bCs/>
              </w:rPr>
            </w:pPr>
            <w:r>
              <w:rPr>
                <w:rFonts w:ascii="Times New Roman" w:hAnsi="Times New Roman"/>
                <w:b w:val="0"/>
                <w:bCs/>
                <w:sz w:val="24"/>
              </w:rPr>
              <w:t>Количество случаев</w:t>
            </w:r>
          </w:p>
        </w:tc>
        <w:tc>
          <w:tcPr>
            <w:tcW w:w="1930" w:type="dxa"/>
            <w:vAlign w:val="center"/>
          </w:tcPr>
          <w:p w14:paraId="5CC32A61">
            <w:pPr>
              <w:widowControl w:val="0"/>
              <w:jc w:val="center"/>
              <w:rPr>
                <w:b w:val="0"/>
                <w:bCs/>
              </w:rPr>
            </w:pPr>
            <w:r>
              <w:rPr>
                <w:rFonts w:ascii="Times New Roman" w:hAnsi="Times New Roman"/>
                <w:b w:val="0"/>
                <w:bCs/>
                <w:sz w:val="24"/>
              </w:rPr>
              <w:t>Доля, %</w:t>
            </w:r>
          </w:p>
        </w:tc>
        <w:tc>
          <w:tcPr>
            <w:tcW w:w="3092" w:type="dxa"/>
            <w:vAlign w:val="center"/>
          </w:tcPr>
          <w:p w14:paraId="1F7AF956">
            <w:pPr>
              <w:widowControl w:val="0"/>
              <w:jc w:val="center"/>
              <w:rPr>
                <w:b w:val="0"/>
                <w:bCs/>
              </w:rPr>
            </w:pPr>
            <w:r>
              <w:rPr>
                <w:rFonts w:ascii="Times New Roman" w:hAnsi="Times New Roman"/>
                <w:b w:val="0"/>
                <w:bCs/>
                <w:sz w:val="24"/>
              </w:rPr>
              <w:t>Содержание ошибки</w:t>
            </w:r>
          </w:p>
        </w:tc>
      </w:tr>
      <w:tr w14:paraId="63DD3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322A2289">
            <w:pPr>
              <w:widowControl w:val="0"/>
              <w:jc w:val="both"/>
            </w:pPr>
            <w:r>
              <w:rPr>
                <w:rFonts w:ascii="Times New Roman" w:hAnsi="Times New Roman"/>
                <w:sz w:val="24"/>
              </w:rPr>
              <w:t>Ошибки, связанные с требованиями законодательства и документации</w:t>
            </w:r>
          </w:p>
        </w:tc>
        <w:tc>
          <w:tcPr>
            <w:tcW w:w="1995" w:type="dxa"/>
            <w:vAlign w:val="center"/>
          </w:tcPr>
          <w:p w14:paraId="36BBEB59">
            <w:pPr>
              <w:widowControl w:val="0"/>
              <w:jc w:val="center"/>
            </w:pPr>
            <w:r>
              <w:rPr>
                <w:rFonts w:ascii="Times New Roman" w:hAnsi="Times New Roman"/>
                <w:sz w:val="24"/>
              </w:rPr>
              <w:t>25</w:t>
            </w:r>
          </w:p>
        </w:tc>
        <w:tc>
          <w:tcPr>
            <w:tcW w:w="1930" w:type="dxa"/>
            <w:vAlign w:val="center"/>
          </w:tcPr>
          <w:p w14:paraId="2EFDEDE3">
            <w:pPr>
              <w:widowControl w:val="0"/>
              <w:jc w:val="center"/>
            </w:pPr>
            <w:r>
              <w:rPr>
                <w:rFonts w:ascii="Times New Roman" w:hAnsi="Times New Roman"/>
                <w:sz w:val="24"/>
              </w:rPr>
              <w:t>32,5</w:t>
            </w:r>
          </w:p>
        </w:tc>
        <w:tc>
          <w:tcPr>
            <w:tcW w:w="3092" w:type="dxa"/>
          </w:tcPr>
          <w:p w14:paraId="4FA6DC42">
            <w:pPr>
              <w:widowControl w:val="0"/>
              <w:jc w:val="both"/>
            </w:pPr>
            <w:r>
              <w:rPr>
                <w:rFonts w:ascii="Times New Roman" w:hAnsi="Times New Roman"/>
                <w:sz w:val="24"/>
              </w:rPr>
              <w:t>Неверное применение требований 44-ФЗ/223-ФЗ, использование устаревших форм, неполное подтверждение опыта</w:t>
            </w:r>
          </w:p>
        </w:tc>
      </w:tr>
      <w:tr w14:paraId="5138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45781F1A">
            <w:pPr>
              <w:widowControl w:val="0"/>
              <w:jc w:val="both"/>
            </w:pPr>
            <w:r>
              <w:rPr>
                <w:rFonts w:ascii="Times New Roman" w:hAnsi="Times New Roman"/>
                <w:sz w:val="24"/>
              </w:rPr>
              <w:t>Технические ошибки при работе с ЭТП</w:t>
            </w:r>
          </w:p>
        </w:tc>
        <w:tc>
          <w:tcPr>
            <w:tcW w:w="1995" w:type="dxa"/>
            <w:vAlign w:val="center"/>
          </w:tcPr>
          <w:p w14:paraId="6EA08246">
            <w:pPr>
              <w:widowControl w:val="0"/>
              <w:jc w:val="center"/>
            </w:pPr>
            <w:r>
              <w:rPr>
                <w:rFonts w:ascii="Times New Roman" w:hAnsi="Times New Roman"/>
                <w:sz w:val="24"/>
              </w:rPr>
              <w:t>28</w:t>
            </w:r>
          </w:p>
        </w:tc>
        <w:tc>
          <w:tcPr>
            <w:tcW w:w="1930" w:type="dxa"/>
            <w:vAlign w:val="center"/>
          </w:tcPr>
          <w:p w14:paraId="5263BEFC">
            <w:pPr>
              <w:widowControl w:val="0"/>
              <w:jc w:val="center"/>
            </w:pPr>
            <w:r>
              <w:rPr>
                <w:rFonts w:ascii="Times New Roman" w:hAnsi="Times New Roman"/>
                <w:sz w:val="24"/>
              </w:rPr>
              <w:t>36,4</w:t>
            </w:r>
          </w:p>
        </w:tc>
        <w:tc>
          <w:tcPr>
            <w:tcW w:w="3092" w:type="dxa"/>
          </w:tcPr>
          <w:p w14:paraId="320777C9">
            <w:pPr>
              <w:widowControl w:val="0"/>
              <w:jc w:val="both"/>
            </w:pPr>
            <w:r>
              <w:rPr>
                <w:rFonts w:ascii="Times New Roman" w:hAnsi="Times New Roman"/>
                <w:sz w:val="24"/>
              </w:rPr>
              <w:t>Неполная загрузка документов, неверный формат файла, ошибки при подписании электронной подписью</w:t>
            </w:r>
          </w:p>
        </w:tc>
      </w:tr>
      <w:tr w14:paraId="003D7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B68C6B1">
            <w:pPr>
              <w:widowControl w:val="0"/>
              <w:jc w:val="both"/>
            </w:pPr>
            <w:r>
              <w:rPr>
                <w:rFonts w:ascii="Times New Roman" w:hAnsi="Times New Roman"/>
                <w:sz w:val="24"/>
              </w:rPr>
              <w:t>Ошибки в расчетах и ценовом предложении</w:t>
            </w:r>
          </w:p>
        </w:tc>
        <w:tc>
          <w:tcPr>
            <w:tcW w:w="1995" w:type="dxa"/>
            <w:vAlign w:val="center"/>
          </w:tcPr>
          <w:p w14:paraId="03DA81C6">
            <w:pPr>
              <w:widowControl w:val="0"/>
              <w:jc w:val="center"/>
            </w:pPr>
            <w:r>
              <w:rPr>
                <w:rFonts w:ascii="Times New Roman" w:hAnsi="Times New Roman"/>
                <w:sz w:val="24"/>
              </w:rPr>
              <w:t>14</w:t>
            </w:r>
          </w:p>
        </w:tc>
        <w:tc>
          <w:tcPr>
            <w:tcW w:w="1930" w:type="dxa"/>
            <w:vAlign w:val="center"/>
          </w:tcPr>
          <w:p w14:paraId="098F612C">
            <w:pPr>
              <w:widowControl w:val="0"/>
              <w:jc w:val="center"/>
            </w:pPr>
            <w:r>
              <w:rPr>
                <w:rFonts w:ascii="Times New Roman" w:hAnsi="Times New Roman"/>
                <w:sz w:val="24"/>
              </w:rPr>
              <w:t>18,2</w:t>
            </w:r>
          </w:p>
        </w:tc>
        <w:tc>
          <w:tcPr>
            <w:tcW w:w="3092" w:type="dxa"/>
          </w:tcPr>
          <w:p w14:paraId="361C0E4D">
            <w:pPr>
              <w:widowControl w:val="0"/>
              <w:jc w:val="both"/>
            </w:pPr>
            <w:r>
              <w:rPr>
                <w:rFonts w:ascii="Times New Roman" w:hAnsi="Times New Roman"/>
                <w:sz w:val="24"/>
              </w:rPr>
              <w:t>Несоответствие итоговой суммы, арифметические расхождения, некорректное отражение НДС</w:t>
            </w:r>
          </w:p>
        </w:tc>
      </w:tr>
      <w:tr w14:paraId="2BB1F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7F2CA0CB">
            <w:pPr>
              <w:widowControl w:val="0"/>
              <w:jc w:val="both"/>
            </w:pPr>
            <w:r>
              <w:rPr>
                <w:rFonts w:ascii="Times New Roman" w:hAnsi="Times New Roman"/>
                <w:sz w:val="24"/>
              </w:rPr>
              <w:t>Организационные ошибки подготовки заявки</w:t>
            </w:r>
          </w:p>
        </w:tc>
        <w:tc>
          <w:tcPr>
            <w:tcW w:w="1995" w:type="dxa"/>
            <w:vAlign w:val="center"/>
          </w:tcPr>
          <w:p w14:paraId="0FF454D7">
            <w:pPr>
              <w:widowControl w:val="0"/>
              <w:jc w:val="center"/>
            </w:pPr>
            <w:r>
              <w:rPr>
                <w:rFonts w:ascii="Times New Roman" w:hAnsi="Times New Roman"/>
                <w:sz w:val="24"/>
              </w:rPr>
              <w:t>10</w:t>
            </w:r>
          </w:p>
        </w:tc>
        <w:tc>
          <w:tcPr>
            <w:tcW w:w="1930" w:type="dxa"/>
            <w:vAlign w:val="center"/>
          </w:tcPr>
          <w:p w14:paraId="6A50DCFC">
            <w:pPr>
              <w:widowControl w:val="0"/>
              <w:jc w:val="center"/>
            </w:pPr>
            <w:r>
              <w:rPr>
                <w:rFonts w:ascii="Times New Roman" w:hAnsi="Times New Roman"/>
                <w:sz w:val="24"/>
              </w:rPr>
              <w:t>12,9</w:t>
            </w:r>
          </w:p>
        </w:tc>
        <w:tc>
          <w:tcPr>
            <w:tcW w:w="3092" w:type="dxa"/>
          </w:tcPr>
          <w:p w14:paraId="594B5375">
            <w:pPr>
              <w:widowControl w:val="0"/>
              <w:jc w:val="both"/>
            </w:pPr>
            <w:r>
              <w:rPr>
                <w:rFonts w:ascii="Times New Roman" w:hAnsi="Times New Roman"/>
                <w:sz w:val="24"/>
              </w:rPr>
              <w:t>Нарушение внутренней последовательности проверки, отсутствие финального контроля перед отправкой</w:t>
            </w:r>
          </w:p>
        </w:tc>
      </w:tr>
      <w:tr w14:paraId="4984E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79DFEBCA">
            <w:pPr>
              <w:widowControl w:val="0"/>
              <w:jc w:val="both"/>
            </w:pPr>
            <w:r>
              <w:rPr>
                <w:rFonts w:ascii="Times New Roman" w:hAnsi="Times New Roman"/>
                <w:sz w:val="24"/>
              </w:rPr>
              <w:t>Итого</w:t>
            </w:r>
          </w:p>
        </w:tc>
        <w:tc>
          <w:tcPr>
            <w:tcW w:w="1995" w:type="dxa"/>
            <w:vAlign w:val="center"/>
          </w:tcPr>
          <w:p w14:paraId="5019359C">
            <w:pPr>
              <w:widowControl w:val="0"/>
              <w:jc w:val="center"/>
            </w:pPr>
            <w:r>
              <w:rPr>
                <w:rFonts w:ascii="Times New Roman" w:hAnsi="Times New Roman"/>
                <w:sz w:val="24"/>
              </w:rPr>
              <w:t>77</w:t>
            </w:r>
          </w:p>
        </w:tc>
        <w:tc>
          <w:tcPr>
            <w:tcW w:w="1930" w:type="dxa"/>
            <w:vAlign w:val="center"/>
          </w:tcPr>
          <w:p w14:paraId="1DFFBBFB">
            <w:pPr>
              <w:widowControl w:val="0"/>
              <w:jc w:val="center"/>
            </w:pPr>
            <w:r>
              <w:rPr>
                <w:rFonts w:ascii="Times New Roman" w:hAnsi="Times New Roman"/>
                <w:sz w:val="24"/>
              </w:rPr>
              <w:t>100,0</w:t>
            </w:r>
          </w:p>
        </w:tc>
        <w:tc>
          <w:tcPr>
            <w:tcW w:w="3092" w:type="dxa"/>
          </w:tcPr>
          <w:p w14:paraId="046D532C">
            <w:pPr>
              <w:widowControl w:val="0"/>
              <w:jc w:val="both"/>
            </w:pPr>
            <w:r>
              <w:rPr>
                <w:rFonts w:ascii="Times New Roman" w:hAnsi="Times New Roman"/>
                <w:sz w:val="24"/>
              </w:rPr>
              <w:t>-</w:t>
            </w:r>
          </w:p>
        </w:tc>
      </w:tr>
    </w:tbl>
    <w:p w14:paraId="7DEBC317">
      <w:pPr>
        <w:spacing w:after="120" w:line="360" w:lineRule="auto"/>
        <w:ind w:firstLine="700"/>
        <w:jc w:val="both"/>
        <w:rPr>
          <w:rFonts w:hint="default" w:ascii="Times New Roman" w:hAnsi="Times New Roman"/>
          <w:b w:val="0"/>
          <w:i w:val="0"/>
          <w:sz w:val="28"/>
          <w:lang w:val="ru-RU"/>
        </w:rPr>
      </w:pPr>
    </w:p>
    <w:p w14:paraId="3ACDD3DA">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Наибольшая доля приходится на технические ошибки при работе с электронными торговыми площадками (ЭТП) </w:t>
      </w:r>
      <w:r>
        <w:rPr>
          <w:rFonts w:ascii="Times New Roman" w:hAnsi="Times New Roman"/>
          <w:b w:val="0"/>
          <w:i w:val="0"/>
          <w:sz w:val="28"/>
        </w:rPr>
        <w:t>— 36,4%.</w:t>
      </w:r>
      <w:r>
        <w:rPr>
          <w:rFonts w:hint="default" w:ascii="Times New Roman" w:hAnsi="Times New Roman"/>
          <w:b w:val="0"/>
          <w:i w:val="0"/>
          <w:sz w:val="28"/>
          <w:lang w:val="ru-RU"/>
        </w:rPr>
        <w:t xml:space="preserve"> это значит, что значительная часть отклонений связана с процедурными нарушениями при подаче заявки. Второе место занимают ошибки, связанные с законодательством и требованиями документации </w:t>
      </w:r>
      <w:r>
        <w:rPr>
          <w:rFonts w:ascii="Times New Roman" w:hAnsi="Times New Roman"/>
          <w:b w:val="0"/>
          <w:i w:val="0"/>
          <w:sz w:val="28"/>
        </w:rPr>
        <w:t>— 3</w:t>
      </w:r>
      <w:r>
        <w:rPr>
          <w:rFonts w:hint="default" w:ascii="Times New Roman" w:hAnsi="Times New Roman"/>
          <w:b w:val="0"/>
          <w:i w:val="0"/>
          <w:sz w:val="28"/>
          <w:lang w:val="ru-RU"/>
        </w:rPr>
        <w:t>2,5%. такая структцра показывает, что сотрудники сталкиваются с трудностями как в содержательной части подготовки заявки, так и в техническом оформлении документов.</w:t>
      </w:r>
    </w:p>
    <w:p w14:paraId="72156D55">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Примером</w:t>
      </w:r>
      <w:r>
        <w:rPr>
          <w:rFonts w:hint="default" w:ascii="Times New Roman" w:hAnsi="Times New Roman"/>
          <w:b w:val="0"/>
          <w:i w:val="0"/>
          <w:sz w:val="28"/>
          <w:lang w:val="ru-RU"/>
        </w:rPr>
        <w:t xml:space="preserve"> ошибки первой группы является ситуация, когда в закупке требовалось подтвердить опыт исполнения контракта на определённую сумму, но специалист приложил договор без корректного учёта НДС. Сотрудник исходил из собственного понимания суммы, тогда как заказчик оценивал документ по фактически указанным условиям. В результате заявка не прошла допуск. Подобные случаи показывают, что проблема находится не только в невнимательности, но и в недостаточном понимании логики проверки документов заказчиком.</w:t>
      </w:r>
    </w:p>
    <w:p w14:paraId="2EEB43CE">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Другой</w:t>
      </w:r>
      <w:r>
        <w:rPr>
          <w:rFonts w:hint="default" w:ascii="Times New Roman" w:hAnsi="Times New Roman"/>
          <w:b w:val="0"/>
          <w:i w:val="0"/>
          <w:sz w:val="28"/>
          <w:lang w:val="ru-RU"/>
        </w:rPr>
        <w:t xml:space="preserve"> пример связан с использованием устаревшей формы декларации. В 2025 году часть заявок была отклонена из-за того, что сотрудник взял шаблон из общей папки, где находилась форма прошлого периода. Так как порядок обновления шаблонов не закреплён, сотрудник использовал доступный документ, но он уже не соответствовал актуальным требованиям. Такая ошибка демонстрирует связь между отсутствием единой базы актуальных материалов и качеством подготовки заявок.</w:t>
      </w:r>
    </w:p>
    <w:p w14:paraId="60A97D0D">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Технические</w:t>
      </w:r>
      <w:r>
        <w:rPr>
          <w:rFonts w:hint="default" w:ascii="Times New Roman" w:hAnsi="Times New Roman"/>
          <w:b w:val="0"/>
          <w:i w:val="0"/>
          <w:sz w:val="28"/>
          <w:lang w:val="ru-RU"/>
        </w:rPr>
        <w:t xml:space="preserve"> ошибки также имеют повторяющийся характер. В отдельных случаях сотрудники загружали не полный пакет документов, выбирали неверный формат файла и подписывали заявку до завершения загрузки всех приложений. Эти нарушения можно обнаружить при финальной проверке. Однако в компании отсутствует единый обязательный порядок проверки, поэтому качество заявки зависит от личной внимательности специалиста, а не от закреплённого алгоритма работы.</w:t>
      </w:r>
    </w:p>
    <w:p w14:paraId="38CCD937">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Ошибки в расчётах составляют меньшую долю, но имеют существенное значение, так как связаны с финальной частью заявки. Арифметические расхождения между суммой позиции и итоговой ценой создают риск признания информации недостоверной. Для компании, которая работает с тендерами и рассчитывает маржу по каждому лоту, такие ошибки затрагивают не только допуск к торгам, но и общую надёжность экономического анализа закупки.</w:t>
      </w:r>
    </w:p>
    <w:p w14:paraId="300BE535">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Следовательно</w:t>
      </w:r>
      <w:r>
        <w:rPr>
          <w:rFonts w:hint="default" w:ascii="Times New Roman" w:hAnsi="Times New Roman"/>
          <w:b w:val="0"/>
          <w:i w:val="0"/>
          <w:sz w:val="28"/>
          <w:lang w:val="ru-RU"/>
        </w:rPr>
        <w:t>, результаты тендерной деятельности подтверждают, что отсутствие системы обучения проявляется не абстрактно, а через конкретные рабочие последствия: повторяемость однотипных ошибок, сохранение доли отклонённых заявок на уровне около 15%, зависимость качества подготовки от индивидуального опыта и отсутствие накопления общего знания внутри отдела. При этом сам факт повторения ошибок в течение трёх лет показывает, что устные объяснения и разовые вебинары не обеспечивают устойчивого изменения рабочих практик.</w:t>
      </w:r>
    </w:p>
    <w:p w14:paraId="65A9A4F8">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Для уточнения внутренней оценки ситуации 14 апреля 2026 года был проведён опрос в </w:t>
      </w:r>
      <w:r>
        <w:rPr>
          <w:rFonts w:hint="default" w:ascii="Times New Roman" w:hAnsi="Times New Roman"/>
          <w:b w:val="0"/>
          <w:i w:val="0"/>
          <w:sz w:val="28"/>
          <w:lang w:val="en-US"/>
        </w:rPr>
        <w:t>google</w:t>
      </w:r>
      <w:r>
        <w:rPr>
          <w:rFonts w:hint="default" w:ascii="Times New Roman" w:hAnsi="Times New Roman"/>
          <w:b w:val="0"/>
          <w:i w:val="0"/>
          <w:sz w:val="28"/>
          <w:lang w:val="ru-RU"/>
        </w:rPr>
        <w:t>-форме сотрудников тендерного отдела ООО «Лайф Медиа». в опросе участвовали все 8 специалистов. Цель была в том, чтобы определить как сами сотрудники оценивают действующий порядок обучения, какие источники знаний используют в работе, с какими трудностями сталкиваются и какие профессиональные темы считают наиболее значимыми для дальнейшего освоения. Опрос носит диагностический характер и служит базой для разработки рекомендаций.</w:t>
      </w:r>
    </w:p>
    <w:p w14:paraId="7114F2FE">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Анкета</w:t>
      </w:r>
      <w:r>
        <w:rPr>
          <w:rFonts w:hint="default" w:ascii="Times New Roman" w:hAnsi="Times New Roman"/>
          <w:b w:val="0"/>
          <w:i w:val="0"/>
          <w:sz w:val="28"/>
          <w:lang w:val="ru-RU"/>
        </w:rPr>
        <w:t xml:space="preserve"> включала вопросы закрытого и полузакрытого типа. Сотрудники отвечали на вопросы анонимно, чтобы снизить влияние должностной зависимости и получить более точные ответы. Вопросы были сгруппированы по четырём блокам: наличие системы обучения, источники получения знаний, трудности в работе и профессиональные потребности сотрудников (см.табл.3.4.).</w:t>
      </w:r>
    </w:p>
    <w:p w14:paraId="265C5F8D">
      <w:pPr>
        <w:spacing w:after="120" w:line="360" w:lineRule="auto"/>
        <w:ind w:firstLine="700"/>
        <w:jc w:val="right"/>
        <w:rPr>
          <w:sz w:val="24"/>
          <w:szCs w:val="24"/>
        </w:rPr>
      </w:pPr>
      <w:r>
        <w:rPr>
          <w:rFonts w:ascii="Times New Roman" w:hAnsi="Times New Roman"/>
          <w:b w:val="0"/>
          <w:i w:val="0"/>
          <w:sz w:val="24"/>
          <w:szCs w:val="24"/>
        </w:rPr>
        <w:t>Таблица 3.4. Общая оценка сотрудниками состояния обучения в тендерном отделе</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9"/>
        <w:gridCol w:w="2250"/>
        <w:gridCol w:w="1868"/>
        <w:gridCol w:w="1839"/>
      </w:tblGrid>
      <w:tr w14:paraId="3EDA7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vAlign w:val="center"/>
          </w:tcPr>
          <w:p w14:paraId="5B786698">
            <w:pPr>
              <w:widowControl w:val="0"/>
              <w:jc w:val="center"/>
              <w:rPr>
                <w:b w:val="0"/>
                <w:bCs/>
              </w:rPr>
            </w:pPr>
            <w:r>
              <w:rPr>
                <w:rFonts w:ascii="Times New Roman" w:hAnsi="Times New Roman"/>
                <w:b w:val="0"/>
                <w:bCs/>
                <w:sz w:val="24"/>
              </w:rPr>
              <w:t>Вопрос анкеты</w:t>
            </w:r>
          </w:p>
        </w:tc>
        <w:tc>
          <w:tcPr>
            <w:tcW w:w="2250" w:type="dxa"/>
            <w:vAlign w:val="center"/>
          </w:tcPr>
          <w:p w14:paraId="0A1F2ED8">
            <w:pPr>
              <w:widowControl w:val="0"/>
              <w:jc w:val="center"/>
              <w:rPr>
                <w:b w:val="0"/>
                <w:bCs/>
              </w:rPr>
            </w:pPr>
            <w:r>
              <w:rPr>
                <w:rFonts w:ascii="Times New Roman" w:hAnsi="Times New Roman"/>
                <w:b w:val="0"/>
                <w:bCs/>
                <w:sz w:val="24"/>
              </w:rPr>
              <w:t>Вариант ответа</w:t>
            </w:r>
          </w:p>
        </w:tc>
        <w:tc>
          <w:tcPr>
            <w:tcW w:w="1868" w:type="dxa"/>
            <w:vAlign w:val="center"/>
          </w:tcPr>
          <w:p w14:paraId="0E21191D">
            <w:pPr>
              <w:widowControl w:val="0"/>
              <w:jc w:val="center"/>
              <w:rPr>
                <w:b w:val="0"/>
                <w:bCs/>
              </w:rPr>
            </w:pPr>
            <w:r>
              <w:rPr>
                <w:rFonts w:ascii="Times New Roman" w:hAnsi="Times New Roman"/>
                <w:b w:val="0"/>
                <w:bCs/>
                <w:sz w:val="24"/>
              </w:rPr>
              <w:t>Количество ответов</w:t>
            </w:r>
          </w:p>
        </w:tc>
        <w:tc>
          <w:tcPr>
            <w:tcW w:w="1839" w:type="dxa"/>
            <w:vAlign w:val="center"/>
          </w:tcPr>
          <w:p w14:paraId="5B9601AF">
            <w:pPr>
              <w:widowControl w:val="0"/>
              <w:jc w:val="center"/>
              <w:rPr>
                <w:b w:val="0"/>
                <w:bCs/>
              </w:rPr>
            </w:pPr>
            <w:r>
              <w:rPr>
                <w:rFonts w:ascii="Times New Roman" w:hAnsi="Times New Roman"/>
                <w:b w:val="0"/>
                <w:bCs/>
                <w:sz w:val="24"/>
              </w:rPr>
              <w:t>Доля, %</w:t>
            </w:r>
          </w:p>
        </w:tc>
      </w:tr>
      <w:tr w14:paraId="56ABC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22640FB">
            <w:pPr>
              <w:widowControl w:val="0"/>
              <w:jc w:val="both"/>
            </w:pPr>
            <w:r>
              <w:rPr>
                <w:rFonts w:ascii="Times New Roman" w:hAnsi="Times New Roman"/>
                <w:sz w:val="24"/>
              </w:rPr>
              <w:t>Есть ли в компании утвержденная программа обучения тендерных специалистов?</w:t>
            </w:r>
          </w:p>
        </w:tc>
        <w:tc>
          <w:tcPr>
            <w:tcW w:w="2250" w:type="dxa"/>
            <w:vAlign w:val="center"/>
          </w:tcPr>
          <w:p w14:paraId="6F0830B6">
            <w:pPr>
              <w:widowControl w:val="0"/>
              <w:jc w:val="center"/>
            </w:pPr>
            <w:r>
              <w:rPr>
                <w:rFonts w:ascii="Times New Roman" w:hAnsi="Times New Roman"/>
                <w:sz w:val="24"/>
              </w:rPr>
              <w:t>Да</w:t>
            </w:r>
          </w:p>
        </w:tc>
        <w:tc>
          <w:tcPr>
            <w:tcW w:w="1868" w:type="dxa"/>
            <w:vAlign w:val="center"/>
          </w:tcPr>
          <w:p w14:paraId="359A23D4">
            <w:pPr>
              <w:widowControl w:val="0"/>
              <w:jc w:val="center"/>
            </w:pPr>
            <w:r>
              <w:rPr>
                <w:rFonts w:ascii="Times New Roman" w:hAnsi="Times New Roman"/>
                <w:sz w:val="24"/>
              </w:rPr>
              <w:t>0</w:t>
            </w:r>
          </w:p>
        </w:tc>
        <w:tc>
          <w:tcPr>
            <w:tcW w:w="1839" w:type="dxa"/>
            <w:vAlign w:val="center"/>
          </w:tcPr>
          <w:p w14:paraId="6924CB38">
            <w:pPr>
              <w:widowControl w:val="0"/>
              <w:jc w:val="center"/>
            </w:pPr>
            <w:r>
              <w:rPr>
                <w:rFonts w:ascii="Times New Roman" w:hAnsi="Times New Roman"/>
                <w:sz w:val="24"/>
              </w:rPr>
              <w:t>0,0</w:t>
            </w:r>
          </w:p>
        </w:tc>
      </w:tr>
      <w:tr w14:paraId="4559A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2B2A484A">
            <w:pPr>
              <w:widowControl w:val="0"/>
              <w:jc w:val="both"/>
            </w:pPr>
            <w:r>
              <w:rPr>
                <w:rFonts w:ascii="Times New Roman" w:hAnsi="Times New Roman"/>
                <w:sz w:val="24"/>
              </w:rPr>
              <w:t>Есть ли в компании утвержденная программа обучения тендерных специалистов?</w:t>
            </w:r>
          </w:p>
        </w:tc>
        <w:tc>
          <w:tcPr>
            <w:tcW w:w="2250" w:type="dxa"/>
            <w:vAlign w:val="center"/>
          </w:tcPr>
          <w:p w14:paraId="38509CA0">
            <w:pPr>
              <w:widowControl w:val="0"/>
              <w:jc w:val="center"/>
            </w:pPr>
            <w:r>
              <w:rPr>
                <w:rFonts w:ascii="Times New Roman" w:hAnsi="Times New Roman"/>
                <w:sz w:val="24"/>
              </w:rPr>
              <w:t>Нет</w:t>
            </w:r>
          </w:p>
        </w:tc>
        <w:tc>
          <w:tcPr>
            <w:tcW w:w="1868" w:type="dxa"/>
            <w:vAlign w:val="center"/>
          </w:tcPr>
          <w:p w14:paraId="47211DA0">
            <w:pPr>
              <w:widowControl w:val="0"/>
              <w:jc w:val="center"/>
            </w:pPr>
            <w:r>
              <w:rPr>
                <w:rFonts w:ascii="Times New Roman" w:hAnsi="Times New Roman"/>
                <w:sz w:val="24"/>
              </w:rPr>
              <w:t>8</w:t>
            </w:r>
          </w:p>
        </w:tc>
        <w:tc>
          <w:tcPr>
            <w:tcW w:w="1839" w:type="dxa"/>
            <w:vAlign w:val="center"/>
          </w:tcPr>
          <w:p w14:paraId="6CBFB5EF">
            <w:pPr>
              <w:widowControl w:val="0"/>
              <w:jc w:val="center"/>
            </w:pPr>
            <w:r>
              <w:rPr>
                <w:rFonts w:ascii="Times New Roman" w:hAnsi="Times New Roman"/>
                <w:sz w:val="24"/>
              </w:rPr>
              <w:t>100,0</w:t>
            </w:r>
          </w:p>
        </w:tc>
      </w:tr>
    </w:tbl>
    <w:p w14:paraId="1AF1289D">
      <w:pPr>
        <w:spacing w:after="120" w:line="360" w:lineRule="auto"/>
        <w:jc w:val="both"/>
      </w:pPr>
    </w:p>
    <w:p w14:paraId="4CE9D6DC">
      <w:pPr>
        <w:spacing w:after="120" w:line="360" w:lineRule="auto"/>
        <w:jc w:val="right"/>
        <w:rPr>
          <w:rFonts w:hint="default" w:ascii="Times New Roman" w:hAnsi="Times New Roman" w:cs="Times New Roman"/>
          <w:sz w:val="24"/>
          <w:szCs w:val="24"/>
          <w:lang w:val="ru-RU"/>
        </w:rPr>
      </w:pPr>
      <w:r>
        <w:rPr>
          <w:rFonts w:hint="default" w:ascii="Times New Roman" w:hAnsi="Times New Roman" w:cs="Times New Roman"/>
          <w:sz w:val="24"/>
          <w:szCs w:val="24"/>
          <w:lang w:val="ru-RU"/>
        </w:rPr>
        <w:t>Продолжение таблицы 3.4.</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9"/>
        <w:gridCol w:w="2250"/>
        <w:gridCol w:w="1868"/>
        <w:gridCol w:w="1839"/>
      </w:tblGrid>
      <w:tr w14:paraId="0C431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205B3369">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3634AC45">
            <w:pPr>
              <w:widowControl w:val="0"/>
              <w:jc w:val="center"/>
            </w:pPr>
            <w:r>
              <w:rPr>
                <w:rFonts w:ascii="Times New Roman" w:hAnsi="Times New Roman"/>
                <w:sz w:val="24"/>
              </w:rPr>
              <w:t>Да, полностью</w:t>
            </w:r>
          </w:p>
        </w:tc>
        <w:tc>
          <w:tcPr>
            <w:tcW w:w="1868" w:type="dxa"/>
            <w:vAlign w:val="center"/>
          </w:tcPr>
          <w:p w14:paraId="47C40D36">
            <w:pPr>
              <w:widowControl w:val="0"/>
              <w:jc w:val="center"/>
            </w:pPr>
            <w:r>
              <w:rPr>
                <w:rFonts w:ascii="Times New Roman" w:hAnsi="Times New Roman"/>
                <w:sz w:val="24"/>
              </w:rPr>
              <w:t>0</w:t>
            </w:r>
          </w:p>
        </w:tc>
        <w:tc>
          <w:tcPr>
            <w:tcW w:w="1839" w:type="dxa"/>
            <w:vAlign w:val="center"/>
          </w:tcPr>
          <w:p w14:paraId="33FD3682">
            <w:pPr>
              <w:widowControl w:val="0"/>
              <w:jc w:val="center"/>
            </w:pPr>
            <w:r>
              <w:rPr>
                <w:rFonts w:ascii="Times New Roman" w:hAnsi="Times New Roman"/>
                <w:sz w:val="24"/>
              </w:rPr>
              <w:t>0,0</w:t>
            </w:r>
          </w:p>
        </w:tc>
      </w:tr>
      <w:tr w14:paraId="657A8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9379350">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5EB2F2B9">
            <w:pPr>
              <w:widowControl w:val="0"/>
              <w:jc w:val="center"/>
            </w:pPr>
            <w:r>
              <w:rPr>
                <w:rFonts w:ascii="Times New Roman" w:hAnsi="Times New Roman"/>
                <w:sz w:val="24"/>
              </w:rPr>
              <w:t>Частично</w:t>
            </w:r>
          </w:p>
        </w:tc>
        <w:tc>
          <w:tcPr>
            <w:tcW w:w="1868" w:type="dxa"/>
            <w:vAlign w:val="center"/>
          </w:tcPr>
          <w:p w14:paraId="2D48A761">
            <w:pPr>
              <w:widowControl w:val="0"/>
              <w:jc w:val="center"/>
            </w:pPr>
            <w:r>
              <w:rPr>
                <w:rFonts w:ascii="Times New Roman" w:hAnsi="Times New Roman"/>
                <w:sz w:val="24"/>
              </w:rPr>
              <w:t>2</w:t>
            </w:r>
          </w:p>
        </w:tc>
        <w:tc>
          <w:tcPr>
            <w:tcW w:w="1839" w:type="dxa"/>
            <w:vAlign w:val="center"/>
          </w:tcPr>
          <w:p w14:paraId="439D0546">
            <w:pPr>
              <w:widowControl w:val="0"/>
              <w:jc w:val="center"/>
            </w:pPr>
            <w:r>
              <w:rPr>
                <w:rFonts w:ascii="Times New Roman" w:hAnsi="Times New Roman"/>
                <w:sz w:val="24"/>
              </w:rPr>
              <w:t>25,0</w:t>
            </w:r>
          </w:p>
        </w:tc>
      </w:tr>
      <w:tr w14:paraId="4FF4B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04E2A845">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508F6EC1">
            <w:pPr>
              <w:widowControl w:val="0"/>
              <w:jc w:val="center"/>
            </w:pPr>
            <w:r>
              <w:rPr>
                <w:rFonts w:ascii="Times New Roman" w:hAnsi="Times New Roman"/>
                <w:sz w:val="24"/>
              </w:rPr>
              <w:t>Нет</w:t>
            </w:r>
          </w:p>
        </w:tc>
        <w:tc>
          <w:tcPr>
            <w:tcW w:w="1868" w:type="dxa"/>
            <w:vAlign w:val="center"/>
          </w:tcPr>
          <w:p w14:paraId="207F1191">
            <w:pPr>
              <w:widowControl w:val="0"/>
              <w:jc w:val="center"/>
            </w:pPr>
            <w:r>
              <w:rPr>
                <w:rFonts w:ascii="Times New Roman" w:hAnsi="Times New Roman"/>
                <w:sz w:val="24"/>
              </w:rPr>
              <w:t>6</w:t>
            </w:r>
          </w:p>
        </w:tc>
        <w:tc>
          <w:tcPr>
            <w:tcW w:w="1839" w:type="dxa"/>
            <w:vAlign w:val="center"/>
          </w:tcPr>
          <w:p w14:paraId="35E785F9">
            <w:pPr>
              <w:widowControl w:val="0"/>
              <w:jc w:val="center"/>
            </w:pPr>
            <w:r>
              <w:rPr>
                <w:rFonts w:ascii="Times New Roman" w:hAnsi="Times New Roman"/>
                <w:sz w:val="24"/>
              </w:rPr>
              <w:t>75,0</w:t>
            </w:r>
          </w:p>
        </w:tc>
      </w:tr>
      <w:tr w14:paraId="0E4A8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1B4FAF49">
            <w:pPr>
              <w:widowControl w:val="0"/>
              <w:jc w:val="both"/>
            </w:pPr>
            <w:r>
              <w:rPr>
                <w:rFonts w:ascii="Times New Roman" w:hAnsi="Times New Roman"/>
                <w:sz w:val="24"/>
              </w:rPr>
              <w:t>Проводится ли регулярная проверка знаний по 44-ФЗ/223-ФЗ и ЭТП?</w:t>
            </w:r>
          </w:p>
        </w:tc>
        <w:tc>
          <w:tcPr>
            <w:tcW w:w="2250" w:type="dxa"/>
            <w:vAlign w:val="center"/>
          </w:tcPr>
          <w:p w14:paraId="27AD96CD">
            <w:pPr>
              <w:widowControl w:val="0"/>
              <w:jc w:val="center"/>
            </w:pPr>
            <w:r>
              <w:rPr>
                <w:rFonts w:ascii="Times New Roman" w:hAnsi="Times New Roman"/>
                <w:sz w:val="24"/>
              </w:rPr>
              <w:t>Да</w:t>
            </w:r>
          </w:p>
        </w:tc>
        <w:tc>
          <w:tcPr>
            <w:tcW w:w="1868" w:type="dxa"/>
            <w:vAlign w:val="center"/>
          </w:tcPr>
          <w:p w14:paraId="4F4AA7A2">
            <w:pPr>
              <w:widowControl w:val="0"/>
              <w:jc w:val="center"/>
            </w:pPr>
            <w:r>
              <w:rPr>
                <w:rFonts w:ascii="Times New Roman" w:hAnsi="Times New Roman"/>
                <w:sz w:val="24"/>
              </w:rPr>
              <w:t>0</w:t>
            </w:r>
          </w:p>
        </w:tc>
        <w:tc>
          <w:tcPr>
            <w:tcW w:w="1839" w:type="dxa"/>
            <w:vAlign w:val="center"/>
          </w:tcPr>
          <w:p w14:paraId="3673F7CE">
            <w:pPr>
              <w:widowControl w:val="0"/>
              <w:jc w:val="center"/>
            </w:pPr>
            <w:r>
              <w:rPr>
                <w:rFonts w:ascii="Times New Roman" w:hAnsi="Times New Roman"/>
                <w:sz w:val="24"/>
              </w:rPr>
              <w:t>0,0</w:t>
            </w:r>
          </w:p>
        </w:tc>
      </w:tr>
      <w:tr w14:paraId="2D433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5E65411">
            <w:pPr>
              <w:widowControl w:val="0"/>
              <w:jc w:val="both"/>
            </w:pPr>
            <w:r>
              <w:rPr>
                <w:rFonts w:ascii="Times New Roman" w:hAnsi="Times New Roman"/>
                <w:sz w:val="24"/>
              </w:rPr>
              <w:t>Проводится ли регулярная проверка знаний по 44-ФЗ/223-ФЗ и ЭТП?</w:t>
            </w:r>
          </w:p>
        </w:tc>
        <w:tc>
          <w:tcPr>
            <w:tcW w:w="2250" w:type="dxa"/>
            <w:vAlign w:val="center"/>
          </w:tcPr>
          <w:p w14:paraId="0CD31B59">
            <w:pPr>
              <w:widowControl w:val="0"/>
              <w:jc w:val="center"/>
            </w:pPr>
            <w:r>
              <w:rPr>
                <w:rFonts w:ascii="Times New Roman" w:hAnsi="Times New Roman"/>
                <w:sz w:val="24"/>
              </w:rPr>
              <w:t>Нет</w:t>
            </w:r>
          </w:p>
        </w:tc>
        <w:tc>
          <w:tcPr>
            <w:tcW w:w="1868" w:type="dxa"/>
            <w:vAlign w:val="center"/>
          </w:tcPr>
          <w:p w14:paraId="2C04BA2F">
            <w:pPr>
              <w:widowControl w:val="0"/>
              <w:jc w:val="center"/>
            </w:pPr>
            <w:r>
              <w:rPr>
                <w:rFonts w:ascii="Times New Roman" w:hAnsi="Times New Roman"/>
                <w:sz w:val="24"/>
              </w:rPr>
              <w:t>8</w:t>
            </w:r>
          </w:p>
        </w:tc>
        <w:tc>
          <w:tcPr>
            <w:tcW w:w="1839" w:type="dxa"/>
            <w:vAlign w:val="center"/>
          </w:tcPr>
          <w:p w14:paraId="0F02E646">
            <w:pPr>
              <w:widowControl w:val="0"/>
              <w:jc w:val="center"/>
            </w:pPr>
            <w:r>
              <w:rPr>
                <w:rFonts w:ascii="Times New Roman" w:hAnsi="Times New Roman"/>
                <w:sz w:val="24"/>
              </w:rPr>
              <w:t>100,0</w:t>
            </w:r>
          </w:p>
        </w:tc>
      </w:tr>
      <w:tr w14:paraId="45CFE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B98276C">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72ABEE5C">
            <w:pPr>
              <w:widowControl w:val="0"/>
              <w:jc w:val="center"/>
            </w:pPr>
            <w:r>
              <w:rPr>
                <w:rFonts w:ascii="Times New Roman" w:hAnsi="Times New Roman"/>
                <w:sz w:val="24"/>
              </w:rPr>
              <w:t>Да, удобная и актуальная</w:t>
            </w:r>
          </w:p>
        </w:tc>
        <w:tc>
          <w:tcPr>
            <w:tcW w:w="1868" w:type="dxa"/>
            <w:vAlign w:val="center"/>
          </w:tcPr>
          <w:p w14:paraId="7E030DF5">
            <w:pPr>
              <w:widowControl w:val="0"/>
              <w:jc w:val="center"/>
            </w:pPr>
            <w:r>
              <w:rPr>
                <w:rFonts w:ascii="Times New Roman" w:hAnsi="Times New Roman"/>
                <w:sz w:val="24"/>
              </w:rPr>
              <w:t>0</w:t>
            </w:r>
          </w:p>
        </w:tc>
        <w:tc>
          <w:tcPr>
            <w:tcW w:w="1839" w:type="dxa"/>
            <w:vAlign w:val="center"/>
          </w:tcPr>
          <w:p w14:paraId="117E6730">
            <w:pPr>
              <w:widowControl w:val="0"/>
              <w:jc w:val="center"/>
            </w:pPr>
            <w:r>
              <w:rPr>
                <w:rFonts w:ascii="Times New Roman" w:hAnsi="Times New Roman"/>
                <w:sz w:val="24"/>
              </w:rPr>
              <w:t>0,0</w:t>
            </w:r>
          </w:p>
        </w:tc>
      </w:tr>
      <w:tr w14:paraId="3E1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0F2B3ACF">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49E8BC37">
            <w:pPr>
              <w:widowControl w:val="0"/>
              <w:jc w:val="center"/>
            </w:pPr>
            <w:r>
              <w:rPr>
                <w:rFonts w:ascii="Times New Roman" w:hAnsi="Times New Roman"/>
                <w:sz w:val="24"/>
              </w:rPr>
              <w:t>Есть отдельные материалы, но они разрознены</w:t>
            </w:r>
          </w:p>
        </w:tc>
        <w:tc>
          <w:tcPr>
            <w:tcW w:w="1868" w:type="dxa"/>
            <w:vAlign w:val="center"/>
          </w:tcPr>
          <w:p w14:paraId="6252F159">
            <w:pPr>
              <w:widowControl w:val="0"/>
              <w:jc w:val="center"/>
            </w:pPr>
            <w:r>
              <w:rPr>
                <w:rFonts w:ascii="Times New Roman" w:hAnsi="Times New Roman"/>
                <w:sz w:val="24"/>
              </w:rPr>
              <w:t>6</w:t>
            </w:r>
          </w:p>
        </w:tc>
        <w:tc>
          <w:tcPr>
            <w:tcW w:w="1839" w:type="dxa"/>
            <w:vAlign w:val="center"/>
          </w:tcPr>
          <w:p w14:paraId="6FFBBA3D">
            <w:pPr>
              <w:widowControl w:val="0"/>
              <w:jc w:val="center"/>
            </w:pPr>
            <w:r>
              <w:rPr>
                <w:rFonts w:ascii="Times New Roman" w:hAnsi="Times New Roman"/>
                <w:sz w:val="24"/>
              </w:rPr>
              <w:t>75,0</w:t>
            </w:r>
          </w:p>
        </w:tc>
      </w:tr>
      <w:tr w14:paraId="5FABD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90AB36F">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63823F0F">
            <w:pPr>
              <w:widowControl w:val="0"/>
              <w:jc w:val="center"/>
            </w:pPr>
            <w:r>
              <w:rPr>
                <w:rFonts w:ascii="Times New Roman" w:hAnsi="Times New Roman"/>
                <w:sz w:val="24"/>
              </w:rPr>
              <w:t>Нет</w:t>
            </w:r>
          </w:p>
        </w:tc>
        <w:tc>
          <w:tcPr>
            <w:tcW w:w="1868" w:type="dxa"/>
            <w:vAlign w:val="center"/>
          </w:tcPr>
          <w:p w14:paraId="4F9D39ED">
            <w:pPr>
              <w:widowControl w:val="0"/>
              <w:jc w:val="center"/>
            </w:pPr>
            <w:r>
              <w:rPr>
                <w:rFonts w:ascii="Times New Roman" w:hAnsi="Times New Roman"/>
                <w:sz w:val="24"/>
              </w:rPr>
              <w:t>2</w:t>
            </w:r>
          </w:p>
        </w:tc>
        <w:tc>
          <w:tcPr>
            <w:tcW w:w="1839" w:type="dxa"/>
            <w:vAlign w:val="center"/>
          </w:tcPr>
          <w:p w14:paraId="74A53E8F">
            <w:pPr>
              <w:widowControl w:val="0"/>
              <w:jc w:val="center"/>
            </w:pPr>
            <w:r>
              <w:rPr>
                <w:rFonts w:ascii="Times New Roman" w:hAnsi="Times New Roman"/>
                <w:sz w:val="24"/>
              </w:rPr>
              <w:t>25,0</w:t>
            </w:r>
          </w:p>
        </w:tc>
      </w:tr>
    </w:tbl>
    <w:p w14:paraId="420ACCC2">
      <w:pPr>
        <w:spacing w:after="120" w:line="360" w:lineRule="auto"/>
        <w:jc w:val="both"/>
        <w:rPr>
          <w:rFonts w:hint="default"/>
          <w:lang w:val="ru-RU"/>
        </w:rPr>
      </w:pPr>
    </w:p>
    <w:p w14:paraId="4ABC9D0B">
      <w:pPr>
        <w:spacing w:after="120" w:line="360" w:lineRule="auto"/>
        <w:ind w:firstLine="700"/>
        <w:jc w:val="both"/>
      </w:pPr>
      <w:r>
        <w:rPr>
          <w:rFonts w:ascii="Times New Roman" w:hAnsi="Times New Roman"/>
          <w:b w:val="0"/>
          <w:i w:val="0"/>
          <w:sz w:val="28"/>
          <w:lang w:val="ru-RU"/>
        </w:rPr>
        <w:t>Ответы</w:t>
      </w:r>
      <w:r>
        <w:rPr>
          <w:rFonts w:hint="default" w:ascii="Times New Roman" w:hAnsi="Times New Roman"/>
          <w:b w:val="0"/>
          <w:i w:val="0"/>
          <w:sz w:val="28"/>
          <w:lang w:val="ru-RU"/>
        </w:rPr>
        <w:t xml:space="preserve"> сотрудников подтверждают вывод о том, что обучение в отделе не оформлено как система. Все 8 опрошенных указали, что утверждённой программы обучения нет. При этом 6 сотрудников из 8 сообщили, что не проходили вводное обучение при приёме на работу. Ещё 2 сотрудника отметили, что обучение было частичным и выражалось в объяснении отдельных задач, а не в последовательном освоенении должности. Также все респонденты указали, </w:t>
      </w:r>
      <w:r>
        <w:rPr>
          <w:rFonts w:ascii="Times New Roman" w:hAnsi="Times New Roman"/>
          <w:b w:val="0"/>
          <w:i w:val="0"/>
          <w:sz w:val="28"/>
        </w:rPr>
        <w:t>что регулярная проверка знаний по законодательству и работе с электронными площадками не проводится.</w:t>
      </w:r>
    </w:p>
    <w:p w14:paraId="46471012">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Особое значение имеет оценка базы материалов. Ни один сотрудник не выбрал вариант, что в компании существует удобная и актуальная база шаблонов и инструкций. Большинство отметили наличие отдельных материалов, но подчеркнули их разрозненность. Это соответствует ранее выявленной проблеме: информация в отделе существует, но она не структурирована и не воспринимается работниками как надёжный инструмент.</w:t>
      </w:r>
    </w:p>
    <w:p w14:paraId="363D82DE">
      <w:pPr>
        <w:spacing w:after="120" w:line="360" w:lineRule="auto"/>
        <w:ind w:firstLine="700"/>
        <w:jc w:val="right"/>
        <w:rPr>
          <w:sz w:val="24"/>
          <w:szCs w:val="24"/>
        </w:rPr>
      </w:pPr>
      <w:r>
        <w:rPr>
          <w:rFonts w:ascii="Times New Roman" w:hAnsi="Times New Roman"/>
          <w:b w:val="0"/>
          <w:i w:val="0"/>
          <w:sz w:val="24"/>
          <w:szCs w:val="24"/>
        </w:rPr>
        <w:t>Таблица 3.5. Источники получения профессиональных знаний сотрудниками тендерного отдела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0533E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19619C8">
            <w:pPr>
              <w:widowControl w:val="0"/>
              <w:jc w:val="both"/>
              <w:rPr>
                <w:b w:val="0"/>
                <w:bCs/>
              </w:rPr>
            </w:pPr>
            <w:r>
              <w:rPr>
                <w:rFonts w:ascii="Times New Roman" w:hAnsi="Times New Roman"/>
                <w:b w:val="0"/>
                <w:bCs/>
                <w:sz w:val="24"/>
              </w:rPr>
              <w:t>Источник информации</w:t>
            </w:r>
          </w:p>
        </w:tc>
        <w:tc>
          <w:tcPr>
            <w:tcW w:w="3118" w:type="dxa"/>
          </w:tcPr>
          <w:p w14:paraId="653761BA">
            <w:pPr>
              <w:widowControl w:val="0"/>
              <w:jc w:val="both"/>
              <w:rPr>
                <w:b w:val="0"/>
                <w:bCs/>
              </w:rPr>
            </w:pPr>
            <w:r>
              <w:rPr>
                <w:rFonts w:ascii="Times New Roman" w:hAnsi="Times New Roman"/>
                <w:b w:val="0"/>
                <w:bCs/>
                <w:sz w:val="24"/>
              </w:rPr>
              <w:t>Количество сотрудников, отметивших источник</w:t>
            </w:r>
          </w:p>
        </w:tc>
        <w:tc>
          <w:tcPr>
            <w:tcW w:w="3118" w:type="dxa"/>
          </w:tcPr>
          <w:p w14:paraId="24B56EE5">
            <w:pPr>
              <w:widowControl w:val="0"/>
              <w:jc w:val="both"/>
              <w:rPr>
                <w:b w:val="0"/>
                <w:bCs/>
              </w:rPr>
            </w:pPr>
            <w:r>
              <w:rPr>
                <w:rFonts w:ascii="Times New Roman" w:hAnsi="Times New Roman"/>
                <w:b w:val="0"/>
                <w:bCs/>
                <w:sz w:val="24"/>
              </w:rPr>
              <w:t>Доля от численности отдела, %</w:t>
            </w:r>
          </w:p>
        </w:tc>
      </w:tr>
      <w:tr w14:paraId="10C07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FE109EB">
            <w:pPr>
              <w:widowControl w:val="0"/>
              <w:jc w:val="both"/>
            </w:pPr>
            <w:r>
              <w:rPr>
                <w:rFonts w:ascii="Times New Roman" w:hAnsi="Times New Roman"/>
                <w:sz w:val="24"/>
              </w:rPr>
              <w:t>Самостоятельный поиск информации в интернете и справочных системах</w:t>
            </w:r>
          </w:p>
        </w:tc>
        <w:tc>
          <w:tcPr>
            <w:tcW w:w="3118" w:type="dxa"/>
          </w:tcPr>
          <w:p w14:paraId="09798C97">
            <w:pPr>
              <w:widowControl w:val="0"/>
              <w:jc w:val="center"/>
            </w:pPr>
            <w:r>
              <w:rPr>
                <w:rFonts w:ascii="Times New Roman" w:hAnsi="Times New Roman"/>
                <w:sz w:val="24"/>
              </w:rPr>
              <w:t>7</w:t>
            </w:r>
          </w:p>
        </w:tc>
        <w:tc>
          <w:tcPr>
            <w:tcW w:w="3118" w:type="dxa"/>
          </w:tcPr>
          <w:p w14:paraId="08F87C31">
            <w:pPr>
              <w:widowControl w:val="0"/>
              <w:jc w:val="center"/>
            </w:pPr>
            <w:r>
              <w:rPr>
                <w:rFonts w:ascii="Times New Roman" w:hAnsi="Times New Roman"/>
                <w:sz w:val="24"/>
              </w:rPr>
              <w:t>87,5</w:t>
            </w:r>
          </w:p>
        </w:tc>
      </w:tr>
      <w:tr w14:paraId="6CA2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D63E522">
            <w:pPr>
              <w:widowControl w:val="0"/>
              <w:jc w:val="both"/>
            </w:pPr>
            <w:r>
              <w:rPr>
                <w:rFonts w:ascii="Times New Roman" w:hAnsi="Times New Roman"/>
                <w:sz w:val="24"/>
              </w:rPr>
              <w:t>Обращение к более опытным коллегам</w:t>
            </w:r>
          </w:p>
        </w:tc>
        <w:tc>
          <w:tcPr>
            <w:tcW w:w="3118" w:type="dxa"/>
          </w:tcPr>
          <w:p w14:paraId="0E2B0DB3">
            <w:pPr>
              <w:widowControl w:val="0"/>
              <w:jc w:val="center"/>
            </w:pPr>
            <w:r>
              <w:rPr>
                <w:rFonts w:ascii="Times New Roman" w:hAnsi="Times New Roman"/>
                <w:sz w:val="24"/>
              </w:rPr>
              <w:t>7</w:t>
            </w:r>
          </w:p>
        </w:tc>
        <w:tc>
          <w:tcPr>
            <w:tcW w:w="3118" w:type="dxa"/>
          </w:tcPr>
          <w:p w14:paraId="035D3F64">
            <w:pPr>
              <w:widowControl w:val="0"/>
              <w:jc w:val="center"/>
            </w:pPr>
            <w:r>
              <w:rPr>
                <w:rFonts w:ascii="Times New Roman" w:hAnsi="Times New Roman"/>
                <w:sz w:val="24"/>
              </w:rPr>
              <w:t>87,5</w:t>
            </w:r>
          </w:p>
        </w:tc>
      </w:tr>
      <w:tr w14:paraId="4D3F5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8D9DC3F">
            <w:pPr>
              <w:widowControl w:val="0"/>
              <w:jc w:val="both"/>
            </w:pPr>
            <w:r>
              <w:rPr>
                <w:rFonts w:ascii="Times New Roman" w:hAnsi="Times New Roman"/>
                <w:sz w:val="24"/>
              </w:rPr>
              <w:t>Устные пояснения руководителя отдела</w:t>
            </w:r>
          </w:p>
        </w:tc>
        <w:tc>
          <w:tcPr>
            <w:tcW w:w="3118" w:type="dxa"/>
          </w:tcPr>
          <w:p w14:paraId="399C283D">
            <w:pPr>
              <w:widowControl w:val="0"/>
              <w:jc w:val="center"/>
            </w:pPr>
            <w:r>
              <w:rPr>
                <w:rFonts w:ascii="Times New Roman" w:hAnsi="Times New Roman"/>
                <w:sz w:val="24"/>
              </w:rPr>
              <w:t>5</w:t>
            </w:r>
          </w:p>
        </w:tc>
        <w:tc>
          <w:tcPr>
            <w:tcW w:w="3118" w:type="dxa"/>
          </w:tcPr>
          <w:p w14:paraId="51017E04">
            <w:pPr>
              <w:widowControl w:val="0"/>
              <w:jc w:val="center"/>
            </w:pPr>
            <w:r>
              <w:rPr>
                <w:rFonts w:ascii="Times New Roman" w:hAnsi="Times New Roman"/>
                <w:sz w:val="24"/>
              </w:rPr>
              <w:t>62,5</w:t>
            </w:r>
          </w:p>
        </w:tc>
      </w:tr>
      <w:tr w14:paraId="79B20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8777E5C">
            <w:pPr>
              <w:widowControl w:val="0"/>
              <w:jc w:val="both"/>
            </w:pPr>
            <w:r>
              <w:rPr>
                <w:rFonts w:ascii="Times New Roman" w:hAnsi="Times New Roman"/>
                <w:sz w:val="24"/>
              </w:rPr>
              <w:t>Просмотр ранее поданных заявок</w:t>
            </w:r>
          </w:p>
        </w:tc>
        <w:tc>
          <w:tcPr>
            <w:tcW w:w="3118" w:type="dxa"/>
          </w:tcPr>
          <w:p w14:paraId="5E274DBB">
            <w:pPr>
              <w:widowControl w:val="0"/>
              <w:jc w:val="center"/>
            </w:pPr>
            <w:r>
              <w:rPr>
                <w:rFonts w:ascii="Times New Roman" w:hAnsi="Times New Roman"/>
                <w:sz w:val="24"/>
              </w:rPr>
              <w:t>6</w:t>
            </w:r>
          </w:p>
        </w:tc>
        <w:tc>
          <w:tcPr>
            <w:tcW w:w="3118" w:type="dxa"/>
          </w:tcPr>
          <w:p w14:paraId="5394AEFF">
            <w:pPr>
              <w:widowControl w:val="0"/>
              <w:jc w:val="center"/>
            </w:pPr>
            <w:r>
              <w:rPr>
                <w:rFonts w:ascii="Times New Roman" w:hAnsi="Times New Roman"/>
                <w:sz w:val="24"/>
              </w:rPr>
              <w:t>75,0</w:t>
            </w:r>
          </w:p>
        </w:tc>
      </w:tr>
      <w:tr w14:paraId="60042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51AC6A9">
            <w:pPr>
              <w:widowControl w:val="0"/>
              <w:jc w:val="both"/>
            </w:pPr>
            <w:r>
              <w:rPr>
                <w:rFonts w:ascii="Times New Roman" w:hAnsi="Times New Roman"/>
                <w:sz w:val="24"/>
              </w:rPr>
              <w:t>Записи вебинаров по 44-ФЗ/223-ФЗ</w:t>
            </w:r>
          </w:p>
        </w:tc>
        <w:tc>
          <w:tcPr>
            <w:tcW w:w="3118" w:type="dxa"/>
          </w:tcPr>
          <w:p w14:paraId="2F83FD26">
            <w:pPr>
              <w:widowControl w:val="0"/>
              <w:jc w:val="center"/>
            </w:pPr>
            <w:r>
              <w:rPr>
                <w:rFonts w:ascii="Times New Roman" w:hAnsi="Times New Roman"/>
                <w:sz w:val="24"/>
              </w:rPr>
              <w:t>4</w:t>
            </w:r>
          </w:p>
        </w:tc>
        <w:tc>
          <w:tcPr>
            <w:tcW w:w="3118" w:type="dxa"/>
          </w:tcPr>
          <w:p w14:paraId="51E600D5">
            <w:pPr>
              <w:widowControl w:val="0"/>
              <w:jc w:val="center"/>
            </w:pPr>
            <w:r>
              <w:rPr>
                <w:rFonts w:ascii="Times New Roman" w:hAnsi="Times New Roman"/>
                <w:sz w:val="24"/>
              </w:rPr>
              <w:t>50,0</w:t>
            </w:r>
          </w:p>
        </w:tc>
      </w:tr>
      <w:tr w14:paraId="1294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327DD2B">
            <w:pPr>
              <w:widowControl w:val="0"/>
              <w:jc w:val="both"/>
            </w:pPr>
            <w:r>
              <w:rPr>
                <w:rFonts w:ascii="Times New Roman" w:hAnsi="Times New Roman"/>
                <w:sz w:val="24"/>
              </w:rPr>
              <w:t>Внутренние инструкции компании</w:t>
            </w:r>
          </w:p>
        </w:tc>
        <w:tc>
          <w:tcPr>
            <w:tcW w:w="3118" w:type="dxa"/>
          </w:tcPr>
          <w:p w14:paraId="2D58E7E8">
            <w:pPr>
              <w:widowControl w:val="0"/>
              <w:jc w:val="center"/>
            </w:pPr>
            <w:r>
              <w:rPr>
                <w:rFonts w:ascii="Times New Roman" w:hAnsi="Times New Roman"/>
                <w:sz w:val="24"/>
              </w:rPr>
              <w:t>1</w:t>
            </w:r>
          </w:p>
        </w:tc>
        <w:tc>
          <w:tcPr>
            <w:tcW w:w="3118" w:type="dxa"/>
          </w:tcPr>
          <w:p w14:paraId="291F8464">
            <w:pPr>
              <w:widowControl w:val="0"/>
              <w:jc w:val="center"/>
            </w:pPr>
            <w:r>
              <w:rPr>
                <w:rFonts w:ascii="Times New Roman" w:hAnsi="Times New Roman"/>
                <w:sz w:val="24"/>
              </w:rPr>
              <w:t>12,5</w:t>
            </w:r>
          </w:p>
        </w:tc>
      </w:tr>
      <w:tr w14:paraId="71EBF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7AD0D6B">
            <w:pPr>
              <w:widowControl w:val="0"/>
              <w:jc w:val="both"/>
            </w:pPr>
            <w:r>
              <w:rPr>
                <w:rFonts w:ascii="Times New Roman" w:hAnsi="Times New Roman"/>
                <w:sz w:val="24"/>
              </w:rPr>
              <w:t>Единый обучающий курс компании</w:t>
            </w:r>
          </w:p>
        </w:tc>
        <w:tc>
          <w:tcPr>
            <w:tcW w:w="3118" w:type="dxa"/>
          </w:tcPr>
          <w:p w14:paraId="4F07DD65">
            <w:pPr>
              <w:widowControl w:val="0"/>
              <w:jc w:val="center"/>
            </w:pPr>
            <w:r>
              <w:rPr>
                <w:rFonts w:ascii="Times New Roman" w:hAnsi="Times New Roman"/>
                <w:sz w:val="24"/>
              </w:rPr>
              <w:t>0</w:t>
            </w:r>
          </w:p>
        </w:tc>
        <w:tc>
          <w:tcPr>
            <w:tcW w:w="3118" w:type="dxa"/>
          </w:tcPr>
          <w:p w14:paraId="52693347">
            <w:pPr>
              <w:widowControl w:val="0"/>
              <w:jc w:val="center"/>
            </w:pPr>
            <w:r>
              <w:rPr>
                <w:rFonts w:ascii="Times New Roman" w:hAnsi="Times New Roman"/>
                <w:sz w:val="24"/>
              </w:rPr>
              <w:t>0,0</w:t>
            </w:r>
          </w:p>
        </w:tc>
      </w:tr>
    </w:tbl>
    <w:p w14:paraId="459C0E44">
      <w:pPr>
        <w:spacing w:after="120" w:line="360" w:lineRule="auto"/>
        <w:jc w:val="both"/>
      </w:pPr>
    </w:p>
    <w:p w14:paraId="6902B2A1">
      <w:pPr>
        <w:spacing w:after="120" w:line="360" w:lineRule="auto"/>
        <w:ind w:firstLine="700"/>
        <w:jc w:val="both"/>
        <w:rPr>
          <w:rFonts w:ascii="Times New Roman" w:hAnsi="Times New Roman"/>
          <w:b w:val="0"/>
          <w:i w:val="0"/>
          <w:sz w:val="28"/>
        </w:rPr>
      </w:pPr>
      <w:r>
        <w:rPr>
          <w:rFonts w:ascii="Times New Roman" w:hAnsi="Times New Roman"/>
          <w:b w:val="0"/>
          <w:i w:val="0"/>
          <w:sz w:val="28"/>
          <w:lang w:val="ru-RU"/>
        </w:rPr>
        <w:t>Результаты</w:t>
      </w:r>
      <w:r>
        <w:rPr>
          <w:rFonts w:hint="default" w:ascii="Times New Roman" w:hAnsi="Times New Roman"/>
          <w:b w:val="0"/>
          <w:i w:val="0"/>
          <w:sz w:val="28"/>
          <w:lang w:val="ru-RU"/>
        </w:rPr>
        <w:t xml:space="preserve"> таблицы 3.5 показывают, что основными источниками знаний являются самостоятельный поиск информации и обращение к коллегам. Это означает, что обучение в отделе фактически встроено в текущую работу. </w:t>
      </w:r>
      <w:r>
        <w:rPr>
          <w:rFonts w:ascii="Times New Roman" w:hAnsi="Times New Roman"/>
          <w:b w:val="0"/>
          <w:i w:val="0"/>
          <w:sz w:val="28"/>
        </w:rPr>
        <w:t xml:space="preserve"> С одной стороны, сотрудники проявляют самостоятельность и используют профессиональные контакты внутри отдела. С другой стороны, такой способ получения знаний не гарантирует единообразия: разные специалисты могут получать разные ответы, использовать разные источники и по-разному трактовать требования закупочной документации. Отсутствие единого обучающего курса отметили все участники опроса.</w:t>
      </w:r>
    </w:p>
    <w:p w14:paraId="19108AFC">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Трудности</w:t>
      </w:r>
      <w:r>
        <w:rPr>
          <w:rFonts w:hint="default" w:ascii="Times New Roman" w:hAnsi="Times New Roman"/>
          <w:b w:val="0"/>
          <w:i w:val="0"/>
          <w:sz w:val="28"/>
          <w:lang w:val="ru-RU"/>
        </w:rPr>
        <w:t>, которые возникают  при подготовки заявок отражены в таблице 3.6.</w:t>
      </w:r>
    </w:p>
    <w:p w14:paraId="54ED461A">
      <w:pPr>
        <w:spacing w:after="120" w:line="360" w:lineRule="auto"/>
        <w:ind w:firstLine="700"/>
        <w:jc w:val="both"/>
        <w:rPr>
          <w:rFonts w:hint="default" w:ascii="Times New Roman" w:hAnsi="Times New Roman"/>
          <w:b w:val="0"/>
          <w:i w:val="0"/>
          <w:sz w:val="28"/>
          <w:lang w:val="ru-RU"/>
        </w:rPr>
      </w:pPr>
    </w:p>
    <w:p w14:paraId="054D67CE">
      <w:pPr>
        <w:spacing w:after="120" w:line="360" w:lineRule="auto"/>
        <w:ind w:firstLine="700"/>
        <w:jc w:val="right"/>
        <w:rPr>
          <w:sz w:val="24"/>
          <w:szCs w:val="24"/>
        </w:rPr>
      </w:pPr>
      <w:r>
        <w:rPr>
          <w:rFonts w:ascii="Times New Roman" w:hAnsi="Times New Roman"/>
          <w:b w:val="0"/>
          <w:i w:val="0"/>
          <w:sz w:val="24"/>
          <w:szCs w:val="24"/>
        </w:rPr>
        <w:t>Таблица 3.6. Трудности, с которыми сотрудники сталкиваются при подготовке заявок</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09"/>
        <w:gridCol w:w="2257"/>
        <w:gridCol w:w="2388"/>
      </w:tblGrid>
      <w:tr w14:paraId="1A594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4F01A0B4">
            <w:pPr>
              <w:widowControl w:val="0"/>
              <w:jc w:val="center"/>
              <w:rPr>
                <w:b w:val="0"/>
                <w:bCs/>
              </w:rPr>
            </w:pPr>
            <w:r>
              <w:rPr>
                <w:rFonts w:ascii="Times New Roman" w:hAnsi="Times New Roman"/>
                <w:b w:val="0"/>
                <w:bCs/>
                <w:sz w:val="24"/>
              </w:rPr>
              <w:t>Трудность</w:t>
            </w:r>
          </w:p>
        </w:tc>
        <w:tc>
          <w:tcPr>
            <w:tcW w:w="2257" w:type="dxa"/>
          </w:tcPr>
          <w:p w14:paraId="6385A8FB">
            <w:pPr>
              <w:widowControl w:val="0"/>
              <w:jc w:val="center"/>
              <w:rPr>
                <w:b w:val="0"/>
                <w:bCs/>
              </w:rPr>
            </w:pPr>
            <w:r>
              <w:rPr>
                <w:rFonts w:ascii="Times New Roman" w:hAnsi="Times New Roman"/>
                <w:b w:val="0"/>
                <w:bCs/>
                <w:sz w:val="24"/>
              </w:rPr>
              <w:t>Количество ответов</w:t>
            </w:r>
          </w:p>
        </w:tc>
        <w:tc>
          <w:tcPr>
            <w:tcW w:w="2388" w:type="dxa"/>
          </w:tcPr>
          <w:p w14:paraId="5D5F7948">
            <w:pPr>
              <w:widowControl w:val="0"/>
              <w:jc w:val="center"/>
              <w:rPr>
                <w:b w:val="0"/>
                <w:bCs/>
              </w:rPr>
            </w:pPr>
            <w:r>
              <w:rPr>
                <w:rFonts w:ascii="Times New Roman" w:hAnsi="Times New Roman"/>
                <w:b w:val="0"/>
                <w:bCs/>
                <w:sz w:val="24"/>
              </w:rPr>
              <w:t>Доля, %</w:t>
            </w:r>
          </w:p>
        </w:tc>
      </w:tr>
      <w:tr w14:paraId="6381D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6D03CEF6">
            <w:pPr>
              <w:widowControl w:val="0"/>
              <w:jc w:val="both"/>
              <w:rPr>
                <w:b w:val="0"/>
                <w:bCs/>
              </w:rPr>
            </w:pPr>
            <w:r>
              <w:rPr>
                <w:rFonts w:ascii="Times New Roman" w:hAnsi="Times New Roman"/>
                <w:b w:val="0"/>
                <w:bCs/>
                <w:sz w:val="24"/>
              </w:rPr>
              <w:t>Сложность отслеживания изменений в 44-ФЗ/223-ФЗ</w:t>
            </w:r>
          </w:p>
        </w:tc>
        <w:tc>
          <w:tcPr>
            <w:tcW w:w="2257" w:type="dxa"/>
          </w:tcPr>
          <w:p w14:paraId="3C9DB36B">
            <w:pPr>
              <w:widowControl w:val="0"/>
              <w:jc w:val="center"/>
              <w:rPr>
                <w:b w:val="0"/>
                <w:bCs/>
              </w:rPr>
            </w:pPr>
            <w:r>
              <w:rPr>
                <w:rFonts w:ascii="Times New Roman" w:hAnsi="Times New Roman"/>
                <w:b w:val="0"/>
                <w:bCs/>
                <w:sz w:val="24"/>
              </w:rPr>
              <w:t>6</w:t>
            </w:r>
          </w:p>
        </w:tc>
        <w:tc>
          <w:tcPr>
            <w:tcW w:w="2388" w:type="dxa"/>
          </w:tcPr>
          <w:p w14:paraId="43FFBF36">
            <w:pPr>
              <w:widowControl w:val="0"/>
              <w:jc w:val="center"/>
              <w:rPr>
                <w:b w:val="0"/>
                <w:bCs/>
              </w:rPr>
            </w:pPr>
            <w:r>
              <w:rPr>
                <w:rFonts w:ascii="Times New Roman" w:hAnsi="Times New Roman"/>
                <w:b w:val="0"/>
                <w:bCs/>
                <w:sz w:val="24"/>
              </w:rPr>
              <w:t>75,0</w:t>
            </w:r>
          </w:p>
        </w:tc>
      </w:tr>
      <w:tr w14:paraId="2DDA1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1248C999">
            <w:pPr>
              <w:widowControl w:val="0"/>
              <w:jc w:val="both"/>
              <w:rPr>
                <w:b w:val="0"/>
                <w:bCs/>
              </w:rPr>
            </w:pPr>
            <w:r>
              <w:rPr>
                <w:rFonts w:ascii="Times New Roman" w:hAnsi="Times New Roman"/>
                <w:b w:val="0"/>
                <w:bCs/>
                <w:sz w:val="24"/>
              </w:rPr>
              <w:t>Неуверенность в актуальности используемых шаблонов</w:t>
            </w:r>
          </w:p>
        </w:tc>
        <w:tc>
          <w:tcPr>
            <w:tcW w:w="2257" w:type="dxa"/>
          </w:tcPr>
          <w:p w14:paraId="4C8F0D8C">
            <w:pPr>
              <w:widowControl w:val="0"/>
              <w:jc w:val="center"/>
              <w:rPr>
                <w:b w:val="0"/>
                <w:bCs/>
              </w:rPr>
            </w:pPr>
            <w:r>
              <w:rPr>
                <w:rFonts w:ascii="Times New Roman" w:hAnsi="Times New Roman"/>
                <w:b w:val="0"/>
                <w:bCs/>
                <w:sz w:val="24"/>
              </w:rPr>
              <w:t>7</w:t>
            </w:r>
          </w:p>
        </w:tc>
        <w:tc>
          <w:tcPr>
            <w:tcW w:w="2388" w:type="dxa"/>
          </w:tcPr>
          <w:p w14:paraId="47B52BB1">
            <w:pPr>
              <w:widowControl w:val="0"/>
              <w:jc w:val="center"/>
              <w:rPr>
                <w:b w:val="0"/>
                <w:bCs/>
              </w:rPr>
            </w:pPr>
            <w:r>
              <w:rPr>
                <w:rFonts w:ascii="Times New Roman" w:hAnsi="Times New Roman"/>
                <w:b w:val="0"/>
                <w:bCs/>
                <w:sz w:val="24"/>
              </w:rPr>
              <w:t>87,5</w:t>
            </w:r>
          </w:p>
        </w:tc>
      </w:tr>
      <w:tr w14:paraId="7F0C0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78507ED8">
            <w:pPr>
              <w:widowControl w:val="0"/>
              <w:jc w:val="both"/>
              <w:rPr>
                <w:b w:val="0"/>
                <w:bCs/>
              </w:rPr>
            </w:pPr>
            <w:r>
              <w:rPr>
                <w:rFonts w:ascii="Times New Roman" w:hAnsi="Times New Roman"/>
                <w:b w:val="0"/>
                <w:bCs/>
                <w:sz w:val="24"/>
              </w:rPr>
              <w:t>Отсутствие единого чек-листа перед отправкой заявки</w:t>
            </w:r>
          </w:p>
        </w:tc>
        <w:tc>
          <w:tcPr>
            <w:tcW w:w="2257" w:type="dxa"/>
          </w:tcPr>
          <w:p w14:paraId="624CF970">
            <w:pPr>
              <w:widowControl w:val="0"/>
              <w:jc w:val="center"/>
              <w:rPr>
                <w:b w:val="0"/>
                <w:bCs/>
              </w:rPr>
            </w:pPr>
            <w:r>
              <w:rPr>
                <w:rFonts w:ascii="Times New Roman" w:hAnsi="Times New Roman"/>
                <w:b w:val="0"/>
                <w:bCs/>
                <w:sz w:val="24"/>
              </w:rPr>
              <w:t>7</w:t>
            </w:r>
          </w:p>
        </w:tc>
        <w:tc>
          <w:tcPr>
            <w:tcW w:w="2388" w:type="dxa"/>
          </w:tcPr>
          <w:p w14:paraId="1A5412D2">
            <w:pPr>
              <w:widowControl w:val="0"/>
              <w:jc w:val="center"/>
              <w:rPr>
                <w:b w:val="0"/>
                <w:bCs/>
              </w:rPr>
            </w:pPr>
            <w:r>
              <w:rPr>
                <w:rFonts w:ascii="Times New Roman" w:hAnsi="Times New Roman"/>
                <w:b w:val="0"/>
                <w:bCs/>
                <w:sz w:val="24"/>
              </w:rPr>
              <w:t>87,5</w:t>
            </w:r>
          </w:p>
        </w:tc>
      </w:tr>
      <w:tr w14:paraId="55B3E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3CD1D7A3">
            <w:pPr>
              <w:widowControl w:val="0"/>
              <w:jc w:val="both"/>
              <w:rPr>
                <w:b w:val="0"/>
                <w:bCs/>
              </w:rPr>
            </w:pPr>
            <w:r>
              <w:rPr>
                <w:rFonts w:ascii="Times New Roman" w:hAnsi="Times New Roman"/>
                <w:b w:val="0"/>
                <w:bCs/>
                <w:sz w:val="24"/>
              </w:rPr>
              <w:t>Разные требования электронных торговых площадок</w:t>
            </w:r>
          </w:p>
        </w:tc>
        <w:tc>
          <w:tcPr>
            <w:tcW w:w="2257" w:type="dxa"/>
          </w:tcPr>
          <w:p w14:paraId="4DB90DBF">
            <w:pPr>
              <w:widowControl w:val="0"/>
              <w:jc w:val="center"/>
              <w:rPr>
                <w:b w:val="0"/>
                <w:bCs/>
              </w:rPr>
            </w:pPr>
            <w:r>
              <w:rPr>
                <w:rFonts w:ascii="Times New Roman" w:hAnsi="Times New Roman"/>
                <w:b w:val="0"/>
                <w:bCs/>
                <w:sz w:val="24"/>
              </w:rPr>
              <w:t>5</w:t>
            </w:r>
          </w:p>
        </w:tc>
        <w:tc>
          <w:tcPr>
            <w:tcW w:w="2388" w:type="dxa"/>
          </w:tcPr>
          <w:p w14:paraId="1E3D440B">
            <w:pPr>
              <w:widowControl w:val="0"/>
              <w:jc w:val="center"/>
              <w:rPr>
                <w:b w:val="0"/>
                <w:bCs/>
              </w:rPr>
            </w:pPr>
            <w:r>
              <w:rPr>
                <w:rFonts w:ascii="Times New Roman" w:hAnsi="Times New Roman"/>
                <w:b w:val="0"/>
                <w:bCs/>
                <w:sz w:val="24"/>
              </w:rPr>
              <w:t>62,5</w:t>
            </w:r>
          </w:p>
        </w:tc>
      </w:tr>
      <w:tr w14:paraId="1523D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206A065D">
            <w:pPr>
              <w:widowControl w:val="0"/>
              <w:jc w:val="both"/>
              <w:rPr>
                <w:b w:val="0"/>
                <w:bCs/>
              </w:rPr>
            </w:pPr>
            <w:r>
              <w:rPr>
                <w:rFonts w:ascii="Times New Roman" w:hAnsi="Times New Roman"/>
                <w:b w:val="0"/>
                <w:bCs/>
                <w:sz w:val="24"/>
              </w:rPr>
              <w:t>Недостаток разбора реальных ошибок отдела</w:t>
            </w:r>
          </w:p>
        </w:tc>
        <w:tc>
          <w:tcPr>
            <w:tcW w:w="2257" w:type="dxa"/>
          </w:tcPr>
          <w:p w14:paraId="67F45973">
            <w:pPr>
              <w:widowControl w:val="0"/>
              <w:jc w:val="center"/>
              <w:rPr>
                <w:b w:val="0"/>
                <w:bCs/>
              </w:rPr>
            </w:pPr>
            <w:r>
              <w:rPr>
                <w:rFonts w:ascii="Times New Roman" w:hAnsi="Times New Roman"/>
                <w:b w:val="0"/>
                <w:bCs/>
                <w:sz w:val="24"/>
              </w:rPr>
              <w:t>6</w:t>
            </w:r>
          </w:p>
        </w:tc>
        <w:tc>
          <w:tcPr>
            <w:tcW w:w="2388" w:type="dxa"/>
          </w:tcPr>
          <w:p w14:paraId="1C9C8A71">
            <w:pPr>
              <w:widowControl w:val="0"/>
              <w:jc w:val="center"/>
              <w:rPr>
                <w:b w:val="0"/>
                <w:bCs/>
              </w:rPr>
            </w:pPr>
            <w:r>
              <w:rPr>
                <w:rFonts w:ascii="Times New Roman" w:hAnsi="Times New Roman"/>
                <w:b w:val="0"/>
                <w:bCs/>
                <w:sz w:val="24"/>
              </w:rPr>
              <w:t>75,0</w:t>
            </w:r>
          </w:p>
        </w:tc>
      </w:tr>
      <w:tr w14:paraId="15338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53978A28">
            <w:pPr>
              <w:widowControl w:val="0"/>
              <w:jc w:val="both"/>
              <w:rPr>
                <w:b w:val="0"/>
                <w:bCs/>
              </w:rPr>
            </w:pPr>
            <w:r>
              <w:rPr>
                <w:rFonts w:ascii="Times New Roman" w:hAnsi="Times New Roman"/>
                <w:b w:val="0"/>
                <w:bCs/>
                <w:sz w:val="24"/>
              </w:rPr>
              <w:t>Нехватка времени на самостоятельное изучение изменений</w:t>
            </w:r>
          </w:p>
        </w:tc>
        <w:tc>
          <w:tcPr>
            <w:tcW w:w="2257" w:type="dxa"/>
          </w:tcPr>
          <w:p w14:paraId="203EA1A3">
            <w:pPr>
              <w:widowControl w:val="0"/>
              <w:jc w:val="center"/>
              <w:rPr>
                <w:b w:val="0"/>
                <w:bCs/>
              </w:rPr>
            </w:pPr>
            <w:r>
              <w:rPr>
                <w:rFonts w:ascii="Times New Roman" w:hAnsi="Times New Roman"/>
                <w:b w:val="0"/>
                <w:bCs/>
                <w:sz w:val="24"/>
              </w:rPr>
              <w:t>5</w:t>
            </w:r>
          </w:p>
        </w:tc>
        <w:tc>
          <w:tcPr>
            <w:tcW w:w="2388" w:type="dxa"/>
          </w:tcPr>
          <w:p w14:paraId="2A770CDA">
            <w:pPr>
              <w:widowControl w:val="0"/>
              <w:jc w:val="center"/>
              <w:rPr>
                <w:b w:val="0"/>
                <w:bCs/>
              </w:rPr>
            </w:pPr>
            <w:r>
              <w:rPr>
                <w:rFonts w:ascii="Times New Roman" w:hAnsi="Times New Roman"/>
                <w:b w:val="0"/>
                <w:bCs/>
                <w:sz w:val="24"/>
              </w:rPr>
              <w:t>62,5</w:t>
            </w:r>
          </w:p>
        </w:tc>
      </w:tr>
      <w:tr w14:paraId="4123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4221DD96">
            <w:pPr>
              <w:widowControl w:val="0"/>
              <w:jc w:val="both"/>
              <w:rPr>
                <w:b w:val="0"/>
                <w:bCs/>
              </w:rPr>
            </w:pPr>
            <w:r>
              <w:rPr>
                <w:rFonts w:ascii="Times New Roman" w:hAnsi="Times New Roman"/>
                <w:b w:val="0"/>
                <w:bCs/>
                <w:sz w:val="24"/>
              </w:rPr>
              <w:t>Сложности в расчетах НМЦК и итоговой цены</w:t>
            </w:r>
          </w:p>
        </w:tc>
        <w:tc>
          <w:tcPr>
            <w:tcW w:w="2257" w:type="dxa"/>
          </w:tcPr>
          <w:p w14:paraId="280079AF">
            <w:pPr>
              <w:widowControl w:val="0"/>
              <w:jc w:val="center"/>
              <w:rPr>
                <w:b w:val="0"/>
                <w:bCs/>
              </w:rPr>
            </w:pPr>
            <w:r>
              <w:rPr>
                <w:rFonts w:ascii="Times New Roman" w:hAnsi="Times New Roman"/>
                <w:b w:val="0"/>
                <w:bCs/>
                <w:sz w:val="24"/>
              </w:rPr>
              <w:t>3</w:t>
            </w:r>
          </w:p>
        </w:tc>
        <w:tc>
          <w:tcPr>
            <w:tcW w:w="2388" w:type="dxa"/>
          </w:tcPr>
          <w:p w14:paraId="4425FDEB">
            <w:pPr>
              <w:widowControl w:val="0"/>
              <w:jc w:val="center"/>
              <w:rPr>
                <w:b w:val="0"/>
                <w:bCs/>
              </w:rPr>
            </w:pPr>
            <w:r>
              <w:rPr>
                <w:rFonts w:ascii="Times New Roman" w:hAnsi="Times New Roman"/>
                <w:b w:val="0"/>
                <w:bCs/>
                <w:sz w:val="24"/>
              </w:rPr>
              <w:t>37,5</w:t>
            </w:r>
          </w:p>
        </w:tc>
      </w:tr>
    </w:tbl>
    <w:p w14:paraId="1DC26EB6">
      <w:pPr>
        <w:spacing w:after="120" w:line="360" w:lineRule="auto"/>
        <w:jc w:val="both"/>
      </w:pPr>
    </w:p>
    <w:p w14:paraId="1C900075">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Наиболее</w:t>
      </w:r>
      <w:r>
        <w:rPr>
          <w:rFonts w:hint="default" w:ascii="Times New Roman" w:hAnsi="Times New Roman"/>
          <w:b w:val="0"/>
          <w:i w:val="0"/>
          <w:sz w:val="28"/>
          <w:lang w:val="ru-RU"/>
        </w:rPr>
        <w:t xml:space="preserve"> часто сотрудники отмечают неуверенность в актуальности шаблонов и отсутствие единого чек-листа перед отправкой (7 ответов из 8). эти результаты напрямую связаны с выявленными причинами отклонения заявок. Если сотрудник не уверен, что форма документа является актуальной, то риск использования устаревшего шаблона возрастает. </w:t>
      </w:r>
      <w:r>
        <w:rPr>
          <w:rFonts w:ascii="Times New Roman" w:hAnsi="Times New Roman"/>
          <w:b w:val="0"/>
          <w:i w:val="0"/>
          <w:sz w:val="28"/>
        </w:rPr>
        <w:t>Если перед отправкой нет единой контрольной процедуры, увеличивается вероятность пропуска обязательного файла, неверного формата или технической ошибки на ЭТП.</w:t>
      </w:r>
    </w:p>
    <w:p w14:paraId="5CD95512">
      <w:pPr>
        <w:spacing w:after="120" w:line="360" w:lineRule="auto"/>
        <w:ind w:firstLine="700"/>
        <w:jc w:val="both"/>
      </w:pPr>
      <w:r>
        <w:rPr>
          <w:rFonts w:ascii="Times New Roman" w:hAnsi="Times New Roman"/>
          <w:b w:val="0"/>
          <w:i w:val="0"/>
          <w:sz w:val="28"/>
          <w:lang w:val="ru-RU"/>
        </w:rPr>
        <w:t>Шесть</w:t>
      </w:r>
      <w:r>
        <w:rPr>
          <w:rFonts w:hint="default" w:ascii="Times New Roman" w:hAnsi="Times New Roman"/>
          <w:b w:val="0"/>
          <w:i w:val="0"/>
          <w:sz w:val="28"/>
          <w:lang w:val="ru-RU"/>
        </w:rPr>
        <w:t xml:space="preserve"> сотрудников указали на сложность отслеживания изменений ы 44-ФЗ/223-ФЗ и недостаток разбора реальных ошибок отдела. Это показывает, что проблема обучения воспринимается работниками как нехватка регулярной профессиональной обратной связи. Сотрудникам важно понимать, какие ошибки уже возникали в отделе, почему они произошли и как они связаны с требованиями заказчиков.</w:t>
      </w:r>
    </w:p>
    <w:p w14:paraId="744A11E1">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Из</w:t>
      </w:r>
      <w:r>
        <w:rPr>
          <w:rFonts w:hint="default" w:ascii="Times New Roman" w:hAnsi="Times New Roman"/>
          <w:b w:val="0"/>
          <w:i w:val="0"/>
          <w:sz w:val="28"/>
          <w:lang w:val="ru-RU"/>
        </w:rPr>
        <w:t xml:space="preserve"> таблицы 3.7 видно, что сотрудники осознают связь между обучением и качеством подготовки заявок. Все 8 человек отметили актуальные изменения законодательства и типовые ошибки при подготовке заявок. Семь сотрудников выделили подготовку комплекта документов и внутренние стандарты оформления. Это означает, что потребность работников сосредоточена не в общем повышении квалификации, а в конкретных рабочих знаниях, которые ежедневно используются при анализе закупки и подаче заявки.</w:t>
      </w:r>
    </w:p>
    <w:p w14:paraId="4B30A6C1">
      <w:pPr>
        <w:spacing w:after="120" w:line="360" w:lineRule="auto"/>
        <w:ind w:firstLine="700"/>
        <w:jc w:val="both"/>
        <w:rPr>
          <w:rFonts w:hint="default" w:ascii="Times New Roman" w:hAnsi="Times New Roman"/>
          <w:b w:val="0"/>
          <w:i w:val="0"/>
          <w:sz w:val="28"/>
          <w:lang w:val="ru-RU"/>
        </w:rPr>
      </w:pPr>
    </w:p>
    <w:p w14:paraId="409E26B0">
      <w:pPr>
        <w:spacing w:after="120" w:line="360" w:lineRule="auto"/>
        <w:ind w:firstLine="700"/>
        <w:jc w:val="right"/>
        <w:rPr>
          <w:sz w:val="18"/>
          <w:szCs w:val="18"/>
        </w:rPr>
      </w:pPr>
      <w:r>
        <w:rPr>
          <w:rFonts w:ascii="Times New Roman" w:hAnsi="Times New Roman"/>
          <w:b w:val="0"/>
          <w:i w:val="0"/>
          <w:sz w:val="24"/>
          <w:szCs w:val="18"/>
        </w:rPr>
        <w:t>Таблица 3.7. Профессиональные темы, которые сотрудники считают наиболее значимыми для освоения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17"/>
        <w:gridCol w:w="2496"/>
        <w:gridCol w:w="2741"/>
      </w:tblGrid>
      <w:tr w14:paraId="7BEEE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00FA166C">
            <w:pPr>
              <w:widowControl w:val="0"/>
              <w:jc w:val="center"/>
              <w:rPr>
                <w:b w:val="0"/>
                <w:bCs/>
              </w:rPr>
            </w:pPr>
            <w:r>
              <w:rPr>
                <w:rFonts w:ascii="Times New Roman" w:hAnsi="Times New Roman"/>
                <w:b w:val="0"/>
                <w:bCs/>
                <w:sz w:val="24"/>
              </w:rPr>
              <w:t>Тема</w:t>
            </w:r>
          </w:p>
        </w:tc>
        <w:tc>
          <w:tcPr>
            <w:tcW w:w="2496" w:type="dxa"/>
          </w:tcPr>
          <w:p w14:paraId="28CFD599">
            <w:pPr>
              <w:widowControl w:val="0"/>
              <w:jc w:val="center"/>
              <w:rPr>
                <w:b w:val="0"/>
                <w:bCs/>
              </w:rPr>
            </w:pPr>
            <w:r>
              <w:rPr>
                <w:rFonts w:ascii="Times New Roman" w:hAnsi="Times New Roman"/>
                <w:b w:val="0"/>
                <w:bCs/>
                <w:sz w:val="24"/>
              </w:rPr>
              <w:t>Количество ответов</w:t>
            </w:r>
          </w:p>
        </w:tc>
        <w:tc>
          <w:tcPr>
            <w:tcW w:w="2741" w:type="dxa"/>
          </w:tcPr>
          <w:p w14:paraId="532C3F9A">
            <w:pPr>
              <w:widowControl w:val="0"/>
              <w:jc w:val="center"/>
              <w:rPr>
                <w:b w:val="0"/>
                <w:bCs/>
              </w:rPr>
            </w:pPr>
            <w:r>
              <w:rPr>
                <w:rFonts w:ascii="Times New Roman" w:hAnsi="Times New Roman"/>
                <w:b w:val="0"/>
                <w:bCs/>
                <w:sz w:val="24"/>
              </w:rPr>
              <w:t>Доля, %</w:t>
            </w:r>
          </w:p>
        </w:tc>
      </w:tr>
      <w:tr w14:paraId="2C964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69840CEF">
            <w:pPr>
              <w:widowControl w:val="0"/>
              <w:jc w:val="both"/>
            </w:pPr>
            <w:r>
              <w:rPr>
                <w:rFonts w:ascii="Times New Roman" w:hAnsi="Times New Roman"/>
                <w:sz w:val="24"/>
              </w:rPr>
              <w:t>Актуальные изменения 44-ФЗ и 223-ФЗ</w:t>
            </w:r>
          </w:p>
        </w:tc>
        <w:tc>
          <w:tcPr>
            <w:tcW w:w="2496" w:type="dxa"/>
          </w:tcPr>
          <w:p w14:paraId="68AF3ADB">
            <w:pPr>
              <w:widowControl w:val="0"/>
              <w:jc w:val="center"/>
            </w:pPr>
            <w:r>
              <w:rPr>
                <w:rFonts w:ascii="Times New Roman" w:hAnsi="Times New Roman"/>
                <w:sz w:val="24"/>
              </w:rPr>
              <w:t>8</w:t>
            </w:r>
          </w:p>
        </w:tc>
        <w:tc>
          <w:tcPr>
            <w:tcW w:w="2741" w:type="dxa"/>
          </w:tcPr>
          <w:p w14:paraId="34455DFC">
            <w:pPr>
              <w:widowControl w:val="0"/>
              <w:jc w:val="center"/>
            </w:pPr>
            <w:r>
              <w:rPr>
                <w:rFonts w:ascii="Times New Roman" w:hAnsi="Times New Roman"/>
                <w:sz w:val="24"/>
              </w:rPr>
              <w:t>100,0</w:t>
            </w:r>
          </w:p>
        </w:tc>
      </w:tr>
      <w:tr w14:paraId="079FE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3C59C411">
            <w:pPr>
              <w:widowControl w:val="0"/>
              <w:jc w:val="both"/>
            </w:pPr>
            <w:r>
              <w:rPr>
                <w:rFonts w:ascii="Times New Roman" w:hAnsi="Times New Roman"/>
                <w:sz w:val="24"/>
              </w:rPr>
              <w:t>Типовые ошибки при подготовке заявок и причины отклонений</w:t>
            </w:r>
          </w:p>
        </w:tc>
        <w:tc>
          <w:tcPr>
            <w:tcW w:w="2496" w:type="dxa"/>
          </w:tcPr>
          <w:p w14:paraId="132BC371">
            <w:pPr>
              <w:widowControl w:val="0"/>
              <w:jc w:val="center"/>
            </w:pPr>
            <w:r>
              <w:rPr>
                <w:rFonts w:ascii="Times New Roman" w:hAnsi="Times New Roman"/>
                <w:sz w:val="24"/>
              </w:rPr>
              <w:t>8</w:t>
            </w:r>
          </w:p>
        </w:tc>
        <w:tc>
          <w:tcPr>
            <w:tcW w:w="2741" w:type="dxa"/>
          </w:tcPr>
          <w:p w14:paraId="558146AD">
            <w:pPr>
              <w:widowControl w:val="0"/>
              <w:jc w:val="center"/>
            </w:pPr>
            <w:r>
              <w:rPr>
                <w:rFonts w:ascii="Times New Roman" w:hAnsi="Times New Roman"/>
                <w:sz w:val="24"/>
              </w:rPr>
              <w:t>100,0</w:t>
            </w:r>
          </w:p>
        </w:tc>
      </w:tr>
      <w:tr w14:paraId="4991E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47F8FB5A">
            <w:pPr>
              <w:widowControl w:val="0"/>
              <w:jc w:val="both"/>
            </w:pPr>
            <w:r>
              <w:rPr>
                <w:rFonts w:ascii="Times New Roman" w:hAnsi="Times New Roman"/>
                <w:sz w:val="24"/>
              </w:rPr>
              <w:t>Работа с разными электронными торговыми площадками</w:t>
            </w:r>
          </w:p>
        </w:tc>
        <w:tc>
          <w:tcPr>
            <w:tcW w:w="2496" w:type="dxa"/>
          </w:tcPr>
          <w:p w14:paraId="2D3EB2FD">
            <w:pPr>
              <w:widowControl w:val="0"/>
              <w:jc w:val="center"/>
            </w:pPr>
            <w:r>
              <w:rPr>
                <w:rFonts w:ascii="Times New Roman" w:hAnsi="Times New Roman"/>
                <w:sz w:val="24"/>
              </w:rPr>
              <w:t>6</w:t>
            </w:r>
          </w:p>
        </w:tc>
        <w:tc>
          <w:tcPr>
            <w:tcW w:w="2741" w:type="dxa"/>
          </w:tcPr>
          <w:p w14:paraId="01EAC874">
            <w:pPr>
              <w:widowControl w:val="0"/>
              <w:jc w:val="center"/>
            </w:pPr>
            <w:r>
              <w:rPr>
                <w:rFonts w:ascii="Times New Roman" w:hAnsi="Times New Roman"/>
                <w:sz w:val="24"/>
              </w:rPr>
              <w:t>75,0</w:t>
            </w:r>
          </w:p>
        </w:tc>
      </w:tr>
      <w:tr w14:paraId="23913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33C5AFE8">
            <w:pPr>
              <w:widowControl w:val="0"/>
              <w:jc w:val="both"/>
            </w:pPr>
            <w:r>
              <w:rPr>
                <w:rFonts w:ascii="Times New Roman" w:hAnsi="Times New Roman"/>
                <w:sz w:val="24"/>
              </w:rPr>
              <w:t>Подготовка и проверка комплекта документов</w:t>
            </w:r>
          </w:p>
        </w:tc>
        <w:tc>
          <w:tcPr>
            <w:tcW w:w="2496" w:type="dxa"/>
          </w:tcPr>
          <w:p w14:paraId="1D0BB797">
            <w:pPr>
              <w:widowControl w:val="0"/>
              <w:jc w:val="center"/>
            </w:pPr>
            <w:r>
              <w:rPr>
                <w:rFonts w:ascii="Times New Roman" w:hAnsi="Times New Roman"/>
                <w:sz w:val="24"/>
              </w:rPr>
              <w:t>7</w:t>
            </w:r>
          </w:p>
        </w:tc>
        <w:tc>
          <w:tcPr>
            <w:tcW w:w="2741" w:type="dxa"/>
          </w:tcPr>
          <w:p w14:paraId="77CA2645">
            <w:pPr>
              <w:widowControl w:val="0"/>
              <w:jc w:val="center"/>
            </w:pPr>
            <w:r>
              <w:rPr>
                <w:rFonts w:ascii="Times New Roman" w:hAnsi="Times New Roman"/>
                <w:sz w:val="24"/>
              </w:rPr>
              <w:t>87,5</w:t>
            </w:r>
          </w:p>
        </w:tc>
      </w:tr>
      <w:tr w14:paraId="482C0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2FC9318A">
            <w:pPr>
              <w:widowControl w:val="0"/>
              <w:jc w:val="both"/>
            </w:pPr>
            <w:r>
              <w:rPr>
                <w:rFonts w:ascii="Times New Roman" w:hAnsi="Times New Roman"/>
                <w:sz w:val="24"/>
              </w:rPr>
              <w:t>Расчет НМЦК, цены контракта и учет НДС</w:t>
            </w:r>
          </w:p>
        </w:tc>
        <w:tc>
          <w:tcPr>
            <w:tcW w:w="2496" w:type="dxa"/>
          </w:tcPr>
          <w:p w14:paraId="4F8B11F3">
            <w:pPr>
              <w:widowControl w:val="0"/>
              <w:jc w:val="center"/>
            </w:pPr>
            <w:r>
              <w:rPr>
                <w:rFonts w:ascii="Times New Roman" w:hAnsi="Times New Roman"/>
                <w:sz w:val="24"/>
              </w:rPr>
              <w:t>5</w:t>
            </w:r>
          </w:p>
        </w:tc>
        <w:tc>
          <w:tcPr>
            <w:tcW w:w="2741" w:type="dxa"/>
          </w:tcPr>
          <w:p w14:paraId="38341A96">
            <w:pPr>
              <w:widowControl w:val="0"/>
              <w:jc w:val="center"/>
            </w:pPr>
            <w:r>
              <w:rPr>
                <w:rFonts w:ascii="Times New Roman" w:hAnsi="Times New Roman"/>
                <w:sz w:val="24"/>
              </w:rPr>
              <w:t>62,5</w:t>
            </w:r>
          </w:p>
        </w:tc>
      </w:tr>
      <w:tr w14:paraId="1B5FD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7154BD8D">
            <w:pPr>
              <w:widowControl w:val="0"/>
              <w:jc w:val="both"/>
            </w:pPr>
            <w:r>
              <w:rPr>
                <w:rFonts w:ascii="Times New Roman" w:hAnsi="Times New Roman"/>
                <w:sz w:val="24"/>
              </w:rPr>
              <w:t>Подтверждение опыта и квалификационных требований</w:t>
            </w:r>
          </w:p>
        </w:tc>
        <w:tc>
          <w:tcPr>
            <w:tcW w:w="2496" w:type="dxa"/>
          </w:tcPr>
          <w:p w14:paraId="14E73046">
            <w:pPr>
              <w:widowControl w:val="0"/>
              <w:jc w:val="center"/>
            </w:pPr>
            <w:r>
              <w:rPr>
                <w:rFonts w:ascii="Times New Roman" w:hAnsi="Times New Roman"/>
                <w:sz w:val="24"/>
              </w:rPr>
              <w:t>6</w:t>
            </w:r>
          </w:p>
        </w:tc>
        <w:tc>
          <w:tcPr>
            <w:tcW w:w="2741" w:type="dxa"/>
          </w:tcPr>
          <w:p w14:paraId="46F8DDBB">
            <w:pPr>
              <w:widowControl w:val="0"/>
              <w:jc w:val="center"/>
            </w:pPr>
            <w:r>
              <w:rPr>
                <w:rFonts w:ascii="Times New Roman" w:hAnsi="Times New Roman"/>
                <w:sz w:val="24"/>
              </w:rPr>
              <w:t>75,0</w:t>
            </w:r>
          </w:p>
        </w:tc>
      </w:tr>
      <w:tr w14:paraId="7B8E4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69DD7FBE">
            <w:pPr>
              <w:widowControl w:val="0"/>
              <w:jc w:val="both"/>
            </w:pPr>
            <w:r>
              <w:rPr>
                <w:rFonts w:ascii="Times New Roman" w:hAnsi="Times New Roman"/>
                <w:sz w:val="24"/>
              </w:rPr>
              <w:t>Внутренние стандарты оформления и хранения документов</w:t>
            </w:r>
          </w:p>
        </w:tc>
        <w:tc>
          <w:tcPr>
            <w:tcW w:w="2496" w:type="dxa"/>
          </w:tcPr>
          <w:p w14:paraId="0335FD8A">
            <w:pPr>
              <w:widowControl w:val="0"/>
              <w:jc w:val="center"/>
            </w:pPr>
            <w:r>
              <w:rPr>
                <w:rFonts w:ascii="Times New Roman" w:hAnsi="Times New Roman"/>
                <w:sz w:val="24"/>
              </w:rPr>
              <w:t>7</w:t>
            </w:r>
          </w:p>
        </w:tc>
        <w:tc>
          <w:tcPr>
            <w:tcW w:w="2741" w:type="dxa"/>
          </w:tcPr>
          <w:p w14:paraId="2146C40A">
            <w:pPr>
              <w:widowControl w:val="0"/>
              <w:jc w:val="center"/>
            </w:pPr>
            <w:r>
              <w:rPr>
                <w:rFonts w:ascii="Times New Roman" w:hAnsi="Times New Roman"/>
                <w:sz w:val="24"/>
              </w:rPr>
              <w:t>87,5</w:t>
            </w:r>
          </w:p>
        </w:tc>
      </w:tr>
    </w:tbl>
    <w:p w14:paraId="3680505C">
      <w:pPr>
        <w:spacing w:after="120" w:line="360" w:lineRule="auto"/>
        <w:ind w:firstLine="700"/>
        <w:jc w:val="both"/>
        <w:rPr>
          <w:rFonts w:hint="default" w:ascii="Times New Roman" w:hAnsi="Times New Roman"/>
          <w:b w:val="0"/>
          <w:i w:val="0"/>
          <w:sz w:val="28"/>
          <w:lang w:val="ru-RU"/>
        </w:rPr>
      </w:pPr>
    </w:p>
    <w:p w14:paraId="53B5E201">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Дополнительно</w:t>
      </w:r>
      <w:r>
        <w:rPr>
          <w:rFonts w:hint="default" w:ascii="Times New Roman" w:hAnsi="Times New Roman"/>
          <w:b w:val="0"/>
          <w:i w:val="0"/>
          <w:sz w:val="28"/>
          <w:lang w:val="ru-RU"/>
        </w:rPr>
        <w:t xml:space="preserve"> сотрудникам было предложено оценить удовлетворённость существующим уровнем обучения по пятибалльной шкале, где 1 означает полную неудовлетворённость, а 5 </w:t>
      </w:r>
      <w:r>
        <w:rPr>
          <w:rFonts w:ascii="Times New Roman" w:hAnsi="Times New Roman"/>
          <w:b w:val="0"/>
          <w:i w:val="0"/>
          <w:sz w:val="28"/>
        </w:rPr>
        <w:t>— полную</w:t>
      </w:r>
      <w:r>
        <w:rPr>
          <w:rFonts w:hint="default" w:ascii="Times New Roman" w:hAnsi="Times New Roman"/>
          <w:b w:val="0"/>
          <w:i w:val="0"/>
          <w:sz w:val="28"/>
          <w:lang w:val="ru-RU"/>
        </w:rPr>
        <w:t xml:space="preserve"> удовлетворённость (см.табл.3.8.). Средняя оценка составила 2.1. балла. Ни один сотрудник не поставил оценку 5, </w:t>
      </w:r>
      <w:r>
        <w:rPr>
          <w:rFonts w:ascii="Times New Roman" w:hAnsi="Times New Roman"/>
          <w:b w:val="0"/>
          <w:i w:val="0"/>
          <w:sz w:val="28"/>
        </w:rPr>
        <w:t>только один сотрудник поставил оценку 4, три сотрудника выбрали оценку 2 и два сотрудника — оценку 1</w:t>
      </w:r>
      <w:r>
        <w:rPr>
          <w:rFonts w:hint="default" w:ascii="Times New Roman" w:hAnsi="Times New Roman"/>
          <w:b w:val="0"/>
          <w:i w:val="0"/>
          <w:sz w:val="28"/>
          <w:lang w:val="ru-RU"/>
        </w:rPr>
        <w:t>. такой результат отражает низкую субъективную удовлетворённость действующей системой подготовки и развития.</w:t>
      </w:r>
    </w:p>
    <w:p w14:paraId="0BB333EB">
      <w:pPr>
        <w:spacing w:after="120" w:line="360" w:lineRule="auto"/>
        <w:ind w:firstLine="700"/>
        <w:jc w:val="both"/>
        <w:rPr>
          <w:rFonts w:hint="default" w:ascii="Times New Roman" w:hAnsi="Times New Roman"/>
          <w:b w:val="0"/>
          <w:i w:val="0"/>
          <w:sz w:val="28"/>
          <w:lang w:val="ru-RU"/>
        </w:rPr>
      </w:pPr>
    </w:p>
    <w:p w14:paraId="7EAB294F">
      <w:pPr>
        <w:spacing w:after="120" w:line="360" w:lineRule="auto"/>
        <w:ind w:firstLine="700"/>
        <w:jc w:val="both"/>
        <w:rPr>
          <w:rFonts w:hint="default" w:ascii="Times New Roman" w:hAnsi="Times New Roman"/>
          <w:b w:val="0"/>
          <w:i w:val="0"/>
          <w:sz w:val="28"/>
          <w:lang w:val="ru-RU"/>
        </w:rPr>
      </w:pPr>
    </w:p>
    <w:p w14:paraId="0D6A92B2">
      <w:pPr>
        <w:spacing w:after="120" w:line="360" w:lineRule="auto"/>
        <w:ind w:firstLine="700"/>
        <w:jc w:val="right"/>
        <w:rPr>
          <w:sz w:val="18"/>
          <w:szCs w:val="18"/>
        </w:rPr>
      </w:pPr>
      <w:r>
        <w:rPr>
          <w:rFonts w:ascii="Times New Roman" w:hAnsi="Times New Roman"/>
          <w:b w:val="0"/>
          <w:i w:val="0"/>
          <w:sz w:val="24"/>
          <w:szCs w:val="18"/>
        </w:rPr>
        <w:t>Таблица 3.8. Оценка удовлетвор</w:t>
      </w:r>
      <w:r>
        <w:rPr>
          <w:rFonts w:ascii="Times New Roman" w:hAnsi="Times New Roman"/>
          <w:b w:val="0"/>
          <w:i w:val="0"/>
          <w:sz w:val="24"/>
          <w:szCs w:val="18"/>
          <w:lang w:val="ru-RU"/>
        </w:rPr>
        <w:t>ё</w:t>
      </w:r>
      <w:r>
        <w:rPr>
          <w:rFonts w:ascii="Times New Roman" w:hAnsi="Times New Roman"/>
          <w:b w:val="0"/>
          <w:i w:val="0"/>
          <w:sz w:val="24"/>
          <w:szCs w:val="18"/>
        </w:rPr>
        <w:t>нности сотрудников действующим порядком обучения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2D5E6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D7ADA23">
            <w:pPr>
              <w:widowControl w:val="0"/>
              <w:jc w:val="both"/>
              <w:rPr>
                <w:b w:val="0"/>
                <w:bCs/>
              </w:rPr>
            </w:pPr>
            <w:r>
              <w:rPr>
                <w:rFonts w:ascii="Times New Roman" w:hAnsi="Times New Roman"/>
                <w:b w:val="0"/>
                <w:bCs/>
                <w:sz w:val="24"/>
              </w:rPr>
              <w:t>Оценка по пятибалльной шкале</w:t>
            </w:r>
          </w:p>
        </w:tc>
        <w:tc>
          <w:tcPr>
            <w:tcW w:w="3118" w:type="dxa"/>
          </w:tcPr>
          <w:p w14:paraId="38AA71DA">
            <w:pPr>
              <w:widowControl w:val="0"/>
              <w:jc w:val="both"/>
              <w:rPr>
                <w:b w:val="0"/>
                <w:bCs/>
              </w:rPr>
            </w:pPr>
            <w:r>
              <w:rPr>
                <w:rFonts w:ascii="Times New Roman" w:hAnsi="Times New Roman"/>
                <w:b w:val="0"/>
                <w:bCs/>
                <w:sz w:val="24"/>
              </w:rPr>
              <w:t>Количество сотрудников</w:t>
            </w:r>
          </w:p>
        </w:tc>
        <w:tc>
          <w:tcPr>
            <w:tcW w:w="3118" w:type="dxa"/>
          </w:tcPr>
          <w:p w14:paraId="23D3B43B">
            <w:pPr>
              <w:widowControl w:val="0"/>
              <w:jc w:val="both"/>
              <w:rPr>
                <w:b w:val="0"/>
                <w:bCs/>
              </w:rPr>
            </w:pPr>
            <w:r>
              <w:rPr>
                <w:rFonts w:ascii="Times New Roman" w:hAnsi="Times New Roman"/>
                <w:b w:val="0"/>
                <w:bCs/>
                <w:sz w:val="24"/>
              </w:rPr>
              <w:t>Доля, %</w:t>
            </w:r>
          </w:p>
        </w:tc>
      </w:tr>
      <w:tr w14:paraId="5A8BB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7EB599C">
            <w:pPr>
              <w:widowControl w:val="0"/>
              <w:jc w:val="both"/>
            </w:pPr>
            <w:r>
              <w:rPr>
                <w:rFonts w:ascii="Times New Roman" w:hAnsi="Times New Roman"/>
                <w:sz w:val="24"/>
              </w:rPr>
              <w:t>1</w:t>
            </w:r>
          </w:p>
        </w:tc>
        <w:tc>
          <w:tcPr>
            <w:tcW w:w="3118" w:type="dxa"/>
          </w:tcPr>
          <w:p w14:paraId="08E55DE2">
            <w:pPr>
              <w:widowControl w:val="0"/>
              <w:jc w:val="both"/>
            </w:pPr>
            <w:r>
              <w:rPr>
                <w:rFonts w:ascii="Times New Roman" w:hAnsi="Times New Roman"/>
                <w:sz w:val="24"/>
              </w:rPr>
              <w:t>2</w:t>
            </w:r>
          </w:p>
        </w:tc>
        <w:tc>
          <w:tcPr>
            <w:tcW w:w="3118" w:type="dxa"/>
          </w:tcPr>
          <w:p w14:paraId="661A71A4">
            <w:pPr>
              <w:widowControl w:val="0"/>
              <w:jc w:val="both"/>
            </w:pPr>
            <w:r>
              <w:rPr>
                <w:rFonts w:ascii="Times New Roman" w:hAnsi="Times New Roman"/>
                <w:sz w:val="24"/>
              </w:rPr>
              <w:t>25,0</w:t>
            </w:r>
          </w:p>
        </w:tc>
      </w:tr>
      <w:tr w14:paraId="17FA0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B1067B5">
            <w:pPr>
              <w:widowControl w:val="0"/>
              <w:jc w:val="both"/>
            </w:pPr>
            <w:r>
              <w:rPr>
                <w:rFonts w:ascii="Times New Roman" w:hAnsi="Times New Roman"/>
                <w:sz w:val="24"/>
              </w:rPr>
              <w:t>2</w:t>
            </w:r>
          </w:p>
        </w:tc>
        <w:tc>
          <w:tcPr>
            <w:tcW w:w="3118" w:type="dxa"/>
          </w:tcPr>
          <w:p w14:paraId="391E6417">
            <w:pPr>
              <w:widowControl w:val="0"/>
              <w:jc w:val="both"/>
            </w:pPr>
            <w:r>
              <w:rPr>
                <w:rFonts w:ascii="Times New Roman" w:hAnsi="Times New Roman"/>
                <w:sz w:val="24"/>
              </w:rPr>
              <w:t>3</w:t>
            </w:r>
          </w:p>
        </w:tc>
        <w:tc>
          <w:tcPr>
            <w:tcW w:w="3118" w:type="dxa"/>
          </w:tcPr>
          <w:p w14:paraId="036F554C">
            <w:pPr>
              <w:widowControl w:val="0"/>
              <w:jc w:val="both"/>
            </w:pPr>
            <w:r>
              <w:rPr>
                <w:rFonts w:ascii="Times New Roman" w:hAnsi="Times New Roman"/>
                <w:sz w:val="24"/>
              </w:rPr>
              <w:t>37,5</w:t>
            </w:r>
          </w:p>
        </w:tc>
      </w:tr>
      <w:tr w14:paraId="35ED5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E4936EE">
            <w:pPr>
              <w:widowControl w:val="0"/>
              <w:jc w:val="both"/>
            </w:pPr>
            <w:r>
              <w:rPr>
                <w:rFonts w:ascii="Times New Roman" w:hAnsi="Times New Roman"/>
                <w:sz w:val="24"/>
              </w:rPr>
              <w:t>3</w:t>
            </w:r>
          </w:p>
        </w:tc>
        <w:tc>
          <w:tcPr>
            <w:tcW w:w="3118" w:type="dxa"/>
          </w:tcPr>
          <w:p w14:paraId="29D6C9D8">
            <w:pPr>
              <w:widowControl w:val="0"/>
              <w:jc w:val="both"/>
            </w:pPr>
            <w:r>
              <w:rPr>
                <w:rFonts w:ascii="Times New Roman" w:hAnsi="Times New Roman"/>
                <w:sz w:val="24"/>
              </w:rPr>
              <w:t>2</w:t>
            </w:r>
          </w:p>
        </w:tc>
        <w:tc>
          <w:tcPr>
            <w:tcW w:w="3118" w:type="dxa"/>
          </w:tcPr>
          <w:p w14:paraId="2DE5A7E9">
            <w:pPr>
              <w:widowControl w:val="0"/>
              <w:jc w:val="both"/>
            </w:pPr>
            <w:r>
              <w:rPr>
                <w:rFonts w:ascii="Times New Roman" w:hAnsi="Times New Roman"/>
                <w:sz w:val="24"/>
              </w:rPr>
              <w:t>25,0</w:t>
            </w:r>
          </w:p>
        </w:tc>
      </w:tr>
      <w:tr w14:paraId="153F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18F19B6">
            <w:pPr>
              <w:widowControl w:val="0"/>
              <w:jc w:val="both"/>
            </w:pPr>
            <w:r>
              <w:rPr>
                <w:rFonts w:ascii="Times New Roman" w:hAnsi="Times New Roman"/>
                <w:sz w:val="24"/>
              </w:rPr>
              <w:t>4</w:t>
            </w:r>
          </w:p>
        </w:tc>
        <w:tc>
          <w:tcPr>
            <w:tcW w:w="3118" w:type="dxa"/>
          </w:tcPr>
          <w:p w14:paraId="14486703">
            <w:pPr>
              <w:widowControl w:val="0"/>
              <w:jc w:val="both"/>
            </w:pPr>
            <w:r>
              <w:rPr>
                <w:rFonts w:ascii="Times New Roman" w:hAnsi="Times New Roman"/>
                <w:sz w:val="24"/>
              </w:rPr>
              <w:t>1</w:t>
            </w:r>
          </w:p>
        </w:tc>
        <w:tc>
          <w:tcPr>
            <w:tcW w:w="3118" w:type="dxa"/>
          </w:tcPr>
          <w:p w14:paraId="393D4A7D">
            <w:pPr>
              <w:widowControl w:val="0"/>
              <w:jc w:val="both"/>
            </w:pPr>
            <w:r>
              <w:rPr>
                <w:rFonts w:ascii="Times New Roman" w:hAnsi="Times New Roman"/>
                <w:sz w:val="24"/>
              </w:rPr>
              <w:t>12,5</w:t>
            </w:r>
          </w:p>
        </w:tc>
      </w:tr>
      <w:tr w14:paraId="139C4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76C16C">
            <w:pPr>
              <w:widowControl w:val="0"/>
              <w:jc w:val="both"/>
            </w:pPr>
            <w:r>
              <w:rPr>
                <w:rFonts w:ascii="Times New Roman" w:hAnsi="Times New Roman"/>
                <w:sz w:val="24"/>
              </w:rPr>
              <w:t>5</w:t>
            </w:r>
          </w:p>
        </w:tc>
        <w:tc>
          <w:tcPr>
            <w:tcW w:w="3118" w:type="dxa"/>
          </w:tcPr>
          <w:p w14:paraId="77FE4655">
            <w:pPr>
              <w:widowControl w:val="0"/>
              <w:jc w:val="both"/>
            </w:pPr>
            <w:r>
              <w:rPr>
                <w:rFonts w:ascii="Times New Roman" w:hAnsi="Times New Roman"/>
                <w:sz w:val="24"/>
              </w:rPr>
              <w:t>0</w:t>
            </w:r>
          </w:p>
        </w:tc>
        <w:tc>
          <w:tcPr>
            <w:tcW w:w="3118" w:type="dxa"/>
          </w:tcPr>
          <w:p w14:paraId="2FD584DE">
            <w:pPr>
              <w:widowControl w:val="0"/>
              <w:jc w:val="both"/>
            </w:pPr>
            <w:r>
              <w:rPr>
                <w:rFonts w:ascii="Times New Roman" w:hAnsi="Times New Roman"/>
                <w:sz w:val="24"/>
              </w:rPr>
              <w:t>0,0</w:t>
            </w:r>
          </w:p>
        </w:tc>
      </w:tr>
      <w:tr w14:paraId="1B2B6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C58CA3C">
            <w:pPr>
              <w:widowControl w:val="0"/>
              <w:jc w:val="both"/>
            </w:pPr>
            <w:r>
              <w:rPr>
                <w:rFonts w:ascii="Times New Roman" w:hAnsi="Times New Roman"/>
                <w:sz w:val="24"/>
              </w:rPr>
              <w:t>Средняя оценка</w:t>
            </w:r>
          </w:p>
        </w:tc>
        <w:tc>
          <w:tcPr>
            <w:tcW w:w="3118" w:type="dxa"/>
          </w:tcPr>
          <w:p w14:paraId="4EB6C9DB">
            <w:pPr>
              <w:widowControl w:val="0"/>
              <w:jc w:val="both"/>
            </w:pPr>
            <w:r>
              <w:rPr>
                <w:rFonts w:ascii="Times New Roman" w:hAnsi="Times New Roman"/>
                <w:sz w:val="24"/>
              </w:rPr>
              <w:t>2,1</w:t>
            </w:r>
          </w:p>
        </w:tc>
        <w:tc>
          <w:tcPr>
            <w:tcW w:w="3118" w:type="dxa"/>
          </w:tcPr>
          <w:p w14:paraId="2E4CBDC4">
            <w:pPr>
              <w:widowControl w:val="0"/>
              <w:jc w:val="both"/>
            </w:pPr>
            <w:r>
              <w:rPr>
                <w:rFonts w:ascii="Times New Roman" w:hAnsi="Times New Roman"/>
                <w:sz w:val="24"/>
              </w:rPr>
              <w:t>-</w:t>
            </w:r>
          </w:p>
        </w:tc>
      </w:tr>
    </w:tbl>
    <w:p w14:paraId="1DD28AE1">
      <w:pPr>
        <w:spacing w:after="120" w:line="360" w:lineRule="auto"/>
        <w:jc w:val="both"/>
      </w:pPr>
    </w:p>
    <w:p w14:paraId="3F4D62F4">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Итоги</w:t>
      </w:r>
      <w:r>
        <w:rPr>
          <w:rFonts w:hint="default" w:ascii="Times New Roman" w:hAnsi="Times New Roman"/>
          <w:b w:val="0"/>
          <w:i w:val="0"/>
          <w:sz w:val="28"/>
          <w:lang w:val="ru-RU"/>
        </w:rPr>
        <w:t xml:space="preserve"> опроса показываю, что сотрудники тендерного отдела не воспринимают действующий порядок как нормальный и достаточный. Важно, что эти оценки совпадают с объективными показателями деятельности отдела: доля отклонённых заявок остаётся устойчивой, а причины отклонений связаны с теми же зонами, которые сотрудники отмечают проблемными.</w:t>
      </w:r>
    </w:p>
    <w:p w14:paraId="0C5F1FE7">
      <w:pPr>
        <w:spacing w:after="120" w:line="360" w:lineRule="auto"/>
        <w:ind w:firstLine="700"/>
        <w:jc w:val="both"/>
      </w:pPr>
      <w:r>
        <w:rPr>
          <w:rFonts w:hint="default" w:ascii="Times New Roman" w:hAnsi="Times New Roman"/>
          <w:b w:val="0"/>
          <w:i w:val="0"/>
          <w:sz w:val="28"/>
          <w:lang w:val="ru-RU"/>
        </w:rPr>
        <w:t xml:space="preserve">Итак, опрос сотрудников подтвердил отсутствие целостной системы обучения и развития в ООО «Лайф Медиа». </w:t>
      </w:r>
      <w:r>
        <w:rPr>
          <w:rFonts w:ascii="Times New Roman" w:hAnsi="Times New Roman"/>
          <w:b w:val="0"/>
          <w:i w:val="0"/>
          <w:sz w:val="28"/>
        </w:rPr>
        <w:t xml:space="preserve"> Работники получают знания преимущественно самостоятельно или через коллег, не проходят единый адаптационный маршрут, не имеют устойчивого доступа к актуальной базе материалов и не участвуют в регулярной проверке знаний. Наиболее выраженные потребности сотрудников связаны с изменениями законодательства, типовыми ошибками, актуальными шаблонами, проверкой комплекта документов и особенностями электронных площадок. Следовательно, внутренняя оценка сотрудников совпадает с результатами анализа тендерных показателей и указывает на системный характер проблемы.</w:t>
      </w:r>
    </w:p>
    <w:p w14:paraId="2AC569CE">
      <w:pPr>
        <w:spacing w:after="120" w:line="360" w:lineRule="auto"/>
        <w:ind w:firstLine="700"/>
        <w:jc w:val="both"/>
        <w:rPr>
          <w:rFonts w:hint="default" w:ascii="Times New Roman" w:hAnsi="Times New Roman"/>
          <w:b w:val="0"/>
          <w:i w:val="0"/>
          <w:sz w:val="28"/>
          <w:lang w:val="ru-RU"/>
        </w:rPr>
      </w:pPr>
    </w:p>
    <w:p w14:paraId="58003C0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4C751561">
      <w:r>
        <w:br w:type="page"/>
      </w:r>
    </w:p>
    <w:p w14:paraId="436249D8">
      <w:pPr>
        <w:keepNext w:val="0"/>
        <w:keepLines w:val="0"/>
        <w:pageBreakBefore w:val="0"/>
        <w:numPr>
          <w:ilvl w:val="0"/>
          <w:numId w:val="0"/>
        </w:numPr>
        <w:kinsoku/>
        <w:wordWrap/>
        <w:overflowPunct/>
        <w:topLinePunct w:val="0"/>
        <w:autoSpaceDE/>
        <w:autoSpaceDN/>
        <w:bidi w:val="0"/>
        <w:adjustRightInd/>
        <w:snapToGrid/>
        <w:spacing w:line="360" w:lineRule="auto"/>
        <w:ind w:firstLine="351" w:firstLineChars="125"/>
        <w:jc w:val="both"/>
        <w:textAlignment w:val="auto"/>
        <w:rPr>
          <w:rFonts w:hint="default" w:ascii="Times New Roman" w:hAnsi="Times New Roman"/>
          <w:b/>
          <w:bCs/>
          <w:sz w:val="28"/>
          <w:szCs w:val="28"/>
          <w:vertAlign w:val="baseline"/>
          <w:lang w:val="ru-RU"/>
        </w:rPr>
      </w:pPr>
      <w:r>
        <w:rPr>
          <w:rFonts w:hint="default" w:ascii="Times New Roman" w:hAnsi="Times New Roman"/>
          <w:b/>
          <w:bCs/>
          <w:sz w:val="28"/>
          <w:szCs w:val="28"/>
          <w:vertAlign w:val="baseline"/>
          <w:lang w:val="ru-RU"/>
        </w:rPr>
        <w:t>Выводы по второй главе</w:t>
      </w:r>
    </w:p>
    <w:p>
      <w:pPr>
        <w:spacing w:line="360" w:lineRule="auto" w:after="120"/>
        <w:ind w:firstLine="700"/>
      </w:pPr>
      <w:r>
        <w:rPr>
          <w:rFonts w:ascii="Times New Roman" w:hAnsi="Times New Roman"/>
          <w:sz w:val="28"/>
        </w:rPr>
        <w:t>Во второй главе был проведен анализ системы обучения и развития тендерных специалистов ООО «Лайф Медиа» с учетом организационно-экономических особенностей предприятия, структуры персонала, результатов закупочной деятельности и мнения сотрудников тендерного отдела. Анализ показал, что компания относится к малому бизнесу, работает преимущественно в удаленном формате и получает основную часть выручки за счет участия в государственных и корпоративных закупках. Следовательно, качество работы тендерного отдела является одним из ключевых факторов финансовой устойчивости предприятия.</w:t>
      </w:r>
    </w:p>
    <w:p>
      <w:pPr>
        <w:spacing w:line="360" w:lineRule="auto" w:after="120"/>
        <w:ind w:firstLine="700"/>
      </w:pPr>
      <w:r>
        <w:rPr>
          <w:rFonts w:ascii="Times New Roman" w:hAnsi="Times New Roman"/>
          <w:sz w:val="28"/>
        </w:rPr>
        <w:t>Изучение организационной структуры показало, что тендерный отдел является центральным подразделением компании: в нем занято 8 специалистов из 17 сотрудников. При этом система управления персоналом носит распределенный характер: отдельной HR-службы нет, кадровые функции выполняют генеральный директор, руководитель тендерного отдела и бухгалтерия. Такая модель соответствует масштабу предприятия, однако ограничивает возможности системной адаптации, обучения и развития персонала. Особенно значимым является то, что 62,5% специалистов тендерного отдела работают в компании менее одного года, а опыт более двух лет имеют только 25% сотрудников. Это указывает на недостаток устойчивого профессионального ядра и повышает зависимость качества работы от передачи опыта внутри отдела.</w:t>
      </w:r>
    </w:p>
    <w:p>
      <w:pPr>
        <w:spacing w:line="360" w:lineRule="auto" w:after="120"/>
        <w:ind w:firstLine="700"/>
      </w:pPr>
      <w:r>
        <w:rPr>
          <w:rFonts w:ascii="Times New Roman" w:hAnsi="Times New Roman"/>
          <w:sz w:val="28"/>
        </w:rPr>
        <w:t>Анализ движения кадров выявил высокий уровень текучести: в 2024-2025 гг. коэффициент текучести в тендерном отделе составил 37,5%. При такой динамике компания вынуждена регулярно принимать новых сотрудников, но при этом не имеет формализованной программы адаптации. В результате новые работники осваивают обязанности через устные пояснения, самостоятельный поиск информации и помощь коллег. Такой подход позволяет решать текущие задачи, но не обеспечивает единых стандартов подготовки заявок и не снижает риск повторения ошибок.</w:t>
      </w:r>
    </w:p>
    <w:p>
      <w:pPr>
        <w:spacing w:line="360" w:lineRule="auto" w:after="120"/>
        <w:ind w:firstLine="700"/>
      </w:pPr>
      <w:r>
        <w:rPr>
          <w:rFonts w:ascii="Times New Roman" w:hAnsi="Times New Roman"/>
          <w:sz w:val="28"/>
        </w:rPr>
        <w:t>Отдельное внимание было уделено мотивации и затратам на персонал. Установлено, что тендерные специалисты имеют наиболее высокий уровень выплат среди подразделений, а общие затраты на персонал составляют значительную долю выручки компании. Однако расходы на обучение остаются минимальными и составляют только 45 тыс. руб. в год. Эти средства используются эпизодически, главным образом на отдельные вебинары и записи по изменениям законодательства, поэтому не формируют полноценную систему развития компетенций. При этом действующая мотивация ориентирована преимущественно на результат, но не связывает премирование с обучением, наставничеством, обновлением базы знаний и качеством подготовки документов.</w:t>
      </w:r>
    </w:p>
    <w:p>
      <w:pPr>
        <w:spacing w:line="360" w:lineRule="auto" w:after="120"/>
        <w:ind w:firstLine="700"/>
      </w:pPr>
      <w:r>
        <w:rPr>
          <w:rFonts w:ascii="Times New Roman" w:hAnsi="Times New Roman"/>
          <w:sz w:val="28"/>
        </w:rPr>
        <w:t>Оценка эффективности текущей системы обучения показала, что в ООО «Лайф Медиа» отсутствуют ключевые элементы управляемого образовательного процесса: программа адаптации, единая база актуальных шаблонов и инструкций, регулярная проверка знаний, системный разбор ошибок, формализованное наставничество и оценка влияния обучения на результаты закупочной деятельности. Это подтверждается не только анализом документов, но и результатами опроса сотрудников. Все 8 специалистов указали на отсутствие утвержденной программы обучения, большинство отметили разрозненность материалов, неуверенность в актуальности шаблонов и нехватку разбора реальных ошибок отдела.</w:t>
      </w:r>
    </w:p>
    <w:p>
      <w:pPr>
        <w:spacing w:line="360" w:lineRule="auto" w:after="120"/>
        <w:ind w:firstLine="700"/>
      </w:pPr>
      <w:r>
        <w:rPr>
          <w:rFonts w:ascii="Times New Roman" w:hAnsi="Times New Roman"/>
          <w:sz w:val="28"/>
        </w:rPr>
        <w:t>Показатели тендерной деятельности также подтверждают наличие проблемы. За 2023-2025 гг. доля отклоненных заявок на этапе допуска сохраняется на уровне около 15%, а всего выявлено 77 случаев отклонений. Наиболее распространенными причинами стали технические ошибки при работе с ЭТП, ошибки, связанные с требованиями законодательства и документации, расчетные неточности и организационные нарушения при подготовке заявки. Значительная часть этих ошибок относится к предотвратимым, то есть может быть снижена за счет обучения, стандартизации процедур, актуализации шаблонов и введения контрольных чек-листов.</w:t>
      </w:r>
    </w:p>
    <w:p>
      <w:pPr>
        <w:spacing w:line="360" w:lineRule="auto" w:after="120"/>
        <w:ind w:firstLine="700"/>
      </w:pPr>
      <w:r>
        <w:rPr>
          <w:rFonts w:ascii="Times New Roman" w:hAnsi="Times New Roman"/>
          <w:sz w:val="28"/>
        </w:rPr>
        <w:t>Таким образом, по итогам второй главы можно сделать вывод, что проблема ООО «Лайф Медиа» заключается не в отсутствии отдельных обучающих действий, а в отсутствии целостной системы обучения и развития тендерных специалистов. Обучение в компании носит фрагментарный, реактивный и преимущественно неформальный характер. Оно не встроено в систему управления персоналом, не связано с мотивацией и не подкреплено регулярной оценкой результатов. Именно поэтому в третьей главе необходимо разработать комплекс практических мероприятий, направленных на создание единой системы обучения, снижение количества формальных ошибок, повышение качества подготовки заявок и рост эффективности участия компании в тендерах.</w:t>
      </w:r>
    </w:p>
    <w:p>
      <w:pPr>
        <w:spacing w:line="360" w:lineRule="auto" w:after="120"/>
        <w:jc w:val="center"/>
      </w:pPr>
      <w:r>
        <w:rPr>
          <w:rFonts w:ascii="Times New Roman" w:hAnsi="Times New Roman"/>
          <w:b/>
          <w:sz w:val="28"/>
        </w:rPr>
        <w:t>ГЛАВА 3. СОВЕРШЕНСТВОВАНИЕ СИСТЕМЫ ОБУЧЕНИЯ И РАЗВИТИЯ ТЕНДЕРНЫХ СПЕЦИАЛИСТОВ ООО «ЛАЙФ МЕДИА»</w:t>
      </w:r>
    </w:p>
    <w:p>
      <w:pPr>
        <w:spacing w:line="360" w:lineRule="auto" w:after="120"/>
        <w:jc w:val="center"/>
      </w:pPr>
      <w:r>
        <w:rPr>
          <w:rFonts w:ascii="Times New Roman" w:hAnsi="Times New Roman"/>
          <w:b/>
          <w:sz w:val="28"/>
        </w:rPr>
        <w:t>3.1. Общие рекомендации по развитию системы обучения и развития тендерных специалистов на основе отечественного и зарубежного опыта</w:t>
      </w:r>
    </w:p>
    <w:p>
      <w:pPr>
        <w:spacing w:line="360" w:lineRule="auto" w:after="120"/>
        <w:ind w:firstLine="700"/>
      </w:pPr>
      <w:r>
        <w:rPr>
          <w:rFonts w:ascii="Times New Roman" w:hAnsi="Times New Roman"/>
          <w:b w:val="0"/>
          <w:sz w:val="28"/>
        </w:rPr>
        <w:t>Результаты второй главы показали, что ключевая проблема ООО «Лайф Медиа» заключается не в полном отсутствии отдельных обучающих действий, а в отсутствии целостной управляемой системы обучения и развития тендерных специалистов. В компании имеются отдельные вебинары, устные пояснения руководителя, обмен опытом между сотрудниками и самостоятельный поиск информации, однако эти элементы не связаны между собой единым циклом. В результате обучение не имеет четких целей, сроков, ответственных лиц, критериев проверки знаний и связи с показателями закупочной деятельности.</w:t>
      </w:r>
    </w:p>
    <w:p>
      <w:pPr>
        <w:spacing w:line="360" w:lineRule="auto" w:after="120"/>
        <w:ind w:firstLine="700"/>
      </w:pPr>
      <w:r>
        <w:rPr>
          <w:rFonts w:ascii="Times New Roman" w:hAnsi="Times New Roman"/>
          <w:b w:val="0"/>
          <w:sz w:val="28"/>
        </w:rPr>
        <w:t>Логическая цепочка выявленной проблемы выглядит следующим образом: тендерный отдел обеспечивает основную долю выручки предприятия, но в нем сохраняется высокая текучесть кадров и значительная доля сотрудников со стажем менее одного года; при этом отсутствуют единая адаптационная программа, актуальная база шаблонов, регулярная проверка знаний и формализованный разбор ошибок. Следствием становится повторяемость однотипных нарушений при подготовке заявок. По данным второй главы, доля заявок, отклоненных на этапе допуска, держится на уровне 14,6-15,8%, а за 2023-2025 гг. выявлено 77 случаев отклонений, значительная часть которых относится к предотвратимым ошибкам.</w:t>
      </w:r>
    </w:p>
    <w:p>
      <w:pPr>
        <w:spacing w:line="360" w:lineRule="auto" w:after="120"/>
        <w:ind w:firstLine="700"/>
      </w:pPr>
      <w:r>
        <w:rPr>
          <w:rFonts w:ascii="Times New Roman" w:hAnsi="Times New Roman"/>
          <w:b w:val="0"/>
          <w:sz w:val="28"/>
        </w:rPr>
        <w:t>Следовательно, цель третьей главы состоит в разработке такой системы обучения, которая не будет существовать отдельно от работы тендерного отдела, а станет частью ежедневного процесса подготовки заявок. Рекомендации должны быть практически применимыми для малого предприятия, работающего в удаленном формате, не требовать создания отдельной HR-службы и опираться на уже имеющуюся цифровую инфраструктуру: Битрикс24, облачное хранилище, электронный документооборот и удаленные коммуникации.</w:t>
      </w:r>
    </w:p>
    <w:p>
      <w:pPr>
        <w:spacing w:line="360" w:lineRule="auto" w:after="120"/>
        <w:ind w:firstLine="700"/>
      </w:pPr>
      <w:r>
        <w:rPr>
          <w:rFonts w:ascii="Times New Roman" w:hAnsi="Times New Roman"/>
          <w:b w:val="0"/>
          <w:sz w:val="28"/>
        </w:rPr>
        <w:t>В качестве методической основы предлагается использовать сочетание отечественного и зарубежного опыта. Отечественный опыт в сфере подготовки закупочных специалистов показывает значимость обучения по 44-ФЗ и 223-ФЗ, регулярного обновления знаний, практических кейсов и работы с электронными торговыми площадками. Зарубежный опыт корпоративного обучения, отраженный в моделях Киркпатрика и Филлипса, показывает необходимость оценивать обучение не только по факту прохождения курса, но и по изменению поведения сотрудников и влиянию на бизнес-показатели.</w:t>
      </w:r>
    </w:p>
    <w:p>
      <w:pPr>
        <w:spacing w:line="360" w:lineRule="auto" w:after="120"/>
        <w:ind w:firstLine="700"/>
      </w:pPr>
      <w:r>
        <w:rPr>
          <w:rFonts w:ascii="Times New Roman" w:hAnsi="Times New Roman"/>
          <w:b w:val="0"/>
          <w:sz w:val="28"/>
        </w:rPr>
        <w:t>Для ООО «Лайф Медиа» целесообразно применять не дорогостоящую корпоративную академию в классическом понимании, а компактную внутреннюю систему «Тендерная академия Лайф Медиа». Под ней понимается совокупность регламентов, цифровой базы знаний, программы адаптации, внешнего повышения квалификации, наставничества, контрольных чек-листов и системы оценки эффективности. Такая модель соответствует масштабу компании, поскольку тендерный отдел состоит из 8 специалистов, а управленческие функции уже распределены между генеральным директором, руководителем тендерного отдела, бухгалтерией и юристом на аутсорсинге.</w:t>
      </w:r>
    </w:p>
    <w:p>
      <w:pPr>
        <w:spacing w:line="360" w:lineRule="auto" w:after="120"/>
        <w:ind w:firstLine="700"/>
      </w:pPr>
      <w:r>
        <w:rPr>
          <w:rFonts w:ascii="Times New Roman" w:hAnsi="Times New Roman"/>
          <w:b w:val="0"/>
          <w:sz w:val="28"/>
        </w:rPr>
        <w:t>Первое направление рекомендаций — формирование единой базы знаний тендерного отдела. Она должна включать актуальные шаблоны деклараций, инструкции по работе с ЭТП, образцы успешных заявок, перечень типовых ошибок, чек-листы проверки документов, ссылки на нормативные изменения и краткие памятки по 44-ФЗ и 223-ФЗ. База знаний должна размещаться в уже используемой цифровой среде, чтобы сотрудникам не приходилось искать материалы в переписках, личных папках или старых задачах.</w:t>
      </w:r>
    </w:p>
    <w:p>
      <w:pPr>
        <w:spacing w:line="360" w:lineRule="auto" w:after="120"/>
        <w:ind w:firstLine="700"/>
      </w:pPr>
      <w:r>
        <w:rPr>
          <w:rFonts w:ascii="Times New Roman" w:hAnsi="Times New Roman"/>
          <w:b w:val="0"/>
          <w:sz w:val="28"/>
        </w:rPr>
        <w:t>Второе направление — введение обязательной адаптационной траектории для новых тендерных специалистов. Сейчас новый сотрудник осваивает работу ситуативно. Предлагается закрепить двухнедельный адаптационный маршрут: изучение структуры компании, ознакомление с основными видами закупок, обучение работе с ЕИС и ЭТП, изучение шаблонов документов, выполнение учебного кейса и итоговая проверка руководителем отдела. Такой маршрут позволит снизить зависимость качества адаптации от занятости коллег и личной инициативы наставника.</w:t>
      </w:r>
    </w:p>
    <w:p>
      <w:pPr>
        <w:spacing w:line="360" w:lineRule="auto" w:after="120"/>
        <w:ind w:firstLine="700"/>
      </w:pPr>
      <w:r>
        <w:rPr>
          <w:rFonts w:ascii="Times New Roman" w:hAnsi="Times New Roman"/>
          <w:b w:val="0"/>
          <w:sz w:val="28"/>
        </w:rPr>
        <w:t>Третье направление — регулярное внешнее обучение по 44-ФЗ и 223-ФЗ. Поскольку законодательство о закупках постоянно обновляется, полагаться только на самостоятельное изучение изменений недостаточно. Для всех 8 специалистов необходимо организовать повышение квалификации по двум блокам: закупки по 44-ФЗ и закупки по 223-ФЗ. Для руководителя отдела и двух наиболее опытных сотрудников дополнительно следует закрепить роль внутренних экспертов, которые после прохождения обучения будут проводить краткие внутренние разборы изменений для остальных сотрудников.</w:t>
      </w:r>
    </w:p>
    <w:p>
      <w:pPr>
        <w:spacing w:line="360" w:lineRule="auto" w:after="120"/>
        <w:ind w:firstLine="700"/>
      </w:pPr>
      <w:r>
        <w:rPr>
          <w:rFonts w:ascii="Times New Roman" w:hAnsi="Times New Roman"/>
          <w:b w:val="0"/>
          <w:sz w:val="28"/>
        </w:rPr>
        <w:t>Четвертое направление — внедрение контрольного алгоритма подготовки заявки. На практике отклонение заявки часто возникает из-за отсутствия финальной проверки: не тот формат файла, не полный комплект документов, устаревшая форма, ошибка в подписи или расчетах. Поэтому перед каждой отправкой заявки должен использоваться единый чек-лист, который фиксируется в задаче Битрикс24. Чек-лист не должен быть формальностью: без отметки о проверке комплектности, актуальности формы, подписи и расчетов заявка не должна отправляться.</w:t>
      </w:r>
    </w:p>
    <w:p>
      <w:pPr>
        <w:spacing w:line="360" w:lineRule="auto" w:after="120"/>
        <w:ind w:firstLine="700"/>
      </w:pPr>
      <w:r>
        <w:rPr>
          <w:rFonts w:ascii="Times New Roman" w:hAnsi="Times New Roman"/>
          <w:b w:val="0"/>
          <w:sz w:val="28"/>
        </w:rPr>
        <w:t>Пятое направление — ежемесячный разбор ошибок. В компании уже есть фактические ошибки, но они обсуждаются устно и не превращаются в общий опыт. Предлагается ввести короткое ежемесячное онлайн-совещание длительностью 45-60 минут, на котором руководитель отдела разбирает все отклонения, замечания заказчиков, спорные ситуации и удачные решения. По итогам совещания в базе знаний должна появляться запись: причина ошибки, способ предотвращения, ответственный за обновление шаблона или чек-листа.</w:t>
      </w:r>
    </w:p>
    <w:p>
      <w:pPr>
        <w:spacing w:line="360" w:lineRule="auto" w:after="120"/>
        <w:ind w:firstLine="700"/>
      </w:pPr>
      <w:r>
        <w:rPr>
          <w:rFonts w:ascii="Times New Roman" w:hAnsi="Times New Roman"/>
          <w:b w:val="0"/>
          <w:sz w:val="28"/>
        </w:rPr>
        <w:t>Шестое направление — связать обучение с мотивацией. Во второй главе было установлено, что материальная мотивация существует, но развитие компетенций не закреплено как ценность. Поэтому в KPI тендерного специалиста следует включить не только количество поданных заявок и побед, но и качество подготовки: отсутствие отклонений по формальным причинам, своевременное прохождение тестирования, участие в разборе ошибок и поддержание актуальности рабочих материалов. Это позволит сделать обучение частью результата, а не дополнительной нагрузкой.</w:t>
      </w:r>
    </w:p>
    <w:p>
      <w:pPr>
        <w:spacing w:line="360" w:lineRule="auto" w:after="120"/>
        <w:jc w:val="center"/>
      </w:pPr>
      <w:r>
        <w:rPr>
          <w:rFonts w:ascii="Times New Roman" w:hAnsi="Times New Roman"/>
          <w:b w:val="0"/>
          <w:sz w:val="28"/>
        </w:rPr>
        <w:t>Таблица 3.1. Связь проблем, выявленных во второй главе, с предлагаемыми направлениями совершенствования</w:t>
      </w:r>
    </w:p>
    <w:tbl>
      <w:tblPr>
        <w:tblStyle w:val="6"/>
        <w:tblW w:type="auto" w:w="0"/>
        <w:tblLook w:firstColumn="1" w:firstRow="1" w:lastColumn="0" w:lastRow="0" w:noHBand="0" w:noVBand="1" w:val="04A0"/>
      </w:tblPr>
      <w:tblGrid>
        <w:gridCol w:w="2300"/>
        <w:gridCol w:w="2300"/>
        <w:gridCol w:w="2300"/>
        <w:gridCol w:w="2300"/>
      </w:tblGrid>
      <w:tr>
        <w:tc>
          <w:tcPr>
            <w:tcW w:type="dxa" w:w="2300"/>
          </w:tcPr>
          <w:p>
            <w:r>
              <w:rPr>
                <w:rFonts w:ascii="Times New Roman" w:hAnsi="Times New Roman"/>
                <w:b/>
                <w:sz w:val="22"/>
              </w:rPr>
              <w:t>Проблема по итогам анализа</w:t>
            </w:r>
          </w:p>
        </w:tc>
        <w:tc>
          <w:tcPr>
            <w:tcW w:type="dxa" w:w="2300"/>
          </w:tcPr>
          <w:p>
            <w:r>
              <w:rPr>
                <w:rFonts w:ascii="Times New Roman" w:hAnsi="Times New Roman"/>
                <w:b/>
                <w:sz w:val="22"/>
              </w:rPr>
              <w:t>Проявление в работе</w:t>
            </w:r>
          </w:p>
        </w:tc>
        <w:tc>
          <w:tcPr>
            <w:tcW w:type="dxa" w:w="2300"/>
          </w:tcPr>
          <w:p>
            <w:r>
              <w:rPr>
                <w:rFonts w:ascii="Times New Roman" w:hAnsi="Times New Roman"/>
                <w:b/>
                <w:sz w:val="22"/>
              </w:rPr>
              <w:t>Предлагаемое решение</w:t>
            </w:r>
          </w:p>
        </w:tc>
        <w:tc>
          <w:tcPr>
            <w:tcW w:type="dxa" w:w="2300"/>
          </w:tcPr>
          <w:p>
            <w:r>
              <w:rPr>
                <w:rFonts w:ascii="Times New Roman" w:hAnsi="Times New Roman"/>
                <w:b/>
                <w:sz w:val="22"/>
              </w:rPr>
              <w:t>Ожидаемый результат</w:t>
            </w:r>
          </w:p>
        </w:tc>
      </w:tr>
      <w:tr>
        <w:tc>
          <w:tcPr>
            <w:tcW w:type="dxa" w:w="2300"/>
          </w:tcPr>
          <w:p>
            <w:r>
              <w:rPr>
                <w:rFonts w:ascii="Times New Roman" w:hAnsi="Times New Roman"/>
                <w:b w:val="0"/>
                <w:sz w:val="22"/>
              </w:rPr>
              <w:t>Отсутствие программы адаптации</w:t>
            </w:r>
          </w:p>
        </w:tc>
        <w:tc>
          <w:tcPr>
            <w:tcW w:type="dxa" w:w="2300"/>
          </w:tcPr>
          <w:p>
            <w:r>
              <w:rPr>
                <w:rFonts w:ascii="Times New Roman" w:hAnsi="Times New Roman"/>
                <w:b w:val="0"/>
                <w:sz w:val="22"/>
              </w:rPr>
              <w:t>Новички осваивают работу через устные пояснения</w:t>
            </w:r>
          </w:p>
        </w:tc>
        <w:tc>
          <w:tcPr>
            <w:tcW w:type="dxa" w:w="2300"/>
          </w:tcPr>
          <w:p>
            <w:r>
              <w:rPr>
                <w:rFonts w:ascii="Times New Roman" w:hAnsi="Times New Roman"/>
                <w:b w:val="0"/>
                <w:sz w:val="22"/>
              </w:rPr>
              <w:t>Двухнедельный адаптационный маршрут и наставник</w:t>
            </w:r>
          </w:p>
        </w:tc>
        <w:tc>
          <w:tcPr>
            <w:tcW w:type="dxa" w:w="2300"/>
          </w:tcPr>
          <w:p>
            <w:r>
              <w:rPr>
                <w:rFonts w:ascii="Times New Roman" w:hAnsi="Times New Roman"/>
                <w:b w:val="0"/>
                <w:sz w:val="22"/>
              </w:rPr>
              <w:t>Сокращение ошибок новых сотрудников</w:t>
            </w:r>
          </w:p>
        </w:tc>
      </w:tr>
      <w:tr>
        <w:tc>
          <w:tcPr>
            <w:tcW w:type="dxa" w:w="2300"/>
          </w:tcPr>
          <w:p>
            <w:r>
              <w:rPr>
                <w:rFonts w:ascii="Times New Roman" w:hAnsi="Times New Roman"/>
                <w:b w:val="0"/>
                <w:sz w:val="22"/>
              </w:rPr>
              <w:t>Разрозненные шаблоны и инструкции</w:t>
            </w:r>
          </w:p>
        </w:tc>
        <w:tc>
          <w:tcPr>
            <w:tcW w:type="dxa" w:w="2300"/>
          </w:tcPr>
          <w:p>
            <w:r>
              <w:rPr>
                <w:rFonts w:ascii="Times New Roman" w:hAnsi="Times New Roman"/>
                <w:b w:val="0"/>
                <w:sz w:val="22"/>
              </w:rPr>
              <w:t>Использование устаревших форм</w:t>
            </w:r>
          </w:p>
        </w:tc>
        <w:tc>
          <w:tcPr>
            <w:tcW w:type="dxa" w:w="2300"/>
          </w:tcPr>
          <w:p>
            <w:r>
              <w:rPr>
                <w:rFonts w:ascii="Times New Roman" w:hAnsi="Times New Roman"/>
                <w:b w:val="0"/>
                <w:sz w:val="22"/>
              </w:rPr>
              <w:t>Единая база знаний в Битрикс24/облаке</w:t>
            </w:r>
          </w:p>
        </w:tc>
        <w:tc>
          <w:tcPr>
            <w:tcW w:type="dxa" w:w="2300"/>
          </w:tcPr>
          <w:p>
            <w:r>
              <w:rPr>
                <w:rFonts w:ascii="Times New Roman" w:hAnsi="Times New Roman"/>
                <w:b w:val="0"/>
                <w:sz w:val="22"/>
              </w:rPr>
              <w:t>Единый источник актуальных материалов</w:t>
            </w:r>
          </w:p>
        </w:tc>
      </w:tr>
      <w:tr>
        <w:tc>
          <w:tcPr>
            <w:tcW w:type="dxa" w:w="2300"/>
          </w:tcPr>
          <w:p>
            <w:r>
              <w:rPr>
                <w:rFonts w:ascii="Times New Roman" w:hAnsi="Times New Roman"/>
                <w:b w:val="0"/>
                <w:sz w:val="22"/>
              </w:rPr>
              <w:t>Нет регулярной проверки знаний</w:t>
            </w:r>
          </w:p>
        </w:tc>
        <w:tc>
          <w:tcPr>
            <w:tcW w:type="dxa" w:w="2300"/>
          </w:tcPr>
          <w:p>
            <w:r>
              <w:rPr>
                <w:rFonts w:ascii="Times New Roman" w:hAnsi="Times New Roman"/>
                <w:b w:val="0"/>
                <w:sz w:val="22"/>
              </w:rPr>
              <w:t>Руководитель не видит пробелы в компетенциях</w:t>
            </w:r>
          </w:p>
        </w:tc>
        <w:tc>
          <w:tcPr>
            <w:tcW w:type="dxa" w:w="2300"/>
          </w:tcPr>
          <w:p>
            <w:r>
              <w:rPr>
                <w:rFonts w:ascii="Times New Roman" w:hAnsi="Times New Roman"/>
                <w:b w:val="0"/>
                <w:sz w:val="22"/>
              </w:rPr>
              <w:t>Квартальное тестирование по 44-ФЗ, 223-ФЗ и ЭТП</w:t>
            </w:r>
          </w:p>
        </w:tc>
        <w:tc>
          <w:tcPr>
            <w:tcW w:type="dxa" w:w="2300"/>
          </w:tcPr>
          <w:p>
            <w:r>
              <w:rPr>
                <w:rFonts w:ascii="Times New Roman" w:hAnsi="Times New Roman"/>
                <w:b w:val="0"/>
                <w:sz w:val="22"/>
              </w:rPr>
              <w:t>Контроль уровня подготовки</w:t>
            </w:r>
          </w:p>
        </w:tc>
      </w:tr>
      <w:tr>
        <w:tc>
          <w:tcPr>
            <w:tcW w:type="dxa" w:w="2300"/>
          </w:tcPr>
          <w:p>
            <w:r>
              <w:rPr>
                <w:rFonts w:ascii="Times New Roman" w:hAnsi="Times New Roman"/>
                <w:b w:val="0"/>
                <w:sz w:val="22"/>
              </w:rPr>
              <w:t>Ошибки разбираются устно</w:t>
            </w:r>
          </w:p>
        </w:tc>
        <w:tc>
          <w:tcPr>
            <w:tcW w:type="dxa" w:w="2300"/>
          </w:tcPr>
          <w:p>
            <w:r>
              <w:rPr>
                <w:rFonts w:ascii="Times New Roman" w:hAnsi="Times New Roman"/>
                <w:b w:val="0"/>
                <w:sz w:val="22"/>
              </w:rPr>
              <w:t>Одни и те же ошибки повторяются</w:t>
            </w:r>
          </w:p>
        </w:tc>
        <w:tc>
          <w:tcPr>
            <w:tcW w:type="dxa" w:w="2300"/>
          </w:tcPr>
          <w:p>
            <w:r>
              <w:rPr>
                <w:rFonts w:ascii="Times New Roman" w:hAnsi="Times New Roman"/>
                <w:b w:val="0"/>
                <w:sz w:val="22"/>
              </w:rPr>
              <w:t>Реестр ошибок и ежемесячные разборы</w:t>
            </w:r>
          </w:p>
        </w:tc>
        <w:tc>
          <w:tcPr>
            <w:tcW w:type="dxa" w:w="2300"/>
          </w:tcPr>
          <w:p>
            <w:r>
              <w:rPr>
                <w:rFonts w:ascii="Times New Roman" w:hAnsi="Times New Roman"/>
                <w:b w:val="0"/>
                <w:sz w:val="22"/>
              </w:rPr>
              <w:t>Накопление общего опыта отдела</w:t>
            </w:r>
          </w:p>
        </w:tc>
      </w:tr>
      <w:tr>
        <w:tc>
          <w:tcPr>
            <w:tcW w:type="dxa" w:w="2300"/>
          </w:tcPr>
          <w:p>
            <w:r>
              <w:rPr>
                <w:rFonts w:ascii="Times New Roman" w:hAnsi="Times New Roman"/>
                <w:b w:val="0"/>
                <w:sz w:val="22"/>
              </w:rPr>
              <w:t>Нет финального контроля заявки</w:t>
            </w:r>
          </w:p>
        </w:tc>
        <w:tc>
          <w:tcPr>
            <w:tcW w:type="dxa" w:w="2300"/>
          </w:tcPr>
          <w:p>
            <w:r>
              <w:rPr>
                <w:rFonts w:ascii="Times New Roman" w:hAnsi="Times New Roman"/>
                <w:b w:val="0"/>
                <w:sz w:val="22"/>
              </w:rPr>
              <w:t>Пропуск файлов, форматов, подписей</w:t>
            </w:r>
          </w:p>
        </w:tc>
        <w:tc>
          <w:tcPr>
            <w:tcW w:type="dxa" w:w="2300"/>
          </w:tcPr>
          <w:p>
            <w:r>
              <w:rPr>
                <w:rFonts w:ascii="Times New Roman" w:hAnsi="Times New Roman"/>
                <w:b w:val="0"/>
                <w:sz w:val="22"/>
              </w:rPr>
              <w:t>Чек-лист допуска заявки перед отправкой</w:t>
            </w:r>
          </w:p>
        </w:tc>
        <w:tc>
          <w:tcPr>
            <w:tcW w:type="dxa" w:w="2300"/>
          </w:tcPr>
          <w:p>
            <w:r>
              <w:rPr>
                <w:rFonts w:ascii="Times New Roman" w:hAnsi="Times New Roman"/>
                <w:b w:val="0"/>
                <w:sz w:val="22"/>
              </w:rPr>
              <w:t>Снижение доли отклонений</w:t>
            </w:r>
          </w:p>
        </w:tc>
      </w:tr>
      <w:tr>
        <w:tc>
          <w:tcPr>
            <w:tcW w:type="dxa" w:w="2300"/>
          </w:tcPr>
          <w:p>
            <w:r>
              <w:rPr>
                <w:rFonts w:ascii="Times New Roman" w:hAnsi="Times New Roman"/>
                <w:b w:val="0"/>
                <w:sz w:val="22"/>
              </w:rPr>
              <w:t>Обучение не связано с мотивацией</w:t>
            </w:r>
          </w:p>
        </w:tc>
        <w:tc>
          <w:tcPr>
            <w:tcW w:type="dxa" w:w="2300"/>
          </w:tcPr>
          <w:p>
            <w:r>
              <w:rPr>
                <w:rFonts w:ascii="Times New Roman" w:hAnsi="Times New Roman"/>
                <w:b w:val="0"/>
                <w:sz w:val="22"/>
              </w:rPr>
              <w:t>Сотрудники не заинтересованы в передаче опыта</w:t>
            </w:r>
          </w:p>
        </w:tc>
        <w:tc>
          <w:tcPr>
            <w:tcW w:type="dxa" w:w="2300"/>
          </w:tcPr>
          <w:p>
            <w:r>
              <w:rPr>
                <w:rFonts w:ascii="Times New Roman" w:hAnsi="Times New Roman"/>
                <w:b w:val="0"/>
                <w:sz w:val="22"/>
              </w:rPr>
              <w:t>KPI качества и наставничества</w:t>
            </w:r>
          </w:p>
        </w:tc>
        <w:tc>
          <w:tcPr>
            <w:tcW w:type="dxa" w:w="2300"/>
          </w:tcPr>
          <w:p>
            <w:r>
              <w:rPr>
                <w:rFonts w:ascii="Times New Roman" w:hAnsi="Times New Roman"/>
                <w:b w:val="0"/>
                <w:sz w:val="22"/>
              </w:rPr>
              <w:t>Закрепление развития как части результата</w:t>
            </w:r>
          </w:p>
        </w:tc>
      </w:tr>
    </w:tbl>
    <w:p>
      <w:pPr>
        <w:spacing w:line="360" w:lineRule="auto" w:after="120"/>
        <w:ind w:firstLine="700"/>
      </w:pPr>
    </w:p>
    <w:p>
      <w:pPr>
        <w:spacing w:line="360" w:lineRule="auto" w:after="120"/>
        <w:ind w:firstLine="700"/>
      </w:pPr>
      <w:r>
        <w:rPr>
          <w:rFonts w:ascii="Times New Roman" w:hAnsi="Times New Roman"/>
          <w:b w:val="0"/>
          <w:sz w:val="28"/>
        </w:rPr>
        <w:t>Предлагаемая система должна строиться по принципу «диагностика — обучение — применение — контроль — корректировка». На первом этапе выявляются пробелы в знаниях сотрудников и причины отклонений заявок. На втором этапе проводится обучение и актуализация материалов. На третьем этапе знания применяются при подготовке реальных заявок. На четвертом этапе результаты проверяются через показатели допуска, побед, ошибок и тестирования. На пятом этапе корректируются инструкции, чек-листы и содержание обучения.</w:t>
      </w:r>
    </w:p>
    <w:p>
      <w:pPr>
        <w:spacing w:line="360" w:lineRule="auto" w:after="120"/>
        <w:ind w:firstLine="700"/>
      </w:pPr>
      <w:r>
        <w:rPr>
          <w:rFonts w:ascii="Times New Roman" w:hAnsi="Times New Roman"/>
          <w:b w:val="0"/>
          <w:sz w:val="28"/>
        </w:rPr>
        <w:t>В отличие от разовых вебинаров, такая система создает замкнутый управленческий цикл. Если заявка отклонена из-за устаревшей формы, ошибка не просто обсуждается с конкретным сотрудником, а приводит к обновлению шаблона, включению случая в базу ошибок и добавлению контрольного пункта в чек-лист. Если сотрудник не проходит тестирование по изменениям 44-ФЗ, руководитель видит конкретную зону риска и назначает повторное изучение материала. Если новый работник допускает типовые ошибки в первый месяц, наставник корректирует адаптационный маршрут.</w:t>
      </w:r>
    </w:p>
    <w:p>
      <w:pPr>
        <w:spacing w:line="360" w:lineRule="auto" w:after="120"/>
        <w:ind w:firstLine="700"/>
      </w:pPr>
      <w:r>
        <w:rPr>
          <w:rFonts w:ascii="Times New Roman" w:hAnsi="Times New Roman"/>
          <w:b w:val="0"/>
          <w:sz w:val="28"/>
        </w:rPr>
        <w:t>Общий подход к совершенствованию представлен как система из пяти взаимосвязанных блоков: нормативно-методический блок, образовательный блок, технологический блок, организационный блок и оценочный блок. Нормативно-методический блок включает внутренние регламенты и шаблоны. Образовательный блок включает внешнее обучение и внутренние мини-модули. Технологический блок включает Битрикс24, LMS или раздел базы знаний, чек-листы и тесты. Организационный блок закрепляет ответственных лиц и календарь мероприятий. Оценочный блок связывает обучение с результатами тендерной деятельности.</w:t>
      </w:r>
    </w:p>
    <w:p>
      <w:pPr>
        <w:spacing w:line="360" w:lineRule="auto" w:after="120"/>
        <w:jc w:val="center"/>
      </w:pPr>
      <w:r>
        <w:rPr>
          <w:rFonts w:ascii="Times New Roman" w:hAnsi="Times New Roman"/>
          <w:b w:val="0"/>
          <w:sz w:val="28"/>
        </w:rPr>
        <w:t>Таблица 3.2. Структура предлагаемой системы «Тендерная академия Лайф Медиа»</w:t>
      </w:r>
    </w:p>
    <w:tbl>
      <w:tblPr>
        <w:tblStyle w:val="6"/>
        <w:tblW w:type="auto" w:w="0"/>
        <w:tblLook w:firstColumn="1" w:firstRow="1" w:lastColumn="0" w:lastRow="0" w:noHBand="0" w:noVBand="1" w:val="04A0"/>
      </w:tblPr>
      <w:tblGrid>
        <w:gridCol w:w="2300"/>
        <w:gridCol w:w="2300"/>
        <w:gridCol w:w="2300"/>
        <w:gridCol w:w="2300"/>
      </w:tblGrid>
      <w:tr>
        <w:tc>
          <w:tcPr>
            <w:tcW w:type="dxa" w:w="2300"/>
          </w:tcPr>
          <w:p>
            <w:r>
              <w:rPr>
                <w:rFonts w:ascii="Times New Roman" w:hAnsi="Times New Roman"/>
                <w:b/>
                <w:sz w:val="22"/>
              </w:rPr>
              <w:t>Блок системы</w:t>
            </w:r>
          </w:p>
        </w:tc>
        <w:tc>
          <w:tcPr>
            <w:tcW w:type="dxa" w:w="2300"/>
          </w:tcPr>
          <w:p>
            <w:r>
              <w:rPr>
                <w:rFonts w:ascii="Times New Roman" w:hAnsi="Times New Roman"/>
                <w:b/>
                <w:sz w:val="22"/>
              </w:rPr>
              <w:t>Содержание</w:t>
            </w:r>
          </w:p>
        </w:tc>
        <w:tc>
          <w:tcPr>
            <w:tcW w:type="dxa" w:w="2300"/>
          </w:tcPr>
          <w:p>
            <w:r>
              <w:rPr>
                <w:rFonts w:ascii="Times New Roman" w:hAnsi="Times New Roman"/>
                <w:b/>
                <w:sz w:val="22"/>
              </w:rPr>
              <w:t>Ответственный</w:t>
            </w:r>
          </w:p>
        </w:tc>
        <w:tc>
          <w:tcPr>
            <w:tcW w:type="dxa" w:w="2300"/>
          </w:tcPr>
          <w:p>
            <w:r>
              <w:rPr>
                <w:rFonts w:ascii="Times New Roman" w:hAnsi="Times New Roman"/>
                <w:b/>
                <w:sz w:val="22"/>
              </w:rPr>
              <w:t>Периодичность</w:t>
            </w:r>
          </w:p>
        </w:tc>
      </w:tr>
      <w:tr>
        <w:tc>
          <w:tcPr>
            <w:tcW w:type="dxa" w:w="2300"/>
          </w:tcPr>
          <w:p>
            <w:r>
              <w:rPr>
                <w:rFonts w:ascii="Times New Roman" w:hAnsi="Times New Roman"/>
                <w:b w:val="0"/>
                <w:sz w:val="22"/>
              </w:rPr>
              <w:t>Нормативно-методический</w:t>
            </w:r>
          </w:p>
        </w:tc>
        <w:tc>
          <w:tcPr>
            <w:tcW w:type="dxa" w:w="2300"/>
          </w:tcPr>
          <w:p>
            <w:r>
              <w:rPr>
                <w:rFonts w:ascii="Times New Roman" w:hAnsi="Times New Roman"/>
                <w:b w:val="0"/>
                <w:sz w:val="22"/>
              </w:rPr>
              <w:t>Шаблоны, инструкции, чек-листы, реестр ошибок</w:t>
            </w:r>
          </w:p>
        </w:tc>
        <w:tc>
          <w:tcPr>
            <w:tcW w:type="dxa" w:w="2300"/>
          </w:tcPr>
          <w:p>
            <w:r>
              <w:rPr>
                <w:rFonts w:ascii="Times New Roman" w:hAnsi="Times New Roman"/>
                <w:b w:val="0"/>
                <w:sz w:val="22"/>
              </w:rPr>
              <w:t>Руководитель тендерного отдела, юрист</w:t>
            </w:r>
          </w:p>
        </w:tc>
        <w:tc>
          <w:tcPr>
            <w:tcW w:type="dxa" w:w="2300"/>
          </w:tcPr>
          <w:p>
            <w:r>
              <w:rPr>
                <w:rFonts w:ascii="Times New Roman" w:hAnsi="Times New Roman"/>
                <w:b w:val="0"/>
                <w:sz w:val="22"/>
              </w:rPr>
              <w:t>Обновление при изменениях законодательства и ежемесячно</w:t>
            </w:r>
          </w:p>
        </w:tc>
      </w:tr>
      <w:tr>
        <w:tc>
          <w:tcPr>
            <w:tcW w:type="dxa" w:w="2300"/>
          </w:tcPr>
          <w:p>
            <w:r>
              <w:rPr>
                <w:rFonts w:ascii="Times New Roman" w:hAnsi="Times New Roman"/>
                <w:b w:val="0"/>
                <w:sz w:val="22"/>
              </w:rPr>
              <w:t>Образовательный</w:t>
            </w:r>
          </w:p>
        </w:tc>
        <w:tc>
          <w:tcPr>
            <w:tcW w:type="dxa" w:w="2300"/>
          </w:tcPr>
          <w:p>
            <w:r>
              <w:rPr>
                <w:rFonts w:ascii="Times New Roman" w:hAnsi="Times New Roman"/>
                <w:b w:val="0"/>
                <w:sz w:val="22"/>
              </w:rPr>
              <w:t>Курсы 44-ФЗ/223-ФЗ, внутренние мини-занятия, кейсы</w:t>
            </w:r>
          </w:p>
        </w:tc>
        <w:tc>
          <w:tcPr>
            <w:tcW w:type="dxa" w:w="2300"/>
          </w:tcPr>
          <w:p>
            <w:r>
              <w:rPr>
                <w:rFonts w:ascii="Times New Roman" w:hAnsi="Times New Roman"/>
                <w:b w:val="0"/>
                <w:sz w:val="22"/>
              </w:rPr>
              <w:t>Руководитель отдела, наставники</w:t>
            </w:r>
          </w:p>
        </w:tc>
        <w:tc>
          <w:tcPr>
            <w:tcW w:type="dxa" w:w="2300"/>
          </w:tcPr>
          <w:p>
            <w:r>
              <w:rPr>
                <w:rFonts w:ascii="Times New Roman" w:hAnsi="Times New Roman"/>
                <w:b w:val="0"/>
                <w:sz w:val="22"/>
              </w:rPr>
              <w:t>Внешнее обучение ежегодно, внутреннее — ежемесячно</w:t>
            </w:r>
          </w:p>
        </w:tc>
      </w:tr>
      <w:tr>
        <w:tc>
          <w:tcPr>
            <w:tcW w:type="dxa" w:w="2300"/>
          </w:tcPr>
          <w:p>
            <w:r>
              <w:rPr>
                <w:rFonts w:ascii="Times New Roman" w:hAnsi="Times New Roman"/>
                <w:b w:val="0"/>
                <w:sz w:val="22"/>
              </w:rPr>
              <w:t>Технологический</w:t>
            </w:r>
          </w:p>
        </w:tc>
        <w:tc>
          <w:tcPr>
            <w:tcW w:type="dxa" w:w="2300"/>
          </w:tcPr>
          <w:p>
            <w:r>
              <w:rPr>
                <w:rFonts w:ascii="Times New Roman" w:hAnsi="Times New Roman"/>
                <w:b w:val="0"/>
                <w:sz w:val="22"/>
              </w:rPr>
              <w:t>База знаний, тестирование, задачи контроля заявок</w:t>
            </w:r>
          </w:p>
        </w:tc>
        <w:tc>
          <w:tcPr>
            <w:tcW w:type="dxa" w:w="2300"/>
          </w:tcPr>
          <w:p>
            <w:r>
              <w:rPr>
                <w:rFonts w:ascii="Times New Roman" w:hAnsi="Times New Roman"/>
                <w:b w:val="0"/>
                <w:sz w:val="22"/>
              </w:rPr>
              <w:t>Системный администратор, руководитель отдела</w:t>
            </w:r>
          </w:p>
        </w:tc>
        <w:tc>
          <w:tcPr>
            <w:tcW w:type="dxa" w:w="2300"/>
          </w:tcPr>
          <w:p>
            <w:r>
              <w:rPr>
                <w:rFonts w:ascii="Times New Roman" w:hAnsi="Times New Roman"/>
                <w:b w:val="0"/>
                <w:sz w:val="22"/>
              </w:rPr>
              <w:t>Постоянно</w:t>
            </w:r>
          </w:p>
        </w:tc>
      </w:tr>
      <w:tr>
        <w:tc>
          <w:tcPr>
            <w:tcW w:type="dxa" w:w="2300"/>
          </w:tcPr>
          <w:p>
            <w:r>
              <w:rPr>
                <w:rFonts w:ascii="Times New Roman" w:hAnsi="Times New Roman"/>
                <w:b w:val="0"/>
                <w:sz w:val="22"/>
              </w:rPr>
              <w:t>Организационный</w:t>
            </w:r>
          </w:p>
        </w:tc>
        <w:tc>
          <w:tcPr>
            <w:tcW w:type="dxa" w:w="2300"/>
          </w:tcPr>
          <w:p>
            <w:r>
              <w:rPr>
                <w:rFonts w:ascii="Times New Roman" w:hAnsi="Times New Roman"/>
                <w:b w:val="0"/>
                <w:sz w:val="22"/>
              </w:rPr>
              <w:t>Адаптация новичков, наставничество, календарь обучения</w:t>
            </w:r>
          </w:p>
        </w:tc>
        <w:tc>
          <w:tcPr>
            <w:tcW w:type="dxa" w:w="2300"/>
          </w:tcPr>
          <w:p>
            <w:r>
              <w:rPr>
                <w:rFonts w:ascii="Times New Roman" w:hAnsi="Times New Roman"/>
                <w:b w:val="0"/>
                <w:sz w:val="22"/>
              </w:rPr>
              <w:t>Генеральный директор, руководитель отдела</w:t>
            </w:r>
          </w:p>
        </w:tc>
        <w:tc>
          <w:tcPr>
            <w:tcW w:type="dxa" w:w="2300"/>
          </w:tcPr>
          <w:p>
            <w:r>
              <w:rPr>
                <w:rFonts w:ascii="Times New Roman" w:hAnsi="Times New Roman"/>
                <w:b w:val="0"/>
                <w:sz w:val="22"/>
              </w:rPr>
              <w:t>При приеме сотрудника и ежеквартально</w:t>
            </w:r>
          </w:p>
        </w:tc>
      </w:tr>
      <w:tr>
        <w:tc>
          <w:tcPr>
            <w:tcW w:type="dxa" w:w="2300"/>
          </w:tcPr>
          <w:p>
            <w:r>
              <w:rPr>
                <w:rFonts w:ascii="Times New Roman" w:hAnsi="Times New Roman"/>
                <w:b w:val="0"/>
                <w:sz w:val="22"/>
              </w:rPr>
              <w:t>Оценочный</w:t>
            </w:r>
          </w:p>
        </w:tc>
        <w:tc>
          <w:tcPr>
            <w:tcW w:type="dxa" w:w="2300"/>
          </w:tcPr>
          <w:p>
            <w:r>
              <w:rPr>
                <w:rFonts w:ascii="Times New Roman" w:hAnsi="Times New Roman"/>
                <w:b w:val="0"/>
                <w:sz w:val="22"/>
              </w:rPr>
              <w:t>KPI обучения, допуск заявок, доля ошибок, удовлетворенность</w:t>
            </w:r>
          </w:p>
        </w:tc>
        <w:tc>
          <w:tcPr>
            <w:tcW w:type="dxa" w:w="2300"/>
          </w:tcPr>
          <w:p>
            <w:r>
              <w:rPr>
                <w:rFonts w:ascii="Times New Roman" w:hAnsi="Times New Roman"/>
                <w:b w:val="0"/>
                <w:sz w:val="22"/>
              </w:rPr>
              <w:t>Руководитель отдела, бухгалтерия</w:t>
            </w:r>
          </w:p>
        </w:tc>
        <w:tc>
          <w:tcPr>
            <w:tcW w:type="dxa" w:w="2300"/>
          </w:tcPr>
          <w:p>
            <w:r>
              <w:rPr>
                <w:rFonts w:ascii="Times New Roman" w:hAnsi="Times New Roman"/>
                <w:b w:val="0"/>
                <w:sz w:val="22"/>
              </w:rPr>
              <w:t>Ежемесячно и ежеквартально</w:t>
            </w:r>
          </w:p>
        </w:tc>
      </w:tr>
    </w:tbl>
    <w:p>
      <w:pPr>
        <w:spacing w:line="360" w:lineRule="auto" w:after="120"/>
        <w:ind w:firstLine="700"/>
      </w:pPr>
    </w:p>
    <w:p>
      <w:pPr>
        <w:spacing w:line="360" w:lineRule="auto" w:after="120"/>
        <w:ind w:firstLine="700"/>
      </w:pPr>
      <w:r>
        <w:rPr>
          <w:rFonts w:ascii="Times New Roman" w:hAnsi="Times New Roman"/>
          <w:b w:val="0"/>
          <w:sz w:val="28"/>
        </w:rPr>
        <w:t>Таким образом, общие рекомендации направлены не на увеличение количества формальных учебных мероприятий, а на перестройку логики работы отдела. Обучение должно перестать быть эпизодическим действием и стать частью операционного процесса. Для ООО «Лайф Медиа» это особенно важно, поскольку компания работает удаленно, имеет небольшой штат и не может компенсировать ошибки большим количеством сотрудников или отдельным учебным подразделением.</w:t>
      </w:r>
    </w:p>
    <w:p>
      <w:pPr>
        <w:spacing w:line="360" w:lineRule="auto" w:after="120"/>
        <w:ind w:firstLine="700"/>
      </w:pPr>
      <w:r>
        <w:rPr>
          <w:rFonts w:ascii="Times New Roman" w:hAnsi="Times New Roman"/>
          <w:b w:val="0"/>
          <w:sz w:val="28"/>
        </w:rPr>
        <w:t>Предлагаемая модель опирается на существующий отечественный опыт профессионального обучения в сфере закупок, использование онлайн-курсов и цифровых платформ, а также на зарубежные подходы к оценке обучения через бизнес-результаты. Практическая ценность модели состоит в том, что она адаптирована к текущему состоянию компании: не требует существенного расширения штата, использует уже имеющуюся цифровую инфраструктуру и направлена на конкретные проблемы, выявленные во второй главе.</w:t>
      </w:r>
    </w:p>
    <w:p>
      <w:pPr>
        <w:spacing w:line="360" w:lineRule="auto" w:after="120"/>
        <w:jc w:val="center"/>
      </w:pPr>
      <w:r>
        <w:rPr>
          <w:rFonts w:ascii="Times New Roman" w:hAnsi="Times New Roman"/>
          <w:b/>
          <w:sz w:val="28"/>
        </w:rPr>
        <w:t>3.2. Технико-экономическое обоснование предлагаемых решений и технология их внедрения</w:t>
      </w:r>
    </w:p>
    <w:p>
      <w:pPr>
        <w:spacing w:line="360" w:lineRule="auto" w:after="120"/>
        <w:ind w:firstLine="700"/>
      </w:pPr>
      <w:r>
        <w:rPr>
          <w:rFonts w:ascii="Times New Roman" w:hAnsi="Times New Roman"/>
          <w:b w:val="0"/>
          <w:sz w:val="28"/>
        </w:rPr>
        <w:t>Технико-экономическое обоснование предлагаемых решений включает описание сущности изменений, состав мероприятий, кадровое и техническое обеспечение, организационно-экономический механизм внедрения и адаптацию решений к действующей системе управления ООО «Лайф Медиа». При разработке учитывается, что предприятие относится к малому бизнесу, работает преимущественно удаленно и уже использует Битрикс24, электронный документооборот, облачное хранение документов и видеосвязь.</w:t>
      </w:r>
    </w:p>
    <w:p>
      <w:pPr>
        <w:spacing w:line="360" w:lineRule="auto" w:after="120"/>
        <w:ind w:firstLine="700"/>
      </w:pPr>
      <w:r>
        <w:rPr>
          <w:rFonts w:ascii="Times New Roman" w:hAnsi="Times New Roman"/>
          <w:b w:val="0"/>
          <w:sz w:val="28"/>
        </w:rPr>
        <w:t>Сущность предлагаемых изменений состоит в создании управляемой системы обучения без формирования отдельной HR-службы. Управление системой возлагается на руководителя тендерного отдела, методическую поддержку осуществляет юрист на аутсорсинге, техническую настройку выполняет системный администратор, а контроль экономических показателей обеспечивает бухгалтерия совместно с генеральным директором. Такой подход позволяет встроить обучение в существующую структуру управления и избежать избыточных управленческих расходов.</w:t>
      </w:r>
    </w:p>
    <w:p>
      <w:pPr>
        <w:spacing w:line="360" w:lineRule="auto" w:after="120"/>
        <w:ind w:firstLine="700"/>
      </w:pPr>
      <w:r>
        <w:rPr>
          <w:rFonts w:ascii="Times New Roman" w:hAnsi="Times New Roman"/>
          <w:b w:val="0"/>
          <w:sz w:val="28"/>
        </w:rPr>
        <w:t>Практический пакет мероприятий включает семь элементов: внедрение базы знаний, разработку адаптационного маршрута, внешнее обучение по 44-ФЗ и 223-ФЗ, создание чек-листа проверки заявки, введение реестра ошибок, назначение наставников и внедрение системы оценки эффективности обучения. Эти мероприятия взаимосвязаны. Например, внешнее обучение дает актуальные знания, база знаний закрепляет их в виде инструкций, чек-лист переводит знания в операционную процедуру, а реестр ошибок показывает, какие темы требуют повторного обучения.</w:t>
      </w:r>
    </w:p>
    <w:p>
      <w:pPr>
        <w:spacing w:line="360" w:lineRule="auto" w:after="120"/>
        <w:ind w:firstLine="700"/>
      </w:pPr>
      <w:r>
        <w:rPr>
          <w:rFonts w:ascii="Times New Roman" w:hAnsi="Times New Roman"/>
          <w:b w:val="0"/>
          <w:sz w:val="28"/>
        </w:rPr>
        <w:t>Первым мероприятием является формирование базы знаний тендерного отдела. База должна включать разделы: «Нормативные изменения», «Шаблоны документов», «ЭТП и ЕИС», «Типовые ошибки», «Расчеты НМЦК и цены», «Успешные заявки», «Чек-листы». Для малого предприятия рационально не приобретать отдельную дорогостоящую систему документооборота, а использовать Битрикс24 и облачное хранилище, поскольку эти инструменты уже применяются в компании.</w:t>
      </w:r>
    </w:p>
    <w:p>
      <w:pPr>
        <w:spacing w:line="360" w:lineRule="auto" w:after="120"/>
        <w:ind w:firstLine="700"/>
      </w:pPr>
      <w:r>
        <w:rPr>
          <w:rFonts w:ascii="Times New Roman" w:hAnsi="Times New Roman"/>
          <w:b w:val="0"/>
          <w:sz w:val="28"/>
        </w:rPr>
        <w:t>Вторым мероприятием является разработка адаптационного маршрута для новых сотрудников. Маршрут рассчитан на 10 рабочих дней и делится на четыре этапа: организационное введение, изучение нормативной базы, отработка документов и контрольный кейс. В конце адаптации сотрудник должен самостоятельно разобрать учебную закупку, определить комплект документов, заполнить шаблоны, проверить требования заказчика и пройти тест.</w:t>
      </w:r>
    </w:p>
    <w:p>
      <w:pPr>
        <w:spacing w:line="360" w:lineRule="auto" w:after="120"/>
        <w:ind w:firstLine="700"/>
      </w:pPr>
      <w:r>
        <w:rPr>
          <w:rFonts w:ascii="Times New Roman" w:hAnsi="Times New Roman"/>
          <w:b w:val="0"/>
          <w:sz w:val="28"/>
        </w:rPr>
        <w:t>Третьим мероприятием является внешнее обучение сотрудников. Для базового уровня предлагается направить всех 8 тендерных специалистов на программы повышения квалификации по 44-ФЗ и 223-ФЗ. В расчетах используются открытые рыночные цены Контур.Школы: курс по 44-ФЗ стоимостью 18 000 руб. и курс по 223-ФЗ стоимостью 16 000 руб. на одного слушателя [45]. Такое обучение закрывает потребности, которые сотрудники сами обозначили в опросе: изменения законодательства, типовые ошибки и особенности электронных площадок.</w:t>
      </w:r>
    </w:p>
    <w:p>
      <w:pPr>
        <w:spacing w:line="360" w:lineRule="auto" w:after="120"/>
        <w:ind w:firstLine="700"/>
      </w:pPr>
      <w:r>
        <w:rPr>
          <w:rFonts w:ascii="Times New Roman" w:hAnsi="Times New Roman"/>
          <w:b w:val="0"/>
          <w:sz w:val="28"/>
        </w:rPr>
        <w:t>Четвертым мероприятием является внедрение чек-листа проверки заявки. Чек-лист должен применяться перед отправкой каждой заявки и включать не менее шести блоков: требования заказчика, комплект документов, актуальность форм, корректность расчетов, формат файлов, электронная подпись. В Битрикс24 чек-лист может быть создан как шаблон задачи, без которого заявка не переводится в статус «готова к отправке».</w:t>
      </w:r>
    </w:p>
    <w:p>
      <w:pPr>
        <w:spacing w:line="360" w:lineRule="auto" w:after="120"/>
        <w:ind w:firstLine="700"/>
      </w:pPr>
      <w:r>
        <w:rPr>
          <w:rFonts w:ascii="Times New Roman" w:hAnsi="Times New Roman"/>
          <w:b w:val="0"/>
          <w:sz w:val="28"/>
        </w:rPr>
        <w:t>Пятым мероприятием является создание реестра ошибок. Реестр представляет собой таблицу, где фиксируются дата, номер закупки, сотрудник, тип ошибки, причина, последствия, корректирующее действие и дата обновления шаблона или инструкции. Такой реестр необходим не для наказания сотрудников, а для накопления знаний и выявления повторяющихся проблем.</w:t>
      </w:r>
    </w:p>
    <w:p>
      <w:pPr>
        <w:spacing w:line="360" w:lineRule="auto" w:after="120"/>
        <w:ind w:firstLine="700"/>
      </w:pPr>
      <w:r>
        <w:rPr>
          <w:rFonts w:ascii="Times New Roman" w:hAnsi="Times New Roman"/>
          <w:b w:val="0"/>
          <w:sz w:val="28"/>
        </w:rPr>
        <w:t>Шестым мероприятием является наставничество. В отделе следует назначить двух наставников из числа наиболее опытных специалистов. За каждым новым сотрудником закрепляется наставник на первый месяц работы. Наставник помогает разобраться с внутренними стандартами, проверяет первые заявки, объясняет типовые ошибки и участвует в оценке готовности сотрудника к самостоятельной работе.</w:t>
      </w:r>
    </w:p>
    <w:p>
      <w:pPr>
        <w:spacing w:line="360" w:lineRule="auto" w:after="120"/>
        <w:ind w:firstLine="700"/>
      </w:pPr>
      <w:r>
        <w:rPr>
          <w:rFonts w:ascii="Times New Roman" w:hAnsi="Times New Roman"/>
          <w:b w:val="0"/>
          <w:sz w:val="28"/>
        </w:rPr>
        <w:t>Седьмым мероприятием является внедрение оценки эффективности обучения. Оценка должна включать входное и итоговое тестирование, анализ динамики отклоненных заявок, сравнение конверсии из заявки в победу, оценку удовлетворенности сотрудников обучением и оценку руководителя отдела. Такой подход соответствует логике моделей Киркпатрика и Филлипса, рассмотренных в первой главе.</w:t>
      </w:r>
    </w:p>
    <w:p>
      <w:pPr>
        <w:spacing w:line="360" w:lineRule="auto" w:after="120"/>
        <w:jc w:val="center"/>
      </w:pPr>
      <w:r>
        <w:rPr>
          <w:rFonts w:ascii="Times New Roman" w:hAnsi="Times New Roman"/>
          <w:b w:val="0"/>
          <w:sz w:val="28"/>
        </w:rPr>
        <w:t>Таблица 3.3. Содержание предлагаемых мероприятий по совершенствованию системы обучения</w:t>
      </w:r>
    </w:p>
    <w:tbl>
      <w:tblPr>
        <w:tblStyle w:val="6"/>
        <w:tblW w:type="auto" w:w="0"/>
        <w:tblLook w:firstColumn="1" w:firstRow="1" w:lastColumn="0" w:lastRow="0" w:noHBand="0" w:noVBand="1" w:val="04A0"/>
      </w:tblPr>
      <w:tblGrid>
        <w:gridCol w:w="2300"/>
        <w:gridCol w:w="2300"/>
        <w:gridCol w:w="2300"/>
        <w:gridCol w:w="2300"/>
      </w:tblGrid>
      <w:tr>
        <w:tc>
          <w:tcPr>
            <w:tcW w:type="dxa" w:w="2300"/>
          </w:tcPr>
          <w:p>
            <w:r>
              <w:rPr>
                <w:rFonts w:ascii="Times New Roman" w:hAnsi="Times New Roman"/>
                <w:b/>
                <w:sz w:val="22"/>
              </w:rPr>
              <w:t>Мероприятие</w:t>
            </w:r>
          </w:p>
        </w:tc>
        <w:tc>
          <w:tcPr>
            <w:tcW w:type="dxa" w:w="2300"/>
          </w:tcPr>
          <w:p>
            <w:r>
              <w:rPr>
                <w:rFonts w:ascii="Times New Roman" w:hAnsi="Times New Roman"/>
                <w:b/>
                <w:sz w:val="22"/>
              </w:rPr>
              <w:t>Содержание</w:t>
            </w:r>
          </w:p>
        </w:tc>
        <w:tc>
          <w:tcPr>
            <w:tcW w:type="dxa" w:w="2300"/>
          </w:tcPr>
          <w:p>
            <w:r>
              <w:rPr>
                <w:rFonts w:ascii="Times New Roman" w:hAnsi="Times New Roman"/>
                <w:b/>
                <w:sz w:val="22"/>
              </w:rPr>
              <w:t>Проблема, которую решает</w:t>
            </w:r>
          </w:p>
        </w:tc>
        <w:tc>
          <w:tcPr>
            <w:tcW w:type="dxa" w:w="2300"/>
          </w:tcPr>
          <w:p>
            <w:r>
              <w:rPr>
                <w:rFonts w:ascii="Times New Roman" w:hAnsi="Times New Roman"/>
                <w:b/>
                <w:sz w:val="22"/>
              </w:rPr>
              <w:t>Результат</w:t>
            </w:r>
          </w:p>
        </w:tc>
      </w:tr>
      <w:tr>
        <w:tc>
          <w:tcPr>
            <w:tcW w:type="dxa" w:w="2300"/>
          </w:tcPr>
          <w:p>
            <w:r>
              <w:rPr>
                <w:rFonts w:ascii="Times New Roman" w:hAnsi="Times New Roman"/>
                <w:b w:val="0"/>
                <w:sz w:val="22"/>
              </w:rPr>
              <w:t>База знаний</w:t>
            </w:r>
          </w:p>
        </w:tc>
        <w:tc>
          <w:tcPr>
            <w:tcW w:type="dxa" w:w="2300"/>
          </w:tcPr>
          <w:p>
            <w:r>
              <w:rPr>
                <w:rFonts w:ascii="Times New Roman" w:hAnsi="Times New Roman"/>
                <w:b w:val="0"/>
                <w:sz w:val="22"/>
              </w:rPr>
              <w:t>Шаблоны, инструкции, изменения законодательства, кейсы</w:t>
            </w:r>
          </w:p>
        </w:tc>
        <w:tc>
          <w:tcPr>
            <w:tcW w:type="dxa" w:w="2300"/>
          </w:tcPr>
          <w:p>
            <w:r>
              <w:rPr>
                <w:rFonts w:ascii="Times New Roman" w:hAnsi="Times New Roman"/>
                <w:b w:val="0"/>
                <w:sz w:val="22"/>
              </w:rPr>
              <w:t>Разрозненность материалов</w:t>
            </w:r>
          </w:p>
        </w:tc>
        <w:tc>
          <w:tcPr>
            <w:tcW w:type="dxa" w:w="2300"/>
          </w:tcPr>
          <w:p>
            <w:r>
              <w:rPr>
                <w:rFonts w:ascii="Times New Roman" w:hAnsi="Times New Roman"/>
                <w:b w:val="0"/>
                <w:sz w:val="22"/>
              </w:rPr>
              <w:t>Единый источник актуальной информации</w:t>
            </w:r>
          </w:p>
        </w:tc>
      </w:tr>
      <w:tr>
        <w:tc>
          <w:tcPr>
            <w:tcW w:type="dxa" w:w="2300"/>
          </w:tcPr>
          <w:p>
            <w:r>
              <w:rPr>
                <w:rFonts w:ascii="Times New Roman" w:hAnsi="Times New Roman"/>
                <w:b w:val="0"/>
                <w:sz w:val="22"/>
              </w:rPr>
              <w:t>Адаптационный маршрут</w:t>
            </w:r>
          </w:p>
        </w:tc>
        <w:tc>
          <w:tcPr>
            <w:tcW w:type="dxa" w:w="2300"/>
          </w:tcPr>
          <w:p>
            <w:r>
              <w:rPr>
                <w:rFonts w:ascii="Times New Roman" w:hAnsi="Times New Roman"/>
                <w:b w:val="0"/>
                <w:sz w:val="22"/>
              </w:rPr>
              <w:t>10-дневная программа ввода в должность</w:t>
            </w:r>
          </w:p>
        </w:tc>
        <w:tc>
          <w:tcPr>
            <w:tcW w:type="dxa" w:w="2300"/>
          </w:tcPr>
          <w:p>
            <w:r>
              <w:rPr>
                <w:rFonts w:ascii="Times New Roman" w:hAnsi="Times New Roman"/>
                <w:b w:val="0"/>
                <w:sz w:val="22"/>
              </w:rPr>
              <w:t>Отсутствие системной адаптации</w:t>
            </w:r>
          </w:p>
        </w:tc>
        <w:tc>
          <w:tcPr>
            <w:tcW w:type="dxa" w:w="2300"/>
          </w:tcPr>
          <w:p>
            <w:r>
              <w:rPr>
                <w:rFonts w:ascii="Times New Roman" w:hAnsi="Times New Roman"/>
                <w:b w:val="0"/>
                <w:sz w:val="22"/>
              </w:rPr>
              <w:t>Быстрое включение новичка в работу</w:t>
            </w:r>
          </w:p>
        </w:tc>
      </w:tr>
      <w:tr>
        <w:tc>
          <w:tcPr>
            <w:tcW w:type="dxa" w:w="2300"/>
          </w:tcPr>
          <w:p>
            <w:r>
              <w:rPr>
                <w:rFonts w:ascii="Times New Roman" w:hAnsi="Times New Roman"/>
                <w:b w:val="0"/>
                <w:sz w:val="22"/>
              </w:rPr>
              <w:t>Внешнее обучение</w:t>
            </w:r>
          </w:p>
        </w:tc>
        <w:tc>
          <w:tcPr>
            <w:tcW w:type="dxa" w:w="2300"/>
          </w:tcPr>
          <w:p>
            <w:r>
              <w:rPr>
                <w:rFonts w:ascii="Times New Roman" w:hAnsi="Times New Roman"/>
                <w:b w:val="0"/>
                <w:sz w:val="22"/>
              </w:rPr>
              <w:t>Курсы 44-ФЗ и 223-ФЗ для 8 сотрудников</w:t>
            </w:r>
          </w:p>
        </w:tc>
        <w:tc>
          <w:tcPr>
            <w:tcW w:type="dxa" w:w="2300"/>
          </w:tcPr>
          <w:p>
            <w:r>
              <w:rPr>
                <w:rFonts w:ascii="Times New Roman" w:hAnsi="Times New Roman"/>
                <w:b w:val="0"/>
                <w:sz w:val="22"/>
              </w:rPr>
              <w:t>Пробелы в нормативных знаниях</w:t>
            </w:r>
          </w:p>
        </w:tc>
        <w:tc>
          <w:tcPr>
            <w:tcW w:type="dxa" w:w="2300"/>
          </w:tcPr>
          <w:p>
            <w:r>
              <w:rPr>
                <w:rFonts w:ascii="Times New Roman" w:hAnsi="Times New Roman"/>
                <w:b w:val="0"/>
                <w:sz w:val="22"/>
              </w:rPr>
              <w:t>Актуализация профессиональных компетенций</w:t>
            </w:r>
          </w:p>
        </w:tc>
      </w:tr>
      <w:tr>
        <w:tc>
          <w:tcPr>
            <w:tcW w:type="dxa" w:w="2300"/>
          </w:tcPr>
          <w:p>
            <w:r>
              <w:rPr>
                <w:rFonts w:ascii="Times New Roman" w:hAnsi="Times New Roman"/>
                <w:b w:val="0"/>
                <w:sz w:val="22"/>
              </w:rPr>
              <w:t>Чек-лист заявки</w:t>
            </w:r>
          </w:p>
        </w:tc>
        <w:tc>
          <w:tcPr>
            <w:tcW w:type="dxa" w:w="2300"/>
          </w:tcPr>
          <w:p>
            <w:r>
              <w:rPr>
                <w:rFonts w:ascii="Times New Roman" w:hAnsi="Times New Roman"/>
                <w:b w:val="0"/>
                <w:sz w:val="22"/>
              </w:rPr>
              <w:t>Контроль комплектности, формата, подписи и расчетов</w:t>
            </w:r>
          </w:p>
        </w:tc>
        <w:tc>
          <w:tcPr>
            <w:tcW w:type="dxa" w:w="2300"/>
          </w:tcPr>
          <w:p>
            <w:r>
              <w:rPr>
                <w:rFonts w:ascii="Times New Roman" w:hAnsi="Times New Roman"/>
                <w:b w:val="0"/>
                <w:sz w:val="22"/>
              </w:rPr>
              <w:t>Формальные ошибки</w:t>
            </w:r>
          </w:p>
        </w:tc>
        <w:tc>
          <w:tcPr>
            <w:tcW w:type="dxa" w:w="2300"/>
          </w:tcPr>
          <w:p>
            <w:r>
              <w:rPr>
                <w:rFonts w:ascii="Times New Roman" w:hAnsi="Times New Roman"/>
                <w:b w:val="0"/>
                <w:sz w:val="22"/>
              </w:rPr>
              <w:t>Снижение отклонений на этапе допуска</w:t>
            </w:r>
          </w:p>
        </w:tc>
      </w:tr>
      <w:tr>
        <w:tc>
          <w:tcPr>
            <w:tcW w:type="dxa" w:w="2300"/>
          </w:tcPr>
          <w:p>
            <w:r>
              <w:rPr>
                <w:rFonts w:ascii="Times New Roman" w:hAnsi="Times New Roman"/>
                <w:b w:val="0"/>
                <w:sz w:val="22"/>
              </w:rPr>
              <w:t>Реестр ошибок</w:t>
            </w:r>
          </w:p>
        </w:tc>
        <w:tc>
          <w:tcPr>
            <w:tcW w:type="dxa" w:w="2300"/>
          </w:tcPr>
          <w:p>
            <w:r>
              <w:rPr>
                <w:rFonts w:ascii="Times New Roman" w:hAnsi="Times New Roman"/>
                <w:b w:val="0"/>
                <w:sz w:val="22"/>
              </w:rPr>
              <w:t>Фиксация причин отклонений и корректирующих действий</w:t>
            </w:r>
          </w:p>
        </w:tc>
        <w:tc>
          <w:tcPr>
            <w:tcW w:type="dxa" w:w="2300"/>
          </w:tcPr>
          <w:p>
            <w:r>
              <w:rPr>
                <w:rFonts w:ascii="Times New Roman" w:hAnsi="Times New Roman"/>
                <w:b w:val="0"/>
                <w:sz w:val="22"/>
              </w:rPr>
              <w:t>Повторяемость ошибок</w:t>
            </w:r>
          </w:p>
        </w:tc>
        <w:tc>
          <w:tcPr>
            <w:tcW w:type="dxa" w:w="2300"/>
          </w:tcPr>
          <w:p>
            <w:r>
              <w:rPr>
                <w:rFonts w:ascii="Times New Roman" w:hAnsi="Times New Roman"/>
                <w:b w:val="0"/>
                <w:sz w:val="22"/>
              </w:rPr>
              <w:t>Накопление организационного знания</w:t>
            </w:r>
          </w:p>
        </w:tc>
      </w:tr>
      <w:tr>
        <w:tc>
          <w:tcPr>
            <w:tcW w:type="dxa" w:w="2300"/>
          </w:tcPr>
          <w:p>
            <w:r>
              <w:rPr>
                <w:rFonts w:ascii="Times New Roman" w:hAnsi="Times New Roman"/>
                <w:b w:val="0"/>
                <w:sz w:val="22"/>
              </w:rPr>
              <w:t>Наставничество</w:t>
            </w:r>
          </w:p>
        </w:tc>
        <w:tc>
          <w:tcPr>
            <w:tcW w:type="dxa" w:w="2300"/>
          </w:tcPr>
          <w:p>
            <w:r>
              <w:rPr>
                <w:rFonts w:ascii="Times New Roman" w:hAnsi="Times New Roman"/>
                <w:b w:val="0"/>
                <w:sz w:val="22"/>
              </w:rPr>
              <w:t>2 наставника, сопровождение новичков</w:t>
            </w:r>
          </w:p>
        </w:tc>
        <w:tc>
          <w:tcPr>
            <w:tcW w:type="dxa" w:w="2300"/>
          </w:tcPr>
          <w:p>
            <w:r>
              <w:rPr>
                <w:rFonts w:ascii="Times New Roman" w:hAnsi="Times New Roman"/>
                <w:b w:val="0"/>
                <w:sz w:val="22"/>
              </w:rPr>
              <w:t>Потеря опыта при текучести</w:t>
            </w:r>
          </w:p>
        </w:tc>
        <w:tc>
          <w:tcPr>
            <w:tcW w:type="dxa" w:w="2300"/>
          </w:tcPr>
          <w:p>
            <w:r>
              <w:rPr>
                <w:rFonts w:ascii="Times New Roman" w:hAnsi="Times New Roman"/>
                <w:b w:val="0"/>
                <w:sz w:val="22"/>
              </w:rPr>
              <w:t>Передача практических знаний</w:t>
            </w:r>
          </w:p>
        </w:tc>
      </w:tr>
      <w:tr>
        <w:tc>
          <w:tcPr>
            <w:tcW w:type="dxa" w:w="2300"/>
          </w:tcPr>
          <w:p>
            <w:r>
              <w:rPr>
                <w:rFonts w:ascii="Times New Roman" w:hAnsi="Times New Roman"/>
                <w:b w:val="0"/>
                <w:sz w:val="22"/>
              </w:rPr>
              <w:t>Оценка эффективности</w:t>
            </w:r>
          </w:p>
        </w:tc>
        <w:tc>
          <w:tcPr>
            <w:tcW w:type="dxa" w:w="2300"/>
          </w:tcPr>
          <w:p>
            <w:r>
              <w:rPr>
                <w:rFonts w:ascii="Times New Roman" w:hAnsi="Times New Roman"/>
                <w:b w:val="0"/>
                <w:sz w:val="22"/>
              </w:rPr>
              <w:t>Тесты, KPI, анализ заявок, ROI</w:t>
            </w:r>
          </w:p>
        </w:tc>
        <w:tc>
          <w:tcPr>
            <w:tcW w:type="dxa" w:w="2300"/>
          </w:tcPr>
          <w:p>
            <w:r>
              <w:rPr>
                <w:rFonts w:ascii="Times New Roman" w:hAnsi="Times New Roman"/>
                <w:b w:val="0"/>
                <w:sz w:val="22"/>
              </w:rPr>
              <w:t>Нет контроля результата обучения</w:t>
            </w:r>
          </w:p>
        </w:tc>
        <w:tc>
          <w:tcPr>
            <w:tcW w:type="dxa" w:w="2300"/>
          </w:tcPr>
          <w:p>
            <w:r>
              <w:rPr>
                <w:rFonts w:ascii="Times New Roman" w:hAnsi="Times New Roman"/>
                <w:b w:val="0"/>
                <w:sz w:val="22"/>
              </w:rPr>
              <w:t>Измеримая связь обучения с результатами</w:t>
            </w:r>
          </w:p>
        </w:tc>
      </w:tr>
    </w:tbl>
    <w:p>
      <w:pPr>
        <w:spacing w:line="360" w:lineRule="auto" w:after="120"/>
        <w:ind w:firstLine="700"/>
      </w:pPr>
    </w:p>
    <w:p>
      <w:pPr>
        <w:spacing w:line="360" w:lineRule="auto" w:after="120"/>
        <w:ind w:firstLine="700"/>
      </w:pPr>
      <w:r>
        <w:rPr>
          <w:rFonts w:ascii="Times New Roman" w:hAnsi="Times New Roman"/>
          <w:b w:val="0"/>
          <w:sz w:val="28"/>
        </w:rPr>
        <w:t>Методические рекомендации по осуществлению управленческих процедур состоят в закреплении конкретного алгоритма. Генеральный директор утверждает положение о системе обучения тендерного отдела и бюджет. Руководитель отдела формирует календарь обучения, назначает наставников, утверждает чек-листы и контролирует базу знаний. Юрист отслеживает изменения законодательства и участвует в обновлении шаблонов. Системный администратор настраивает разделы в Битрикс24, права доступа и шаблоны задач. Бухгалтерия фиксирует затраты и помогает рассчитывать экономический эффект.</w:t>
      </w:r>
    </w:p>
    <w:p>
      <w:pPr>
        <w:spacing w:line="360" w:lineRule="auto" w:after="120"/>
        <w:ind w:firstLine="700"/>
      </w:pPr>
      <w:r>
        <w:rPr>
          <w:rFonts w:ascii="Times New Roman" w:hAnsi="Times New Roman"/>
          <w:b w:val="0"/>
          <w:sz w:val="28"/>
        </w:rPr>
        <w:t>Для адаптации решения к действующей системе управления важно не создавать параллельный контур документооборота. Все действия должны быть встроены в уже используемые процессы. Если заявка готовится в задаче Битрикс24, то чек-лист проверки должен находиться в этой же задаче. Если шаблон документа обновлен, ссылка на него должна заменяться в базе знаний, а не рассылаться отдельным сообщением в чате. Если ошибка выявлена, она фиксируется в реестре и обсуждается на ежемесячном разборе.</w:t>
      </w:r>
    </w:p>
    <w:p>
      <w:pPr>
        <w:spacing w:line="360" w:lineRule="auto" w:after="120"/>
        <w:ind w:firstLine="700"/>
      </w:pPr>
      <w:r>
        <w:rPr>
          <w:rFonts w:ascii="Times New Roman" w:hAnsi="Times New Roman"/>
          <w:b w:val="0"/>
          <w:sz w:val="28"/>
        </w:rPr>
        <w:t>Кадровое обеспечение проекта не требует найма нового специалиста. Основные роли распределяются между действующими работниками. Руководитель тендерного отдела выступает владельцем процесса. Два опытных специалиста выполняют функции наставников. Юрист на аутсорсинге участвует в проверке нормативных изменений. Системный администратор настраивает цифровые инструменты. Генеральный директор утверждает бюджет и контролирует достижение целевых показателей.</w:t>
      </w:r>
    </w:p>
    <w:p>
      <w:pPr>
        <w:spacing w:line="360" w:lineRule="auto" w:after="120"/>
        <w:ind w:firstLine="700"/>
      </w:pPr>
      <w:r>
        <w:rPr>
          <w:rFonts w:ascii="Times New Roman" w:hAnsi="Times New Roman"/>
          <w:b w:val="0"/>
          <w:sz w:val="28"/>
        </w:rPr>
        <w:t>Техническое обеспечение строится на трех инструментах: Битрикс24, LMS-платформа или раздел электронного обучения, а также справочно-правовые и нормативные источники. По данным открытых тарифов, iSpring Learn начинается от 214 руб. за пользователя в месяц [46]. Для ООО «Лайф Медиа» с учетом 17 пользователей годовая стоимость составит 43 656 руб. При необходимости компания может использовать Битрикс24 Стандарт, стоимость которого составляет 6 990 руб. в месяц при помесячной оплате или 4 893 руб. в месяц при годовой оплате [47]. Так как Битрикс24 уже используется, в расчет включается не новая подписка, а настройка базы знаний и бизнес-процессов.</w:t>
      </w:r>
    </w:p>
    <w:p>
      <w:pPr>
        <w:spacing w:line="360" w:lineRule="auto" w:after="120"/>
        <w:ind w:firstLine="700"/>
      </w:pPr>
      <w:r>
        <w:rPr>
          <w:rFonts w:ascii="Times New Roman" w:hAnsi="Times New Roman"/>
          <w:b w:val="0"/>
          <w:sz w:val="28"/>
        </w:rPr>
        <w:t>Организационно-экономическое обеспечение включает бюджет на внешние курсы, настройку цифровой среды, лицензии, мотивацию наставников и резерв на обновление материалов. При этом предлагаемый проект не требует крупных капитальных вложений, строительства учебного центра или приобретения оборудования. Он относится к организационно-цифровым мероприятиям, поэтому может быть реализован в течение трех месяцев.</w:t>
      </w:r>
    </w:p>
    <w:p>
      <w:pPr>
        <w:spacing w:line="360" w:lineRule="auto" w:after="120"/>
        <w:jc w:val="center"/>
      </w:pPr>
      <w:r>
        <w:rPr>
          <w:rFonts w:ascii="Times New Roman" w:hAnsi="Times New Roman"/>
          <w:b w:val="0"/>
          <w:sz w:val="28"/>
        </w:rPr>
        <w:t>Таблица 3.4. План внедрения системы обучения и развития тендерных специалистов</w:t>
      </w:r>
    </w:p>
    <w:tbl>
      <w:tblPr>
        <w:tblStyle w:val="6"/>
        <w:tblW w:type="auto" w:w="0"/>
        <w:tblLook w:firstColumn="1" w:firstRow="1" w:lastColumn="0" w:lastRow="0" w:noHBand="0" w:noVBand="1" w:val="04A0"/>
      </w:tblPr>
      <w:tblGrid>
        <w:gridCol w:w="2300"/>
        <w:gridCol w:w="2300"/>
        <w:gridCol w:w="2300"/>
        <w:gridCol w:w="2300"/>
      </w:tblGrid>
      <w:tr>
        <w:tc>
          <w:tcPr>
            <w:tcW w:type="dxa" w:w="2300"/>
          </w:tcPr>
          <w:p>
            <w:r>
              <w:rPr>
                <w:rFonts w:ascii="Times New Roman" w:hAnsi="Times New Roman"/>
                <w:b/>
                <w:sz w:val="22"/>
              </w:rPr>
              <w:t>Этап</w:t>
            </w:r>
          </w:p>
        </w:tc>
        <w:tc>
          <w:tcPr>
            <w:tcW w:type="dxa" w:w="2300"/>
          </w:tcPr>
          <w:p>
            <w:r>
              <w:rPr>
                <w:rFonts w:ascii="Times New Roman" w:hAnsi="Times New Roman"/>
                <w:b/>
                <w:sz w:val="22"/>
              </w:rPr>
              <w:t>Срок</w:t>
            </w:r>
          </w:p>
        </w:tc>
        <w:tc>
          <w:tcPr>
            <w:tcW w:type="dxa" w:w="2300"/>
          </w:tcPr>
          <w:p>
            <w:r>
              <w:rPr>
                <w:rFonts w:ascii="Times New Roman" w:hAnsi="Times New Roman"/>
                <w:b/>
                <w:sz w:val="22"/>
              </w:rPr>
              <w:t>Основные действия</w:t>
            </w:r>
          </w:p>
        </w:tc>
        <w:tc>
          <w:tcPr>
            <w:tcW w:type="dxa" w:w="2300"/>
          </w:tcPr>
          <w:p>
            <w:r>
              <w:rPr>
                <w:rFonts w:ascii="Times New Roman" w:hAnsi="Times New Roman"/>
                <w:b/>
                <w:sz w:val="22"/>
              </w:rPr>
              <w:t>Ответственные</w:t>
            </w:r>
          </w:p>
        </w:tc>
      </w:tr>
      <w:tr>
        <w:tc>
          <w:tcPr>
            <w:tcW w:type="dxa" w:w="2300"/>
          </w:tcPr>
          <w:p>
            <w:r>
              <w:rPr>
                <w:rFonts w:ascii="Times New Roman" w:hAnsi="Times New Roman"/>
                <w:b w:val="0"/>
                <w:sz w:val="22"/>
              </w:rPr>
              <w:t>1. Подготовка</w:t>
            </w:r>
          </w:p>
        </w:tc>
        <w:tc>
          <w:tcPr>
            <w:tcW w:type="dxa" w:w="2300"/>
          </w:tcPr>
          <w:p>
            <w:r>
              <w:rPr>
                <w:rFonts w:ascii="Times New Roman" w:hAnsi="Times New Roman"/>
                <w:b w:val="0"/>
                <w:sz w:val="22"/>
              </w:rPr>
              <w:t>1-2 неделя</w:t>
            </w:r>
          </w:p>
        </w:tc>
        <w:tc>
          <w:tcPr>
            <w:tcW w:type="dxa" w:w="2300"/>
          </w:tcPr>
          <w:p>
            <w:r>
              <w:rPr>
                <w:rFonts w:ascii="Times New Roman" w:hAnsi="Times New Roman"/>
                <w:b w:val="0"/>
                <w:sz w:val="22"/>
              </w:rPr>
              <w:t>Утверждение бюджета, назначение ответственных, аудит шаблонов</w:t>
            </w:r>
          </w:p>
        </w:tc>
        <w:tc>
          <w:tcPr>
            <w:tcW w:type="dxa" w:w="2300"/>
          </w:tcPr>
          <w:p>
            <w:r>
              <w:rPr>
                <w:rFonts w:ascii="Times New Roman" w:hAnsi="Times New Roman"/>
                <w:b w:val="0"/>
                <w:sz w:val="22"/>
              </w:rPr>
              <w:t>Генеральный директор, руководитель отдела</w:t>
            </w:r>
          </w:p>
        </w:tc>
      </w:tr>
      <w:tr>
        <w:tc>
          <w:tcPr>
            <w:tcW w:type="dxa" w:w="2300"/>
          </w:tcPr>
          <w:p>
            <w:r>
              <w:rPr>
                <w:rFonts w:ascii="Times New Roman" w:hAnsi="Times New Roman"/>
                <w:b w:val="0"/>
                <w:sz w:val="22"/>
              </w:rPr>
              <w:t>2. Настройка базы знаний</w:t>
            </w:r>
          </w:p>
        </w:tc>
        <w:tc>
          <w:tcPr>
            <w:tcW w:type="dxa" w:w="2300"/>
          </w:tcPr>
          <w:p>
            <w:r>
              <w:rPr>
                <w:rFonts w:ascii="Times New Roman" w:hAnsi="Times New Roman"/>
                <w:b w:val="0"/>
                <w:sz w:val="22"/>
              </w:rPr>
              <w:t>3-4 неделя</w:t>
            </w:r>
          </w:p>
        </w:tc>
        <w:tc>
          <w:tcPr>
            <w:tcW w:type="dxa" w:w="2300"/>
          </w:tcPr>
          <w:p>
            <w:r>
              <w:rPr>
                <w:rFonts w:ascii="Times New Roman" w:hAnsi="Times New Roman"/>
                <w:b w:val="0"/>
                <w:sz w:val="22"/>
              </w:rPr>
              <w:t>Создание разделов, перенос актуальных документов, права доступа</w:t>
            </w:r>
          </w:p>
        </w:tc>
        <w:tc>
          <w:tcPr>
            <w:tcW w:type="dxa" w:w="2300"/>
          </w:tcPr>
          <w:p>
            <w:r>
              <w:rPr>
                <w:rFonts w:ascii="Times New Roman" w:hAnsi="Times New Roman"/>
                <w:b w:val="0"/>
                <w:sz w:val="22"/>
              </w:rPr>
              <w:t>Системный администратор, руководитель отдела</w:t>
            </w:r>
          </w:p>
        </w:tc>
      </w:tr>
      <w:tr>
        <w:tc>
          <w:tcPr>
            <w:tcW w:type="dxa" w:w="2300"/>
          </w:tcPr>
          <w:p>
            <w:r>
              <w:rPr>
                <w:rFonts w:ascii="Times New Roman" w:hAnsi="Times New Roman"/>
                <w:b w:val="0"/>
                <w:sz w:val="22"/>
              </w:rPr>
              <w:t>3. Разработка процедур</w:t>
            </w:r>
          </w:p>
        </w:tc>
        <w:tc>
          <w:tcPr>
            <w:tcW w:type="dxa" w:w="2300"/>
          </w:tcPr>
          <w:p>
            <w:r>
              <w:rPr>
                <w:rFonts w:ascii="Times New Roman" w:hAnsi="Times New Roman"/>
                <w:b w:val="0"/>
                <w:sz w:val="22"/>
              </w:rPr>
              <w:t>5-6 неделя</w:t>
            </w:r>
          </w:p>
        </w:tc>
        <w:tc>
          <w:tcPr>
            <w:tcW w:type="dxa" w:w="2300"/>
          </w:tcPr>
          <w:p>
            <w:r>
              <w:rPr>
                <w:rFonts w:ascii="Times New Roman" w:hAnsi="Times New Roman"/>
                <w:b w:val="0"/>
                <w:sz w:val="22"/>
              </w:rPr>
              <w:t>Чек-лист заявки, реестр ошибок, адаптационный маршрут</w:t>
            </w:r>
          </w:p>
        </w:tc>
        <w:tc>
          <w:tcPr>
            <w:tcW w:type="dxa" w:w="2300"/>
          </w:tcPr>
          <w:p>
            <w:r>
              <w:rPr>
                <w:rFonts w:ascii="Times New Roman" w:hAnsi="Times New Roman"/>
                <w:b w:val="0"/>
                <w:sz w:val="22"/>
              </w:rPr>
              <w:t>Руководитель отдела, юрист</w:t>
            </w:r>
          </w:p>
        </w:tc>
      </w:tr>
      <w:tr>
        <w:tc>
          <w:tcPr>
            <w:tcW w:type="dxa" w:w="2300"/>
          </w:tcPr>
          <w:p>
            <w:r>
              <w:rPr>
                <w:rFonts w:ascii="Times New Roman" w:hAnsi="Times New Roman"/>
                <w:b w:val="0"/>
                <w:sz w:val="22"/>
              </w:rPr>
              <w:t>4. Внешнее обучение</w:t>
            </w:r>
          </w:p>
        </w:tc>
        <w:tc>
          <w:tcPr>
            <w:tcW w:type="dxa" w:w="2300"/>
          </w:tcPr>
          <w:p>
            <w:r>
              <w:rPr>
                <w:rFonts w:ascii="Times New Roman" w:hAnsi="Times New Roman"/>
                <w:b w:val="0"/>
                <w:sz w:val="22"/>
              </w:rPr>
              <w:t>7-10 неделя</w:t>
            </w:r>
          </w:p>
        </w:tc>
        <w:tc>
          <w:tcPr>
            <w:tcW w:type="dxa" w:w="2300"/>
          </w:tcPr>
          <w:p>
            <w:r>
              <w:rPr>
                <w:rFonts w:ascii="Times New Roman" w:hAnsi="Times New Roman"/>
                <w:b w:val="0"/>
                <w:sz w:val="22"/>
              </w:rPr>
              <w:t>Курсы 44-ФЗ и 223-ФЗ, промежуточное тестирование</w:t>
            </w:r>
          </w:p>
        </w:tc>
        <w:tc>
          <w:tcPr>
            <w:tcW w:type="dxa" w:w="2300"/>
          </w:tcPr>
          <w:p>
            <w:r>
              <w:rPr>
                <w:rFonts w:ascii="Times New Roman" w:hAnsi="Times New Roman"/>
                <w:b w:val="0"/>
                <w:sz w:val="22"/>
              </w:rPr>
              <w:t>Все специалисты отдела</w:t>
            </w:r>
          </w:p>
        </w:tc>
      </w:tr>
      <w:tr>
        <w:tc>
          <w:tcPr>
            <w:tcW w:type="dxa" w:w="2300"/>
          </w:tcPr>
          <w:p>
            <w:r>
              <w:rPr>
                <w:rFonts w:ascii="Times New Roman" w:hAnsi="Times New Roman"/>
                <w:b w:val="0"/>
                <w:sz w:val="22"/>
              </w:rPr>
              <w:t>5. Запуск наставничества</w:t>
            </w:r>
          </w:p>
        </w:tc>
        <w:tc>
          <w:tcPr>
            <w:tcW w:type="dxa" w:w="2300"/>
          </w:tcPr>
          <w:p>
            <w:r>
              <w:rPr>
                <w:rFonts w:ascii="Times New Roman" w:hAnsi="Times New Roman"/>
                <w:b w:val="0"/>
                <w:sz w:val="22"/>
              </w:rPr>
              <w:t>7-12 неделя</w:t>
            </w:r>
          </w:p>
        </w:tc>
        <w:tc>
          <w:tcPr>
            <w:tcW w:type="dxa" w:w="2300"/>
          </w:tcPr>
          <w:p>
            <w:r>
              <w:rPr>
                <w:rFonts w:ascii="Times New Roman" w:hAnsi="Times New Roman"/>
                <w:b w:val="0"/>
                <w:sz w:val="22"/>
              </w:rPr>
              <w:t>Назначение наставников, сопровождение новичков, проверка кейсов</w:t>
            </w:r>
          </w:p>
        </w:tc>
        <w:tc>
          <w:tcPr>
            <w:tcW w:type="dxa" w:w="2300"/>
          </w:tcPr>
          <w:p>
            <w:r>
              <w:rPr>
                <w:rFonts w:ascii="Times New Roman" w:hAnsi="Times New Roman"/>
                <w:b w:val="0"/>
                <w:sz w:val="22"/>
              </w:rPr>
              <w:t>Руководитель отдела, наставники</w:t>
            </w:r>
          </w:p>
        </w:tc>
      </w:tr>
      <w:tr>
        <w:tc>
          <w:tcPr>
            <w:tcW w:type="dxa" w:w="2300"/>
          </w:tcPr>
          <w:p>
            <w:r>
              <w:rPr>
                <w:rFonts w:ascii="Times New Roman" w:hAnsi="Times New Roman"/>
                <w:b w:val="0"/>
                <w:sz w:val="22"/>
              </w:rPr>
              <w:t>6. Пилотное применение</w:t>
            </w:r>
          </w:p>
        </w:tc>
        <w:tc>
          <w:tcPr>
            <w:tcW w:type="dxa" w:w="2300"/>
          </w:tcPr>
          <w:p>
            <w:r>
              <w:rPr>
                <w:rFonts w:ascii="Times New Roman" w:hAnsi="Times New Roman"/>
                <w:b w:val="0"/>
                <w:sz w:val="22"/>
              </w:rPr>
              <w:t>11-12 неделя</w:t>
            </w:r>
          </w:p>
        </w:tc>
        <w:tc>
          <w:tcPr>
            <w:tcW w:type="dxa" w:w="2300"/>
          </w:tcPr>
          <w:p>
            <w:r>
              <w:rPr>
                <w:rFonts w:ascii="Times New Roman" w:hAnsi="Times New Roman"/>
                <w:b w:val="0"/>
                <w:sz w:val="22"/>
              </w:rPr>
              <w:t>Использование чек-листов на реальных заявках, фиксация ошибок</w:t>
            </w:r>
          </w:p>
        </w:tc>
        <w:tc>
          <w:tcPr>
            <w:tcW w:type="dxa" w:w="2300"/>
          </w:tcPr>
          <w:p>
            <w:r>
              <w:rPr>
                <w:rFonts w:ascii="Times New Roman" w:hAnsi="Times New Roman"/>
                <w:b w:val="0"/>
                <w:sz w:val="22"/>
              </w:rPr>
              <w:t>Тендерный отдел</w:t>
            </w:r>
          </w:p>
        </w:tc>
      </w:tr>
      <w:tr>
        <w:tc>
          <w:tcPr>
            <w:tcW w:type="dxa" w:w="2300"/>
          </w:tcPr>
          <w:p>
            <w:r>
              <w:rPr>
                <w:rFonts w:ascii="Times New Roman" w:hAnsi="Times New Roman"/>
                <w:b w:val="0"/>
                <w:sz w:val="22"/>
              </w:rPr>
              <w:t>7. Оценка результатов</w:t>
            </w:r>
          </w:p>
        </w:tc>
        <w:tc>
          <w:tcPr>
            <w:tcW w:type="dxa" w:w="2300"/>
          </w:tcPr>
          <w:p>
            <w:r>
              <w:rPr>
                <w:rFonts w:ascii="Times New Roman" w:hAnsi="Times New Roman"/>
                <w:b w:val="0"/>
                <w:sz w:val="22"/>
              </w:rPr>
              <w:t>Конец 3 месяца</w:t>
            </w:r>
          </w:p>
        </w:tc>
        <w:tc>
          <w:tcPr>
            <w:tcW w:type="dxa" w:w="2300"/>
          </w:tcPr>
          <w:p>
            <w:r>
              <w:rPr>
                <w:rFonts w:ascii="Times New Roman" w:hAnsi="Times New Roman"/>
                <w:b w:val="0"/>
                <w:sz w:val="22"/>
              </w:rPr>
              <w:t>Тестирование, анализ первых показателей, корректировка материалов</w:t>
            </w:r>
          </w:p>
        </w:tc>
        <w:tc>
          <w:tcPr>
            <w:tcW w:type="dxa" w:w="2300"/>
          </w:tcPr>
          <w:p>
            <w:r>
              <w:rPr>
                <w:rFonts w:ascii="Times New Roman" w:hAnsi="Times New Roman"/>
                <w:b w:val="0"/>
                <w:sz w:val="22"/>
              </w:rPr>
              <w:t>Руководитель отдела, бухгалтерия</w:t>
            </w:r>
          </w:p>
        </w:tc>
      </w:tr>
    </w:tbl>
    <w:p>
      <w:pPr>
        <w:spacing w:line="360" w:lineRule="auto" w:after="120"/>
        <w:ind w:firstLine="700"/>
      </w:pPr>
    </w:p>
    <w:p>
      <w:pPr>
        <w:spacing w:line="360" w:lineRule="auto" w:after="120"/>
        <w:jc w:val="center"/>
      </w:pPr>
      <w:r>
        <w:rPr>
          <w:rFonts w:ascii="Times New Roman" w:hAnsi="Times New Roman"/>
          <w:b w:val="0"/>
          <w:sz w:val="28"/>
        </w:rPr>
        <w:t>Таблица 3.5. Бюджет внедрения предлагаемых мероприятий</w:t>
      </w:r>
    </w:p>
    <w:tbl>
      <w:tblPr>
        <w:tblStyle w:val="6"/>
        <w:tblW w:type="auto" w:w="0"/>
        <w:tblLook w:firstColumn="1" w:firstRow="1" w:lastColumn="0" w:lastRow="0" w:noHBand="0" w:noVBand="1" w:val="04A0"/>
      </w:tblPr>
      <w:tblGrid>
        <w:gridCol w:w="2300"/>
        <w:gridCol w:w="2300"/>
        <w:gridCol w:w="2300"/>
        <w:gridCol w:w="2300"/>
      </w:tblGrid>
      <w:tr>
        <w:tc>
          <w:tcPr>
            <w:tcW w:type="dxa" w:w="2300"/>
          </w:tcPr>
          <w:p>
            <w:r>
              <w:rPr>
                <w:rFonts w:ascii="Times New Roman" w:hAnsi="Times New Roman"/>
                <w:b/>
                <w:sz w:val="22"/>
              </w:rPr>
              <w:t>Статья затрат</w:t>
            </w:r>
          </w:p>
        </w:tc>
        <w:tc>
          <w:tcPr>
            <w:tcW w:type="dxa" w:w="2300"/>
          </w:tcPr>
          <w:p>
            <w:r>
              <w:rPr>
                <w:rFonts w:ascii="Times New Roman" w:hAnsi="Times New Roman"/>
                <w:b/>
                <w:sz w:val="22"/>
              </w:rPr>
              <w:t>Расчет</w:t>
            </w:r>
          </w:p>
        </w:tc>
        <w:tc>
          <w:tcPr>
            <w:tcW w:type="dxa" w:w="2300"/>
          </w:tcPr>
          <w:p>
            <w:r>
              <w:rPr>
                <w:rFonts w:ascii="Times New Roman" w:hAnsi="Times New Roman"/>
                <w:b/>
                <w:sz w:val="22"/>
              </w:rPr>
              <w:t>Сумма, руб.</w:t>
            </w:r>
          </w:p>
        </w:tc>
        <w:tc>
          <w:tcPr>
            <w:tcW w:type="dxa" w:w="2300"/>
          </w:tcPr>
          <w:p>
            <w:r>
              <w:rPr>
                <w:rFonts w:ascii="Times New Roman" w:hAnsi="Times New Roman"/>
                <w:b/>
                <w:sz w:val="22"/>
              </w:rPr>
              <w:t>Источник стоимости</w:t>
            </w:r>
          </w:p>
        </w:tc>
      </w:tr>
      <w:tr>
        <w:tc>
          <w:tcPr>
            <w:tcW w:type="dxa" w:w="2300"/>
          </w:tcPr>
          <w:p>
            <w:r>
              <w:rPr>
                <w:rFonts w:ascii="Times New Roman" w:hAnsi="Times New Roman"/>
                <w:b w:val="0"/>
                <w:sz w:val="22"/>
              </w:rPr>
              <w:t>Курс повышения квалификации по 44-ФЗ</w:t>
            </w:r>
          </w:p>
        </w:tc>
        <w:tc>
          <w:tcPr>
            <w:tcW w:type="dxa" w:w="2300"/>
          </w:tcPr>
          <w:p>
            <w:r>
              <w:rPr>
                <w:rFonts w:ascii="Times New Roman" w:hAnsi="Times New Roman"/>
                <w:b w:val="0"/>
                <w:sz w:val="22"/>
              </w:rPr>
              <w:t>18 000 руб. × 8 сотрудников</w:t>
            </w:r>
          </w:p>
        </w:tc>
        <w:tc>
          <w:tcPr>
            <w:tcW w:type="dxa" w:w="2300"/>
          </w:tcPr>
          <w:p>
            <w:r>
              <w:rPr>
                <w:rFonts w:ascii="Times New Roman" w:hAnsi="Times New Roman"/>
                <w:b w:val="0"/>
                <w:sz w:val="22"/>
              </w:rPr>
              <w:t>144 000</w:t>
            </w:r>
          </w:p>
        </w:tc>
        <w:tc>
          <w:tcPr>
            <w:tcW w:type="dxa" w:w="2300"/>
          </w:tcPr>
          <w:p>
            <w:r>
              <w:rPr>
                <w:rFonts w:ascii="Times New Roman" w:hAnsi="Times New Roman"/>
                <w:b w:val="0"/>
                <w:sz w:val="22"/>
              </w:rPr>
              <w:t>Контур.Школа [45]</w:t>
            </w:r>
          </w:p>
        </w:tc>
      </w:tr>
      <w:tr>
        <w:tc>
          <w:tcPr>
            <w:tcW w:type="dxa" w:w="2300"/>
          </w:tcPr>
          <w:p>
            <w:r>
              <w:rPr>
                <w:rFonts w:ascii="Times New Roman" w:hAnsi="Times New Roman"/>
                <w:b w:val="0"/>
                <w:sz w:val="22"/>
              </w:rPr>
              <w:t>Курс повышения квалификации по 223-ФЗ</w:t>
            </w:r>
          </w:p>
        </w:tc>
        <w:tc>
          <w:tcPr>
            <w:tcW w:type="dxa" w:w="2300"/>
          </w:tcPr>
          <w:p>
            <w:r>
              <w:rPr>
                <w:rFonts w:ascii="Times New Roman" w:hAnsi="Times New Roman"/>
                <w:b w:val="0"/>
                <w:sz w:val="22"/>
              </w:rPr>
              <w:t>16 000 руб. × 8 сотрудников</w:t>
            </w:r>
          </w:p>
        </w:tc>
        <w:tc>
          <w:tcPr>
            <w:tcW w:type="dxa" w:w="2300"/>
          </w:tcPr>
          <w:p>
            <w:r>
              <w:rPr>
                <w:rFonts w:ascii="Times New Roman" w:hAnsi="Times New Roman"/>
                <w:b w:val="0"/>
                <w:sz w:val="22"/>
              </w:rPr>
              <w:t>128 000</w:t>
            </w:r>
          </w:p>
        </w:tc>
        <w:tc>
          <w:tcPr>
            <w:tcW w:type="dxa" w:w="2300"/>
          </w:tcPr>
          <w:p>
            <w:r>
              <w:rPr>
                <w:rFonts w:ascii="Times New Roman" w:hAnsi="Times New Roman"/>
                <w:b w:val="0"/>
                <w:sz w:val="22"/>
              </w:rPr>
              <w:t>Контур.Школа [45]</w:t>
            </w:r>
          </w:p>
        </w:tc>
      </w:tr>
      <w:tr>
        <w:tc>
          <w:tcPr>
            <w:tcW w:type="dxa" w:w="2300"/>
          </w:tcPr>
          <w:p>
            <w:r>
              <w:rPr>
                <w:rFonts w:ascii="Times New Roman" w:hAnsi="Times New Roman"/>
                <w:b w:val="0"/>
                <w:sz w:val="22"/>
              </w:rPr>
              <w:t>LMS iSpring Learn</w:t>
            </w:r>
          </w:p>
        </w:tc>
        <w:tc>
          <w:tcPr>
            <w:tcW w:type="dxa" w:w="2300"/>
          </w:tcPr>
          <w:p>
            <w:r>
              <w:rPr>
                <w:rFonts w:ascii="Times New Roman" w:hAnsi="Times New Roman"/>
                <w:b w:val="0"/>
                <w:sz w:val="22"/>
              </w:rPr>
              <w:t>214 руб. × 17 пользователей × 12 мес.</w:t>
            </w:r>
          </w:p>
        </w:tc>
        <w:tc>
          <w:tcPr>
            <w:tcW w:type="dxa" w:w="2300"/>
          </w:tcPr>
          <w:p>
            <w:r>
              <w:rPr>
                <w:rFonts w:ascii="Times New Roman" w:hAnsi="Times New Roman"/>
                <w:b w:val="0"/>
                <w:sz w:val="22"/>
              </w:rPr>
              <w:t>43 656</w:t>
            </w:r>
          </w:p>
        </w:tc>
        <w:tc>
          <w:tcPr>
            <w:tcW w:type="dxa" w:w="2300"/>
          </w:tcPr>
          <w:p>
            <w:r>
              <w:rPr>
                <w:rFonts w:ascii="Times New Roman" w:hAnsi="Times New Roman"/>
                <w:b w:val="0"/>
                <w:sz w:val="22"/>
              </w:rPr>
              <w:t>iSpring Learn [46]</w:t>
            </w:r>
          </w:p>
        </w:tc>
      </w:tr>
      <w:tr>
        <w:tc>
          <w:tcPr>
            <w:tcW w:type="dxa" w:w="2300"/>
          </w:tcPr>
          <w:p>
            <w:r>
              <w:rPr>
                <w:rFonts w:ascii="Times New Roman" w:hAnsi="Times New Roman"/>
                <w:b w:val="0"/>
                <w:sz w:val="22"/>
              </w:rPr>
              <w:t>Настройка Битрикс24 и базы знаний</w:t>
            </w:r>
          </w:p>
        </w:tc>
        <w:tc>
          <w:tcPr>
            <w:tcW w:type="dxa" w:w="2300"/>
          </w:tcPr>
          <w:p>
            <w:r>
              <w:rPr>
                <w:rFonts w:ascii="Times New Roman" w:hAnsi="Times New Roman"/>
                <w:b w:val="0"/>
                <w:sz w:val="22"/>
              </w:rPr>
              <w:t>Средний пакет настройки для малого бизнеса</w:t>
            </w:r>
          </w:p>
        </w:tc>
        <w:tc>
          <w:tcPr>
            <w:tcW w:type="dxa" w:w="2300"/>
          </w:tcPr>
          <w:p>
            <w:r>
              <w:rPr>
                <w:rFonts w:ascii="Times New Roman" w:hAnsi="Times New Roman"/>
                <w:b w:val="0"/>
                <w:sz w:val="22"/>
              </w:rPr>
              <w:t>60 000</w:t>
            </w:r>
          </w:p>
        </w:tc>
        <w:tc>
          <w:tcPr>
            <w:tcW w:type="dxa" w:w="2300"/>
          </w:tcPr>
          <w:p>
            <w:r>
              <w:rPr>
                <w:rFonts w:ascii="Times New Roman" w:hAnsi="Times New Roman"/>
                <w:b w:val="0"/>
                <w:sz w:val="22"/>
              </w:rPr>
              <w:t>Рыночный диапазон 35 000-80 000 руб. [48]</w:t>
            </w:r>
          </w:p>
        </w:tc>
      </w:tr>
      <w:tr>
        <w:tc>
          <w:tcPr>
            <w:tcW w:type="dxa" w:w="2300"/>
          </w:tcPr>
          <w:p>
            <w:r>
              <w:rPr>
                <w:rFonts w:ascii="Times New Roman" w:hAnsi="Times New Roman"/>
                <w:b w:val="0"/>
                <w:sz w:val="22"/>
              </w:rPr>
              <w:t>КриптоПро CSP для учебных рабочих мест</w:t>
            </w:r>
          </w:p>
        </w:tc>
        <w:tc>
          <w:tcPr>
            <w:tcW w:type="dxa" w:w="2300"/>
          </w:tcPr>
          <w:p>
            <w:r>
              <w:rPr>
                <w:rFonts w:ascii="Times New Roman" w:hAnsi="Times New Roman"/>
                <w:b w:val="0"/>
                <w:sz w:val="22"/>
              </w:rPr>
              <w:t>1 850 руб. × 8 лицензий</w:t>
            </w:r>
          </w:p>
        </w:tc>
        <w:tc>
          <w:tcPr>
            <w:tcW w:type="dxa" w:w="2300"/>
          </w:tcPr>
          <w:p>
            <w:r>
              <w:rPr>
                <w:rFonts w:ascii="Times New Roman" w:hAnsi="Times New Roman"/>
                <w:b w:val="0"/>
                <w:sz w:val="22"/>
              </w:rPr>
              <w:t>14 800</w:t>
            </w:r>
          </w:p>
        </w:tc>
        <w:tc>
          <w:tcPr>
            <w:tcW w:type="dxa" w:w="2300"/>
          </w:tcPr>
          <w:p>
            <w:r>
              <w:rPr>
                <w:rFonts w:ascii="Times New Roman" w:hAnsi="Times New Roman"/>
                <w:b w:val="0"/>
                <w:sz w:val="22"/>
              </w:rPr>
              <w:t>Прайс КриптоПро [49]</w:t>
            </w:r>
          </w:p>
        </w:tc>
      </w:tr>
      <w:tr>
        <w:tc>
          <w:tcPr>
            <w:tcW w:type="dxa" w:w="2300"/>
          </w:tcPr>
          <w:p>
            <w:r>
              <w:rPr>
                <w:rFonts w:ascii="Times New Roman" w:hAnsi="Times New Roman"/>
                <w:b w:val="0"/>
                <w:sz w:val="22"/>
              </w:rPr>
              <w:t>Премия наставникам</w:t>
            </w:r>
          </w:p>
        </w:tc>
        <w:tc>
          <w:tcPr>
            <w:tcW w:type="dxa" w:w="2300"/>
          </w:tcPr>
          <w:p>
            <w:r>
              <w:rPr>
                <w:rFonts w:ascii="Times New Roman" w:hAnsi="Times New Roman"/>
                <w:b w:val="0"/>
                <w:sz w:val="22"/>
              </w:rPr>
              <w:t>5 000 руб. × 2 наставника × 6 мес.</w:t>
            </w:r>
          </w:p>
        </w:tc>
        <w:tc>
          <w:tcPr>
            <w:tcW w:type="dxa" w:w="2300"/>
          </w:tcPr>
          <w:p>
            <w:r>
              <w:rPr>
                <w:rFonts w:ascii="Times New Roman" w:hAnsi="Times New Roman"/>
                <w:b w:val="0"/>
                <w:sz w:val="22"/>
              </w:rPr>
              <w:t>60 000</w:t>
            </w:r>
          </w:p>
        </w:tc>
        <w:tc>
          <w:tcPr>
            <w:tcW w:type="dxa" w:w="2300"/>
          </w:tcPr>
          <w:p>
            <w:r>
              <w:rPr>
                <w:rFonts w:ascii="Times New Roman" w:hAnsi="Times New Roman"/>
                <w:b w:val="0"/>
                <w:sz w:val="22"/>
              </w:rPr>
              <w:t>Внутреннее положение о премировании</w:t>
            </w:r>
          </w:p>
        </w:tc>
      </w:tr>
      <w:tr>
        <w:tc>
          <w:tcPr>
            <w:tcW w:type="dxa" w:w="2300"/>
          </w:tcPr>
          <w:p>
            <w:r>
              <w:rPr>
                <w:rFonts w:ascii="Times New Roman" w:hAnsi="Times New Roman"/>
                <w:b w:val="0"/>
                <w:sz w:val="22"/>
              </w:rPr>
              <w:t>Резерв на обновление материалов</w:t>
            </w:r>
          </w:p>
        </w:tc>
        <w:tc>
          <w:tcPr>
            <w:tcW w:type="dxa" w:w="2300"/>
          </w:tcPr>
          <w:p>
            <w:r>
              <w:rPr>
                <w:rFonts w:ascii="Times New Roman" w:hAnsi="Times New Roman"/>
                <w:b w:val="0"/>
                <w:sz w:val="22"/>
              </w:rPr>
              <w:t>Около 5% от прямых затрат</w:t>
            </w:r>
          </w:p>
        </w:tc>
        <w:tc>
          <w:tcPr>
            <w:tcW w:type="dxa" w:w="2300"/>
          </w:tcPr>
          <w:p>
            <w:r>
              <w:rPr>
                <w:rFonts w:ascii="Times New Roman" w:hAnsi="Times New Roman"/>
                <w:b w:val="0"/>
                <w:sz w:val="22"/>
              </w:rPr>
              <w:t>24 000</w:t>
            </w:r>
          </w:p>
        </w:tc>
        <w:tc>
          <w:tcPr>
            <w:tcW w:type="dxa" w:w="2300"/>
          </w:tcPr>
          <w:p>
            <w:r>
              <w:rPr>
                <w:rFonts w:ascii="Times New Roman" w:hAnsi="Times New Roman"/>
                <w:b w:val="0"/>
                <w:sz w:val="22"/>
              </w:rPr>
              <w:t>Расчет автора</w:t>
            </w:r>
          </w:p>
        </w:tc>
      </w:tr>
      <w:tr>
        <w:tc>
          <w:tcPr>
            <w:tcW w:type="dxa" w:w="2300"/>
          </w:tcPr>
          <w:p>
            <w:r>
              <w:rPr>
                <w:rFonts w:ascii="Times New Roman" w:hAnsi="Times New Roman"/>
                <w:b w:val="0"/>
                <w:sz w:val="22"/>
              </w:rPr>
              <w:t>Итого первоначальные затраты</w:t>
            </w:r>
          </w:p>
        </w:tc>
        <w:tc>
          <w:tcPr>
            <w:tcW w:type="dxa" w:w="2300"/>
          </w:tcPr>
          <w:p>
            <w:r>
              <w:rPr>
                <w:rFonts w:ascii="Times New Roman" w:hAnsi="Times New Roman"/>
                <w:b w:val="0"/>
                <w:sz w:val="22"/>
              </w:rPr>
              <w:t>-</w:t>
            </w:r>
          </w:p>
        </w:tc>
        <w:tc>
          <w:tcPr>
            <w:tcW w:type="dxa" w:w="2300"/>
          </w:tcPr>
          <w:p>
            <w:r>
              <w:rPr>
                <w:rFonts w:ascii="Times New Roman" w:hAnsi="Times New Roman"/>
                <w:b w:val="0"/>
                <w:sz w:val="22"/>
              </w:rPr>
              <w:t>474 456</w:t>
            </w:r>
          </w:p>
        </w:tc>
        <w:tc>
          <w:tcPr>
            <w:tcW w:type="dxa" w:w="2300"/>
          </w:tcPr>
          <w:p>
            <w:r>
              <w:rPr>
                <w:rFonts w:ascii="Times New Roman" w:hAnsi="Times New Roman"/>
                <w:b w:val="0"/>
                <w:sz w:val="22"/>
              </w:rPr>
              <w:t>-</w:t>
            </w:r>
          </w:p>
        </w:tc>
      </w:tr>
    </w:tbl>
    <w:p>
      <w:pPr>
        <w:spacing w:line="360" w:lineRule="auto" w:after="120"/>
        <w:ind w:firstLine="700"/>
      </w:pPr>
    </w:p>
    <w:p>
      <w:pPr>
        <w:spacing w:line="360" w:lineRule="auto" w:after="120"/>
        <w:ind w:firstLine="700"/>
      </w:pPr>
      <w:r>
        <w:rPr>
          <w:rFonts w:ascii="Times New Roman" w:hAnsi="Times New Roman"/>
          <w:b w:val="0"/>
          <w:sz w:val="28"/>
        </w:rPr>
        <w:t>В расчет бюджета не включается стоимость подписки Битрикс24 как новая статья, поскольку система уже используется компанией. Если бы организация приобретала тариф заново, ориентиром мог бы выступать тариф «Стандарт» стоимостью 6 990 руб. в месяц или 4 893 руб. в месяц при оплате за год [47]. Однако для рассматриваемого проекта релевантной является именно настройка базы знаний и шаблонов процессов.</w:t>
      </w:r>
    </w:p>
    <w:p>
      <w:pPr>
        <w:spacing w:line="360" w:lineRule="auto" w:after="120"/>
        <w:ind w:firstLine="700"/>
      </w:pPr>
      <w:r>
        <w:rPr>
          <w:rFonts w:ascii="Times New Roman" w:hAnsi="Times New Roman"/>
          <w:b w:val="0"/>
          <w:sz w:val="28"/>
        </w:rPr>
        <w:t>По сравнению с текущими затратами на обучение в размере 45 тыс. руб. в год предлагаемый бюджет значительно выше. Однако такое увеличение обосновано тем, что текущие расходы носят формальный характер и не создают устойчивой системы. Новые затраты направлены не только на покупку курсов, но и на создание внутренней инфраструктуры, которая будет использоваться повторно. После первого года расходы снизятся, так как база знаний, чек-листы, реестр ошибок и адаптационный маршрут уже будут созданы.</w:t>
      </w:r>
    </w:p>
    <w:p>
      <w:pPr>
        <w:spacing w:line="360" w:lineRule="auto" w:after="120"/>
        <w:ind w:firstLine="700"/>
      </w:pPr>
      <w:r>
        <w:rPr>
          <w:rFonts w:ascii="Times New Roman" w:hAnsi="Times New Roman"/>
          <w:b w:val="0"/>
          <w:sz w:val="28"/>
        </w:rPr>
        <w:t>Операционные расходы второго и третьего года будут состоять из продления LMS, премий наставникам, обновления материалов и выборочного обучения по изменениям законодательства. В расчетах принимается, что ежегодные поддерживающие расходы составят 154 тыс. руб.: 43,7 тыс. руб. на LMS, 60 тыс. руб. на наставников и около 50 тыс. руб. на обновление материалов и краткие внешние вебинары.</w:t>
      </w:r>
    </w:p>
    <w:p>
      <w:pPr>
        <w:spacing w:line="360" w:lineRule="auto" w:after="120"/>
        <w:jc w:val="center"/>
      </w:pPr>
      <w:r>
        <w:rPr>
          <w:rFonts w:ascii="Times New Roman" w:hAnsi="Times New Roman"/>
          <w:b w:val="0"/>
          <w:sz w:val="28"/>
        </w:rPr>
        <w:t>Таблица 3.6. Матрица компетенций тендерного специалиста после внедрения системы обучения</w:t>
      </w:r>
    </w:p>
    <w:tbl>
      <w:tblPr>
        <w:tblStyle w:val="6"/>
        <w:tblW w:type="auto" w:w="0"/>
        <w:tblLook w:firstColumn="1" w:firstRow="1" w:lastColumn="0" w:lastRow="0" w:noHBand="0" w:noVBand="1" w:val="04A0"/>
      </w:tblPr>
      <w:tblGrid>
        <w:gridCol w:w="2300"/>
        <w:gridCol w:w="2300"/>
        <w:gridCol w:w="2300"/>
        <w:gridCol w:w="2300"/>
      </w:tblGrid>
      <w:tr>
        <w:tc>
          <w:tcPr>
            <w:tcW w:type="dxa" w:w="2300"/>
          </w:tcPr>
          <w:p>
            <w:r>
              <w:rPr>
                <w:rFonts w:ascii="Times New Roman" w:hAnsi="Times New Roman"/>
                <w:b/>
                <w:sz w:val="22"/>
              </w:rPr>
              <w:t>Компетенция</w:t>
            </w:r>
          </w:p>
        </w:tc>
        <w:tc>
          <w:tcPr>
            <w:tcW w:type="dxa" w:w="2300"/>
          </w:tcPr>
          <w:p>
            <w:r>
              <w:rPr>
                <w:rFonts w:ascii="Times New Roman" w:hAnsi="Times New Roman"/>
                <w:b/>
                <w:sz w:val="22"/>
              </w:rPr>
              <w:t>Содержание</w:t>
            </w:r>
          </w:p>
        </w:tc>
        <w:tc>
          <w:tcPr>
            <w:tcW w:type="dxa" w:w="2300"/>
          </w:tcPr>
          <w:p>
            <w:r>
              <w:rPr>
                <w:rFonts w:ascii="Times New Roman" w:hAnsi="Times New Roman"/>
                <w:b/>
                <w:sz w:val="22"/>
              </w:rPr>
              <w:t>Способ формирования</w:t>
            </w:r>
          </w:p>
        </w:tc>
        <w:tc>
          <w:tcPr>
            <w:tcW w:type="dxa" w:w="2300"/>
          </w:tcPr>
          <w:p>
            <w:r>
              <w:rPr>
                <w:rFonts w:ascii="Times New Roman" w:hAnsi="Times New Roman"/>
                <w:b/>
                <w:sz w:val="22"/>
              </w:rPr>
              <w:t>Способ контроля</w:t>
            </w:r>
          </w:p>
        </w:tc>
      </w:tr>
      <w:tr>
        <w:tc>
          <w:tcPr>
            <w:tcW w:type="dxa" w:w="2300"/>
          </w:tcPr>
          <w:p>
            <w:r>
              <w:rPr>
                <w:rFonts w:ascii="Times New Roman" w:hAnsi="Times New Roman"/>
                <w:b w:val="0"/>
                <w:sz w:val="22"/>
              </w:rPr>
              <w:t>Нормативная</w:t>
            </w:r>
          </w:p>
        </w:tc>
        <w:tc>
          <w:tcPr>
            <w:tcW w:type="dxa" w:w="2300"/>
          </w:tcPr>
          <w:p>
            <w:r>
              <w:rPr>
                <w:rFonts w:ascii="Times New Roman" w:hAnsi="Times New Roman"/>
                <w:b w:val="0"/>
                <w:sz w:val="22"/>
              </w:rPr>
              <w:t>Знание 44-ФЗ, 223-ФЗ, требований заказчиков</w:t>
            </w:r>
          </w:p>
        </w:tc>
        <w:tc>
          <w:tcPr>
            <w:tcW w:type="dxa" w:w="2300"/>
          </w:tcPr>
          <w:p>
            <w:r>
              <w:rPr>
                <w:rFonts w:ascii="Times New Roman" w:hAnsi="Times New Roman"/>
                <w:b w:val="0"/>
                <w:sz w:val="22"/>
              </w:rPr>
              <w:t>Внешние курсы, ежемесячные обзоры изменений</w:t>
            </w:r>
          </w:p>
        </w:tc>
        <w:tc>
          <w:tcPr>
            <w:tcW w:type="dxa" w:w="2300"/>
          </w:tcPr>
          <w:p>
            <w:r>
              <w:rPr>
                <w:rFonts w:ascii="Times New Roman" w:hAnsi="Times New Roman"/>
                <w:b w:val="0"/>
                <w:sz w:val="22"/>
              </w:rPr>
              <w:t>Тестирование, разбор ошибок</w:t>
            </w:r>
          </w:p>
        </w:tc>
      </w:tr>
      <w:tr>
        <w:tc>
          <w:tcPr>
            <w:tcW w:type="dxa" w:w="2300"/>
          </w:tcPr>
          <w:p>
            <w:r>
              <w:rPr>
                <w:rFonts w:ascii="Times New Roman" w:hAnsi="Times New Roman"/>
                <w:b w:val="0"/>
                <w:sz w:val="22"/>
              </w:rPr>
              <w:t>Документационная</w:t>
            </w:r>
          </w:p>
        </w:tc>
        <w:tc>
          <w:tcPr>
            <w:tcW w:type="dxa" w:w="2300"/>
          </w:tcPr>
          <w:p>
            <w:r>
              <w:rPr>
                <w:rFonts w:ascii="Times New Roman" w:hAnsi="Times New Roman"/>
                <w:b w:val="0"/>
                <w:sz w:val="22"/>
              </w:rPr>
              <w:t>Подготовка полного комплекта заявки</w:t>
            </w:r>
          </w:p>
        </w:tc>
        <w:tc>
          <w:tcPr>
            <w:tcW w:type="dxa" w:w="2300"/>
          </w:tcPr>
          <w:p>
            <w:r>
              <w:rPr>
                <w:rFonts w:ascii="Times New Roman" w:hAnsi="Times New Roman"/>
                <w:b w:val="0"/>
                <w:sz w:val="22"/>
              </w:rPr>
              <w:t>Шаблоны, база знаний, чек-лист</w:t>
            </w:r>
          </w:p>
        </w:tc>
        <w:tc>
          <w:tcPr>
            <w:tcW w:type="dxa" w:w="2300"/>
          </w:tcPr>
          <w:p>
            <w:r>
              <w:rPr>
                <w:rFonts w:ascii="Times New Roman" w:hAnsi="Times New Roman"/>
                <w:b w:val="0"/>
                <w:sz w:val="22"/>
              </w:rPr>
              <w:t>Контроль допуска заявки</w:t>
            </w:r>
          </w:p>
        </w:tc>
      </w:tr>
      <w:tr>
        <w:tc>
          <w:tcPr>
            <w:tcW w:type="dxa" w:w="2300"/>
          </w:tcPr>
          <w:p>
            <w:r>
              <w:rPr>
                <w:rFonts w:ascii="Times New Roman" w:hAnsi="Times New Roman"/>
                <w:b w:val="0"/>
                <w:sz w:val="22"/>
              </w:rPr>
              <w:t>Цифровая</w:t>
            </w:r>
          </w:p>
        </w:tc>
        <w:tc>
          <w:tcPr>
            <w:tcW w:type="dxa" w:w="2300"/>
          </w:tcPr>
          <w:p>
            <w:r>
              <w:rPr>
                <w:rFonts w:ascii="Times New Roman" w:hAnsi="Times New Roman"/>
                <w:b w:val="0"/>
                <w:sz w:val="22"/>
              </w:rPr>
              <w:t>Работа с ЕИС, ЭТП, УКЭП, форматами файлов</w:t>
            </w:r>
          </w:p>
        </w:tc>
        <w:tc>
          <w:tcPr>
            <w:tcW w:type="dxa" w:w="2300"/>
          </w:tcPr>
          <w:p>
            <w:r>
              <w:rPr>
                <w:rFonts w:ascii="Times New Roman" w:hAnsi="Times New Roman"/>
                <w:b w:val="0"/>
                <w:sz w:val="22"/>
              </w:rPr>
              <w:t>Практикум, наставничество</w:t>
            </w:r>
          </w:p>
        </w:tc>
        <w:tc>
          <w:tcPr>
            <w:tcW w:type="dxa" w:w="2300"/>
          </w:tcPr>
          <w:p>
            <w:r>
              <w:rPr>
                <w:rFonts w:ascii="Times New Roman" w:hAnsi="Times New Roman"/>
                <w:b w:val="0"/>
                <w:sz w:val="22"/>
              </w:rPr>
              <w:t>Учебный кейс, контрольная заявка</w:t>
            </w:r>
          </w:p>
        </w:tc>
      </w:tr>
      <w:tr>
        <w:tc>
          <w:tcPr>
            <w:tcW w:type="dxa" w:w="2300"/>
          </w:tcPr>
          <w:p>
            <w:r>
              <w:rPr>
                <w:rFonts w:ascii="Times New Roman" w:hAnsi="Times New Roman"/>
                <w:b w:val="0"/>
                <w:sz w:val="22"/>
              </w:rPr>
              <w:t>Экономическая</w:t>
            </w:r>
          </w:p>
        </w:tc>
        <w:tc>
          <w:tcPr>
            <w:tcW w:type="dxa" w:w="2300"/>
          </w:tcPr>
          <w:p>
            <w:r>
              <w:rPr>
                <w:rFonts w:ascii="Times New Roman" w:hAnsi="Times New Roman"/>
                <w:b w:val="0"/>
                <w:sz w:val="22"/>
              </w:rPr>
              <w:t>Расчет цены, НМЦК, маржи, НДС</w:t>
            </w:r>
          </w:p>
        </w:tc>
        <w:tc>
          <w:tcPr>
            <w:tcW w:type="dxa" w:w="2300"/>
          </w:tcPr>
          <w:p>
            <w:r>
              <w:rPr>
                <w:rFonts w:ascii="Times New Roman" w:hAnsi="Times New Roman"/>
                <w:b w:val="0"/>
                <w:sz w:val="22"/>
              </w:rPr>
              <w:t>Кейсы и проверочные задания</w:t>
            </w:r>
          </w:p>
        </w:tc>
        <w:tc>
          <w:tcPr>
            <w:tcW w:type="dxa" w:w="2300"/>
          </w:tcPr>
          <w:p>
            <w:r>
              <w:rPr>
                <w:rFonts w:ascii="Times New Roman" w:hAnsi="Times New Roman"/>
                <w:b w:val="0"/>
                <w:sz w:val="22"/>
              </w:rPr>
              <w:t>Проверка расчетов руководителем</w:t>
            </w:r>
          </w:p>
        </w:tc>
      </w:tr>
      <w:tr>
        <w:tc>
          <w:tcPr>
            <w:tcW w:type="dxa" w:w="2300"/>
          </w:tcPr>
          <w:p>
            <w:r>
              <w:rPr>
                <w:rFonts w:ascii="Times New Roman" w:hAnsi="Times New Roman"/>
                <w:b w:val="0"/>
                <w:sz w:val="22"/>
              </w:rPr>
              <w:t>Аналитическая</w:t>
            </w:r>
          </w:p>
        </w:tc>
        <w:tc>
          <w:tcPr>
            <w:tcW w:type="dxa" w:w="2300"/>
          </w:tcPr>
          <w:p>
            <w:r>
              <w:rPr>
                <w:rFonts w:ascii="Times New Roman" w:hAnsi="Times New Roman"/>
                <w:b w:val="0"/>
                <w:sz w:val="22"/>
              </w:rPr>
              <w:t>Выбор перспективных закупок и оценка рисков</w:t>
            </w:r>
          </w:p>
        </w:tc>
        <w:tc>
          <w:tcPr>
            <w:tcW w:type="dxa" w:w="2300"/>
          </w:tcPr>
          <w:p>
            <w:r>
              <w:rPr>
                <w:rFonts w:ascii="Times New Roman" w:hAnsi="Times New Roman"/>
                <w:b w:val="0"/>
                <w:sz w:val="22"/>
              </w:rPr>
              <w:t>Разбор успешных и проигранных заявок</w:t>
            </w:r>
          </w:p>
        </w:tc>
        <w:tc>
          <w:tcPr>
            <w:tcW w:type="dxa" w:w="2300"/>
          </w:tcPr>
          <w:p>
            <w:r>
              <w:rPr>
                <w:rFonts w:ascii="Times New Roman" w:hAnsi="Times New Roman"/>
                <w:b w:val="0"/>
                <w:sz w:val="22"/>
              </w:rPr>
              <w:t>Динамика конверсии</w:t>
            </w:r>
          </w:p>
        </w:tc>
      </w:tr>
      <w:tr>
        <w:tc>
          <w:tcPr>
            <w:tcW w:type="dxa" w:w="2300"/>
          </w:tcPr>
          <w:p>
            <w:r>
              <w:rPr>
                <w:rFonts w:ascii="Times New Roman" w:hAnsi="Times New Roman"/>
                <w:b w:val="0"/>
                <w:sz w:val="22"/>
              </w:rPr>
              <w:t>Коммуникационная</w:t>
            </w:r>
          </w:p>
        </w:tc>
        <w:tc>
          <w:tcPr>
            <w:tcW w:type="dxa" w:w="2300"/>
          </w:tcPr>
          <w:p>
            <w:r>
              <w:rPr>
                <w:rFonts w:ascii="Times New Roman" w:hAnsi="Times New Roman"/>
                <w:b w:val="0"/>
                <w:sz w:val="22"/>
              </w:rPr>
              <w:t>Взаимодействие с юристом, логистикой, бухгалтерией</w:t>
            </w:r>
          </w:p>
        </w:tc>
        <w:tc>
          <w:tcPr>
            <w:tcW w:type="dxa" w:w="2300"/>
          </w:tcPr>
          <w:p>
            <w:r>
              <w:rPr>
                <w:rFonts w:ascii="Times New Roman" w:hAnsi="Times New Roman"/>
                <w:b w:val="0"/>
                <w:sz w:val="22"/>
              </w:rPr>
              <w:t>Регламент задач и совещания</w:t>
            </w:r>
          </w:p>
        </w:tc>
        <w:tc>
          <w:tcPr>
            <w:tcW w:type="dxa" w:w="2300"/>
          </w:tcPr>
          <w:p>
            <w:r>
              <w:rPr>
                <w:rFonts w:ascii="Times New Roman" w:hAnsi="Times New Roman"/>
                <w:b w:val="0"/>
                <w:sz w:val="22"/>
              </w:rPr>
              <w:t>Сроки согласования заявки</w:t>
            </w:r>
          </w:p>
        </w:tc>
      </w:tr>
    </w:tbl>
    <w:p>
      <w:pPr>
        <w:spacing w:line="360" w:lineRule="auto" w:after="120"/>
        <w:ind w:firstLine="700"/>
      </w:pPr>
    </w:p>
    <w:p>
      <w:pPr>
        <w:spacing w:line="360" w:lineRule="auto" w:after="120"/>
        <w:ind w:firstLine="700"/>
      </w:pPr>
      <w:r>
        <w:rPr>
          <w:rFonts w:ascii="Times New Roman" w:hAnsi="Times New Roman"/>
          <w:b w:val="0"/>
          <w:sz w:val="28"/>
        </w:rPr>
        <w:t>Технология внедрения предполагает, что каждое мероприятие имеет измеримый результат. Для базы знаний таким результатом является наличие утвержденных разделов и ответственных за их обновление. Для адаптационного маршрута — наличие программы и итогового кейса. Для внешнего обучения — удостоверения о повышении квалификации и результаты тестирования. Для чек-листа — доля заявок, прошедших финальный контроль. Для реестра ошибок — количество зафиксированных и закрытых корректирующих действий.</w:t>
      </w:r>
    </w:p>
    <w:p>
      <w:pPr>
        <w:spacing w:line="360" w:lineRule="auto" w:after="120"/>
        <w:ind w:firstLine="700"/>
      </w:pPr>
      <w:r>
        <w:rPr>
          <w:rFonts w:ascii="Times New Roman" w:hAnsi="Times New Roman"/>
          <w:b w:val="0"/>
          <w:sz w:val="28"/>
        </w:rPr>
        <w:t>Механизм адаптации предлагаемых решений к действующей системе управления основан на минимальном изменении организационной структуры. Генеральный директор не создает новое подразделение, а утверждает внутренний регламент. Руководитель тендерного отдела не получает новую должность, но становится владельцем процесса обучения. Наставники не освобождаются от основной работы, но получают небольшую премию за сопровождение новичков и передачу опыта. Юрист не становится штатным HR-методистом, но участвует в проверке нормативных материалов.</w:t>
      </w:r>
    </w:p>
    <w:p>
      <w:pPr>
        <w:spacing w:line="360" w:lineRule="auto" w:after="120"/>
        <w:ind w:firstLine="700"/>
      </w:pPr>
      <w:r>
        <w:rPr>
          <w:rFonts w:ascii="Times New Roman" w:hAnsi="Times New Roman"/>
          <w:b w:val="0"/>
          <w:sz w:val="28"/>
        </w:rPr>
        <w:t>Важным элементом является порядок обновления базы знаний. Раз в месяц руководитель отдела проверяет реестр ошибок и определяет, какие инструкции требуют корректировки. При изменении законодательства юрист готовит краткую справку, руководитель отдела переводит ее в практическую памятку, а системный администратор размещает ее в нужном разделе. После этого сотрудники проходят короткий тест или подтверждают ознакомление в Битрикс24.</w:t>
      </w:r>
    </w:p>
    <w:p>
      <w:pPr>
        <w:spacing w:line="360" w:lineRule="auto" w:after="120"/>
        <w:ind w:firstLine="700"/>
      </w:pPr>
      <w:r>
        <w:rPr>
          <w:rFonts w:ascii="Times New Roman" w:hAnsi="Times New Roman"/>
          <w:b w:val="0"/>
          <w:sz w:val="28"/>
        </w:rPr>
        <w:t>Алгоритм подготовки заявки после внедрения системы включает восемь шагов: выбор закупки, проверка требований заказчика, расчет экономической целесообразности, формирование комплекта документов, проверка актуальности шаблонов, контроль расчетов, проверка формата файлов и электронной подписи, финальное подтверждение чек-листа. Данный алгоритм должен быть одинаковым для всех сотрудников, что снижает зависимость качества от индивидуального стиля работы.</w:t>
      </w:r>
    </w:p>
    <w:p>
      <w:pPr>
        <w:spacing w:line="360" w:lineRule="auto" w:after="120"/>
        <w:jc w:val="center"/>
      </w:pPr>
      <w:r>
        <w:rPr>
          <w:rFonts w:ascii="Times New Roman" w:hAnsi="Times New Roman"/>
          <w:b w:val="0"/>
          <w:sz w:val="28"/>
        </w:rPr>
        <w:t>Таблица 3.7. Алгоритм подготовки заявки после внедрения мероприятий</w:t>
      </w:r>
    </w:p>
    <w:tbl>
      <w:tblPr>
        <w:tblStyle w:val="6"/>
        <w:tblW w:type="auto" w:w="0"/>
        <w:tblLook w:firstColumn="1" w:firstRow="1" w:lastColumn="0" w:lastRow="0" w:noHBand="0" w:noVBand="1" w:val="04A0"/>
      </w:tblPr>
      <w:tblGrid>
        <w:gridCol w:w="2300"/>
        <w:gridCol w:w="2300"/>
        <w:gridCol w:w="2300"/>
        <w:gridCol w:w="2300"/>
      </w:tblGrid>
      <w:tr>
        <w:tc>
          <w:tcPr>
            <w:tcW w:type="dxa" w:w="2300"/>
          </w:tcPr>
          <w:p>
            <w:r>
              <w:rPr>
                <w:rFonts w:ascii="Times New Roman" w:hAnsi="Times New Roman"/>
                <w:b/>
                <w:sz w:val="22"/>
              </w:rPr>
              <w:t>Шаг</w:t>
            </w:r>
          </w:p>
        </w:tc>
        <w:tc>
          <w:tcPr>
            <w:tcW w:type="dxa" w:w="2300"/>
          </w:tcPr>
          <w:p>
            <w:r>
              <w:rPr>
                <w:rFonts w:ascii="Times New Roman" w:hAnsi="Times New Roman"/>
                <w:b/>
                <w:sz w:val="22"/>
              </w:rPr>
              <w:t>Действие</w:t>
            </w:r>
          </w:p>
        </w:tc>
        <w:tc>
          <w:tcPr>
            <w:tcW w:type="dxa" w:w="2300"/>
          </w:tcPr>
          <w:p>
            <w:r>
              <w:rPr>
                <w:rFonts w:ascii="Times New Roman" w:hAnsi="Times New Roman"/>
                <w:b/>
                <w:sz w:val="22"/>
              </w:rPr>
              <w:t>Контрольная точка</w:t>
            </w:r>
          </w:p>
        </w:tc>
        <w:tc>
          <w:tcPr>
            <w:tcW w:type="dxa" w:w="2300"/>
          </w:tcPr>
          <w:p>
            <w:r>
              <w:rPr>
                <w:rFonts w:ascii="Times New Roman" w:hAnsi="Times New Roman"/>
                <w:b/>
                <w:sz w:val="22"/>
              </w:rPr>
              <w:t>Ответственный</w:t>
            </w:r>
          </w:p>
        </w:tc>
      </w:tr>
      <w:tr>
        <w:tc>
          <w:tcPr>
            <w:tcW w:type="dxa" w:w="2300"/>
          </w:tcPr>
          <w:p>
            <w:r>
              <w:rPr>
                <w:rFonts w:ascii="Times New Roman" w:hAnsi="Times New Roman"/>
                <w:b w:val="0"/>
                <w:sz w:val="22"/>
              </w:rPr>
              <w:t>1</w:t>
            </w:r>
          </w:p>
        </w:tc>
        <w:tc>
          <w:tcPr>
            <w:tcW w:type="dxa" w:w="2300"/>
          </w:tcPr>
          <w:p>
            <w:r>
              <w:rPr>
                <w:rFonts w:ascii="Times New Roman" w:hAnsi="Times New Roman"/>
                <w:b w:val="0"/>
                <w:sz w:val="22"/>
              </w:rPr>
              <w:t>Выбор закупки и первичный анализ</w:t>
            </w:r>
          </w:p>
        </w:tc>
        <w:tc>
          <w:tcPr>
            <w:tcW w:type="dxa" w:w="2300"/>
          </w:tcPr>
          <w:p>
            <w:r>
              <w:rPr>
                <w:rFonts w:ascii="Times New Roman" w:hAnsi="Times New Roman"/>
                <w:b w:val="0"/>
                <w:sz w:val="22"/>
              </w:rPr>
              <w:t>Соответствие профилю компании</w:t>
            </w:r>
          </w:p>
        </w:tc>
        <w:tc>
          <w:tcPr>
            <w:tcW w:type="dxa" w:w="2300"/>
          </w:tcPr>
          <w:p>
            <w:r>
              <w:rPr>
                <w:rFonts w:ascii="Times New Roman" w:hAnsi="Times New Roman"/>
                <w:b w:val="0"/>
                <w:sz w:val="22"/>
              </w:rPr>
              <w:t>Тендерный специалист</w:t>
            </w:r>
          </w:p>
        </w:tc>
      </w:tr>
      <w:tr>
        <w:tc>
          <w:tcPr>
            <w:tcW w:type="dxa" w:w="2300"/>
          </w:tcPr>
          <w:p>
            <w:r>
              <w:rPr>
                <w:rFonts w:ascii="Times New Roman" w:hAnsi="Times New Roman"/>
                <w:b w:val="0"/>
                <w:sz w:val="22"/>
              </w:rPr>
              <w:t>2</w:t>
            </w:r>
          </w:p>
        </w:tc>
        <w:tc>
          <w:tcPr>
            <w:tcW w:type="dxa" w:w="2300"/>
          </w:tcPr>
          <w:p>
            <w:r>
              <w:rPr>
                <w:rFonts w:ascii="Times New Roman" w:hAnsi="Times New Roman"/>
                <w:b w:val="0"/>
                <w:sz w:val="22"/>
              </w:rPr>
              <w:t>Проверка требований заказчика</w:t>
            </w:r>
          </w:p>
        </w:tc>
        <w:tc>
          <w:tcPr>
            <w:tcW w:type="dxa" w:w="2300"/>
          </w:tcPr>
          <w:p>
            <w:r>
              <w:rPr>
                <w:rFonts w:ascii="Times New Roman" w:hAnsi="Times New Roman"/>
                <w:b w:val="0"/>
                <w:sz w:val="22"/>
              </w:rPr>
              <w:t>Отсутствие невыполнимых условий</w:t>
            </w:r>
          </w:p>
        </w:tc>
        <w:tc>
          <w:tcPr>
            <w:tcW w:type="dxa" w:w="2300"/>
          </w:tcPr>
          <w:p>
            <w:r>
              <w:rPr>
                <w:rFonts w:ascii="Times New Roman" w:hAnsi="Times New Roman"/>
                <w:b w:val="0"/>
                <w:sz w:val="22"/>
              </w:rPr>
              <w:t>Тендерный специалист</w:t>
            </w:r>
          </w:p>
        </w:tc>
      </w:tr>
      <w:tr>
        <w:tc>
          <w:tcPr>
            <w:tcW w:type="dxa" w:w="2300"/>
          </w:tcPr>
          <w:p>
            <w:r>
              <w:rPr>
                <w:rFonts w:ascii="Times New Roman" w:hAnsi="Times New Roman"/>
                <w:b w:val="0"/>
                <w:sz w:val="22"/>
              </w:rPr>
              <w:t>3</w:t>
            </w:r>
          </w:p>
        </w:tc>
        <w:tc>
          <w:tcPr>
            <w:tcW w:type="dxa" w:w="2300"/>
          </w:tcPr>
          <w:p>
            <w:r>
              <w:rPr>
                <w:rFonts w:ascii="Times New Roman" w:hAnsi="Times New Roman"/>
                <w:b w:val="0"/>
                <w:sz w:val="22"/>
              </w:rPr>
              <w:t>Расчет цены и маржи</w:t>
            </w:r>
          </w:p>
        </w:tc>
        <w:tc>
          <w:tcPr>
            <w:tcW w:type="dxa" w:w="2300"/>
          </w:tcPr>
          <w:p>
            <w:r>
              <w:rPr>
                <w:rFonts w:ascii="Times New Roman" w:hAnsi="Times New Roman"/>
                <w:b w:val="0"/>
                <w:sz w:val="22"/>
              </w:rPr>
              <w:t>Маржа не ниже установленного порога</w:t>
            </w:r>
          </w:p>
        </w:tc>
        <w:tc>
          <w:tcPr>
            <w:tcW w:type="dxa" w:w="2300"/>
          </w:tcPr>
          <w:p>
            <w:r>
              <w:rPr>
                <w:rFonts w:ascii="Times New Roman" w:hAnsi="Times New Roman"/>
                <w:b w:val="0"/>
                <w:sz w:val="22"/>
              </w:rPr>
              <w:t>Тендерный специалист, руководитель</w:t>
            </w:r>
          </w:p>
        </w:tc>
      </w:tr>
      <w:tr>
        <w:tc>
          <w:tcPr>
            <w:tcW w:type="dxa" w:w="2300"/>
          </w:tcPr>
          <w:p>
            <w:r>
              <w:rPr>
                <w:rFonts w:ascii="Times New Roman" w:hAnsi="Times New Roman"/>
                <w:b w:val="0"/>
                <w:sz w:val="22"/>
              </w:rPr>
              <w:t>4</w:t>
            </w:r>
          </w:p>
        </w:tc>
        <w:tc>
          <w:tcPr>
            <w:tcW w:type="dxa" w:w="2300"/>
          </w:tcPr>
          <w:p>
            <w:r>
              <w:rPr>
                <w:rFonts w:ascii="Times New Roman" w:hAnsi="Times New Roman"/>
                <w:b w:val="0"/>
                <w:sz w:val="22"/>
              </w:rPr>
              <w:t>Формирование документов</w:t>
            </w:r>
          </w:p>
        </w:tc>
        <w:tc>
          <w:tcPr>
            <w:tcW w:type="dxa" w:w="2300"/>
          </w:tcPr>
          <w:p>
            <w:r>
              <w:rPr>
                <w:rFonts w:ascii="Times New Roman" w:hAnsi="Times New Roman"/>
                <w:b w:val="0"/>
                <w:sz w:val="22"/>
              </w:rPr>
              <w:t>Полный комплект по извещению</w:t>
            </w:r>
          </w:p>
        </w:tc>
        <w:tc>
          <w:tcPr>
            <w:tcW w:type="dxa" w:w="2300"/>
          </w:tcPr>
          <w:p>
            <w:r>
              <w:rPr>
                <w:rFonts w:ascii="Times New Roman" w:hAnsi="Times New Roman"/>
                <w:b w:val="0"/>
                <w:sz w:val="22"/>
              </w:rPr>
              <w:t>Тендерный специалист</w:t>
            </w:r>
          </w:p>
        </w:tc>
      </w:tr>
      <w:tr>
        <w:tc>
          <w:tcPr>
            <w:tcW w:type="dxa" w:w="2300"/>
          </w:tcPr>
          <w:p>
            <w:r>
              <w:rPr>
                <w:rFonts w:ascii="Times New Roman" w:hAnsi="Times New Roman"/>
                <w:b w:val="0"/>
                <w:sz w:val="22"/>
              </w:rPr>
              <w:t>5</w:t>
            </w:r>
          </w:p>
        </w:tc>
        <w:tc>
          <w:tcPr>
            <w:tcW w:type="dxa" w:w="2300"/>
          </w:tcPr>
          <w:p>
            <w:r>
              <w:rPr>
                <w:rFonts w:ascii="Times New Roman" w:hAnsi="Times New Roman"/>
                <w:b w:val="0"/>
                <w:sz w:val="22"/>
              </w:rPr>
              <w:t>Проверка шаблонов</w:t>
            </w:r>
          </w:p>
        </w:tc>
        <w:tc>
          <w:tcPr>
            <w:tcW w:type="dxa" w:w="2300"/>
          </w:tcPr>
          <w:p>
            <w:r>
              <w:rPr>
                <w:rFonts w:ascii="Times New Roman" w:hAnsi="Times New Roman"/>
                <w:b w:val="0"/>
                <w:sz w:val="22"/>
              </w:rPr>
              <w:t>Использованы актуальные формы</w:t>
            </w:r>
          </w:p>
        </w:tc>
        <w:tc>
          <w:tcPr>
            <w:tcW w:type="dxa" w:w="2300"/>
          </w:tcPr>
          <w:p>
            <w:r>
              <w:rPr>
                <w:rFonts w:ascii="Times New Roman" w:hAnsi="Times New Roman"/>
                <w:b w:val="0"/>
                <w:sz w:val="22"/>
              </w:rPr>
              <w:t>Тендерный специалист</w:t>
            </w:r>
          </w:p>
        </w:tc>
      </w:tr>
      <w:tr>
        <w:tc>
          <w:tcPr>
            <w:tcW w:type="dxa" w:w="2300"/>
          </w:tcPr>
          <w:p>
            <w:r>
              <w:rPr>
                <w:rFonts w:ascii="Times New Roman" w:hAnsi="Times New Roman"/>
                <w:b w:val="0"/>
                <w:sz w:val="22"/>
              </w:rPr>
              <w:t>6</w:t>
            </w:r>
          </w:p>
        </w:tc>
        <w:tc>
          <w:tcPr>
            <w:tcW w:type="dxa" w:w="2300"/>
          </w:tcPr>
          <w:p>
            <w:r>
              <w:rPr>
                <w:rFonts w:ascii="Times New Roman" w:hAnsi="Times New Roman"/>
                <w:b w:val="0"/>
                <w:sz w:val="22"/>
              </w:rPr>
              <w:t>Проверка расчетов</w:t>
            </w:r>
          </w:p>
        </w:tc>
        <w:tc>
          <w:tcPr>
            <w:tcW w:type="dxa" w:w="2300"/>
          </w:tcPr>
          <w:p>
            <w:r>
              <w:rPr>
                <w:rFonts w:ascii="Times New Roman" w:hAnsi="Times New Roman"/>
                <w:b w:val="0"/>
                <w:sz w:val="22"/>
              </w:rPr>
              <w:t>Нет арифметических расхождений</w:t>
            </w:r>
          </w:p>
        </w:tc>
        <w:tc>
          <w:tcPr>
            <w:tcW w:type="dxa" w:w="2300"/>
          </w:tcPr>
          <w:p>
            <w:r>
              <w:rPr>
                <w:rFonts w:ascii="Times New Roman" w:hAnsi="Times New Roman"/>
                <w:b w:val="0"/>
                <w:sz w:val="22"/>
              </w:rPr>
              <w:t>Руководитель или наставник</w:t>
            </w:r>
          </w:p>
        </w:tc>
      </w:tr>
      <w:tr>
        <w:tc>
          <w:tcPr>
            <w:tcW w:type="dxa" w:w="2300"/>
          </w:tcPr>
          <w:p>
            <w:r>
              <w:rPr>
                <w:rFonts w:ascii="Times New Roman" w:hAnsi="Times New Roman"/>
                <w:b w:val="0"/>
                <w:sz w:val="22"/>
              </w:rPr>
              <w:t>7</w:t>
            </w:r>
          </w:p>
        </w:tc>
        <w:tc>
          <w:tcPr>
            <w:tcW w:type="dxa" w:w="2300"/>
          </w:tcPr>
          <w:p>
            <w:r>
              <w:rPr>
                <w:rFonts w:ascii="Times New Roman" w:hAnsi="Times New Roman"/>
                <w:b w:val="0"/>
                <w:sz w:val="22"/>
              </w:rPr>
              <w:t>Проверка ЭТП и подписи</w:t>
            </w:r>
          </w:p>
        </w:tc>
        <w:tc>
          <w:tcPr>
            <w:tcW w:type="dxa" w:w="2300"/>
          </w:tcPr>
          <w:p>
            <w:r>
              <w:rPr>
                <w:rFonts w:ascii="Times New Roman" w:hAnsi="Times New Roman"/>
                <w:b w:val="0"/>
                <w:sz w:val="22"/>
              </w:rPr>
              <w:t>Верный формат файлов и УКЭП</w:t>
            </w:r>
          </w:p>
        </w:tc>
        <w:tc>
          <w:tcPr>
            <w:tcW w:type="dxa" w:w="2300"/>
          </w:tcPr>
          <w:p>
            <w:r>
              <w:rPr>
                <w:rFonts w:ascii="Times New Roman" w:hAnsi="Times New Roman"/>
                <w:b w:val="0"/>
                <w:sz w:val="22"/>
              </w:rPr>
              <w:t>Тендерный специалист</w:t>
            </w:r>
          </w:p>
        </w:tc>
      </w:tr>
      <w:tr>
        <w:tc>
          <w:tcPr>
            <w:tcW w:type="dxa" w:w="2300"/>
          </w:tcPr>
          <w:p>
            <w:r>
              <w:rPr>
                <w:rFonts w:ascii="Times New Roman" w:hAnsi="Times New Roman"/>
                <w:b w:val="0"/>
                <w:sz w:val="22"/>
              </w:rPr>
              <w:t>8</w:t>
            </w:r>
          </w:p>
        </w:tc>
        <w:tc>
          <w:tcPr>
            <w:tcW w:type="dxa" w:w="2300"/>
          </w:tcPr>
          <w:p>
            <w:r>
              <w:rPr>
                <w:rFonts w:ascii="Times New Roman" w:hAnsi="Times New Roman"/>
                <w:b w:val="0"/>
                <w:sz w:val="22"/>
              </w:rPr>
              <w:t>Финальный чек-лист</w:t>
            </w:r>
          </w:p>
        </w:tc>
        <w:tc>
          <w:tcPr>
            <w:tcW w:type="dxa" w:w="2300"/>
          </w:tcPr>
          <w:p>
            <w:r>
              <w:rPr>
                <w:rFonts w:ascii="Times New Roman" w:hAnsi="Times New Roman"/>
                <w:b w:val="0"/>
                <w:sz w:val="22"/>
              </w:rPr>
              <w:t>Все пункты отмечены в Битрикс24</w:t>
            </w:r>
          </w:p>
        </w:tc>
        <w:tc>
          <w:tcPr>
            <w:tcW w:type="dxa" w:w="2300"/>
          </w:tcPr>
          <w:p>
            <w:r>
              <w:rPr>
                <w:rFonts w:ascii="Times New Roman" w:hAnsi="Times New Roman"/>
                <w:b w:val="0"/>
                <w:sz w:val="22"/>
              </w:rPr>
              <w:t>Руководитель отдела</w:t>
            </w:r>
          </w:p>
        </w:tc>
      </w:tr>
    </w:tbl>
    <w:p>
      <w:pPr>
        <w:spacing w:line="360" w:lineRule="auto" w:after="120"/>
        <w:ind w:firstLine="700"/>
      </w:pPr>
    </w:p>
    <w:p>
      <w:pPr>
        <w:spacing w:line="360" w:lineRule="auto" w:after="120"/>
        <w:ind w:firstLine="700"/>
      </w:pPr>
      <w:r>
        <w:rPr>
          <w:rFonts w:ascii="Times New Roman" w:hAnsi="Times New Roman"/>
          <w:b w:val="0"/>
          <w:sz w:val="28"/>
        </w:rPr>
        <w:t>Практическое внедрение предложений должно начинаться с пилотного режима. В течение первого месяца чек-лист и реестр ошибок применяются только к наиболее значимым заявкам, чтобы выявить неудобные пункты и скорректировать форму. Со второго месяца чек-лист становится обязательным для всех заявок. С третьего месяца данные по ошибкам и допуску заявок включаются в ежемесячный отчет руководителя отдела.</w:t>
      </w:r>
    </w:p>
    <w:p>
      <w:pPr>
        <w:spacing w:line="360" w:lineRule="auto" w:after="120"/>
        <w:ind w:firstLine="700"/>
      </w:pPr>
      <w:r>
        <w:rPr>
          <w:rFonts w:ascii="Times New Roman" w:hAnsi="Times New Roman"/>
          <w:b w:val="0"/>
          <w:sz w:val="28"/>
        </w:rPr>
        <w:t>Отдельное внимание следует уделить сопротивлению сотрудников. Новые процедуры могут восприниматься как дополнительная бюрократия. Поэтому при запуске необходимо объяснить, что чек-лист и реестр ошибок вводятся не для усиления контроля ради контроля, а для снижения повторяемости ошибок, защиты сотрудников от случайных пропусков и повышения доли выигранных тендеров. Это особенно важно в удаленном формате, где значительная часть коммуникации происходит письменно и риск недопонимания выше.</w:t>
      </w:r>
    </w:p>
    <w:p>
      <w:pPr>
        <w:spacing w:line="360" w:lineRule="auto" w:after="120"/>
        <w:ind w:firstLine="700"/>
      </w:pPr>
      <w:r>
        <w:rPr>
          <w:rFonts w:ascii="Times New Roman" w:hAnsi="Times New Roman"/>
          <w:b w:val="0"/>
          <w:sz w:val="28"/>
        </w:rPr>
        <w:t>Таким образом, технико-экономическое обоснование показывает, что предлагаемые решения являются реалистичными для ООО «Лайф Медиа». Они не требуют крупного инвестиционного проекта, используют существующую инфраструктуру, распределяют ответственность между действующими участниками управления и имеют измеримые показатели результата. Основной объем затрат приходится на первый год внедрения, после чего система переходит в режим поддержания и регулярного обновления.</w:t>
      </w:r>
    </w:p>
    <w:p>
      <w:pPr>
        <w:spacing w:line="360" w:lineRule="auto" w:after="120"/>
        <w:jc w:val="center"/>
      </w:pPr>
      <w:r>
        <w:rPr>
          <w:rFonts w:ascii="Times New Roman" w:hAnsi="Times New Roman"/>
          <w:b/>
          <w:sz w:val="28"/>
        </w:rPr>
        <w:t>3.3. Оценка экономической эффективности разработанных рекомендаций</w:t>
      </w:r>
    </w:p>
    <w:p>
      <w:pPr>
        <w:spacing w:line="360" w:lineRule="auto" w:after="120"/>
        <w:ind w:firstLine="700"/>
      </w:pPr>
      <w:r>
        <w:rPr>
          <w:rFonts w:ascii="Times New Roman" w:hAnsi="Times New Roman"/>
          <w:b w:val="0"/>
          <w:sz w:val="28"/>
        </w:rPr>
        <w:t>Оценка экономической эффективности необходима для подтверждения того, что предложенные мероприятия являются не только организационно полезными, но и финансово обоснованными. Для ООО «Лайф Медиа» эффект от совершенствования обучения должен проявляться в трех направлениях: рост числа допущенных заявок, увеличение количества выигранных контрактов и снижение внутренних потерь, связанных с ошибками и текучестью персонала.</w:t>
      </w:r>
    </w:p>
    <w:p>
      <w:pPr>
        <w:spacing w:line="360" w:lineRule="auto" w:after="120"/>
        <w:ind w:firstLine="700"/>
      </w:pPr>
      <w:r>
        <w:rPr>
          <w:rFonts w:ascii="Times New Roman" w:hAnsi="Times New Roman"/>
          <w:b w:val="0"/>
          <w:sz w:val="28"/>
        </w:rPr>
        <w:t>В качестве исходной базы используются данные второй главы. В 2025 году компания подала 152 заявки, из которых 128 были признаны соответствующими, 24 отклонены на этапе допуска, выиграно 35 контрактов. Доля отклоненных заявок составила 15,8%, конверсия из заявки в победу — 23,0%, выручка от тендерной деятельности — 30,84 млн руб. Средняя цена одного выигранного контракта составила 881 тыс. руб.</w:t>
      </w:r>
    </w:p>
    <w:p>
      <w:pPr>
        <w:spacing w:line="360" w:lineRule="auto" w:after="120"/>
        <w:ind w:firstLine="700"/>
      </w:pPr>
      <w:r>
        <w:rPr>
          <w:rFonts w:ascii="Times New Roman" w:hAnsi="Times New Roman"/>
          <w:b w:val="0"/>
          <w:sz w:val="28"/>
        </w:rPr>
        <w:t>Предлагаемые мероприятия направлены прежде всего на управляемые причины отклонений: технические ошибки, устаревшие формы, неполный комплект документов, ошибки в расчетах и отсутствие финальной проверки. Поэтому целевым показателем первого года является снижение доли отклоненных заявок с 15,8% до 10,0%. Такой показатель является реалистичным, поскольку не предполагает полного устранения всех ошибок и учитывает влияние внешних факторов.</w:t>
      </w:r>
    </w:p>
    <w:p>
      <w:pPr>
        <w:spacing w:line="360" w:lineRule="auto" w:after="120"/>
        <w:ind w:firstLine="700"/>
      </w:pPr>
      <w:r>
        <w:rPr>
          <w:rFonts w:ascii="Times New Roman" w:hAnsi="Times New Roman"/>
          <w:b w:val="0"/>
          <w:sz w:val="28"/>
        </w:rPr>
        <w:t>Второй целевой показатель — рост конверсии из заявки в победу с 23,0% до 25,0% в первый год и до 26,0% во второй год. Рост конверсии обусловлен не только снижением формальных отклонений, но и более качественным анализом закупок, расчетом маржи, актуализацией знаний и повышением дисциплины подготовки заявок.</w:t>
      </w:r>
    </w:p>
    <w:p>
      <w:pPr>
        <w:spacing w:line="360" w:lineRule="auto" w:after="120"/>
        <w:jc w:val="center"/>
      </w:pPr>
      <w:r>
        <w:rPr>
          <w:rFonts w:ascii="Times New Roman" w:hAnsi="Times New Roman"/>
          <w:b w:val="0"/>
          <w:sz w:val="28"/>
        </w:rPr>
        <w:t>Таблица 3.8. Исходные и целевые показатели тендерной деятельности</w:t>
      </w:r>
    </w:p>
    <w:tbl>
      <w:tblPr>
        <w:tblStyle w:val="6"/>
        <w:tblW w:type="auto" w:w="0"/>
        <w:tblLook w:firstColumn="1" w:firstRow="1" w:lastColumn="0" w:lastRow="0" w:noHBand="0" w:noVBand="1" w:val="04A0"/>
      </w:tblPr>
      <w:tblGrid>
        <w:gridCol w:w="2300"/>
        <w:gridCol w:w="2300"/>
        <w:gridCol w:w="2300"/>
        <w:gridCol w:w="2300"/>
      </w:tblGrid>
      <w:tr>
        <w:tc>
          <w:tcPr>
            <w:tcW w:type="dxa" w:w="2300"/>
          </w:tcPr>
          <w:p>
            <w:r>
              <w:rPr>
                <w:rFonts w:ascii="Times New Roman" w:hAnsi="Times New Roman"/>
                <w:b/>
                <w:sz w:val="22"/>
              </w:rPr>
              <w:t>Показатель</w:t>
            </w:r>
          </w:p>
        </w:tc>
        <w:tc>
          <w:tcPr>
            <w:tcW w:type="dxa" w:w="2300"/>
          </w:tcPr>
          <w:p>
            <w:r>
              <w:rPr>
                <w:rFonts w:ascii="Times New Roman" w:hAnsi="Times New Roman"/>
                <w:b/>
                <w:sz w:val="22"/>
              </w:rPr>
              <w:t>2025 факт</w:t>
            </w:r>
          </w:p>
        </w:tc>
        <w:tc>
          <w:tcPr>
            <w:tcW w:type="dxa" w:w="2300"/>
          </w:tcPr>
          <w:p>
            <w:r>
              <w:rPr>
                <w:rFonts w:ascii="Times New Roman" w:hAnsi="Times New Roman"/>
                <w:b/>
                <w:sz w:val="22"/>
              </w:rPr>
              <w:t>1 год после внедрения</w:t>
            </w:r>
          </w:p>
        </w:tc>
        <w:tc>
          <w:tcPr>
            <w:tcW w:type="dxa" w:w="2300"/>
          </w:tcPr>
          <w:p>
            <w:r>
              <w:rPr>
                <w:rFonts w:ascii="Times New Roman" w:hAnsi="Times New Roman"/>
                <w:b/>
                <w:sz w:val="22"/>
              </w:rPr>
              <w:t>2-3 год после внедрения</w:t>
            </w:r>
          </w:p>
        </w:tc>
      </w:tr>
      <w:tr>
        <w:tc>
          <w:tcPr>
            <w:tcW w:type="dxa" w:w="2300"/>
          </w:tcPr>
          <w:p>
            <w:r>
              <w:rPr>
                <w:rFonts w:ascii="Times New Roman" w:hAnsi="Times New Roman"/>
                <w:b w:val="0"/>
                <w:sz w:val="22"/>
              </w:rPr>
              <w:t>Количество поданных заявок</w:t>
            </w:r>
          </w:p>
        </w:tc>
        <w:tc>
          <w:tcPr>
            <w:tcW w:type="dxa" w:w="2300"/>
          </w:tcPr>
          <w:p>
            <w:r>
              <w:rPr>
                <w:rFonts w:ascii="Times New Roman" w:hAnsi="Times New Roman"/>
                <w:b w:val="0"/>
                <w:sz w:val="22"/>
              </w:rPr>
              <w:t>152</w:t>
            </w:r>
          </w:p>
        </w:tc>
        <w:tc>
          <w:tcPr>
            <w:tcW w:type="dxa" w:w="2300"/>
          </w:tcPr>
          <w:p>
            <w:r>
              <w:rPr>
                <w:rFonts w:ascii="Times New Roman" w:hAnsi="Times New Roman"/>
                <w:b w:val="0"/>
                <w:sz w:val="22"/>
              </w:rPr>
              <w:t>152</w:t>
            </w:r>
          </w:p>
        </w:tc>
        <w:tc>
          <w:tcPr>
            <w:tcW w:type="dxa" w:w="2300"/>
          </w:tcPr>
          <w:p>
            <w:r>
              <w:rPr>
                <w:rFonts w:ascii="Times New Roman" w:hAnsi="Times New Roman"/>
                <w:b w:val="0"/>
                <w:sz w:val="22"/>
              </w:rPr>
              <w:t>152</w:t>
            </w:r>
          </w:p>
        </w:tc>
      </w:tr>
      <w:tr>
        <w:tc>
          <w:tcPr>
            <w:tcW w:type="dxa" w:w="2300"/>
          </w:tcPr>
          <w:p>
            <w:r>
              <w:rPr>
                <w:rFonts w:ascii="Times New Roman" w:hAnsi="Times New Roman"/>
                <w:b w:val="0"/>
                <w:sz w:val="22"/>
              </w:rPr>
              <w:t>Доля отклоненных заявок</w:t>
            </w:r>
          </w:p>
        </w:tc>
        <w:tc>
          <w:tcPr>
            <w:tcW w:type="dxa" w:w="2300"/>
          </w:tcPr>
          <w:p>
            <w:r>
              <w:rPr>
                <w:rFonts w:ascii="Times New Roman" w:hAnsi="Times New Roman"/>
                <w:b w:val="0"/>
                <w:sz w:val="22"/>
              </w:rPr>
              <w:t>15,8%</w:t>
            </w:r>
          </w:p>
        </w:tc>
        <w:tc>
          <w:tcPr>
            <w:tcW w:type="dxa" w:w="2300"/>
          </w:tcPr>
          <w:p>
            <w:r>
              <w:rPr>
                <w:rFonts w:ascii="Times New Roman" w:hAnsi="Times New Roman"/>
                <w:b w:val="0"/>
                <w:sz w:val="22"/>
              </w:rPr>
              <w:t>10,0%</w:t>
            </w:r>
          </w:p>
        </w:tc>
        <w:tc>
          <w:tcPr>
            <w:tcW w:type="dxa" w:w="2300"/>
          </w:tcPr>
          <w:p>
            <w:r>
              <w:rPr>
                <w:rFonts w:ascii="Times New Roman" w:hAnsi="Times New Roman"/>
                <w:b w:val="0"/>
                <w:sz w:val="22"/>
              </w:rPr>
              <w:t>9,0%</w:t>
            </w:r>
          </w:p>
        </w:tc>
      </w:tr>
      <w:tr>
        <w:tc>
          <w:tcPr>
            <w:tcW w:type="dxa" w:w="2300"/>
          </w:tcPr>
          <w:p>
            <w:r>
              <w:rPr>
                <w:rFonts w:ascii="Times New Roman" w:hAnsi="Times New Roman"/>
                <w:b w:val="0"/>
                <w:sz w:val="22"/>
              </w:rPr>
              <w:t>Количество отклоненных заявок</w:t>
            </w:r>
          </w:p>
        </w:tc>
        <w:tc>
          <w:tcPr>
            <w:tcW w:type="dxa" w:w="2300"/>
          </w:tcPr>
          <w:p>
            <w:r>
              <w:rPr>
                <w:rFonts w:ascii="Times New Roman" w:hAnsi="Times New Roman"/>
                <w:b w:val="0"/>
                <w:sz w:val="22"/>
              </w:rPr>
              <w:t>24</w:t>
            </w:r>
          </w:p>
        </w:tc>
        <w:tc>
          <w:tcPr>
            <w:tcW w:type="dxa" w:w="2300"/>
          </w:tcPr>
          <w:p>
            <w:r>
              <w:rPr>
                <w:rFonts w:ascii="Times New Roman" w:hAnsi="Times New Roman"/>
                <w:b w:val="0"/>
                <w:sz w:val="22"/>
              </w:rPr>
              <w:t>15</w:t>
            </w:r>
          </w:p>
        </w:tc>
        <w:tc>
          <w:tcPr>
            <w:tcW w:type="dxa" w:w="2300"/>
          </w:tcPr>
          <w:p>
            <w:r>
              <w:rPr>
                <w:rFonts w:ascii="Times New Roman" w:hAnsi="Times New Roman"/>
                <w:b w:val="0"/>
                <w:sz w:val="22"/>
              </w:rPr>
              <w:t>14</w:t>
            </w:r>
          </w:p>
        </w:tc>
      </w:tr>
      <w:tr>
        <w:tc>
          <w:tcPr>
            <w:tcW w:type="dxa" w:w="2300"/>
          </w:tcPr>
          <w:p>
            <w:r>
              <w:rPr>
                <w:rFonts w:ascii="Times New Roman" w:hAnsi="Times New Roman"/>
                <w:b w:val="0"/>
                <w:sz w:val="22"/>
              </w:rPr>
              <w:t>Количество выигранных контрактов</w:t>
            </w:r>
          </w:p>
        </w:tc>
        <w:tc>
          <w:tcPr>
            <w:tcW w:type="dxa" w:w="2300"/>
          </w:tcPr>
          <w:p>
            <w:r>
              <w:rPr>
                <w:rFonts w:ascii="Times New Roman" w:hAnsi="Times New Roman"/>
                <w:b w:val="0"/>
                <w:sz w:val="22"/>
              </w:rPr>
              <w:t>35</w:t>
            </w:r>
          </w:p>
        </w:tc>
        <w:tc>
          <w:tcPr>
            <w:tcW w:type="dxa" w:w="2300"/>
          </w:tcPr>
          <w:p>
            <w:r>
              <w:rPr>
                <w:rFonts w:ascii="Times New Roman" w:hAnsi="Times New Roman"/>
                <w:b w:val="0"/>
                <w:sz w:val="22"/>
              </w:rPr>
              <w:t>38</w:t>
            </w:r>
          </w:p>
        </w:tc>
        <w:tc>
          <w:tcPr>
            <w:tcW w:type="dxa" w:w="2300"/>
          </w:tcPr>
          <w:p>
            <w:r>
              <w:rPr>
                <w:rFonts w:ascii="Times New Roman" w:hAnsi="Times New Roman"/>
                <w:b w:val="0"/>
                <w:sz w:val="22"/>
              </w:rPr>
              <w:t>39</w:t>
            </w:r>
          </w:p>
        </w:tc>
      </w:tr>
      <w:tr>
        <w:tc>
          <w:tcPr>
            <w:tcW w:type="dxa" w:w="2300"/>
          </w:tcPr>
          <w:p>
            <w:r>
              <w:rPr>
                <w:rFonts w:ascii="Times New Roman" w:hAnsi="Times New Roman"/>
                <w:b w:val="0"/>
                <w:sz w:val="22"/>
              </w:rPr>
              <w:t>Конверсия из заявки в победу</w:t>
            </w:r>
          </w:p>
        </w:tc>
        <w:tc>
          <w:tcPr>
            <w:tcW w:type="dxa" w:w="2300"/>
          </w:tcPr>
          <w:p>
            <w:r>
              <w:rPr>
                <w:rFonts w:ascii="Times New Roman" w:hAnsi="Times New Roman"/>
                <w:b w:val="0"/>
                <w:sz w:val="22"/>
              </w:rPr>
              <w:t>23,0%</w:t>
            </w:r>
          </w:p>
        </w:tc>
        <w:tc>
          <w:tcPr>
            <w:tcW w:type="dxa" w:w="2300"/>
          </w:tcPr>
          <w:p>
            <w:r>
              <w:rPr>
                <w:rFonts w:ascii="Times New Roman" w:hAnsi="Times New Roman"/>
                <w:b w:val="0"/>
                <w:sz w:val="22"/>
              </w:rPr>
              <w:t>25,0%</w:t>
            </w:r>
          </w:p>
        </w:tc>
        <w:tc>
          <w:tcPr>
            <w:tcW w:type="dxa" w:w="2300"/>
          </w:tcPr>
          <w:p>
            <w:r>
              <w:rPr>
                <w:rFonts w:ascii="Times New Roman" w:hAnsi="Times New Roman"/>
                <w:b w:val="0"/>
                <w:sz w:val="22"/>
              </w:rPr>
              <w:t>25,7%</w:t>
            </w:r>
          </w:p>
        </w:tc>
      </w:tr>
      <w:tr>
        <w:tc>
          <w:tcPr>
            <w:tcW w:type="dxa" w:w="2300"/>
          </w:tcPr>
          <w:p>
            <w:r>
              <w:rPr>
                <w:rFonts w:ascii="Times New Roman" w:hAnsi="Times New Roman"/>
                <w:b w:val="0"/>
                <w:sz w:val="22"/>
              </w:rPr>
              <w:t>Средняя цена контракта, тыс. руб.</w:t>
            </w:r>
          </w:p>
        </w:tc>
        <w:tc>
          <w:tcPr>
            <w:tcW w:type="dxa" w:w="2300"/>
          </w:tcPr>
          <w:p>
            <w:r>
              <w:rPr>
                <w:rFonts w:ascii="Times New Roman" w:hAnsi="Times New Roman"/>
                <w:b w:val="0"/>
                <w:sz w:val="22"/>
              </w:rPr>
              <w:t>881</w:t>
            </w:r>
          </w:p>
        </w:tc>
        <w:tc>
          <w:tcPr>
            <w:tcW w:type="dxa" w:w="2300"/>
          </w:tcPr>
          <w:p>
            <w:r>
              <w:rPr>
                <w:rFonts w:ascii="Times New Roman" w:hAnsi="Times New Roman"/>
                <w:b w:val="0"/>
                <w:sz w:val="22"/>
              </w:rPr>
              <w:t>881</w:t>
            </w:r>
          </w:p>
        </w:tc>
        <w:tc>
          <w:tcPr>
            <w:tcW w:type="dxa" w:w="2300"/>
          </w:tcPr>
          <w:p>
            <w:r>
              <w:rPr>
                <w:rFonts w:ascii="Times New Roman" w:hAnsi="Times New Roman"/>
                <w:b w:val="0"/>
                <w:sz w:val="22"/>
              </w:rPr>
              <w:t>881</w:t>
            </w:r>
          </w:p>
        </w:tc>
      </w:tr>
    </w:tbl>
    <w:p>
      <w:pPr>
        <w:spacing w:line="360" w:lineRule="auto" w:after="120"/>
        <w:ind w:firstLine="700"/>
      </w:pPr>
    </w:p>
    <w:p>
      <w:pPr>
        <w:spacing w:line="360" w:lineRule="auto" w:after="120"/>
        <w:ind w:firstLine="700"/>
      </w:pPr>
      <w:r>
        <w:rPr>
          <w:rFonts w:ascii="Times New Roman" w:hAnsi="Times New Roman"/>
          <w:b w:val="0"/>
          <w:sz w:val="28"/>
        </w:rPr>
        <w:t>Экономический эффект рассчитывается по трем направлениям. Первое направление — дополнительный маржинальный доход от роста количества выигранных контрактов. В расчетах принимается средняя цена контракта 881 тыс. руб. и средняя маржинальность 12%. Такой уровень соответствует бизнес-модели компании, где при выборе закупок ориентиром является маржа не ниже 10-15%.</w:t>
      </w:r>
    </w:p>
    <w:p>
      <w:pPr>
        <w:spacing w:line="360" w:lineRule="auto" w:after="120"/>
        <w:ind w:firstLine="700"/>
      </w:pPr>
      <w:r>
        <w:rPr>
          <w:rFonts w:ascii="Times New Roman" w:hAnsi="Times New Roman"/>
          <w:b w:val="0"/>
          <w:sz w:val="28"/>
        </w:rPr>
        <w:t>В первый год ожидается прирост на 3 выигранных контракта: с 35 до 38. Дополнительная выручка составит 2 643 тыс. руб. (881 тыс. руб. × 3 контракта). При маржинальности 12% дополнительный маржинальный доход составит 317,2 тыс. руб. Во второй и третий годы ожидается закрепление эффекта на уровне 4 дополнительных контрактов по сравнению с базовым уровнем, что дает 3 524 тыс. руб. дополнительной выручки и 422,9 тыс. руб. маржинального дохода ежегодно.</w:t>
      </w:r>
    </w:p>
    <w:p>
      <w:pPr>
        <w:spacing w:line="360" w:lineRule="auto" w:after="120"/>
        <w:ind w:firstLine="700"/>
      </w:pPr>
      <w:r>
        <w:rPr>
          <w:rFonts w:ascii="Times New Roman" w:hAnsi="Times New Roman"/>
          <w:b w:val="0"/>
          <w:sz w:val="28"/>
        </w:rPr>
        <w:t>Второе направление эффекта — экономия рабочего времени за счет снижения количества отклоненных заявок. Подготовка одной заявки, которая затем отклоняется по формальным причинам, означает потерю рабочего времени тендерного специалиста. Для расчета принимается, что на подготовку одной заявки затрачивается в среднем 8 часов. Среднемесячная выплата тендерного специалиста составляет 63 175 руб., при норме 168 часов в месяц стоимость одного часа равна 376 руб. Снижение отклоненных заявок на 9 единиц дает экономию 27,1 тыс. руб. в год (9 × 8 × 376).</w:t>
      </w:r>
    </w:p>
    <w:p>
      <w:pPr>
        <w:spacing w:line="360" w:lineRule="auto" w:after="120"/>
        <w:ind w:firstLine="700"/>
      </w:pPr>
      <w:r>
        <w:rPr>
          <w:rFonts w:ascii="Times New Roman" w:hAnsi="Times New Roman"/>
          <w:b w:val="0"/>
          <w:sz w:val="28"/>
        </w:rPr>
        <w:t>Третье направление эффекта — снижение затрат на текучесть персонала. Во второй главе указано, что в 2025 году на подбор персонала было направлено 170 тыс. руб., при этом из тендерного отдела выбыло 3 сотрудника. Средняя стоимость замещения одного сотрудника составляет около 56,7 тыс. руб. Если внедрение адаптации и наставничества позволит сократить выбытие хотя бы на одного сотрудника в год, экономия составит 56,7 тыс. руб.</w:t>
      </w:r>
    </w:p>
    <w:p>
      <w:pPr>
        <w:spacing w:line="360" w:lineRule="auto" w:after="120"/>
        <w:jc w:val="center"/>
      </w:pPr>
      <w:r>
        <w:rPr>
          <w:rFonts w:ascii="Times New Roman" w:hAnsi="Times New Roman"/>
          <w:b w:val="0"/>
          <w:sz w:val="28"/>
        </w:rPr>
        <w:t>Таблица 3.9. Расчет годового экономического эффекта</w:t>
      </w:r>
    </w:p>
    <w:tbl>
      <w:tblPr>
        <w:tblStyle w:val="6"/>
        <w:tblW w:type="auto" w:w="0"/>
        <w:tblLook w:firstColumn="1" w:firstRow="1" w:lastColumn="0" w:lastRow="0" w:noHBand="0" w:noVBand="1" w:val="04A0"/>
      </w:tblPr>
      <w:tblGrid>
        <w:gridCol w:w="2300"/>
        <w:gridCol w:w="2300"/>
        <w:gridCol w:w="2300"/>
        <w:gridCol w:w="2300"/>
      </w:tblGrid>
      <w:tr>
        <w:tc>
          <w:tcPr>
            <w:tcW w:type="dxa" w:w="2300"/>
          </w:tcPr>
          <w:p>
            <w:r>
              <w:rPr>
                <w:rFonts w:ascii="Times New Roman" w:hAnsi="Times New Roman"/>
                <w:b/>
                <w:sz w:val="22"/>
              </w:rPr>
              <w:t>Направление эффекта</w:t>
            </w:r>
          </w:p>
        </w:tc>
        <w:tc>
          <w:tcPr>
            <w:tcW w:type="dxa" w:w="2300"/>
          </w:tcPr>
          <w:p>
            <w:r>
              <w:rPr>
                <w:rFonts w:ascii="Times New Roman" w:hAnsi="Times New Roman"/>
                <w:b/>
                <w:sz w:val="22"/>
              </w:rPr>
              <w:t>Формула расчета</w:t>
            </w:r>
          </w:p>
        </w:tc>
        <w:tc>
          <w:tcPr>
            <w:tcW w:type="dxa" w:w="2300"/>
          </w:tcPr>
          <w:p>
            <w:r>
              <w:rPr>
                <w:rFonts w:ascii="Times New Roman" w:hAnsi="Times New Roman"/>
                <w:b/>
                <w:sz w:val="22"/>
              </w:rPr>
              <w:t>1 год, тыс. руб.</w:t>
            </w:r>
          </w:p>
        </w:tc>
        <w:tc>
          <w:tcPr>
            <w:tcW w:type="dxa" w:w="2300"/>
          </w:tcPr>
          <w:p>
            <w:r>
              <w:rPr>
                <w:rFonts w:ascii="Times New Roman" w:hAnsi="Times New Roman"/>
                <w:b/>
                <w:sz w:val="22"/>
              </w:rPr>
              <w:t>2-3 год, тыс. руб.</w:t>
            </w:r>
          </w:p>
        </w:tc>
      </w:tr>
      <w:tr>
        <w:tc>
          <w:tcPr>
            <w:tcW w:type="dxa" w:w="2300"/>
          </w:tcPr>
          <w:p>
            <w:r>
              <w:rPr>
                <w:rFonts w:ascii="Times New Roman" w:hAnsi="Times New Roman"/>
                <w:b w:val="0"/>
                <w:sz w:val="22"/>
              </w:rPr>
              <w:t>Дополнительный маржинальный доход</w:t>
            </w:r>
          </w:p>
        </w:tc>
        <w:tc>
          <w:tcPr>
            <w:tcW w:type="dxa" w:w="2300"/>
          </w:tcPr>
          <w:p>
            <w:r>
              <w:rPr>
                <w:rFonts w:ascii="Times New Roman" w:hAnsi="Times New Roman"/>
                <w:b w:val="0"/>
                <w:sz w:val="22"/>
              </w:rPr>
              <w:t>Доп. контракты × 881 тыс. руб. × 12%</w:t>
            </w:r>
          </w:p>
        </w:tc>
        <w:tc>
          <w:tcPr>
            <w:tcW w:type="dxa" w:w="2300"/>
          </w:tcPr>
          <w:p>
            <w:r>
              <w:rPr>
                <w:rFonts w:ascii="Times New Roman" w:hAnsi="Times New Roman"/>
                <w:b w:val="0"/>
                <w:sz w:val="22"/>
              </w:rPr>
              <w:t>317,2</w:t>
            </w:r>
          </w:p>
        </w:tc>
        <w:tc>
          <w:tcPr>
            <w:tcW w:type="dxa" w:w="2300"/>
          </w:tcPr>
          <w:p>
            <w:r>
              <w:rPr>
                <w:rFonts w:ascii="Times New Roman" w:hAnsi="Times New Roman"/>
                <w:b w:val="0"/>
                <w:sz w:val="22"/>
              </w:rPr>
              <w:t>422,9</w:t>
            </w:r>
          </w:p>
        </w:tc>
      </w:tr>
      <w:tr>
        <w:tc>
          <w:tcPr>
            <w:tcW w:type="dxa" w:w="2300"/>
          </w:tcPr>
          <w:p>
            <w:r>
              <w:rPr>
                <w:rFonts w:ascii="Times New Roman" w:hAnsi="Times New Roman"/>
                <w:b w:val="0"/>
                <w:sz w:val="22"/>
              </w:rPr>
              <w:t>Экономия времени на отклоненных заявках</w:t>
            </w:r>
          </w:p>
        </w:tc>
        <w:tc>
          <w:tcPr>
            <w:tcW w:type="dxa" w:w="2300"/>
          </w:tcPr>
          <w:p>
            <w:r>
              <w:rPr>
                <w:rFonts w:ascii="Times New Roman" w:hAnsi="Times New Roman"/>
                <w:b w:val="0"/>
                <w:sz w:val="22"/>
              </w:rPr>
              <w:t>Снижение отклонений × 8 ч × 376 руб.</w:t>
            </w:r>
          </w:p>
        </w:tc>
        <w:tc>
          <w:tcPr>
            <w:tcW w:type="dxa" w:w="2300"/>
          </w:tcPr>
          <w:p>
            <w:r>
              <w:rPr>
                <w:rFonts w:ascii="Times New Roman" w:hAnsi="Times New Roman"/>
                <w:b w:val="0"/>
                <w:sz w:val="22"/>
              </w:rPr>
              <w:t>27,1</w:t>
            </w:r>
          </w:p>
        </w:tc>
        <w:tc>
          <w:tcPr>
            <w:tcW w:type="dxa" w:w="2300"/>
          </w:tcPr>
          <w:p>
            <w:r>
              <w:rPr>
                <w:rFonts w:ascii="Times New Roman" w:hAnsi="Times New Roman"/>
                <w:b w:val="0"/>
                <w:sz w:val="22"/>
              </w:rPr>
              <w:t>30,1</w:t>
            </w:r>
          </w:p>
        </w:tc>
      </w:tr>
      <w:tr>
        <w:tc>
          <w:tcPr>
            <w:tcW w:type="dxa" w:w="2300"/>
          </w:tcPr>
          <w:p>
            <w:r>
              <w:rPr>
                <w:rFonts w:ascii="Times New Roman" w:hAnsi="Times New Roman"/>
                <w:b w:val="0"/>
                <w:sz w:val="22"/>
              </w:rPr>
              <w:t>Экономия на снижении текучести</w:t>
            </w:r>
          </w:p>
        </w:tc>
        <w:tc>
          <w:tcPr>
            <w:tcW w:type="dxa" w:w="2300"/>
          </w:tcPr>
          <w:p>
            <w:r>
              <w:rPr>
                <w:rFonts w:ascii="Times New Roman" w:hAnsi="Times New Roman"/>
                <w:b w:val="0"/>
                <w:sz w:val="22"/>
              </w:rPr>
              <w:t>1 сотрудник × 56,7 тыс. руб.</w:t>
            </w:r>
          </w:p>
        </w:tc>
        <w:tc>
          <w:tcPr>
            <w:tcW w:type="dxa" w:w="2300"/>
          </w:tcPr>
          <w:p>
            <w:r>
              <w:rPr>
                <w:rFonts w:ascii="Times New Roman" w:hAnsi="Times New Roman"/>
                <w:b w:val="0"/>
                <w:sz w:val="22"/>
              </w:rPr>
              <w:t>56,7</w:t>
            </w:r>
          </w:p>
        </w:tc>
        <w:tc>
          <w:tcPr>
            <w:tcW w:type="dxa" w:w="2300"/>
          </w:tcPr>
          <w:p>
            <w:r>
              <w:rPr>
                <w:rFonts w:ascii="Times New Roman" w:hAnsi="Times New Roman"/>
                <w:b w:val="0"/>
                <w:sz w:val="22"/>
              </w:rPr>
              <w:t>56,7</w:t>
            </w:r>
          </w:p>
        </w:tc>
      </w:tr>
      <w:tr>
        <w:tc>
          <w:tcPr>
            <w:tcW w:type="dxa" w:w="2300"/>
          </w:tcPr>
          <w:p>
            <w:r>
              <w:rPr>
                <w:rFonts w:ascii="Times New Roman" w:hAnsi="Times New Roman"/>
                <w:b w:val="0"/>
                <w:sz w:val="22"/>
              </w:rPr>
              <w:t>Итого валовой эффект</w:t>
            </w:r>
          </w:p>
        </w:tc>
        <w:tc>
          <w:tcPr>
            <w:tcW w:type="dxa" w:w="2300"/>
          </w:tcPr>
          <w:p>
            <w:r>
              <w:rPr>
                <w:rFonts w:ascii="Times New Roman" w:hAnsi="Times New Roman"/>
                <w:b w:val="0"/>
                <w:sz w:val="22"/>
              </w:rPr>
              <w:t>-</w:t>
            </w:r>
          </w:p>
        </w:tc>
        <w:tc>
          <w:tcPr>
            <w:tcW w:type="dxa" w:w="2300"/>
          </w:tcPr>
          <w:p>
            <w:r>
              <w:rPr>
                <w:rFonts w:ascii="Times New Roman" w:hAnsi="Times New Roman"/>
                <w:b w:val="0"/>
                <w:sz w:val="22"/>
              </w:rPr>
              <w:t>401,0</w:t>
            </w:r>
          </w:p>
        </w:tc>
        <w:tc>
          <w:tcPr>
            <w:tcW w:type="dxa" w:w="2300"/>
          </w:tcPr>
          <w:p>
            <w:r>
              <w:rPr>
                <w:rFonts w:ascii="Times New Roman" w:hAnsi="Times New Roman"/>
                <w:b w:val="0"/>
                <w:sz w:val="22"/>
              </w:rPr>
              <w:t>509,7</w:t>
            </w:r>
          </w:p>
        </w:tc>
      </w:tr>
    </w:tbl>
    <w:p>
      <w:pPr>
        <w:spacing w:line="360" w:lineRule="auto" w:after="120"/>
        <w:ind w:firstLine="700"/>
      </w:pPr>
    </w:p>
    <w:p>
      <w:pPr>
        <w:spacing w:line="360" w:lineRule="auto" w:after="120"/>
        <w:ind w:firstLine="700"/>
      </w:pPr>
      <w:r>
        <w:rPr>
          <w:rFonts w:ascii="Times New Roman" w:hAnsi="Times New Roman"/>
          <w:b w:val="0"/>
          <w:sz w:val="28"/>
        </w:rPr>
        <w:t>Первоначальные затраты на внедрение составляют 474,456 тыс. руб. Поддерживающие ежегодные расходы после первого года составляют 154 тыс. руб. Следовательно, в первый год проект почти выходит на операционную окупаемость, но полный финансовый эффект проявляется на горизонте двух-трех лет, поскольку часть затрат первого года носит разовый характер.</w:t>
      </w:r>
    </w:p>
    <w:p>
      <w:pPr>
        <w:spacing w:line="360" w:lineRule="auto" w:after="120"/>
        <w:ind w:firstLine="700"/>
      </w:pPr>
      <w:r>
        <w:rPr>
          <w:rFonts w:ascii="Times New Roman" w:hAnsi="Times New Roman"/>
          <w:b w:val="0"/>
          <w:sz w:val="28"/>
        </w:rPr>
        <w:t>Для оценки эффективности используются показатели: чистый экономический эффект, ROI, срок окупаемости и дисконтированный доход. Поскольку мероприятия не требуют привлечения внешнего инвестора и финансируются за счет собственных средств компании, расчет дисконтированного дохода проводится для оценки управленческой целесообразности проекта. В качестве ставки дисконтирования используется ключевая ставка Банка России 14,5% годовых на апрель 2026 года [50].</w:t>
      </w:r>
    </w:p>
    <w:p>
      <w:pPr>
        <w:spacing w:line="360" w:lineRule="auto" w:after="120"/>
        <w:jc w:val="center"/>
      </w:pPr>
      <w:r>
        <w:rPr>
          <w:rFonts w:ascii="Times New Roman" w:hAnsi="Times New Roman"/>
          <w:b w:val="0"/>
          <w:sz w:val="28"/>
        </w:rPr>
        <w:t>Таблица 3.10. Денежные потоки проекта совершенствования системы обучения</w:t>
      </w:r>
    </w:p>
    <w:tbl>
      <w:tblPr>
        <w:tblStyle w:val="6"/>
        <w:tblW w:type="auto" w:w="0"/>
        <w:tblLook w:firstColumn="1" w:firstRow="1" w:lastColumn="0" w:lastRow="0" w:noHBand="0" w:noVBand="1" w:val="04A0"/>
      </w:tblPr>
      <w:tblGrid>
        <w:gridCol w:w="2300"/>
        <w:gridCol w:w="2300"/>
        <w:gridCol w:w="2300"/>
        <w:gridCol w:w="2300"/>
      </w:tblGrid>
      <w:tr>
        <w:tc>
          <w:tcPr>
            <w:tcW w:type="dxa" w:w="2300"/>
          </w:tcPr>
          <w:p>
            <w:r>
              <w:rPr>
                <w:rFonts w:ascii="Times New Roman" w:hAnsi="Times New Roman"/>
                <w:b/>
                <w:sz w:val="22"/>
              </w:rPr>
              <w:t>Показатель</w:t>
            </w:r>
          </w:p>
        </w:tc>
        <w:tc>
          <w:tcPr>
            <w:tcW w:type="dxa" w:w="2300"/>
          </w:tcPr>
          <w:p>
            <w:r>
              <w:rPr>
                <w:rFonts w:ascii="Times New Roman" w:hAnsi="Times New Roman"/>
                <w:b/>
                <w:sz w:val="22"/>
              </w:rPr>
              <w:t>1 год</w:t>
            </w:r>
          </w:p>
        </w:tc>
        <w:tc>
          <w:tcPr>
            <w:tcW w:type="dxa" w:w="2300"/>
          </w:tcPr>
          <w:p>
            <w:r>
              <w:rPr>
                <w:rFonts w:ascii="Times New Roman" w:hAnsi="Times New Roman"/>
                <w:b/>
                <w:sz w:val="22"/>
              </w:rPr>
              <w:t>2 год</w:t>
            </w:r>
          </w:p>
        </w:tc>
        <w:tc>
          <w:tcPr>
            <w:tcW w:type="dxa" w:w="2300"/>
          </w:tcPr>
          <w:p>
            <w:r>
              <w:rPr>
                <w:rFonts w:ascii="Times New Roman" w:hAnsi="Times New Roman"/>
                <w:b/>
                <w:sz w:val="22"/>
              </w:rPr>
              <w:t>3 год</w:t>
            </w:r>
          </w:p>
        </w:tc>
      </w:tr>
      <w:tr>
        <w:tc>
          <w:tcPr>
            <w:tcW w:type="dxa" w:w="2300"/>
          </w:tcPr>
          <w:p>
            <w:r>
              <w:rPr>
                <w:rFonts w:ascii="Times New Roman" w:hAnsi="Times New Roman"/>
                <w:b w:val="0"/>
                <w:sz w:val="22"/>
              </w:rPr>
              <w:t>Валовой экономический эффект, тыс. руб.</w:t>
            </w:r>
          </w:p>
        </w:tc>
        <w:tc>
          <w:tcPr>
            <w:tcW w:type="dxa" w:w="2300"/>
          </w:tcPr>
          <w:p>
            <w:r>
              <w:rPr>
                <w:rFonts w:ascii="Times New Roman" w:hAnsi="Times New Roman"/>
                <w:b w:val="0"/>
                <w:sz w:val="22"/>
              </w:rPr>
              <w:t>401,0</w:t>
            </w:r>
          </w:p>
        </w:tc>
        <w:tc>
          <w:tcPr>
            <w:tcW w:type="dxa" w:w="2300"/>
          </w:tcPr>
          <w:p>
            <w:r>
              <w:rPr>
                <w:rFonts w:ascii="Times New Roman" w:hAnsi="Times New Roman"/>
                <w:b w:val="0"/>
                <w:sz w:val="22"/>
              </w:rPr>
              <w:t>509,7</w:t>
            </w:r>
          </w:p>
        </w:tc>
        <w:tc>
          <w:tcPr>
            <w:tcW w:type="dxa" w:w="2300"/>
          </w:tcPr>
          <w:p>
            <w:r>
              <w:rPr>
                <w:rFonts w:ascii="Times New Roman" w:hAnsi="Times New Roman"/>
                <w:b w:val="0"/>
                <w:sz w:val="22"/>
              </w:rPr>
              <w:t>509,7</w:t>
            </w:r>
          </w:p>
        </w:tc>
      </w:tr>
      <w:tr>
        <w:tc>
          <w:tcPr>
            <w:tcW w:type="dxa" w:w="2300"/>
          </w:tcPr>
          <w:p>
            <w:r>
              <w:rPr>
                <w:rFonts w:ascii="Times New Roman" w:hAnsi="Times New Roman"/>
                <w:b w:val="0"/>
                <w:sz w:val="22"/>
              </w:rPr>
              <w:t>Затраты, тыс. руб.</w:t>
            </w:r>
          </w:p>
        </w:tc>
        <w:tc>
          <w:tcPr>
            <w:tcW w:type="dxa" w:w="2300"/>
          </w:tcPr>
          <w:p>
            <w:r>
              <w:rPr>
                <w:rFonts w:ascii="Times New Roman" w:hAnsi="Times New Roman"/>
                <w:b w:val="0"/>
                <w:sz w:val="22"/>
              </w:rPr>
              <w:t>474,5</w:t>
            </w:r>
          </w:p>
        </w:tc>
        <w:tc>
          <w:tcPr>
            <w:tcW w:type="dxa" w:w="2300"/>
          </w:tcPr>
          <w:p>
            <w:r>
              <w:rPr>
                <w:rFonts w:ascii="Times New Roman" w:hAnsi="Times New Roman"/>
                <w:b w:val="0"/>
                <w:sz w:val="22"/>
              </w:rPr>
              <w:t>154,0</w:t>
            </w:r>
          </w:p>
        </w:tc>
        <w:tc>
          <w:tcPr>
            <w:tcW w:type="dxa" w:w="2300"/>
          </w:tcPr>
          <w:p>
            <w:r>
              <w:rPr>
                <w:rFonts w:ascii="Times New Roman" w:hAnsi="Times New Roman"/>
                <w:b w:val="0"/>
                <w:sz w:val="22"/>
              </w:rPr>
              <w:t>154,0</w:t>
            </w:r>
          </w:p>
        </w:tc>
      </w:tr>
      <w:tr>
        <w:tc>
          <w:tcPr>
            <w:tcW w:type="dxa" w:w="2300"/>
          </w:tcPr>
          <w:p>
            <w:r>
              <w:rPr>
                <w:rFonts w:ascii="Times New Roman" w:hAnsi="Times New Roman"/>
                <w:b w:val="0"/>
                <w:sz w:val="22"/>
              </w:rPr>
              <w:t>Чистый денежный поток, тыс. руб.</w:t>
            </w:r>
          </w:p>
        </w:tc>
        <w:tc>
          <w:tcPr>
            <w:tcW w:type="dxa" w:w="2300"/>
          </w:tcPr>
          <w:p>
            <w:r>
              <w:rPr>
                <w:rFonts w:ascii="Times New Roman" w:hAnsi="Times New Roman"/>
                <w:b w:val="0"/>
                <w:sz w:val="22"/>
              </w:rPr>
              <w:t>-73,5</w:t>
            </w:r>
          </w:p>
        </w:tc>
        <w:tc>
          <w:tcPr>
            <w:tcW w:type="dxa" w:w="2300"/>
          </w:tcPr>
          <w:p>
            <w:r>
              <w:rPr>
                <w:rFonts w:ascii="Times New Roman" w:hAnsi="Times New Roman"/>
                <w:b w:val="0"/>
                <w:sz w:val="22"/>
              </w:rPr>
              <w:t>355,7</w:t>
            </w:r>
          </w:p>
        </w:tc>
        <w:tc>
          <w:tcPr>
            <w:tcW w:type="dxa" w:w="2300"/>
          </w:tcPr>
          <w:p>
            <w:r>
              <w:rPr>
                <w:rFonts w:ascii="Times New Roman" w:hAnsi="Times New Roman"/>
                <w:b w:val="0"/>
                <w:sz w:val="22"/>
              </w:rPr>
              <w:t>355,7</w:t>
            </w:r>
          </w:p>
        </w:tc>
      </w:tr>
      <w:tr>
        <w:tc>
          <w:tcPr>
            <w:tcW w:type="dxa" w:w="2300"/>
          </w:tcPr>
          <w:p>
            <w:r>
              <w:rPr>
                <w:rFonts w:ascii="Times New Roman" w:hAnsi="Times New Roman"/>
                <w:b w:val="0"/>
                <w:sz w:val="22"/>
              </w:rPr>
              <w:t>Коэффициент дисконтирования при 14,5%</w:t>
            </w:r>
          </w:p>
        </w:tc>
        <w:tc>
          <w:tcPr>
            <w:tcW w:type="dxa" w:w="2300"/>
          </w:tcPr>
          <w:p>
            <w:r>
              <w:rPr>
                <w:rFonts w:ascii="Times New Roman" w:hAnsi="Times New Roman"/>
                <w:b w:val="0"/>
                <w:sz w:val="22"/>
              </w:rPr>
              <w:t>0,873</w:t>
            </w:r>
          </w:p>
        </w:tc>
        <w:tc>
          <w:tcPr>
            <w:tcW w:type="dxa" w:w="2300"/>
          </w:tcPr>
          <w:p>
            <w:r>
              <w:rPr>
                <w:rFonts w:ascii="Times New Roman" w:hAnsi="Times New Roman"/>
                <w:b w:val="0"/>
                <w:sz w:val="22"/>
              </w:rPr>
              <w:t>0,762</w:t>
            </w:r>
          </w:p>
        </w:tc>
        <w:tc>
          <w:tcPr>
            <w:tcW w:type="dxa" w:w="2300"/>
          </w:tcPr>
          <w:p>
            <w:r>
              <w:rPr>
                <w:rFonts w:ascii="Times New Roman" w:hAnsi="Times New Roman"/>
                <w:b w:val="0"/>
                <w:sz w:val="22"/>
              </w:rPr>
              <w:t>0,665</w:t>
            </w:r>
          </w:p>
        </w:tc>
      </w:tr>
      <w:tr>
        <w:tc>
          <w:tcPr>
            <w:tcW w:type="dxa" w:w="2300"/>
          </w:tcPr>
          <w:p>
            <w:r>
              <w:rPr>
                <w:rFonts w:ascii="Times New Roman" w:hAnsi="Times New Roman"/>
                <w:b w:val="0"/>
                <w:sz w:val="22"/>
              </w:rPr>
              <w:t>Дисконтированный поток, тыс. руб.</w:t>
            </w:r>
          </w:p>
        </w:tc>
        <w:tc>
          <w:tcPr>
            <w:tcW w:type="dxa" w:w="2300"/>
          </w:tcPr>
          <w:p>
            <w:r>
              <w:rPr>
                <w:rFonts w:ascii="Times New Roman" w:hAnsi="Times New Roman"/>
                <w:b w:val="0"/>
                <w:sz w:val="22"/>
              </w:rPr>
              <w:t>-64,2</w:t>
            </w:r>
          </w:p>
        </w:tc>
        <w:tc>
          <w:tcPr>
            <w:tcW w:type="dxa" w:w="2300"/>
          </w:tcPr>
          <w:p>
            <w:r>
              <w:rPr>
                <w:rFonts w:ascii="Times New Roman" w:hAnsi="Times New Roman"/>
                <w:b w:val="0"/>
                <w:sz w:val="22"/>
              </w:rPr>
              <w:t>271,0</w:t>
            </w:r>
          </w:p>
        </w:tc>
        <w:tc>
          <w:tcPr>
            <w:tcW w:type="dxa" w:w="2300"/>
          </w:tcPr>
          <w:p>
            <w:r>
              <w:rPr>
                <w:rFonts w:ascii="Times New Roman" w:hAnsi="Times New Roman"/>
                <w:b w:val="0"/>
                <w:sz w:val="22"/>
              </w:rPr>
              <w:t>236,5</w:t>
            </w:r>
          </w:p>
        </w:tc>
      </w:tr>
    </w:tbl>
    <w:p>
      <w:pPr>
        <w:spacing w:line="360" w:lineRule="auto" w:after="120"/>
        <w:ind w:firstLine="700"/>
      </w:pPr>
    </w:p>
    <w:p>
      <w:pPr>
        <w:spacing w:line="360" w:lineRule="auto" w:after="120"/>
        <w:ind w:firstLine="700"/>
      </w:pPr>
      <w:r>
        <w:rPr>
          <w:rFonts w:ascii="Times New Roman" w:hAnsi="Times New Roman"/>
          <w:b w:val="0"/>
          <w:sz w:val="28"/>
        </w:rPr>
        <w:t>Чистый дисконтированный доход за три года составит: NPV = -64,2 + 271,0 + 236,5 = 443,3 тыс. руб. Положительное значение NPV означает, что проект создает экономическую ценность для компании даже с учетом стоимости денег во времени. При этом проект не требует привлечения заемного капитала или инвестора, так как первоначальная сумма затрат составляет менее 0,4% от годовой выручки компании и около 3,1% от годовых затрат на персонал.</w:t>
      </w:r>
    </w:p>
    <w:p>
      <w:pPr>
        <w:spacing w:line="360" w:lineRule="auto" w:after="120"/>
        <w:ind w:firstLine="700"/>
      </w:pPr>
      <w:r>
        <w:rPr>
          <w:rFonts w:ascii="Times New Roman" w:hAnsi="Times New Roman"/>
          <w:b w:val="0"/>
          <w:sz w:val="28"/>
        </w:rPr>
        <w:t>Показатель ROI за трехлетний период рассчитывается как отношение суммарного чистого эффекта к суммарным затратам. Валовой эффект за три года составит 1 420,4 тыс. руб. Затраты за три года составят 782,5 тыс. руб. Чистый эффект равен 637,9 тыс. руб. ROI = 637,9 / 782,5 × 100% = 81,5%. Это означает, что каждый рубль, направленный на совершенствование системы обучения, возвращает вложенную сумму и дополнительно формирует около 0,82 руб. чистого эффекта за трехлетний период.</w:t>
      </w:r>
    </w:p>
    <w:p>
      <w:pPr>
        <w:spacing w:line="360" w:lineRule="auto" w:after="120"/>
        <w:ind w:firstLine="700"/>
      </w:pPr>
      <w:r>
        <w:rPr>
          <w:rFonts w:ascii="Times New Roman" w:hAnsi="Times New Roman"/>
          <w:b w:val="0"/>
          <w:sz w:val="28"/>
        </w:rPr>
        <w:t>Срок окупаемости определяется накопленным денежным потоком. После первого года накопленный поток отрицательный и составляет -73,5 тыс. руб. Во втором году проект приносит 355,7 тыс. руб. чистого эффекта, поэтому окупаемость наступает в начале второго года. Точный срок окупаемости: 1 год + 73,5 / 355,7 = 1,21 года. Следовательно, проект окупается примерно за 1 год и 3 месяца.</w:t>
      </w:r>
    </w:p>
    <w:p>
      <w:pPr>
        <w:spacing w:line="360" w:lineRule="auto" w:after="120"/>
        <w:jc w:val="center"/>
      </w:pPr>
      <w:r>
        <w:rPr>
          <w:rFonts w:ascii="Times New Roman" w:hAnsi="Times New Roman"/>
          <w:b w:val="0"/>
          <w:sz w:val="28"/>
        </w:rPr>
        <w:t>Таблица 3.11. Итоговые показатели экономической эффективности</w:t>
      </w:r>
    </w:p>
    <w:tbl>
      <w:tblPr>
        <w:tblStyle w:val="6"/>
        <w:tblW w:type="auto" w:w="0"/>
        <w:tblLook w:firstColumn="1" w:firstRow="1" w:lastColumn="0" w:lastRow="0" w:noHBand="0" w:noVBand="1" w:val="04A0"/>
      </w:tblPr>
      <w:tblGrid>
        <w:gridCol w:w="3067"/>
        <w:gridCol w:w="3067"/>
        <w:gridCol w:w="3067"/>
      </w:tblGrid>
      <w:tr>
        <w:tc>
          <w:tcPr>
            <w:tcW w:type="dxa" w:w="3067"/>
          </w:tcPr>
          <w:p>
            <w:r>
              <w:rPr>
                <w:rFonts w:ascii="Times New Roman" w:hAnsi="Times New Roman"/>
                <w:b/>
                <w:sz w:val="22"/>
              </w:rPr>
              <w:t>Показатель</w:t>
            </w:r>
          </w:p>
        </w:tc>
        <w:tc>
          <w:tcPr>
            <w:tcW w:type="dxa" w:w="3067"/>
          </w:tcPr>
          <w:p>
            <w:r>
              <w:rPr>
                <w:rFonts w:ascii="Times New Roman" w:hAnsi="Times New Roman"/>
                <w:b/>
                <w:sz w:val="22"/>
              </w:rPr>
              <w:t>Значение</w:t>
            </w:r>
          </w:p>
        </w:tc>
        <w:tc>
          <w:tcPr>
            <w:tcW w:type="dxa" w:w="3067"/>
          </w:tcPr>
          <w:p>
            <w:r>
              <w:rPr>
                <w:rFonts w:ascii="Times New Roman" w:hAnsi="Times New Roman"/>
                <w:b/>
                <w:sz w:val="22"/>
              </w:rPr>
              <w:t>Интерпретация</w:t>
            </w:r>
          </w:p>
        </w:tc>
      </w:tr>
      <w:tr>
        <w:tc>
          <w:tcPr>
            <w:tcW w:type="dxa" w:w="3067"/>
          </w:tcPr>
          <w:p>
            <w:r>
              <w:rPr>
                <w:rFonts w:ascii="Times New Roman" w:hAnsi="Times New Roman"/>
                <w:b w:val="0"/>
                <w:sz w:val="22"/>
              </w:rPr>
              <w:t>Первоначальные затраты</w:t>
            </w:r>
          </w:p>
        </w:tc>
        <w:tc>
          <w:tcPr>
            <w:tcW w:type="dxa" w:w="3067"/>
          </w:tcPr>
          <w:p>
            <w:r>
              <w:rPr>
                <w:rFonts w:ascii="Times New Roman" w:hAnsi="Times New Roman"/>
                <w:b w:val="0"/>
                <w:sz w:val="22"/>
              </w:rPr>
              <w:t>474,5 тыс. руб.</w:t>
            </w:r>
          </w:p>
        </w:tc>
        <w:tc>
          <w:tcPr>
            <w:tcW w:type="dxa" w:w="3067"/>
          </w:tcPr>
          <w:p>
            <w:r>
              <w:rPr>
                <w:rFonts w:ascii="Times New Roman" w:hAnsi="Times New Roman"/>
                <w:b w:val="0"/>
                <w:sz w:val="22"/>
              </w:rPr>
              <w:t>Разовые и годовые затраты первого года</w:t>
            </w:r>
          </w:p>
        </w:tc>
      </w:tr>
      <w:tr>
        <w:tc>
          <w:tcPr>
            <w:tcW w:type="dxa" w:w="3067"/>
          </w:tcPr>
          <w:p>
            <w:r>
              <w:rPr>
                <w:rFonts w:ascii="Times New Roman" w:hAnsi="Times New Roman"/>
                <w:b w:val="0"/>
                <w:sz w:val="22"/>
              </w:rPr>
              <w:t>Суммарные затраты за 3 года</w:t>
            </w:r>
          </w:p>
        </w:tc>
        <w:tc>
          <w:tcPr>
            <w:tcW w:type="dxa" w:w="3067"/>
          </w:tcPr>
          <w:p>
            <w:r>
              <w:rPr>
                <w:rFonts w:ascii="Times New Roman" w:hAnsi="Times New Roman"/>
                <w:b w:val="0"/>
                <w:sz w:val="22"/>
              </w:rPr>
              <w:t>782,5 тыс. руб.</w:t>
            </w:r>
          </w:p>
        </w:tc>
        <w:tc>
          <w:tcPr>
            <w:tcW w:type="dxa" w:w="3067"/>
          </w:tcPr>
          <w:p>
            <w:r>
              <w:rPr>
                <w:rFonts w:ascii="Times New Roman" w:hAnsi="Times New Roman"/>
                <w:b w:val="0"/>
                <w:sz w:val="22"/>
              </w:rPr>
              <w:t>С учетом поддерживающих расходов</w:t>
            </w:r>
          </w:p>
        </w:tc>
      </w:tr>
      <w:tr>
        <w:tc>
          <w:tcPr>
            <w:tcW w:type="dxa" w:w="3067"/>
          </w:tcPr>
          <w:p>
            <w:r>
              <w:rPr>
                <w:rFonts w:ascii="Times New Roman" w:hAnsi="Times New Roman"/>
                <w:b w:val="0"/>
                <w:sz w:val="22"/>
              </w:rPr>
              <w:t>Суммарный валовой эффект за 3 года</w:t>
            </w:r>
          </w:p>
        </w:tc>
        <w:tc>
          <w:tcPr>
            <w:tcW w:type="dxa" w:w="3067"/>
          </w:tcPr>
          <w:p>
            <w:r>
              <w:rPr>
                <w:rFonts w:ascii="Times New Roman" w:hAnsi="Times New Roman"/>
                <w:b w:val="0"/>
                <w:sz w:val="22"/>
              </w:rPr>
              <w:t>1 420,4 тыс. руб.</w:t>
            </w:r>
          </w:p>
        </w:tc>
        <w:tc>
          <w:tcPr>
            <w:tcW w:type="dxa" w:w="3067"/>
          </w:tcPr>
          <w:p>
            <w:r>
              <w:rPr>
                <w:rFonts w:ascii="Times New Roman" w:hAnsi="Times New Roman"/>
                <w:b w:val="0"/>
                <w:sz w:val="22"/>
              </w:rPr>
              <w:t>Дополнительный доход и экономия</w:t>
            </w:r>
          </w:p>
        </w:tc>
      </w:tr>
      <w:tr>
        <w:tc>
          <w:tcPr>
            <w:tcW w:type="dxa" w:w="3067"/>
          </w:tcPr>
          <w:p>
            <w:r>
              <w:rPr>
                <w:rFonts w:ascii="Times New Roman" w:hAnsi="Times New Roman"/>
                <w:b w:val="0"/>
                <w:sz w:val="22"/>
              </w:rPr>
              <w:t>Чистый эффект за 3 года</w:t>
            </w:r>
          </w:p>
        </w:tc>
        <w:tc>
          <w:tcPr>
            <w:tcW w:type="dxa" w:w="3067"/>
          </w:tcPr>
          <w:p>
            <w:r>
              <w:rPr>
                <w:rFonts w:ascii="Times New Roman" w:hAnsi="Times New Roman"/>
                <w:b w:val="0"/>
                <w:sz w:val="22"/>
              </w:rPr>
              <w:t>637,9 тыс. руб.</w:t>
            </w:r>
          </w:p>
        </w:tc>
        <w:tc>
          <w:tcPr>
            <w:tcW w:type="dxa" w:w="3067"/>
          </w:tcPr>
          <w:p>
            <w:r>
              <w:rPr>
                <w:rFonts w:ascii="Times New Roman" w:hAnsi="Times New Roman"/>
                <w:b w:val="0"/>
                <w:sz w:val="22"/>
              </w:rPr>
              <w:t>Разница между эффектом и затратами</w:t>
            </w:r>
          </w:p>
        </w:tc>
      </w:tr>
      <w:tr>
        <w:tc>
          <w:tcPr>
            <w:tcW w:type="dxa" w:w="3067"/>
          </w:tcPr>
          <w:p>
            <w:r>
              <w:rPr>
                <w:rFonts w:ascii="Times New Roman" w:hAnsi="Times New Roman"/>
                <w:b w:val="0"/>
                <w:sz w:val="22"/>
              </w:rPr>
              <w:t>NPV</w:t>
            </w:r>
          </w:p>
        </w:tc>
        <w:tc>
          <w:tcPr>
            <w:tcW w:type="dxa" w:w="3067"/>
          </w:tcPr>
          <w:p>
            <w:r>
              <w:rPr>
                <w:rFonts w:ascii="Times New Roman" w:hAnsi="Times New Roman"/>
                <w:b w:val="0"/>
                <w:sz w:val="22"/>
              </w:rPr>
              <w:t>443,3 тыс. руб.</w:t>
            </w:r>
          </w:p>
        </w:tc>
        <w:tc>
          <w:tcPr>
            <w:tcW w:type="dxa" w:w="3067"/>
          </w:tcPr>
          <w:p>
            <w:r>
              <w:rPr>
                <w:rFonts w:ascii="Times New Roman" w:hAnsi="Times New Roman"/>
                <w:b w:val="0"/>
                <w:sz w:val="22"/>
              </w:rPr>
              <w:t>Положительный дисконтированный доход</w:t>
            </w:r>
          </w:p>
        </w:tc>
      </w:tr>
      <w:tr>
        <w:tc>
          <w:tcPr>
            <w:tcW w:type="dxa" w:w="3067"/>
          </w:tcPr>
          <w:p>
            <w:r>
              <w:rPr>
                <w:rFonts w:ascii="Times New Roman" w:hAnsi="Times New Roman"/>
                <w:b w:val="0"/>
                <w:sz w:val="22"/>
              </w:rPr>
              <w:t>ROI</w:t>
            </w:r>
          </w:p>
        </w:tc>
        <w:tc>
          <w:tcPr>
            <w:tcW w:type="dxa" w:w="3067"/>
          </w:tcPr>
          <w:p>
            <w:r>
              <w:rPr>
                <w:rFonts w:ascii="Times New Roman" w:hAnsi="Times New Roman"/>
                <w:b w:val="0"/>
                <w:sz w:val="22"/>
              </w:rPr>
              <w:t>81,5%</w:t>
            </w:r>
          </w:p>
        </w:tc>
        <w:tc>
          <w:tcPr>
            <w:tcW w:type="dxa" w:w="3067"/>
          </w:tcPr>
          <w:p>
            <w:r>
              <w:rPr>
                <w:rFonts w:ascii="Times New Roman" w:hAnsi="Times New Roman"/>
                <w:b w:val="0"/>
                <w:sz w:val="22"/>
              </w:rPr>
              <w:t>Проект экономически эффективен</w:t>
            </w:r>
          </w:p>
        </w:tc>
      </w:tr>
      <w:tr>
        <w:tc>
          <w:tcPr>
            <w:tcW w:type="dxa" w:w="3067"/>
          </w:tcPr>
          <w:p>
            <w:r>
              <w:rPr>
                <w:rFonts w:ascii="Times New Roman" w:hAnsi="Times New Roman"/>
                <w:b w:val="0"/>
                <w:sz w:val="22"/>
              </w:rPr>
              <w:t>Срок окупаемости</w:t>
            </w:r>
          </w:p>
        </w:tc>
        <w:tc>
          <w:tcPr>
            <w:tcW w:type="dxa" w:w="3067"/>
          </w:tcPr>
          <w:p>
            <w:r>
              <w:rPr>
                <w:rFonts w:ascii="Times New Roman" w:hAnsi="Times New Roman"/>
                <w:b w:val="0"/>
                <w:sz w:val="22"/>
              </w:rPr>
              <w:t>1,21 года</w:t>
            </w:r>
          </w:p>
        </w:tc>
        <w:tc>
          <w:tcPr>
            <w:tcW w:type="dxa" w:w="3067"/>
          </w:tcPr>
          <w:p>
            <w:r>
              <w:rPr>
                <w:rFonts w:ascii="Times New Roman" w:hAnsi="Times New Roman"/>
                <w:b w:val="0"/>
                <w:sz w:val="22"/>
              </w:rPr>
              <w:t>Окупаемость в начале второго года</w:t>
            </w:r>
          </w:p>
        </w:tc>
      </w:tr>
    </w:tbl>
    <w:p>
      <w:pPr>
        <w:spacing w:line="360" w:lineRule="auto" w:after="120"/>
        <w:ind w:firstLine="700"/>
      </w:pPr>
    </w:p>
    <w:p>
      <w:pPr>
        <w:spacing w:line="360" w:lineRule="auto" w:after="120"/>
        <w:ind w:firstLine="700"/>
      </w:pPr>
      <w:r>
        <w:rPr>
          <w:rFonts w:ascii="Times New Roman" w:hAnsi="Times New Roman"/>
          <w:b w:val="0"/>
          <w:sz w:val="28"/>
        </w:rPr>
        <w:t>Помимо прямого экономического эффекта проект имеет социально-организационный результат. Сотрудники получают понятный маршрут развития, доступ к актуальным материалам и поддержку наставников. Руководитель отдела получает инструмент контроля качества подготовки заявок. Компания снижает зависимость от отдельных опытных сотрудников, поскольку знания фиксируются в базе и становятся доступными всему отделу. Это особенно важно при удаленном формате работы и высокой текучести.</w:t>
      </w:r>
    </w:p>
    <w:p>
      <w:pPr>
        <w:spacing w:line="360" w:lineRule="auto" w:after="120"/>
        <w:ind w:firstLine="700"/>
      </w:pPr>
      <w:r>
        <w:rPr>
          <w:rFonts w:ascii="Times New Roman" w:hAnsi="Times New Roman"/>
          <w:b w:val="0"/>
          <w:sz w:val="28"/>
        </w:rPr>
        <w:t>Для проверки устойчивости расчетов целесообразно рассмотреть консервативный сценарий. Если дополнительное количество выигранных контрактов составит не 3-4, а только 2 контракта в год, валовой эффект снизится. Однако даже в этом случае компания получит снижение отклонений, экономию времени, сокращение текучести и повышение управляемости процесса. При этом значительная часть инфраструктуры создается один раз и может использоваться в последующие периоды без повторения первоначальных затрат.</w:t>
      </w:r>
    </w:p>
    <w:p>
      <w:pPr>
        <w:spacing w:line="360" w:lineRule="auto" w:after="120"/>
        <w:ind w:firstLine="700"/>
      </w:pPr>
      <w:r>
        <w:rPr>
          <w:rFonts w:ascii="Times New Roman" w:hAnsi="Times New Roman"/>
          <w:b w:val="0"/>
          <w:sz w:val="28"/>
        </w:rPr>
        <w:t>Основные риски проекта связаны с формальным использованием чек-листов, сопротивлением сотрудников, несвоевременным обновлением базы знаний и недостаточным контролем со стороны руководителя. Для снижения рисков необходимо закрепить ответственность за каждый элемент системы, включить показатели качества в KPI и проводить ежемесячный управленческий контроль. Если база знаний не обновляется, она быстро теряет ценность; если чек-лист заполняется формально, он не снижает ошибки; если результаты обучения не анализируются, система снова становится набором разовых мероприятий.</w:t>
      </w:r>
    </w:p>
    <w:p>
      <w:pPr>
        <w:spacing w:line="360" w:lineRule="auto" w:after="120"/>
        <w:ind w:firstLine="700"/>
      </w:pPr>
      <w:r>
        <w:rPr>
          <w:rFonts w:ascii="Times New Roman" w:hAnsi="Times New Roman"/>
          <w:b w:val="0"/>
          <w:sz w:val="28"/>
        </w:rPr>
        <w:t>Таким образом, экономическая оценка подтверждает целесообразность внедрения предложенных мероприятий. Проект требует умеренных затрат, соответствует масштабу ООО «Лайф Медиа», не нуждается в привлечении инвесторского капитала и имеет положительный дисконтированный доход. Наиболее значимый эффект достигается за счет роста качества заявок, снижения формальных отклонений, увеличения числа выигранных контрактов и закрепления знаний внутри отдела.</w:t>
      </w:r>
    </w:p>
    <w:p>
      <w:pPr>
        <w:spacing w:line="360" w:lineRule="auto" w:after="120"/>
        <w:jc w:val="center"/>
      </w:pPr>
      <w:r>
        <w:rPr>
          <w:rFonts w:ascii="Times New Roman" w:hAnsi="Times New Roman"/>
          <w:b/>
          <w:sz w:val="28"/>
        </w:rPr>
        <w:t>Выводы по третьей главе</w:t>
      </w:r>
    </w:p>
    <w:p>
      <w:pPr>
        <w:spacing w:line="360" w:lineRule="auto" w:after="120"/>
        <w:ind w:firstLine="700"/>
      </w:pPr>
      <w:r>
        <w:rPr>
          <w:rFonts w:ascii="Times New Roman" w:hAnsi="Times New Roman"/>
          <w:b w:val="0"/>
          <w:sz w:val="28"/>
        </w:rPr>
        <w:t>В третьей главе разработан комплекс рекомендаций по совершенствованию системы обучения и развития тендерных специалистов ООО «Лайф Медиа». Рекомендации основаны на результатах второй главы, где были выявлены отсутствие системной адаптации, разрозненность материалов, отсутствие регулярной проверки знаний, повторяемость ошибок и слабая связь обучения с мотивацией.</w:t>
      </w:r>
    </w:p>
    <w:p>
      <w:pPr>
        <w:spacing w:line="360" w:lineRule="auto" w:after="120"/>
        <w:ind w:firstLine="700"/>
      </w:pPr>
      <w:r>
        <w:rPr>
          <w:rFonts w:ascii="Times New Roman" w:hAnsi="Times New Roman"/>
          <w:b w:val="0"/>
          <w:sz w:val="28"/>
        </w:rPr>
        <w:t>Предложена модель «Тендерная академия Лайф Медиа», включающая базу знаний, адаптационный маршрут, внешнее обучение по 44-ФЗ и 223-ФЗ, чек-лист подготовки заявки, реестр ошибок, наставничество и систему оценки эффективности. Данная модель адаптирована к масштабу компании и удаленному формату работы, поэтому не требует создания отдельной HR-службы.</w:t>
      </w:r>
    </w:p>
    <w:p>
      <w:pPr>
        <w:spacing w:line="360" w:lineRule="auto" w:after="120"/>
        <w:ind w:firstLine="700"/>
      </w:pPr>
      <w:r>
        <w:rPr>
          <w:rFonts w:ascii="Times New Roman" w:hAnsi="Times New Roman"/>
          <w:b w:val="0"/>
          <w:sz w:val="28"/>
        </w:rPr>
        <w:t>Технико-экономическое обоснование показало, что первоначальные затраты на внедрение составляют 474,456 тыс. руб. Основные расходы связаны с внешним обучением сотрудников, настройкой базы знаний, LMS, лицензиями и премиями наставникам. После первого года ежегодные поддерживающие расходы снижаются до 154 тыс. руб.</w:t>
      </w:r>
    </w:p>
    <w:p>
      <w:pPr>
        <w:spacing w:line="360" w:lineRule="auto" w:after="120"/>
        <w:ind w:firstLine="700"/>
      </w:pPr>
      <w:r>
        <w:rPr>
          <w:rFonts w:ascii="Times New Roman" w:hAnsi="Times New Roman"/>
          <w:b w:val="0"/>
          <w:sz w:val="28"/>
        </w:rPr>
        <w:t>Экономическая оценка показала, что проект способен снизить долю отклоненных заявок, увеличить количество выигранных контрактов и сократить потери рабочего времени. За трехлетний период чистый эффект составит 637,9 тыс. руб., NPV — 443,3 тыс. руб., ROI — 81,5%, срок окупаемости — около 1,21 года. Следовательно, предложенные мероприятия являются организационно и экономически обоснованными.</w:t>
      </w:r>
    </w:p>
    <w:p>
      <w:pPr>
        <w:spacing w:line="360" w:lineRule="auto" w:after="120"/>
        <w:jc w:val="center"/>
      </w:pPr>
      <w:r>
        <w:rPr>
          <w:rFonts w:ascii="Times New Roman" w:hAnsi="Times New Roman"/>
          <w:b/>
          <w:sz w:val="28"/>
        </w:rPr>
        <w:t>Источники, использованные при расчете стоимости мероприятий третьей главы</w:t>
      </w:r>
    </w:p>
    <w:p>
      <w:pPr>
        <w:spacing w:line="360" w:lineRule="auto" w:after="120"/>
        <w:ind/>
      </w:pPr>
      <w:r>
        <w:rPr>
          <w:rFonts w:ascii="Times New Roman" w:hAnsi="Times New Roman"/>
          <w:b w:val="0"/>
          <w:sz w:val="28"/>
        </w:rPr>
        <w:t>45. Контур.Школа. Курсы повышения квалификации по 44-ФЗ и 223-ФЗ [Электронный ресурс]. — URL: https://school.kontur-f.ru/ (дата обращения: 28.04.2026).</w:t>
      </w:r>
    </w:p>
    <w:p>
      <w:pPr>
        <w:spacing w:line="360" w:lineRule="auto" w:after="120"/>
        <w:ind/>
      </w:pPr>
      <w:r>
        <w:rPr>
          <w:rFonts w:ascii="Times New Roman" w:hAnsi="Times New Roman"/>
          <w:b w:val="0"/>
          <w:sz w:val="28"/>
        </w:rPr>
        <w:t>46. iSpring Learn. LMS Pricing [Электронный ресурс]. — URL: https://ispringsolutions.com/ispring-learn/pricing (дата обращения: 28.04.2026).</w:t>
      </w:r>
    </w:p>
    <w:p>
      <w:pPr>
        <w:spacing w:line="360" w:lineRule="auto" w:after="120"/>
        <w:ind/>
      </w:pPr>
      <w:r>
        <w:rPr>
          <w:rFonts w:ascii="Times New Roman" w:hAnsi="Times New Roman"/>
          <w:b w:val="0"/>
          <w:sz w:val="28"/>
        </w:rPr>
        <w:t>47. Битрикс24. Тарифы и цены [Электронный ресурс]. — URL: https://www.bitrix24.ru/prices/ (дата обращения: 28.04.2026).</w:t>
      </w:r>
    </w:p>
    <w:p>
      <w:pPr>
        <w:spacing w:line="360" w:lineRule="auto" w:after="120"/>
        <w:ind/>
      </w:pPr>
      <w:r>
        <w:rPr>
          <w:rFonts w:ascii="Times New Roman" w:hAnsi="Times New Roman"/>
          <w:b w:val="0"/>
          <w:sz w:val="28"/>
        </w:rPr>
        <w:t>48. Стоимость настройки и внедрения Битрикс24 для малого бизнеса [Электронный ресурс]. — URL: https://b24.org.ru/ (дата обращения: 28.04.2026).</w:t>
      </w:r>
    </w:p>
    <w:p>
      <w:pPr>
        <w:spacing w:line="360" w:lineRule="auto" w:after="120"/>
        <w:ind/>
      </w:pPr>
      <w:r>
        <w:rPr>
          <w:rFonts w:ascii="Times New Roman" w:hAnsi="Times New Roman"/>
          <w:b w:val="0"/>
          <w:sz w:val="28"/>
        </w:rPr>
        <w:t>49. КриптоПро. Прайс-лист на лицензии КриптоПро CSP [Электронный ресурс]. — URL: https://cryptopro.ru/buy/price (дата обращения: 28.04.2026).</w:t>
      </w:r>
    </w:p>
    <w:p>
      <w:pPr>
        <w:spacing w:line="360" w:lineRule="auto" w:after="120"/>
        <w:ind/>
      </w:pPr>
      <w:r>
        <w:rPr>
          <w:rFonts w:ascii="Times New Roman" w:hAnsi="Times New Roman"/>
          <w:b w:val="0"/>
          <w:sz w:val="28"/>
        </w:rPr>
        <w:t>50. Банк России. Ключевая ставка Банка России [Электронный ресурс]. — URL: https://cbr.ru/hd_base/keyrate/ (дата обращения: 28.04.2026).</w:t>
      </w:r>
    </w:p>
    <w:p>
      <w:pPr>
        <w:spacing w:line="360" w:lineRule="auto" w:after="120"/>
        <w:ind/>
      </w:pPr>
      <w:r>
        <w:rPr>
          <w:rFonts w:ascii="Times New Roman" w:hAnsi="Times New Roman"/>
          <w:b w:val="0"/>
          <w:sz w:val="28"/>
        </w:rPr>
        <w:t>51. Разработка электронных курсов: ориентиры стоимости корпоративного e-learning [Электронный ресурс]. — URL: https://crmm.ru/ceny/ (дата обращения: 28.04.2026).</w:t>
      </w:r>
    </w:p>
    <w:sectPr>
      <w:pgSz w:w="11906" w:h="16838"/>
      <w:pgMar w:top="1134" w:right="1005" w:bottom="1134" w:left="1701" w:header="720" w:footer="7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decorative"/>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E465A9"/>
    <w:multiLevelType w:val="singleLevel"/>
    <w:tmpl w:val="80E465A9"/>
    <w:lvl w:ilvl="0" w:tentative="0">
      <w:start w:val="1"/>
      <w:numFmt w:val="decimal"/>
      <w:suff w:val="space"/>
      <w:lvlText w:val="%1."/>
      <w:lvlJc w:val="left"/>
    </w:lvl>
  </w:abstractNum>
  <w:abstractNum w:abstractNumId="1">
    <w:nsid w:val="877E51F5"/>
    <w:multiLevelType w:val="singleLevel"/>
    <w:tmpl w:val="877E51F5"/>
    <w:lvl w:ilvl="0" w:tentative="0">
      <w:start w:val="1"/>
      <w:numFmt w:val="bullet"/>
      <w:lvlText w:val="－"/>
      <w:lvlJc w:val="left"/>
      <w:pPr>
        <w:tabs>
          <w:tab w:val="left" w:pos="420"/>
        </w:tabs>
        <w:ind w:left="420" w:leftChars="0" w:hanging="420" w:firstLineChars="0"/>
      </w:pPr>
      <w:rPr>
        <w:rFonts w:hint="default" w:ascii="SimSun" w:hAnsi="SimSun" w:eastAsia="SimSun" w:cs="SimSun"/>
      </w:rPr>
    </w:lvl>
  </w:abstractNum>
  <w:abstractNum w:abstractNumId="2">
    <w:nsid w:val="B0766578"/>
    <w:multiLevelType w:val="multilevel"/>
    <w:tmpl w:val="B076657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C93567C3"/>
    <w:multiLevelType w:val="singleLevel"/>
    <w:tmpl w:val="C93567C3"/>
    <w:lvl w:ilvl="0" w:tentative="0">
      <w:start w:val="1"/>
      <w:numFmt w:val="decimal"/>
      <w:suff w:val="space"/>
      <w:lvlText w:val="%1."/>
      <w:lvlJc w:val="left"/>
    </w:lvl>
  </w:abstractNum>
  <w:abstractNum w:abstractNumId="4">
    <w:nsid w:val="CFA13AEB"/>
    <w:multiLevelType w:val="multilevel"/>
    <w:tmpl w:val="CFA13AEB"/>
    <w:lvl w:ilvl="0" w:tentative="0">
      <w:start w:val="1"/>
      <w:numFmt w:val="decimal"/>
      <w:suff w:val="space"/>
      <w:lvlText w:val="%1."/>
      <w:lvlJc w:val="left"/>
    </w:lvl>
    <w:lvl w:ilvl="1" w:tentative="0">
      <w:start w:val="1"/>
      <w:numFmt w:val="decimal"/>
      <w:suff w:val="space"/>
      <w:lvlText w:val="%1.%2."/>
      <w:lvlJc w:val="left"/>
      <w:pPr>
        <w:ind w:left="49"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D424E3EA"/>
    <w:multiLevelType w:val="singleLevel"/>
    <w:tmpl w:val="D424E3EA"/>
    <w:lvl w:ilvl="0" w:tentative="0">
      <w:start w:val="1"/>
      <w:numFmt w:val="bullet"/>
      <w:lvlText w:val="－"/>
      <w:lvlJc w:val="left"/>
      <w:pPr>
        <w:tabs>
          <w:tab w:val="left" w:pos="420"/>
        </w:tabs>
        <w:ind w:left="420" w:leftChars="0" w:hanging="420" w:firstLineChars="0"/>
      </w:pPr>
      <w:rPr>
        <w:rFonts w:hint="default" w:ascii="SimSun" w:hAnsi="SimSun" w:eastAsia="SimSun" w:cs="SimSun"/>
      </w:rPr>
    </w:lvl>
  </w:abstractNum>
  <w:abstractNum w:abstractNumId="6">
    <w:nsid w:val="0A2C4583"/>
    <w:multiLevelType w:val="singleLevel"/>
    <w:tmpl w:val="0A2C4583"/>
    <w:lvl w:ilvl="0" w:tentative="0">
      <w:start w:val="1"/>
      <w:numFmt w:val="decimal"/>
      <w:suff w:val="space"/>
      <w:lvlText w:val="%1."/>
      <w:lvlJc w:val="left"/>
    </w:lvl>
  </w:abstractNum>
  <w:abstractNum w:abstractNumId="7">
    <w:nsid w:val="1B00C6AF"/>
    <w:multiLevelType w:val="singleLevel"/>
    <w:tmpl w:val="1B00C6A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1C58038C"/>
    <w:multiLevelType w:val="multilevel"/>
    <w:tmpl w:val="1C5803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54CFDDBC"/>
    <w:multiLevelType w:val="singleLevel"/>
    <w:tmpl w:val="54CFDDBC"/>
    <w:lvl w:ilvl="0" w:tentative="0">
      <w:start w:val="1"/>
      <w:numFmt w:val="decimal"/>
      <w:lvlText w:val="%1."/>
      <w:lvlJc w:val="left"/>
      <w:pPr>
        <w:tabs>
          <w:tab w:val="left" w:pos="425"/>
        </w:tabs>
        <w:ind w:left="425" w:leftChars="0" w:hanging="425" w:firstLineChars="0"/>
      </w:pPr>
      <w:rPr>
        <w:rFonts w:hint="default"/>
      </w:rPr>
    </w:lvl>
  </w:abstractNum>
  <w:abstractNum w:abstractNumId="10">
    <w:nsid w:val="586EF190"/>
    <w:multiLevelType w:val="singleLevel"/>
    <w:tmpl w:val="586EF190"/>
    <w:lvl w:ilvl="0" w:tentative="0">
      <w:start w:val="1"/>
      <w:numFmt w:val="decimal"/>
      <w:suff w:val="space"/>
      <w:lvlText w:val="%1."/>
      <w:lvlJc w:val="left"/>
    </w:lvl>
  </w:abstractNum>
  <w:num w:numId="1">
    <w:abstractNumId w:val="10"/>
  </w:num>
  <w:num w:numId="2">
    <w:abstractNumId w:val="4"/>
  </w:num>
  <w:num w:numId="3">
    <w:abstractNumId w:val="6"/>
  </w:num>
  <w:num w:numId="4">
    <w:abstractNumId w:val="8"/>
  </w:num>
  <w:num w:numId="5">
    <w:abstractNumId w:val="0"/>
  </w:num>
  <w:num w:numId="6">
    <w:abstractNumId w:val="2"/>
  </w:num>
  <w:num w:numId="7">
    <w:abstractNumId w:val="5"/>
  </w:num>
  <w:num w:numId="8">
    <w:abstractNumId w:val="1"/>
  </w:num>
  <w:num w:numId="9">
    <w:abstractNumId w:val="7"/>
  </w:num>
  <w:num w:numId="10">
    <w:abstractNumId w:val="9"/>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A002DB3"/>
    <w:rsid w:val="07760E79"/>
    <w:rsid w:val="0A002DB3"/>
    <w:rsid w:val="0C5C5825"/>
    <w:rsid w:val="28465D83"/>
    <w:rsid w:val="3A087590"/>
    <w:rsid w:val="45F606AC"/>
    <w:rsid w:val="4A7373DB"/>
    <w:rsid w:val="66880E8C"/>
    <w:rsid w:val="688C13D2"/>
    <w:rsid w:val="69AC1D7C"/>
    <w:rsid w:val="7C5C7043"/>
    <w:rsid w:val="7D9664B8"/>
    <w:rsid w:val="7EDE6B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 w:type="paragraph" w:styleId="5">
    <w:name w:val="footer"/>
    <w:basedOn w:val="1"/>
    <w:uiPriority w:val="0"/>
    <w:pPr>
      <w:tabs>
        <w:tab w:val="center" w:pos="4153"/>
        <w:tab w:val="right" w:pos="8306"/>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50</Pages>
  <Words>0</Words>
  <Characters>0</Characters>
  <Lines>0</Lines>
  <Paragraphs>0</Paragraphs>
  <TotalTime>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2026-02-20T11:19:00Z</dcterms:created>
  <dc:creator>honor</dc:creator>
  <cp:lastModifiedBy>honor</cp:lastModifiedBy>
  <dcterms:modified xsi:type="dcterms:W3CDTF">2026-04-28T08:35:06Z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AEFFD6447774452090D962037EDF7D7D_11</vt:lpwstr>
  </property>
</Properties>
</file>