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1F72DA">
      <w:pPr>
        <w:keepNext w:val="0"/>
        <w:keepLines w:val="0"/>
        <w:pageBreakBefore w:val="0"/>
        <w:widowControl/>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СОДЕРЖАНИЕ</w:t>
      </w:r>
    </w:p>
    <w:p w14:paraId="3DD40F19">
      <w:pPr>
        <w:keepNext w:val="0"/>
        <w:keepLines w:val="0"/>
        <w:pageBreakBefore w:val="0"/>
        <w:widowControl/>
        <w:tabs>
          <w:tab w:val="right" w:pos="9000"/>
        </w:tabs>
        <w:kinsoku/>
        <w:wordWrap/>
        <w:overflowPunct/>
        <w:topLinePunct w:val="0"/>
        <w:autoSpaceDE/>
        <w:autoSpaceDN/>
        <w:bidi w:val="0"/>
        <w:adjustRightInd/>
        <w:snapToGrid/>
        <w:spacing w:line="276" w:lineRule="auto"/>
        <w:ind w:firstLine="0" w:firstLineChars="0"/>
        <w:jc w:val="both"/>
        <w:textAlignment w:val="auto"/>
        <w:rPr>
          <w:rFonts w:hint="default" w:ascii="Times New Roman" w:hAnsi="Times New Roman"/>
          <w:b/>
          <w:bCs/>
          <w:sz w:val="28"/>
          <w:szCs w:val="28"/>
          <w:lang w:val="ru-RU"/>
        </w:rPr>
      </w:pPr>
    </w:p>
    <w:p w14:paraId="5F93D09D">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ВВЕДЕНИЕ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..........................................................................................................5</w:t>
      </w:r>
    </w:p>
    <w:p w14:paraId="4D44C499">
      <w:pPr>
        <w:keepNext w:val="0"/>
        <w:keepLines w:val="0"/>
        <w:pageBreakBefore w:val="0"/>
        <w:widowControl/>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ГЛАВА 1. </w:t>
      </w:r>
      <w:r>
        <w:rPr>
          <w:rFonts w:hint="default" w:ascii="Times New Roman" w:hAnsi="Times New Roman"/>
          <w:b w:val="0"/>
          <w:bCs w:val="0"/>
          <w:sz w:val="28"/>
          <w:szCs w:val="28"/>
        </w:rPr>
        <w:t xml:space="preserve"> ТЕОРЕТИЧЕСКИЕ ОСНОВЫ ОБУЧЕНИЯ И РАЗВИТИЯ ТЕНДЕРНЫХ СПЕЦИАЛИСТОВ</w:t>
      </w:r>
      <w:r>
        <w:rPr>
          <w:rFonts w:hint="default" w:ascii="Times New Roman" w:hAnsi="Times New Roman"/>
          <w:b w:val="0"/>
          <w:bCs w:val="0"/>
          <w:sz w:val="28"/>
          <w:szCs w:val="28"/>
          <w:lang w:val="ru-RU"/>
        </w:rPr>
        <w:t>.................................................................</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5AFD2EBB">
      <w:pPr>
        <w:keepNext w:val="0"/>
        <w:keepLines w:val="0"/>
        <w:pageBreakBefore w:val="0"/>
        <w:widowControl/>
        <w:numPr>
          <w:ilvl w:val="-2"/>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1.1. Роль и значение обучения персонала в системе управления организацией....................................................................................................</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7</w:t>
      </w:r>
    </w:p>
    <w:p w14:paraId="4CB8F8EB">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1.2. Специфика профессиональных компетенций  тендерных специалистов и современные подходы к их развитию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15</w:t>
      </w:r>
    </w:p>
    <w:p w14:paraId="2B281192">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1.3. Методологические подходы к оценке эффективности обучения тендерных специалистов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20</w:t>
      </w:r>
    </w:p>
    <w:p w14:paraId="661DD75C">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первой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21</w:t>
      </w:r>
    </w:p>
    <w:p w14:paraId="73672D9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2. АНАЛИЗ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p>
    <w:p w14:paraId="00A40495">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2.1. Общая характеристика ООО «Лайф Медиа» и структуры закупочной деятельности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..23</w:t>
      </w:r>
      <w:r>
        <w:rPr>
          <w:rFonts w:hint="default" w:ascii="Times New Roman" w:hAnsi="Times New Roman"/>
          <w:b w:val="0"/>
          <w:bCs w:val="0"/>
          <w:sz w:val="28"/>
          <w:szCs w:val="28"/>
          <w:lang w:val="ru-RU"/>
        </w:rPr>
        <w:tab/>
      </w:r>
    </w:p>
    <w:p w14:paraId="7AB6EDA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2.2. Анализ системы управления персоналом ООО «Лайф Медиа»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56C1E5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2.3 Оценка эффективности текущей системы обучения и выявление проблем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572FC407">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второй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805F5A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ГЛАВА 3. СОВЕРШЕНСТВОВАНИЕ СИСТЕМЫ ОБУЧЕНИЯ И РАЗВИТИЯ ТЕНДЕРНЫХ СПЕЦИАЛИСТОВ ООО «ЛАЙФ МЕДИА».........................................................................................................</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E210436">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3.1. Разработка комплекса мероприятий по совершенствованию системы обучения..........................................................................................................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112B8D19">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3.2. Формирование модели компетенций и внедрение программ профессиональной переподготовки.............................................................</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 xml:space="preserve">00 </w:t>
      </w:r>
    </w:p>
    <w:p w14:paraId="533D2CCE">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3.3. Оценка социально-экономической эффективности предложенных мероприятий .................................................................................................</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7F21A654">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Выводы по третьей главе................................................................................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2060470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ЗАКЛЮЧЕНИЕ...............................................................................................</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01C0BCD">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Список используемой литературы.................................................................</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4DC1787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276" w:lineRule="auto"/>
        <w:ind w:left="198" w:leftChars="0" w:right="200" w:rightChars="100" w:hanging="198" w:hangingChars="71"/>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ПРИЛОЖЕНИЯ...............................................................................................</w:t>
      </w: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00</w:t>
      </w:r>
    </w:p>
    <w:p w14:paraId="0B9CAEF4">
      <w:pPr>
        <w:keepNext w:val="0"/>
        <w:keepLines w:val="0"/>
        <w:pageBreakBefore w:val="0"/>
        <w:widowControl/>
        <w:kinsoku/>
        <w:wordWrap/>
        <w:overflowPunct/>
        <w:topLinePunct w:val="0"/>
        <w:autoSpaceDE/>
        <w:autoSpaceDN/>
        <w:bidi w:val="0"/>
        <w:adjustRightInd/>
        <w:snapToGrid/>
        <w:spacing w:line="276" w:lineRule="auto"/>
        <w:ind w:right="200" w:rightChars="100" w:firstLine="0" w:firstLineChars="0"/>
        <w:jc w:val="both"/>
        <w:textAlignment w:val="auto"/>
        <w:rPr>
          <w:rFonts w:hint="default" w:ascii="Times New Roman" w:hAnsi="Times New Roman"/>
          <w:b w:val="0"/>
          <w:bCs w:val="0"/>
          <w:sz w:val="28"/>
          <w:szCs w:val="28"/>
          <w:lang w:val="ru-RU"/>
        </w:rPr>
      </w:pPr>
    </w:p>
    <w:p w14:paraId="0A21C685">
      <w:pPr>
        <w:keepNext w:val="0"/>
        <w:keepLines w:val="0"/>
        <w:pageBreakBefore w:val="0"/>
        <w:widowControl/>
        <w:kinsoku/>
        <w:wordWrap/>
        <w:overflowPunct/>
        <w:topLinePunct w:val="0"/>
        <w:autoSpaceDE/>
        <w:autoSpaceDN/>
        <w:bidi w:val="0"/>
        <w:adjustRightInd/>
        <w:snapToGrid/>
        <w:spacing w:line="240" w:lineRule="auto"/>
        <w:ind w:right="200" w:rightChars="100" w:firstLine="351" w:firstLineChars="125"/>
        <w:jc w:val="both"/>
        <w:textAlignment w:val="auto"/>
        <w:rPr>
          <w:rFonts w:hint="default" w:ascii="Times New Roman" w:hAnsi="Times New Roman"/>
          <w:b/>
          <w:bCs/>
          <w:sz w:val="28"/>
          <w:szCs w:val="28"/>
          <w:lang w:val="ru-RU"/>
        </w:rPr>
      </w:pPr>
    </w:p>
    <w:p>
      <w:pPr>
        <w:spacing w:line="360" w:lineRule="auto" w:after="120"/>
        <w:jc w:val="center"/>
      </w:pPr>
      <w:r>
        <w:rPr>
          <w:rFonts w:ascii="Times New Roman" w:hAnsi="Times New Roman"/>
          <w:b/>
          <w:sz w:val="28"/>
        </w:rPr>
        <w:t>ВВЕДЕНИЕ</w:t>
      </w:r>
    </w:p>
    <w:p>
      <w:pPr>
        <w:spacing w:line="360" w:lineRule="auto" w:after="120"/>
        <w:ind w:firstLine="700"/>
      </w:pPr>
      <w:r>
        <w:rPr>
          <w:rFonts w:ascii="Times New Roman" w:hAnsi="Times New Roman"/>
          <w:b w:val="0"/>
          <w:sz w:val="28"/>
        </w:rPr>
        <w:t>В современных условиях закупочная деятельность занимает важное место в развитии как государственных, так и коммерческих организаций. Для предприятий, участвующих в тендерах, закупочные процедуры являются не только способом заключения договоров, но и самостоятельным направлением конкурентной борьбы. Победа в закупке зависит от цены, качества предложения, своевременности подготовки документов, знания законодательства и умения работать с электронными торговыми площадками. Поэтому профессиональный уровень тендерных специалистов напрямую влияет на объем выручки, финансовый результат, деловую репутацию и устойчивость компании на рынке.</w:t>
      </w:r>
    </w:p>
    <w:p>
      <w:pPr>
        <w:spacing w:line="360" w:lineRule="auto" w:after="120"/>
        <w:ind w:firstLine="700"/>
      </w:pPr>
      <w:r>
        <w:rPr>
          <w:rFonts w:ascii="Times New Roman" w:hAnsi="Times New Roman"/>
          <w:b w:val="0"/>
          <w:sz w:val="28"/>
        </w:rPr>
        <w:t>Актуальность темы выпускной квалификационной работы обусловлена тем, что сфера закупок постоянно усложняется. Законодательство о контрактной системе и закупках отдельных видов юридических лиц регулярно изменяется, электронные площадки обновляют требования к подаче заявок, заказчики предъявляют более детальные условия к подтверждению опыта, квалификации, происхождения товаров и комплектности документов. В такой среде недостаточно один раз обучить сотрудника базовым правилам участия в торгах. Необходима системная, постоянно обновляемая модель обучения и развития, которая позволяет специалистам своевременно осваивать изменения, снижать количество ошибок и повышать результативность участия в закупочных процедурах.</w:t>
      </w:r>
    </w:p>
    <w:p>
      <w:pPr>
        <w:spacing w:line="360" w:lineRule="auto" w:after="120"/>
        <w:ind w:firstLine="700"/>
      </w:pPr>
      <w:r>
        <w:rPr>
          <w:rFonts w:ascii="Times New Roman" w:hAnsi="Times New Roman"/>
          <w:b w:val="0"/>
          <w:sz w:val="28"/>
        </w:rPr>
        <w:t>Практическая актуальность темы особенно значима для организаций, в которых тендерная деятельность является одним из основных источников дохода. Ошибки тендерных специалистов имеют прямые экономические последствия: заявка может быть отклонена до стадии торгов, компания теряет возможность заключить контракт, рабочее время сотрудников расходуется без результата, а повторяющиеся нарушения снижают доверие к внутренним процессам. Если обучение персонала носит случайный характер, знания остаются у отдельных сотрудников и не превращаются в общий ресурс организации. В результате компания становится зависимой от личного опыта конкретных работников, что особенно рискованно при текучести кадров и удаленном формате работы.</w:t>
      </w:r>
    </w:p>
    <w:p>
      <w:pPr>
        <w:spacing w:line="360" w:lineRule="auto" w:after="120"/>
        <w:ind w:firstLine="700"/>
      </w:pPr>
      <w:r>
        <w:rPr>
          <w:rFonts w:ascii="Times New Roman" w:hAnsi="Times New Roman"/>
          <w:b w:val="0"/>
          <w:sz w:val="28"/>
        </w:rPr>
        <w:t>Тема ВКР — «Совершенствование системы обучения и развития тендерных специалистов» — является актуальной и для исследуемого предприятия ООО «Лайф Медиа». Компания специализируется на оптовых поставках техники и оборудования, работает на рынках B2B и B2G и активно участвует в государственных и корпоративных закупках. Ключевым подразделением предприятия является тендерный отдел, который обеспечивает значительную долю выручки. При этом результаты анализа показали, что в компании сохраняются проблемы, связанные с высокой долей отклоненных заявок, недостаточной системностью адаптации новых сотрудников, отсутствием единой базы актуальных шаблонов, эпизодическим характером обучения и слабой связью обучения с мотивацией и оценкой результатов.</w:t>
      </w:r>
    </w:p>
    <w:p>
      <w:pPr>
        <w:spacing w:line="360" w:lineRule="auto" w:after="120"/>
        <w:ind w:firstLine="700"/>
      </w:pPr>
      <w:r>
        <w:rPr>
          <w:rFonts w:ascii="Times New Roman" w:hAnsi="Times New Roman"/>
          <w:b w:val="0"/>
          <w:sz w:val="28"/>
        </w:rPr>
        <w:t>Краткая характеристика ООО «Лайф Медиа» подтверждает значимость выбранной темы. Предприятие относится к малому бизнесу, имеет линейно-функциональную структуру управления и использует преимущественно удаленный формат работы. Такой формат позволяет привлекать специалистов из разных регионов и снижать часть административных расходов, но одновременно повышает требования к цифровой дисциплине, регламентации процессов, доступности актуальных материалов и прозрачности контроля. Для тендерного отдела, работающего с ЕИС, ЭТП, электронными документами, расчетами НМЦК и требованиями 44-ФЗ и 223-ФЗ, отсутствие единой системы обучения создает риск повторения ошибок и потери контрактов.</w:t>
      </w:r>
    </w:p>
    <w:p>
      <w:pPr>
        <w:spacing w:line="360" w:lineRule="auto" w:after="120"/>
        <w:ind w:firstLine="700"/>
      </w:pPr>
      <w:r>
        <w:rPr>
          <w:rFonts w:ascii="Times New Roman" w:hAnsi="Times New Roman"/>
          <w:b w:val="0"/>
          <w:sz w:val="28"/>
        </w:rPr>
        <w:t>Новизна работы заключается в том, что обучение тендерных специалистов рассматривается не как отдельное образовательное мероприятие, а как управленческая система, связанная с результатами закупочной деятельности. В работе обосновывается необходимость перехода от разовых вебинаров и устных пояснений к внутренней модели развития, включающей базу знаний, адаптационный маршрут, наставничество, чек-листы подготовки заявок, реестр ошибок, внешнее повышение квалификации и оценку экономической эффективности. Такой подход позволяет соединить кадровые, организационные и финансовые аспекты проблемы.</w:t>
      </w:r>
    </w:p>
    <w:p>
      <w:pPr>
        <w:spacing w:line="360" w:lineRule="auto" w:after="120"/>
        <w:ind w:firstLine="700"/>
      </w:pPr>
      <w:r>
        <w:rPr>
          <w:rFonts w:ascii="Times New Roman" w:hAnsi="Times New Roman"/>
          <w:b w:val="0"/>
          <w:sz w:val="28"/>
        </w:rPr>
        <w:t>Объектом исследования является система управления персоналом ООО «Лайф Медиа». Предметом исследования выступает система обучения и развития тендерных специалистов ООО «Лайф Медиа», включая организацию адаптации, обновление профессиональных знаний, передачу опыта, контроль качества подготовки заявок и оценку эффективности обучения.</w:t>
      </w:r>
    </w:p>
    <w:p>
      <w:pPr>
        <w:spacing w:line="360" w:lineRule="auto" w:after="120"/>
        <w:ind w:firstLine="700"/>
      </w:pPr>
      <w:r>
        <w:rPr>
          <w:rFonts w:ascii="Times New Roman" w:hAnsi="Times New Roman"/>
          <w:b w:val="0"/>
          <w:sz w:val="28"/>
        </w:rPr>
        <w:t>Цель выпускной квалификационной работы состоит в разработке и экономическом обосновании рекомендаций по совершенствованию системы обучения и развития тендерных специалистов ООО «Лайф Медиа», направленных на снижение количества формальных ошибок при подготовке заявок, повышение профессиональных компетенций сотрудников и рост эффективности участия предприятия в тендерных процедурах.</w:t>
      </w:r>
    </w:p>
    <w:p>
      <w:pPr>
        <w:spacing w:line="360" w:lineRule="auto" w:after="120"/>
        <w:ind w:firstLine="700"/>
      </w:pPr>
      <w:r>
        <w:rPr>
          <w:rFonts w:ascii="Times New Roman" w:hAnsi="Times New Roman"/>
          <w:b w:val="0"/>
          <w:sz w:val="28"/>
        </w:rPr>
        <w:t>Для достижения поставленной цели необходимо решить следующие задачи:</w:t>
      </w:r>
    </w:p>
    <w:p>
      <w:pPr>
        <w:spacing w:line="360" w:lineRule="auto" w:after="120"/>
        <w:ind w:firstLine="700"/>
      </w:pPr>
      <w:r>
        <w:rPr>
          <w:rFonts w:ascii="Times New Roman" w:hAnsi="Times New Roman"/>
          <w:b w:val="0"/>
          <w:sz w:val="28"/>
        </w:rPr>
        <w:t>1. Рассмотреть теоретические основы обучения и развития персонала в системе управления организацией и определить специфику подготовки тендерных специалистов.</w:t>
      </w:r>
    </w:p>
    <w:p>
      <w:pPr>
        <w:spacing w:line="360" w:lineRule="auto" w:after="120"/>
        <w:ind w:firstLine="700"/>
      </w:pPr>
      <w:r>
        <w:rPr>
          <w:rFonts w:ascii="Times New Roman" w:hAnsi="Times New Roman"/>
          <w:b w:val="0"/>
          <w:sz w:val="28"/>
        </w:rPr>
        <w:t>2. Изучить современные подходы к развитию профессиональных компетенций специалистов в сфере закупок, включая цифровые инструменты, практико-ориентированное обучение и методы оценки эффективности.</w:t>
      </w:r>
    </w:p>
    <w:p>
      <w:pPr>
        <w:spacing w:line="360" w:lineRule="auto" w:after="120"/>
        <w:ind w:firstLine="700"/>
      </w:pPr>
      <w:r>
        <w:rPr>
          <w:rFonts w:ascii="Times New Roman" w:hAnsi="Times New Roman"/>
          <w:b w:val="0"/>
          <w:sz w:val="28"/>
        </w:rPr>
        <w:t>3. Охарактеризовать ООО «Лайф Медиа», структуру его закупочной деятельности и роль тендерного отдела в финансовых результатах предприятия.</w:t>
      </w:r>
    </w:p>
    <w:p>
      <w:pPr>
        <w:spacing w:line="360" w:lineRule="auto" w:after="120"/>
        <w:ind w:firstLine="700"/>
      </w:pPr>
      <w:r>
        <w:rPr>
          <w:rFonts w:ascii="Times New Roman" w:hAnsi="Times New Roman"/>
          <w:b w:val="0"/>
          <w:sz w:val="28"/>
        </w:rPr>
        <w:t>4. Проанализировать действующую систему управления персоналом и обучения тендерных специалистов, выявить ее сильные стороны, ограничения и ключевые проблемы.</w:t>
      </w:r>
    </w:p>
    <w:p>
      <w:pPr>
        <w:spacing w:line="360" w:lineRule="auto" w:after="120"/>
        <w:ind w:firstLine="700"/>
      </w:pPr>
      <w:r>
        <w:rPr>
          <w:rFonts w:ascii="Times New Roman" w:hAnsi="Times New Roman"/>
          <w:b w:val="0"/>
          <w:sz w:val="28"/>
        </w:rPr>
        <w:t>5. Провести оценку эффективности текущей системы обучения на основе анализа тендерных показателей, внутренних данных и результатов анкетирования сотрудников.</w:t>
      </w:r>
    </w:p>
    <w:p>
      <w:pPr>
        <w:spacing w:line="360" w:lineRule="auto" w:after="120"/>
        <w:ind w:firstLine="700"/>
      </w:pPr>
      <w:r>
        <w:rPr>
          <w:rFonts w:ascii="Times New Roman" w:hAnsi="Times New Roman"/>
          <w:b w:val="0"/>
          <w:sz w:val="28"/>
        </w:rPr>
        <w:t>6. Разработать комплекс мероприятий по совершенствованию системы обучения и развития тендерных специалистов с учетом выявленных проблем и особенностей предприятия.</w:t>
      </w:r>
    </w:p>
    <w:p>
      <w:pPr>
        <w:spacing w:line="360" w:lineRule="auto" w:after="120"/>
        <w:ind w:firstLine="700"/>
      </w:pPr>
      <w:r>
        <w:rPr>
          <w:rFonts w:ascii="Times New Roman" w:hAnsi="Times New Roman"/>
          <w:b w:val="0"/>
          <w:sz w:val="28"/>
        </w:rPr>
        <w:t>7. Рассчитать затраты на внедрение предложенных мероприятий и оценить их социально-экономическую эффективность.</w:t>
      </w:r>
    </w:p>
    <w:p>
      <w:pPr>
        <w:spacing w:line="360" w:lineRule="auto" w:after="120"/>
        <w:ind w:firstLine="700"/>
      </w:pPr>
      <w:r>
        <w:rPr>
          <w:rFonts w:ascii="Times New Roman" w:hAnsi="Times New Roman"/>
          <w:b w:val="0"/>
          <w:sz w:val="28"/>
        </w:rPr>
        <w:t>В работе использованы следующие методы исследования: описательный метод, анализ научной и учебной литературы, анализ нормативно-правовых документов, анализ внутренней документации предприятия, экономический анализ, сравнительный анализ, структурно-логический анализ, анкетирование сотрудников, экспертно-анкетная оценка, шкалирование по Лайкерту, анализ разрывов, табличный метод, расчет показателей экономической эффективности, расчет ROI и дисконтированного дохода.</w:t>
      </w:r>
    </w:p>
    <w:p>
      <w:pPr>
        <w:spacing w:line="360" w:lineRule="auto" w:after="120"/>
        <w:ind w:firstLine="700"/>
      </w:pPr>
      <w:r>
        <w:rPr>
          <w:rFonts w:ascii="Times New Roman" w:hAnsi="Times New Roman"/>
          <w:b w:val="0"/>
          <w:sz w:val="28"/>
        </w:rPr>
        <w:t>Структура выпускной квалификационной работы соответствует цели и задачам исследования. Работа состоит из введения, трех глав, заключения, списка использованных источников и приложений. В первой главе раскрываются теоретические основы обучения и развития персонала, специфика компетенций тендерных специалистов и подходы к оценке эффективности обучения. Во второй главе проводится анализ ООО «Лайф Медиа», системы управления персоналом, текущего состояния обучения тендерных специалистов и проблем, влияющих на качество подготовки заявок. В третьей главе разрабатываются рекомендации по совершенствованию системы обучения, обосновывается технология их внедрения и рассчитывается экономическая эффективность предложенных мероприятий.</w:t>
      </w:r>
    </w:p>
    <w:p w14:paraId="24B9F265">
      <w:pPr>
        <w:keepNext w:val="0"/>
        <w:keepLines w:val="0"/>
        <w:pageBreakBefore w:val="0"/>
        <w:widowControl/>
        <w:kinsoku/>
        <w:wordWrap/>
        <w:overflowPunct/>
        <w:topLinePunct w:val="0"/>
        <w:autoSpaceDE/>
        <w:autoSpaceDN/>
        <w:bidi w:val="0"/>
        <w:adjustRightInd/>
        <w:snapToGrid/>
        <w:ind w:firstLine="351" w:firstLineChars="125"/>
        <w:jc w:val="both"/>
        <w:textAlignment w:val="auto"/>
        <w:rPr>
          <w:rFonts w:hint="default" w:ascii="Times New Roman" w:hAnsi="Times New Roman"/>
          <w:b/>
          <w:bCs/>
          <w:sz w:val="28"/>
          <w:szCs w:val="28"/>
        </w:rPr>
      </w:pPr>
      <w:r>
        <w:rPr>
          <w:rFonts w:hint="default" w:ascii="Times New Roman" w:hAnsi="Times New Roman"/>
          <w:b/>
          <w:bCs/>
          <w:sz w:val="28"/>
          <w:szCs w:val="28"/>
          <w:lang w:val="ru-RU"/>
        </w:rPr>
        <w:t>ГЛАВА 1</w:t>
      </w:r>
      <w:r>
        <w:rPr>
          <w:rFonts w:hint="default" w:ascii="Times New Roman" w:hAnsi="Times New Roman"/>
          <w:b/>
          <w:bCs/>
          <w:sz w:val="28"/>
          <w:szCs w:val="28"/>
        </w:rPr>
        <w:t>. ТЕОРЕТИЧЕСКИЕ ОСНОВЫ ОБУЧЕНИЯ И РАЗВИТИЯ ТЕНДЕРНЫХ СПЕЦИАЛИСТОВ</w:t>
      </w:r>
    </w:p>
    <w:p w14:paraId="79BBE093">
      <w:pPr>
        <w:keepNext w:val="0"/>
        <w:keepLines w:val="0"/>
        <w:pageBreakBefore w:val="0"/>
        <w:kinsoku/>
        <w:wordWrap/>
        <w:overflowPunct/>
        <w:topLinePunct w:val="0"/>
        <w:autoSpaceDE/>
        <w:autoSpaceDN/>
        <w:bidi w:val="0"/>
        <w:adjustRightInd/>
        <w:snapToGrid/>
        <w:ind w:firstLine="351" w:firstLineChars="125"/>
        <w:jc w:val="center"/>
        <w:textAlignment w:val="auto"/>
        <w:rPr>
          <w:rFonts w:hint="default" w:ascii="Times New Roman" w:hAnsi="Times New Roman"/>
          <w:b/>
          <w:bCs/>
          <w:sz w:val="28"/>
          <w:szCs w:val="28"/>
        </w:rPr>
      </w:pPr>
    </w:p>
    <w:p w14:paraId="3F44201F">
      <w:pPr>
        <w:keepNext w:val="0"/>
        <w:keepLines w:val="0"/>
        <w:pageBreakBefore w:val="0"/>
        <w:numPr>
          <w:ilvl w:val="0"/>
          <w:numId w:val="0"/>
        </w:numPr>
        <w:kinsoku/>
        <w:wordWrap/>
        <w:overflowPunct/>
        <w:topLinePunct w:val="0"/>
        <w:autoSpaceDE/>
        <w:autoSpaceDN/>
        <w:bidi w:val="0"/>
        <w:adjustRightInd/>
        <w:snapToGrid/>
        <w:ind w:leftChars="125"/>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Роль и значение обучения персонала в системе управления организацией</w:t>
      </w:r>
      <w:r>
        <w:rPr>
          <w:rFonts w:hint="default" w:ascii="Times New Roman" w:hAnsi="Times New Roman"/>
          <w:b/>
          <w:bCs/>
          <w:sz w:val="28"/>
          <w:szCs w:val="28"/>
          <w:lang w:val="ru-RU"/>
        </w:rPr>
        <w:t>, современные тенденции</w:t>
      </w:r>
    </w:p>
    <w:p w14:paraId="58E1DC62">
      <w:pPr>
        <w:keepNext w:val="0"/>
        <w:keepLines w:val="0"/>
        <w:pageBreakBefore w:val="0"/>
        <w:numPr>
          <w:ilvl w:val="0"/>
          <w:numId w:val="0"/>
        </w:numPr>
        <w:kinsoku/>
        <w:wordWrap/>
        <w:overflowPunct/>
        <w:topLinePunct w:val="0"/>
        <w:autoSpaceDE/>
        <w:autoSpaceDN/>
        <w:bidi w:val="0"/>
        <w:adjustRightInd/>
        <w:snapToGrid/>
        <w:ind w:leftChars="0" w:firstLine="350" w:firstLineChars="125"/>
        <w:jc w:val="both"/>
        <w:textAlignment w:val="auto"/>
        <w:rPr>
          <w:rFonts w:hint="default" w:ascii="Times New Roman" w:hAnsi="Times New Roman"/>
          <w:sz w:val="28"/>
          <w:szCs w:val="28"/>
          <w:lang w:val="ru-RU"/>
        </w:rPr>
      </w:pPr>
    </w:p>
    <w:p w14:paraId="5ABB614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современном экономическом мире, характеризующимся постоянными изменениями внешней среды, стремительным развитием технологий и ростом конкуренции, персонал становятся ключевым стратегическим ресурсом организации. Поэтому система обучения и развития сотрудников становится не просто вспомогательной функцией отдела кадров, а перерастает в один из главных элементов управления, который напрямую оказывает влияние на успех, эффективность и конкурентоспособность бизнеса на рынке </w:t>
      </w:r>
      <w:r>
        <w:rPr>
          <w:rFonts w:hint="default" w:ascii="Times New Roman" w:hAnsi="Times New Roman"/>
          <w:sz w:val="28"/>
          <w:szCs w:val="28"/>
          <w:lang w:val="en-US"/>
        </w:rPr>
        <w:t>[</w:t>
      </w:r>
      <w:r>
        <w:rPr>
          <w:rFonts w:hint="default" w:ascii="Times New Roman" w:hAnsi="Times New Roman"/>
          <w:sz w:val="28"/>
          <w:szCs w:val="28"/>
          <w:lang w:val="ru-RU"/>
        </w:rPr>
        <w:t>2, с. 15</w:t>
      </w:r>
      <w:r>
        <w:rPr>
          <w:rFonts w:hint="default" w:ascii="Times New Roman" w:hAnsi="Times New Roman"/>
          <w:sz w:val="28"/>
          <w:szCs w:val="28"/>
          <w:lang w:val="en-US"/>
        </w:rPr>
        <w:t>]</w:t>
      </w:r>
      <w:r>
        <w:rPr>
          <w:rFonts w:hint="default" w:ascii="Times New Roman" w:hAnsi="Times New Roman"/>
          <w:sz w:val="28"/>
          <w:szCs w:val="28"/>
          <w:lang w:val="ru-RU"/>
        </w:rPr>
        <w:t>.</w:t>
      </w:r>
    </w:p>
    <w:p w14:paraId="56356A6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общем, обучение и развитие персонала – это стратегически спланированный и последовательно реализуемый процесс, направленный на получение новых знаний и умений для  формирования актуального набора компетенций. Тем не менее в контексте управления организацией это понятие имеет более весомое стратегическое значение. Современные исследователи в области административного управления справедливо отмечают, что руководство должно воспринимать обучение и профессиональное развитие как целенаправленный управленческий цикл образовательных мероприятий, а его основная функция – развивать необходимые компетенции у персонала, что критически важно для эффективной реализации стратегических задач компании </w:t>
      </w:r>
      <w:r>
        <w:rPr>
          <w:rFonts w:hint="default" w:ascii="Times New Roman" w:hAnsi="Times New Roman"/>
          <w:sz w:val="28"/>
          <w:szCs w:val="28"/>
          <w:lang w:val="en-US"/>
        </w:rPr>
        <w:t>[</w:t>
      </w:r>
      <w:r>
        <w:rPr>
          <w:rFonts w:hint="default" w:ascii="Times New Roman" w:hAnsi="Times New Roman"/>
          <w:sz w:val="28"/>
          <w:szCs w:val="28"/>
          <w:lang w:val="ru-RU"/>
        </w:rPr>
        <w:t>1, с.48</w:t>
      </w:r>
      <w:r>
        <w:rPr>
          <w:rFonts w:hint="default" w:ascii="Times New Roman" w:hAnsi="Times New Roman"/>
          <w:sz w:val="28"/>
          <w:szCs w:val="28"/>
          <w:lang w:val="en-US"/>
        </w:rPr>
        <w:t>]</w:t>
      </w:r>
      <w:r>
        <w:rPr>
          <w:rFonts w:hint="default" w:ascii="Times New Roman" w:hAnsi="Times New Roman"/>
          <w:sz w:val="28"/>
          <w:szCs w:val="28"/>
          <w:lang w:val="ru-RU"/>
        </w:rPr>
        <w:t>. Данный процесс охватывает планирование, организацию, проведение и контроль учебных мероприятий, которые позволяют персоналу приобретать новые знания и навыки.</w:t>
      </w:r>
    </w:p>
    <w:p w14:paraId="4D94CDD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научной литературе существуют различные подходы к пониманию обучения сотрудников компаний:</w:t>
      </w:r>
    </w:p>
    <w:p w14:paraId="1424F20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контексте управления персоналом, Гайфуллина М.М., Низамова Г.З. и Маков В.М. В. Р. трактуют обучение как комплекс мер, направленных на профессиональный рост и повышение компетентности сотрудников </w:t>
      </w:r>
      <w:r>
        <w:rPr>
          <w:rFonts w:hint="default" w:ascii="Times New Roman" w:hAnsi="Times New Roman"/>
          <w:sz w:val="28"/>
          <w:szCs w:val="28"/>
          <w:lang w:val="en-US"/>
        </w:rPr>
        <w:t>[</w:t>
      </w:r>
      <w:r>
        <w:rPr>
          <w:rFonts w:hint="default" w:ascii="Times New Roman" w:hAnsi="Times New Roman"/>
          <w:sz w:val="28"/>
          <w:szCs w:val="28"/>
          <w:lang w:val="ru-RU"/>
        </w:rPr>
        <w:t>4, с.7</w:t>
      </w:r>
      <w:r>
        <w:rPr>
          <w:rFonts w:hint="default" w:ascii="Times New Roman" w:hAnsi="Times New Roman"/>
          <w:sz w:val="28"/>
          <w:szCs w:val="28"/>
          <w:lang w:val="en-US"/>
        </w:rPr>
        <w:t>]</w:t>
      </w:r>
      <w:r>
        <w:rPr>
          <w:rFonts w:hint="default" w:ascii="Times New Roman" w:hAnsi="Times New Roman"/>
          <w:sz w:val="28"/>
          <w:szCs w:val="28"/>
          <w:lang w:val="ru-RU"/>
        </w:rPr>
        <w:t xml:space="preserve">. Тонких Н. В. видит в обучении фундаментальный процесс развития личности, охватывающий знания, навыки, способности, поведение и отношение </w:t>
      </w:r>
      <w:r>
        <w:rPr>
          <w:rFonts w:hint="default" w:ascii="Times New Roman" w:hAnsi="Times New Roman"/>
          <w:sz w:val="28"/>
          <w:szCs w:val="28"/>
          <w:lang w:val="en-US"/>
        </w:rPr>
        <w:t>[</w:t>
      </w:r>
      <w:r>
        <w:rPr>
          <w:rFonts w:hint="default" w:ascii="Times New Roman" w:hAnsi="Times New Roman"/>
          <w:sz w:val="28"/>
          <w:szCs w:val="28"/>
          <w:lang w:val="ru-RU"/>
        </w:rPr>
        <w:t>3, с.86</w:t>
      </w:r>
      <w:r>
        <w:rPr>
          <w:rFonts w:hint="default" w:ascii="Times New Roman" w:hAnsi="Times New Roman"/>
          <w:sz w:val="28"/>
          <w:szCs w:val="28"/>
          <w:lang w:val="en-US"/>
        </w:rPr>
        <w:t>]</w:t>
      </w:r>
      <w:r>
        <w:rPr>
          <w:rFonts w:hint="default" w:ascii="Times New Roman" w:hAnsi="Times New Roman"/>
          <w:sz w:val="28"/>
          <w:szCs w:val="28"/>
          <w:lang w:val="ru-RU"/>
        </w:rPr>
        <w:t xml:space="preserve">. Попов А. А. и Мальцева С. М. выделяют обучение персонала как ключевой элемент управления в коммерческих организациях, определяя его как организованный процесс формирования у сотрудников знаний и навыков для достижения конкретных результатов и повышения общей эффективности </w:t>
      </w:r>
      <w:r>
        <w:rPr>
          <w:rFonts w:hint="default" w:ascii="Times New Roman" w:hAnsi="Times New Roman"/>
          <w:sz w:val="28"/>
          <w:szCs w:val="28"/>
          <w:lang w:val="en-US"/>
        </w:rPr>
        <w:t>[</w:t>
      </w:r>
      <w:r>
        <w:rPr>
          <w:rFonts w:hint="default" w:ascii="Times New Roman" w:hAnsi="Times New Roman"/>
          <w:sz w:val="28"/>
          <w:szCs w:val="28"/>
          <w:lang w:val="ru-RU"/>
        </w:rPr>
        <w:t>6, с.25</w:t>
      </w:r>
      <w:r>
        <w:rPr>
          <w:rFonts w:hint="default" w:ascii="Times New Roman" w:hAnsi="Times New Roman"/>
          <w:sz w:val="28"/>
          <w:szCs w:val="28"/>
          <w:lang w:val="en-US"/>
        </w:rPr>
        <w:t>]</w:t>
      </w:r>
      <w:r>
        <w:rPr>
          <w:rFonts w:hint="default" w:ascii="Times New Roman" w:hAnsi="Times New Roman"/>
          <w:sz w:val="28"/>
          <w:szCs w:val="28"/>
          <w:lang w:val="ru-RU"/>
        </w:rPr>
        <w:t xml:space="preserve">. Плетенева О. Г. акцентирует внимание на управленческом аспекте, связывая обучение с осознанием важности развития персонала и сокращения оттока кадров </w:t>
      </w:r>
      <w:r>
        <w:rPr>
          <w:rFonts w:hint="default" w:ascii="Times New Roman" w:hAnsi="Times New Roman"/>
          <w:sz w:val="28"/>
          <w:szCs w:val="28"/>
          <w:lang w:val="en-US"/>
        </w:rPr>
        <w:t>[</w:t>
      </w:r>
      <w:r>
        <w:rPr>
          <w:rFonts w:hint="default" w:ascii="Times New Roman" w:hAnsi="Times New Roman"/>
          <w:sz w:val="28"/>
          <w:szCs w:val="28"/>
          <w:lang w:val="ru-RU"/>
        </w:rPr>
        <w:t>5, с.14</w:t>
      </w:r>
      <w:r>
        <w:rPr>
          <w:rFonts w:hint="default" w:ascii="Times New Roman" w:hAnsi="Times New Roman"/>
          <w:sz w:val="28"/>
          <w:szCs w:val="28"/>
          <w:lang w:val="en-US"/>
        </w:rPr>
        <w:t>]</w:t>
      </w:r>
      <w:r>
        <w:rPr>
          <w:rFonts w:hint="default" w:ascii="Times New Roman" w:hAnsi="Times New Roman"/>
          <w:sz w:val="28"/>
          <w:szCs w:val="28"/>
          <w:lang w:val="ru-RU"/>
        </w:rPr>
        <w:t>.</w:t>
      </w:r>
    </w:p>
    <w:p w14:paraId="52A5E22D">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В наши дни обучение персонала выполняет целый спектр управленческих функций. Оно призвано ликвидировать несоответствие между имеющимися у сотрудников знаниями и навыками и постоянно меняющимися требованиями рабочих мест и бизнес-процессов. Помимо этого, обучение является эффективным способом передачи корпоративных ценностей и норм, что укрепляет культуру компании и способствует единству коллектива. Важно отметить, что хорошо продуманные образовательные программы напрямую способствуют достижению целей предприятия, обеспечивая сотрудников актуальными компетенциями. Наконец, система обучения закладывает основу для планирования карьерного пути и формирования кадрового резерва, целенаправленно подготавливая сотрудников к продвижению. В итоге, обучение становится мостом между текущей деятельностью работника и его будущим ростом в организации</w:t>
      </w:r>
      <w:r>
        <w:rPr>
          <w:rFonts w:hint="default" w:ascii="Times New Roman" w:hAnsi="Times New Roman"/>
          <w:sz w:val="28"/>
          <w:szCs w:val="28"/>
          <w:lang w:val="en-US"/>
        </w:rPr>
        <w:t xml:space="preserve"> [</w:t>
      </w:r>
      <w:r>
        <w:rPr>
          <w:rFonts w:hint="default" w:ascii="Times New Roman" w:hAnsi="Times New Roman"/>
          <w:sz w:val="28"/>
          <w:szCs w:val="28"/>
          <w:lang w:val="ru-RU"/>
        </w:rPr>
        <w:t>4, с.9</w:t>
      </w:r>
      <w:r>
        <w:rPr>
          <w:rFonts w:hint="default" w:ascii="Times New Roman" w:hAnsi="Times New Roman"/>
          <w:sz w:val="28"/>
          <w:szCs w:val="28"/>
          <w:lang w:val="en-US"/>
        </w:rPr>
        <w:t>]</w:t>
      </w:r>
      <w:r>
        <w:rPr>
          <w:rFonts w:hint="default" w:ascii="Times New Roman" w:hAnsi="Times New Roman"/>
          <w:sz w:val="28"/>
          <w:szCs w:val="28"/>
          <w:lang w:val="ru-RU"/>
        </w:rPr>
        <w:t>.</w:t>
      </w:r>
    </w:p>
    <w:p w14:paraId="6ABF034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Система обучения является инструментом реализации кадровой политики предприятия и обеспечивает:</w:t>
      </w:r>
    </w:p>
    <w:p w14:paraId="68D0483A">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подготовку работников к выполнению новых функций;</w:t>
      </w:r>
    </w:p>
    <w:p w14:paraId="4696F0BE">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повышение их квалификации в условиях технологических и организационных изменений;</w:t>
      </w:r>
    </w:p>
    <w:p w14:paraId="337FC31D">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формирование корпоративной культуры и ценностей, объединяющих сотрудников;</w:t>
      </w:r>
    </w:p>
    <w:p w14:paraId="4FBCF3E7">
      <w:pPr>
        <w:keepNext w:val="0"/>
        <w:keepLines w:val="0"/>
        <w:pageBreakBefore w:val="0"/>
        <w:numPr>
          <w:ilvl w:val="0"/>
          <w:numId w:val="4"/>
        </w:numPr>
        <w:kinsoku/>
        <w:wordWrap/>
        <w:overflowPunct/>
        <w:topLinePunct w:val="0"/>
        <w:autoSpaceDE/>
        <w:autoSpaceDN/>
        <w:bidi w:val="0"/>
        <w:adjustRightInd/>
        <w:snapToGrid/>
        <w:spacing w:line="360" w:lineRule="auto"/>
        <w:ind w:left="0" w:firstLine="350" w:firstLineChars="125"/>
        <w:jc w:val="both"/>
        <w:textAlignment w:val="auto"/>
        <w:rPr>
          <w:rFonts w:hint="default" w:ascii="Times New Roman" w:hAnsi="Times New Roman"/>
          <w:sz w:val="28"/>
          <w:szCs w:val="28"/>
          <w:lang w:val="ru-RU"/>
        </w:rPr>
      </w:pPr>
      <w:r>
        <w:rPr>
          <w:rFonts w:hint="default" w:ascii="Times New Roman" w:hAnsi="Times New Roman" w:cs="Times New Roman"/>
          <w:sz w:val="28"/>
          <w:szCs w:val="28"/>
        </w:rPr>
        <w:t>снижение текучести кадров и повышение их лояльности</w:t>
      </w:r>
      <w:r>
        <w:rPr>
          <w:rFonts w:hint="default" w:ascii="Times New Roman" w:hAnsi="Times New Roman" w:cs="Times New Roman"/>
          <w:sz w:val="28"/>
          <w:szCs w:val="28"/>
          <w:lang w:val="ru-RU"/>
        </w:rPr>
        <w:t xml:space="preserve"> </w:t>
      </w:r>
      <w:r>
        <w:rPr>
          <w:rFonts w:hint="default" w:ascii="Times New Roman" w:hAnsi="Times New Roman" w:cs="Times New Roman"/>
          <w:sz w:val="28"/>
          <w:szCs w:val="28"/>
        </w:rPr>
        <w:t>[</w:t>
      </w:r>
      <w:r>
        <w:rPr>
          <w:rFonts w:hint="default" w:ascii="Times New Roman" w:hAnsi="Times New Roman" w:cs="Times New Roman"/>
          <w:sz w:val="28"/>
          <w:szCs w:val="28"/>
          <w:lang w:val="ru-RU"/>
        </w:rPr>
        <w:t>9</w:t>
      </w:r>
      <w:r>
        <w:rPr>
          <w:rFonts w:hint="default" w:ascii="Times New Roman" w:hAnsi="Times New Roman" w:cs="Times New Roman"/>
          <w:sz w:val="28"/>
          <w:szCs w:val="28"/>
        </w:rPr>
        <w:t>].</w:t>
      </w:r>
    </w:p>
    <w:p w14:paraId="2152AA03">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Обучение следует рассматривать как практический инструмент, ориентированный на достижение конкретных результатов. Основные цели организации обучения</w:t>
      </w:r>
      <w:r>
        <w:rPr>
          <w:rFonts w:hint="default" w:ascii="Times New Roman" w:hAnsi="Times New Roman"/>
          <w:sz w:val="28"/>
          <w:szCs w:val="28"/>
          <w:lang w:val="en-US"/>
        </w:rPr>
        <w:t xml:space="preserve"> </w:t>
      </w:r>
      <w:r>
        <w:rPr>
          <w:rFonts w:hint="default" w:ascii="Times New Roman" w:hAnsi="Times New Roman"/>
          <w:sz w:val="28"/>
          <w:szCs w:val="28"/>
          <w:lang w:val="ru-RU"/>
        </w:rPr>
        <w:t>представлены в таблице 1.1.</w:t>
      </w:r>
    </w:p>
    <w:p w14:paraId="4AC796F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p>
    <w:p w14:paraId="4FF92D90">
      <w:pPr>
        <w:keepNext w:val="0"/>
        <w:keepLines w:val="0"/>
        <w:pageBreakBefore w:val="0"/>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sz w:val="24"/>
          <w:szCs w:val="24"/>
          <w:lang w:val="en-US"/>
        </w:rPr>
      </w:pPr>
      <w:r>
        <w:rPr>
          <w:rFonts w:hint="default" w:ascii="Times New Roman" w:hAnsi="Times New Roman"/>
          <w:sz w:val="24"/>
          <w:szCs w:val="24"/>
          <w:lang w:val="ru-RU"/>
        </w:rPr>
        <w:t xml:space="preserve">Таблица 1.1.. Влияние обучения на ключевые показатели деятельности организации </w:t>
      </w:r>
      <w:r>
        <w:rPr>
          <w:rFonts w:hint="default" w:ascii="Times New Roman" w:hAnsi="Times New Roman"/>
          <w:sz w:val="24"/>
          <w:szCs w:val="24"/>
          <w:lang w:val="en-US"/>
        </w:rPr>
        <w:t>[</w:t>
      </w:r>
      <w:r>
        <w:rPr>
          <w:rFonts w:hint="default" w:ascii="Times New Roman" w:hAnsi="Times New Roman"/>
          <w:sz w:val="24"/>
          <w:szCs w:val="24"/>
          <w:lang w:val="ru-RU"/>
        </w:rPr>
        <w:t>4,7,8</w:t>
      </w:r>
      <w:r>
        <w:rPr>
          <w:rFonts w:hint="default" w:ascii="Times New Roman" w:hAnsi="Times New Roman"/>
          <w:sz w:val="24"/>
          <w:szCs w:val="24"/>
          <w:lang w:val="en-US"/>
        </w:rPr>
        <w: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4"/>
        <w:gridCol w:w="5358"/>
      </w:tblGrid>
      <w:tr w14:paraId="43E43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3164" w:type="dxa"/>
          </w:tcPr>
          <w:p w14:paraId="608DB17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Направление развития</w:t>
            </w:r>
          </w:p>
        </w:tc>
        <w:tc>
          <w:tcPr>
            <w:tcW w:w="5358" w:type="dxa"/>
          </w:tcPr>
          <w:p w14:paraId="45A6925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Достигаемый результат</w:t>
            </w:r>
          </w:p>
        </w:tc>
      </w:tr>
      <w:tr w14:paraId="5B38B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2" w:hRule="atLeast"/>
        </w:trPr>
        <w:tc>
          <w:tcPr>
            <w:tcW w:w="3164" w:type="dxa"/>
          </w:tcPr>
          <w:p w14:paraId="3A4EC14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Оптимизация производительности и сокращение расходов</w:t>
            </w:r>
          </w:p>
        </w:tc>
        <w:tc>
          <w:tcPr>
            <w:tcW w:w="5358" w:type="dxa"/>
          </w:tcPr>
          <w:p w14:paraId="23AA34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увеличение выработки и улучшение качества работы (сотрудники работают продуктивнее, создают продукт более высокого качества);</w:t>
            </w:r>
          </w:p>
          <w:p w14:paraId="410E2CA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минимизация потерь и экономия ресурсов (снижение числа ошибок и финансовых потерь, связанных с некомпетентностью).</w:t>
            </w:r>
          </w:p>
        </w:tc>
      </w:tr>
      <w:tr w14:paraId="3C218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6527FC5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Адаптация навыков к актуальным и перспективным задачам</w:t>
            </w:r>
          </w:p>
          <w:p w14:paraId="642B1A8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организации</w:t>
            </w:r>
          </w:p>
        </w:tc>
        <w:tc>
          <w:tcPr>
            <w:tcW w:w="5358" w:type="dxa"/>
          </w:tcPr>
          <w:p w14:paraId="24CD8CC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актуализация знаний и умений (сотрудники получат необходимые </w:t>
            </w:r>
            <w:r>
              <w:rPr>
                <w:rFonts w:hint="default" w:ascii="Times New Roman" w:hAnsi="Times New Roman"/>
                <w:i/>
                <w:iCs/>
                <w:sz w:val="24"/>
                <w:szCs w:val="24"/>
                <w:vertAlign w:val="baseline"/>
                <w:lang w:val="ru-RU"/>
              </w:rPr>
              <w:t>на сегодня</w:t>
            </w:r>
            <w:r>
              <w:rPr>
                <w:rFonts w:hint="default" w:ascii="Times New Roman" w:hAnsi="Times New Roman"/>
                <w:sz w:val="24"/>
                <w:szCs w:val="24"/>
                <w:vertAlign w:val="baseline"/>
                <w:lang w:val="ru-RU"/>
              </w:rPr>
              <w:t xml:space="preserve"> профессиональные навыки и знания, соответствующие текущим требованиям) </w:t>
            </w:r>
          </w:p>
          <w:p w14:paraId="73B48D3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подготовка к будущему (программы развития сформируют компетенции, которые будут востребованы в будущем, обеспечивая компании конкурентное преимущество за счет опережающего развития)</w:t>
            </w:r>
          </w:p>
        </w:tc>
      </w:tr>
      <w:tr w14:paraId="65B1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06680DC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Стимулирование вовлеченности и преданности компании</w:t>
            </w:r>
          </w:p>
        </w:tc>
        <w:tc>
          <w:tcPr>
            <w:tcW w:w="5358" w:type="dxa"/>
          </w:tcPr>
          <w:p w14:paraId="5E66E87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повышение мотивации (сотрудники станут более мотивированными и почувствуют свою ценность, видя заботу компании о своем профессиональном росте)</w:t>
            </w:r>
          </w:p>
          <w:p w14:paraId="4CB72C1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укрепление лояльности (регулярное обучение способствует формированию привязанности к компании, снижая вероятность ухода ценных сотрудников) </w:t>
            </w:r>
          </w:p>
        </w:tc>
      </w:tr>
      <w:tr w14:paraId="1A38B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4" w:type="dxa"/>
          </w:tcPr>
          <w:p w14:paraId="1F391CD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Создание единого видения и корпоративных ценностей</w:t>
            </w:r>
          </w:p>
          <w:p w14:paraId="4DF4A14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p>
        </w:tc>
        <w:tc>
          <w:tcPr>
            <w:tcW w:w="5358" w:type="dxa"/>
          </w:tcPr>
          <w:p w14:paraId="1110A1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xml:space="preserve">–  формирование общих ценностей (сотрудники усвоят и примут ценности и установки, соответствующие стратегии и целям организации) </w:t>
            </w:r>
          </w:p>
          <w:p w14:paraId="746B52E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sz w:val="24"/>
                <w:szCs w:val="24"/>
                <w:vertAlign w:val="baseline"/>
                <w:lang w:val="ru-RU"/>
              </w:rPr>
            </w:pPr>
            <w:r>
              <w:rPr>
                <w:rFonts w:hint="default" w:ascii="Times New Roman" w:hAnsi="Times New Roman"/>
                <w:sz w:val="24"/>
                <w:szCs w:val="24"/>
                <w:vertAlign w:val="baseline"/>
                <w:lang w:val="ru-RU"/>
              </w:rPr>
              <w:t>– укрепление командного духа (чувство единства и командной работы)</w:t>
            </w:r>
          </w:p>
        </w:tc>
      </w:tr>
    </w:tbl>
    <w:p w14:paraId="6E1E5DB6">
      <w:pPr>
        <w:keepNext w:val="0"/>
        <w:keepLines w:val="0"/>
        <w:pageBreakBefore w:val="0"/>
        <w:numPr>
          <w:ilvl w:val="0"/>
          <w:numId w:val="0"/>
        </w:numPr>
        <w:kinsoku/>
        <w:wordWrap/>
        <w:overflowPunct/>
        <w:topLinePunct w:val="0"/>
        <w:autoSpaceDE/>
        <w:autoSpaceDN/>
        <w:bidi w:val="0"/>
        <w:adjustRightInd/>
        <w:snapToGrid/>
        <w:spacing w:line="240" w:lineRule="auto"/>
        <w:ind w:leftChars="0" w:firstLine="350" w:firstLineChars="125"/>
        <w:jc w:val="both"/>
        <w:textAlignment w:val="auto"/>
        <w:rPr>
          <w:rFonts w:hint="default" w:ascii="Times New Roman" w:hAnsi="Times New Roman"/>
          <w:sz w:val="28"/>
          <w:szCs w:val="28"/>
          <w:lang w:val="ru-RU"/>
        </w:rPr>
      </w:pPr>
    </w:p>
    <w:p w14:paraId="4B3D74B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По мнению исследователей, грамотное построение системы обучения позволяет организации достигать синергетического эффекта: рост индивидуальных компетенций сотрудников ведёт к росту общей эффективности бизнес-процессов [10]. При этом важным фактором является взаимосвязь обучения с другими направлениями HR-деятельности — оценкой, мотивацией и карьерным развитием [11].</w:t>
      </w:r>
    </w:p>
    <w:p w14:paraId="6432D9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 современных условиях динамичной экономики практически каждая компания сталкивается с необходимостью подстраиваться под постоянно меняющуюся реальность. Изменения на рынке задают новые стандарты и правила, конкуренты растут, а актуальность инноваций и технологий сохраняется лишь пару лет. В данных условиях бизнес должен выбирать: либо меняться с той же скоростью, что и внешняя среда, либо отставать. И именно тут ключевую роль играет та часть компании, которая эти изменения должна реализовывать на практике, то есть персонал. Как подчёркивает И. Ансофф, отец стратегического менеджмента, для долгосрочного успеха компании критически важно вовремя замечать изменения во внешней среде и гибко перестраивать свои внутренние ресурсы, в первую очередь – человеческие </w:t>
      </w:r>
      <w:r>
        <w:rPr>
          <w:rFonts w:hint="default" w:ascii="Times New Roman" w:hAnsi="Times New Roman"/>
          <w:sz w:val="28"/>
          <w:szCs w:val="28"/>
          <w:lang w:val="en-US"/>
        </w:rPr>
        <w:t>[</w:t>
      </w:r>
      <w:r>
        <w:rPr>
          <w:rFonts w:hint="default" w:ascii="Times New Roman" w:hAnsi="Times New Roman"/>
          <w:sz w:val="28"/>
          <w:szCs w:val="28"/>
          <w:lang w:val="ru-RU"/>
        </w:rPr>
        <w:t>12, с.114</w:t>
      </w:r>
      <w:r>
        <w:rPr>
          <w:rFonts w:hint="default" w:ascii="Times New Roman" w:hAnsi="Times New Roman"/>
          <w:sz w:val="28"/>
          <w:szCs w:val="28"/>
          <w:lang w:val="en-US"/>
        </w:rPr>
        <w:t>]</w:t>
      </w:r>
      <w:r>
        <w:rPr>
          <w:rFonts w:hint="default" w:ascii="Times New Roman" w:hAnsi="Times New Roman"/>
          <w:sz w:val="28"/>
          <w:szCs w:val="28"/>
          <w:lang w:val="ru-RU"/>
        </w:rPr>
        <w:t>.</w:t>
      </w:r>
    </w:p>
    <w:p w14:paraId="7148979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Работы Магуры и Курбатовой в сфере менеджмента, отражают, что корпоративное обучение персонала стало критически важным. Они выделяют три основных причины: 1) необходимость новых знаний для успешной реализации стратегий компании, 2) сотрудники с их знаниями и навыками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основное ядро, определяющее ценность компании, 3) любые изменения обречены на провал если нет предварительной подготовки (так как люди не будут готовы к этому) </w:t>
      </w:r>
      <w:r>
        <w:rPr>
          <w:rFonts w:hint="default" w:ascii="Times New Roman" w:hAnsi="Times New Roman"/>
          <w:sz w:val="28"/>
          <w:szCs w:val="28"/>
          <w:lang w:val="en-US"/>
        </w:rPr>
        <w:t>[</w:t>
      </w:r>
      <w:r>
        <w:rPr>
          <w:rFonts w:hint="default" w:ascii="Times New Roman" w:hAnsi="Times New Roman"/>
          <w:sz w:val="28"/>
          <w:szCs w:val="28"/>
          <w:lang w:val="ru-RU"/>
        </w:rPr>
        <w:t>13, с.79-81</w:t>
      </w:r>
      <w:r>
        <w:rPr>
          <w:rFonts w:hint="default" w:ascii="Times New Roman" w:hAnsi="Times New Roman"/>
          <w:sz w:val="28"/>
          <w:szCs w:val="28"/>
          <w:lang w:val="en-US"/>
        </w:rPr>
        <w:t>]</w:t>
      </w:r>
      <w:r>
        <w:rPr>
          <w:rFonts w:hint="default" w:ascii="Times New Roman" w:hAnsi="Times New Roman"/>
          <w:sz w:val="28"/>
          <w:szCs w:val="28"/>
          <w:lang w:val="ru-RU"/>
        </w:rPr>
        <w:t>.</w:t>
      </w:r>
    </w:p>
    <w:p w14:paraId="72F3437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Главная мысль заключается в том, что прежде чем внедрять какие-либо изменения, руководитель должен понять готова ли его команда. Это касается как их профессиональных умений, так и их эмоционального состояния. Сопротивление изменениям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это нормальная человеческая реакция. Без должного управления, оно может полностью нивелировать эффективность даже самого разумного и логичного решения. Подробное описание этой закономерности можно найти в модели управления изменениями Курта Левина, чья основная идея заключалась в том, что любые преобразования должны проходить стадию «размораживания» </w:t>
      </w:r>
      <w:r>
        <w:rPr>
          <w:rFonts w:hint="default" w:ascii="Times New Roman" w:hAnsi="Times New Roman"/>
          <w:sz w:val="28"/>
          <w:szCs w:val="28"/>
          <w:vertAlign w:val="baseline"/>
          <w:lang w:val="ru-RU"/>
        </w:rPr>
        <w:t xml:space="preserve">– </w:t>
      </w:r>
      <w:r>
        <w:rPr>
          <w:rFonts w:hint="default" w:ascii="Times New Roman" w:hAnsi="Times New Roman"/>
          <w:sz w:val="28"/>
          <w:szCs w:val="28"/>
          <w:lang w:val="ru-RU"/>
        </w:rPr>
        <w:t xml:space="preserve">то есть подготовки сознания сотрудников через информирование и обучение, иначе новый этап («замораживание») новых норм работы просто не наступит </w:t>
      </w:r>
      <w:r>
        <w:rPr>
          <w:rFonts w:hint="default" w:ascii="Times New Roman" w:hAnsi="Times New Roman"/>
          <w:sz w:val="28"/>
          <w:szCs w:val="28"/>
          <w:lang w:val="en-US"/>
        </w:rPr>
        <w:t>[</w:t>
      </w:r>
      <w:r>
        <w:rPr>
          <w:rFonts w:hint="default" w:ascii="Times New Roman" w:hAnsi="Times New Roman"/>
          <w:sz w:val="28"/>
          <w:szCs w:val="28"/>
          <w:lang w:val="ru-RU"/>
        </w:rPr>
        <w:t>14, с.216</w:t>
      </w:r>
      <w:r>
        <w:rPr>
          <w:rFonts w:hint="default" w:ascii="Times New Roman" w:hAnsi="Times New Roman"/>
          <w:sz w:val="28"/>
          <w:szCs w:val="28"/>
          <w:lang w:val="en-US"/>
        </w:rPr>
        <w:t>]</w:t>
      </w:r>
      <w:r>
        <w:rPr>
          <w:rFonts w:hint="default" w:ascii="Times New Roman" w:hAnsi="Times New Roman"/>
          <w:sz w:val="28"/>
          <w:szCs w:val="28"/>
          <w:lang w:val="ru-RU"/>
        </w:rPr>
        <w:t xml:space="preserve">. </w:t>
      </w:r>
    </w:p>
    <w:p w14:paraId="753230EF">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lang w:val="ru-RU"/>
        </w:rPr>
      </w:pPr>
      <w:r>
        <w:rPr>
          <w:rFonts w:hint="default" w:ascii="Times New Roman" w:hAnsi="Times New Roman"/>
          <w:sz w:val="28"/>
          <w:szCs w:val="28"/>
          <w:lang w:val="ru-RU"/>
        </w:rPr>
        <w:t xml:space="preserve">Внешние изменения, будь то агрессивные действия конкурентов или спад в отрасли, могут заставить компанию меняться так же, как и внутренние стратегические цели. В этот момент становится понятно насколько быстро и эффективно выстроенная нами система обучения  помогает сотрудникам приспосабливаться к новым реалиям. Тут важно проанализировать ситуацию. Главное </w:t>
      </w:r>
      <w:r>
        <w:rPr>
          <w:rFonts w:hint="default" w:ascii="Times New Roman" w:hAnsi="Times New Roman"/>
          <w:sz w:val="28"/>
          <w:szCs w:val="28"/>
          <w:vertAlign w:val="baseline"/>
          <w:lang w:val="ru-RU"/>
        </w:rPr>
        <w:t>–  построить адаптивную систему, которая оперативно предоставит сотрудникам новые знания</w:t>
      </w:r>
      <w:r>
        <w:rPr>
          <w:rFonts w:hint="default" w:ascii="Times New Roman" w:hAnsi="Times New Roman"/>
          <w:sz w:val="28"/>
          <w:szCs w:val="28"/>
          <w:lang w:val="ru-RU"/>
        </w:rPr>
        <w:t>. Для этого потребуется исследовать теоретические концепции, выбрать наиболее подходящие для нашей компании, проанализировать собственный опыт (что оказалось полезным, а что нет), а также определить факторы, которые способствуют или препятствуют развитию. Только после этого можно будет разработать конкретные шаги по совершенствованию системы. Грамотно организованная система непременно положительно повлияет на общую эффективность компании. Сотрудники начнут работать продуктивнее, быстрее будут осваивать новые навыки, увереннее адаптируются к изменениям на рынке. В результате организация становится более и конкурентоспособной. Как справедливо отмечают западные исследователи в области стратегического управления Д. Ульрих и У. Брокбэнк, уникальные компетенции и навыки персонала, развиваемые внутри организации, формируют такую ценность, которую конкуренты не могут воспроизвести простым копированием технологий [15, с.98].</w:t>
      </w:r>
    </w:p>
    <w:p w14:paraId="676AA597">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lang w:val="ru-RU"/>
        </w:rPr>
        <w:t xml:space="preserve">В условиях текущего экономического развития цифровизация стала неотъемлемой частью всех бизнес-процессов, и система подготовки персонала вынуждена адаптироваться к этой новой реальности. Трансформация подходов </w:t>
      </w:r>
      <w:r>
        <w:rPr>
          <w:rFonts w:hint="default" w:ascii="Times New Roman" w:hAnsi="Times New Roman"/>
          <w:sz w:val="28"/>
          <w:szCs w:val="28"/>
          <w:vertAlign w:val="baseline"/>
          <w:lang w:val="ru-RU"/>
        </w:rPr>
        <w:t xml:space="preserve">–  это не желание быть как все, а объективное требование для выживания. Скорость обновления профессиональных знаний и навыков достигла такого уровня, при котором всеми привычные подходы формата повышения квалификации не успевают за потребностями бизнеса. Современные организации активно внедряют цифровые технологии для оптимизации образовательных программ. Эти инновации обеспечивают повышенную гибкость, экономическую эффективность и направленность на достижение измеримых результатов. Исследования подтверждают, что цифровая трансформация корпоративного обучения не только повышает уровень профессиональной квалификации персонала, но и культивирует у сотрудников установку на непрерывное самосовершенствование, что критически важно в условиях динамично развивающейся деловой среды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16,17</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Чтобы оставаться конкурентоспособными, компаниям необходимо дать своим сотрудникам возможность учиться постоянно прямо на рабочем месте. Именно цифровые технологии делают это возможным, переделывая подходы к обучению и развитию персонала.</w:t>
      </w:r>
    </w:p>
    <w:p w14:paraId="2BB4735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Благодаря цифровизации, обучение перестаёт быть привязанным к конкретному месту и привычным методам, открывая новые возможности для получения знаний. В настоящее время сотрудники повсеместно используют телефоны и ПК не только для выполнения рабочих задач, но и для саморазвития и личного роста, это обесценивает традиционные модели, которые ранее были основаны на стационарных компьютерах и физическом обучении.  Так как информация стала повсеместной и мгновенной, а цифровая среда – основной инструмент для обучения во многих сферах, то непрерывное образование в наше время стало реальностью. С развитием «умного» образования, которое основанное на самообучении, адаптации и мотивации, критически важной компетенцией сотрудника становится способность эффективно применять цифровые инструменты для интеграции в повседневную работу.</w:t>
      </w:r>
    </w:p>
    <w:p w14:paraId="68737B05">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Образовательные технологии представляют большой выбор инструментов для корпоративного обучения. Наибольшее распространение получили интернет-обучение (55% компаний), видеоконференции (46%) и традиционные аудиторные занятия (41%), при этом веб-конференции и внутрикорпоративные сети также занимают заметную долю [18].</w:t>
      </w:r>
    </w:p>
    <w:p w14:paraId="0524873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Основой цифрового обучения являются системы управления обучением (</w:t>
      </w:r>
      <w:r>
        <w:rPr>
          <w:rFonts w:hint="default" w:ascii="Times New Roman" w:hAnsi="Times New Roman"/>
          <w:sz w:val="28"/>
          <w:szCs w:val="28"/>
          <w:vertAlign w:val="baseline"/>
          <w:lang w:val="en-US"/>
        </w:rPr>
        <w:t>LMS</w:t>
      </w:r>
      <w:r>
        <w:rPr>
          <w:rFonts w:hint="default" w:ascii="Times New Roman" w:hAnsi="Times New Roman"/>
          <w:sz w:val="28"/>
          <w:szCs w:val="28"/>
          <w:vertAlign w:val="baseline"/>
          <w:lang w:val="ru-RU"/>
        </w:rPr>
        <w:t>), которые представляют собой единую базу электронных курсов и учебных материалов для автоматизации рутинных процессов, контроля успеваемости и формирования индивидуального плана развития. Преимущества заключаются в том, что они экономят ресурсы за счёт сокращения командировок, унифицируют стандарты обучения и имеют прозрачную статистику результатов.  Дальнейшее развитие этого направления – платформы LXP (Learning Experience Platform), которые не просто хранят курсы, а подбирают контент под индивидуальные запросы пользователя [19].</w:t>
      </w:r>
    </w:p>
    <w:p w14:paraId="75B5D926">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Среди российских цифровых ресурсов выделяют порталы «ИНТУИТ», «Деловая среда», Eduson, «Открытое образование», ориентированные на подготовку специалистов конкретных профилей. Активно внедряются вебинары, чат-боты, сервисы интерактивных подсказок и решения на базе искусственного интеллекта  [20].</w:t>
      </w:r>
    </w:p>
    <w:p w14:paraId="20E0B972">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Технологии вовлечения персонала заслуживают особого внимания: геймификация (баллы, бейджи, рейтинги) ускоряет адаптацию и делает обучение увлекательнее [21]. А концепция через развлечение и игровые методики обеспечивает лёгкое усвоение материала [20]. Технологии виртуальной реальности  показывают высокую эффективность, особенно для рабочих профессий. Крупные компании, включая ОАО «РЖД», «Леруа Мерлен», ПАО «Газпром» и ПАО «Сбербанк», уже используют этот инструмент [21]. В сферах, где реальные тренировки невозможны или опасны, например при подготовке служб экстренного реагирования, компьютерные тренажёры и симуляторы становятся незаменимы. Цифровизация обучения выгодна всем и имеет ряд преимуществ – это гибкость, доступность, скорость, автоматизация проверки знаний и экономия.</w:t>
      </w:r>
    </w:p>
    <w:p w14:paraId="339CDE04">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Для бизнеса цифровизация – это ключ к новым возможностям. Она упрощает обмен опытом между сотрудниками, повышает эффективность обучения, порождает новые профессии и гибкие формы занятости, а также делает контроль за персоналом более прозрачным, снижая вероятность ошибок, связанных с человеческим фактором  [22]. Автоматизация образования позволяет компаниям быстрее адаптироваться к меняющимся требованиям рынка труда и гарантирует непрерывное развитие компетенций своих сотрудников.</w:t>
      </w:r>
    </w:p>
    <w:p w14:paraId="03682F38">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 xml:space="preserve">Благодаря тому, что поколение Y выросло в цифровой среде и привыкло к постоянному использованию гаджетов, оно демонстрирует наивысшую готовность к освоению цифровых форматов. Это способствует их быстрой адаптации к современным образовательным технологиям </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23</w:t>
      </w:r>
      <w:r>
        <w:rPr>
          <w:rFonts w:hint="default" w:ascii="Times New Roman" w:hAnsi="Times New Roman"/>
          <w:sz w:val="28"/>
          <w:szCs w:val="28"/>
          <w:vertAlign w:val="baseline"/>
          <w:lang w:val="en-US"/>
        </w:rPr>
        <w:t>]</w:t>
      </w:r>
      <w:r>
        <w:rPr>
          <w:rFonts w:hint="default" w:ascii="Times New Roman" w:hAnsi="Times New Roman"/>
          <w:sz w:val="28"/>
          <w:szCs w:val="28"/>
          <w:vertAlign w:val="baseline"/>
          <w:lang w:val="ru-RU"/>
        </w:rPr>
        <w:t xml:space="preserve">. </w:t>
      </w:r>
    </w:p>
    <w:p w14:paraId="5905B4DC">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Основные барьеры – дефицит необходимых компетенций у персонала, нехватка квалифицированных специалистов по внедрению, а также законодательные и политические ограничения, затрудняющие доступ к зарубежным технологиям (особенно в настоящее время). Степень проникновения цифровых инструментов сильно варьируется по отраслям: лидируют банковский сектор, торговля и телекоммуникации [19].</w:t>
      </w:r>
    </w:p>
    <w:p w14:paraId="6936C81E">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В исследованиях, посвящённых цифровой трансформации образования, отражается множество различных подходов. Так, О.В. Ладыкова акцентирует внимание на цифровых технологиях как на базовом средстве развития профессиональных навыков, особо выделяя значимость внутрикорпоративных сетей для обмена информацией и продвижения организационных ценностей [24]. Т.А. Гилева предлагает оценивать готовность компании через категорию «цифровой зрелости», под которой понимается совокупность необходимых ресурсов и умений для внедрения современных образовательных практик. Исследовательница разделяет процесс на две стадии: внедрение E-Learning как технологической основы и последующую цифровизацию, предполагающую адаптацию программ под индивидуальные запросы и создание виртуальных профессиональных сообществ [17]. В свою очередь, В.В. Верна описывает перспективу формирования «образовательной экосистемы» — целостной среды, где различные структуры взаимодействуют для совместного поиска и апробации инновационных подходов к труду в ответ на изменения в экономике [16].</w:t>
      </w:r>
    </w:p>
    <w:p w14:paraId="615DF041">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r>
        <w:rPr>
          <w:rFonts w:hint="default" w:ascii="Times New Roman" w:hAnsi="Times New Roman"/>
          <w:sz w:val="28"/>
          <w:szCs w:val="28"/>
          <w:vertAlign w:val="baseline"/>
          <w:lang w:val="ru-RU"/>
        </w:rPr>
        <w:t>Подводя итог, можно сказать, что в современной экономике, основанной на знаниях, обучение сотрудников приобретает первостепенное значение. Оно перестаёт быть второстепенной функцией и становится ключевым элементом управления, гарантирующим стабильное развитие компании в долгосрочной перспективе. Использование актуальных подходов, таких как геймификация, индивидуальные образовательные программы и LMS-платформы, позволяет организациям не только оперативно решать текущие кадровые задачи, но и готовить будущих лидеров, тем самым повышая качество управленческих решений</w:t>
      </w:r>
    </w:p>
    <w:p w14:paraId="5F5C3F7A">
      <w:pPr>
        <w:keepNext w:val="0"/>
        <w:keepLines w:val="0"/>
        <w:pageBreakBefore w:val="0"/>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sz w:val="28"/>
          <w:szCs w:val="28"/>
          <w:vertAlign w:val="baseline"/>
          <w:lang w:val="ru-RU"/>
        </w:rPr>
      </w:pPr>
    </w:p>
    <w:p w14:paraId="28D8E9A6">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lang w:val="ru-RU"/>
        </w:rPr>
        <w:t xml:space="preserve">1.2. </w:t>
      </w:r>
      <w:r>
        <w:rPr>
          <w:rFonts w:hint="default" w:ascii="Times New Roman" w:hAnsi="Times New Roman"/>
          <w:b/>
          <w:bCs/>
          <w:sz w:val="28"/>
          <w:szCs w:val="28"/>
        </w:rPr>
        <w:t>Специфика профессиональных компетенций  тендерных специалистов и современные подходы к их развитию</w:t>
      </w:r>
    </w:p>
    <w:p w14:paraId="3640E35D">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современной экономике закупки трансформируются из вспомогательной функции, нацеленной на оперативное удовлетворение потребностей производства, в стратегически значимую деятельность, напрямую влияющую на конкурентоспособность бизнеса. Согласно Е.С. Лисиной, ключевыми драйверами этой трансформации выступают цифровизация и санкционное давление, требующие от специалиста перехода от пассивного реагирования к активному формированию рыночных условий. Это предполагает развитие навыков управления рисками, построения партнёрств и стратегического мышления, вытесняющих простое владение регламентами. Как подчёркивает автор, ответом на новый запрос становится разработка специализированных тренингов и системное обновление образовательных программ, позволяющих реализовать стратегический потенциал закупок [25].</w:t>
      </w:r>
    </w:p>
    <w:p w14:paraId="6777C22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Переход закупочной деятельности  в стратегически значимую влечет за собой и качественное изменение требований к тендерным специалистам (см.табл.1.2.).</w:t>
      </w:r>
    </w:p>
    <w:p w14:paraId="11AA45D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05A7E3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1.2. Стуктура профессиональных компетенций тендерного специалиста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2"/>
        <w:gridCol w:w="3729"/>
        <w:gridCol w:w="2841"/>
      </w:tblGrid>
      <w:tr w14:paraId="113C2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0AECBC2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Блок компетенций</w:t>
            </w:r>
          </w:p>
        </w:tc>
        <w:tc>
          <w:tcPr>
            <w:tcW w:w="3729" w:type="dxa"/>
          </w:tcPr>
          <w:p w14:paraId="34A92A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Ключевые составляющие</w:t>
            </w:r>
          </w:p>
        </w:tc>
        <w:tc>
          <w:tcPr>
            <w:tcW w:w="2841" w:type="dxa"/>
          </w:tcPr>
          <w:p w14:paraId="43D49FB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Ожидаемый результат</w:t>
            </w:r>
          </w:p>
        </w:tc>
      </w:tr>
      <w:tr w14:paraId="7F7E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1C7034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Ядро</w:t>
            </w:r>
          </w:p>
          <w:p w14:paraId="7581AF5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 </w:t>
            </w:r>
            <w:r>
              <w:rPr>
                <w:rFonts w:hint="default" w:ascii="Times New Roman" w:hAnsi="Times New Roman"/>
                <w:b w:val="0"/>
                <w:bCs w:val="0"/>
                <w:sz w:val="24"/>
                <w:szCs w:val="24"/>
                <w:vertAlign w:val="baseline"/>
                <w:lang w:val="en-US"/>
              </w:rPr>
              <w:t>(Hard skills)</w:t>
            </w:r>
          </w:p>
        </w:tc>
        <w:tc>
          <w:tcPr>
            <w:tcW w:w="3729" w:type="dxa"/>
          </w:tcPr>
          <w:p w14:paraId="79BFE1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Знание 44-ФЗ, 223-ФЗ, ГК РФ</w:t>
            </w:r>
          </w:p>
          <w:p w14:paraId="183D73E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Работа в ЕИС и на ЭТП</w:t>
            </w:r>
          </w:p>
          <w:p w14:paraId="78662CE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Владение </w:t>
            </w:r>
            <w:r>
              <w:rPr>
                <w:rFonts w:hint="default" w:ascii="Times New Roman" w:hAnsi="Times New Roman"/>
                <w:b w:val="0"/>
                <w:bCs w:val="0"/>
                <w:sz w:val="24"/>
                <w:szCs w:val="24"/>
                <w:vertAlign w:val="baseline"/>
                <w:lang w:val="en-US"/>
              </w:rPr>
              <w:t xml:space="preserve">Exel, Word, </w:t>
            </w:r>
            <w:r>
              <w:rPr>
                <w:rFonts w:hint="default" w:ascii="Times New Roman" w:hAnsi="Times New Roman"/>
                <w:b w:val="0"/>
                <w:bCs w:val="0"/>
                <w:sz w:val="24"/>
                <w:szCs w:val="24"/>
                <w:vertAlign w:val="baseline"/>
                <w:lang w:val="ru-RU"/>
              </w:rPr>
              <w:t>УКЭП</w:t>
            </w:r>
          </w:p>
        </w:tc>
        <w:tc>
          <w:tcPr>
            <w:tcW w:w="2841" w:type="dxa"/>
          </w:tcPr>
          <w:p w14:paraId="06435AA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Безупречное оформление заявок, соответствие нормативам, эффективная работа в цифровой среде</w:t>
            </w:r>
          </w:p>
        </w:tc>
      </w:tr>
      <w:tr w14:paraId="3403C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413E934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Аналитика и экономика</w:t>
            </w:r>
          </w:p>
        </w:tc>
        <w:tc>
          <w:tcPr>
            <w:tcW w:w="3729" w:type="dxa"/>
          </w:tcPr>
          <w:p w14:paraId="2332C4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Анализ рынка и конкурентов</w:t>
            </w:r>
          </w:p>
          <w:p w14:paraId="27019E4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Расчет рентабельности и себестоимости</w:t>
            </w:r>
          </w:p>
          <w:p w14:paraId="7ED59D1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Оценка вероятности выигрыша</w:t>
            </w:r>
          </w:p>
          <w:p w14:paraId="1566D29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Прогнозирование прибыли</w:t>
            </w:r>
          </w:p>
          <w:p w14:paraId="5C6B2B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tc>
        <w:tc>
          <w:tcPr>
            <w:tcW w:w="2841" w:type="dxa"/>
          </w:tcPr>
          <w:p w14:paraId="7A741EB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Обоснованный выбор  тендеров, экономическая эффективность участия, превращение затрат в инвестиции</w:t>
            </w:r>
          </w:p>
        </w:tc>
      </w:tr>
      <w:tr w14:paraId="76BDC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52" w:type="dxa"/>
          </w:tcPr>
          <w:p w14:paraId="6412DFFB">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left"/>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Soft skills</w:t>
            </w:r>
          </w:p>
        </w:tc>
        <w:tc>
          <w:tcPr>
            <w:tcW w:w="3729" w:type="dxa"/>
          </w:tcPr>
          <w:p w14:paraId="14F3134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Внимание к деталям</w:t>
            </w:r>
          </w:p>
          <w:p w14:paraId="14D59EE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Стрессоустойчивость и многозадачность</w:t>
            </w:r>
          </w:p>
          <w:p w14:paraId="61C0F14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Межфункциональное взаимодействие</w:t>
            </w:r>
          </w:p>
        </w:tc>
        <w:tc>
          <w:tcPr>
            <w:tcW w:w="2841" w:type="dxa"/>
          </w:tcPr>
          <w:p w14:paraId="602F71E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Минимизация рисков отклонения заявок, эффективная коммуникация внутри компании, </w:t>
            </w:r>
          </w:p>
        </w:tc>
      </w:tr>
    </w:tbl>
    <w:p w14:paraId="5B66221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right"/>
        <w:textAlignment w:val="auto"/>
        <w:rPr>
          <w:rFonts w:hint="default" w:ascii="Times New Roman" w:hAnsi="Times New Roman"/>
          <w:b w:val="0"/>
          <w:bCs w:val="0"/>
          <w:sz w:val="28"/>
          <w:szCs w:val="28"/>
          <w:vertAlign w:val="baseline"/>
          <w:lang w:val="ru-RU"/>
        </w:rPr>
      </w:pPr>
    </w:p>
    <w:p w14:paraId="6C1B445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Ядро компетенций </w:t>
      </w:r>
      <w:r>
        <w:rPr>
          <w:rFonts w:hint="default" w:ascii="Times New Roman" w:hAnsi="Times New Roman"/>
          <w:sz w:val="28"/>
          <w:szCs w:val="28"/>
          <w:vertAlign w:val="baseline"/>
          <w:lang w:val="ru-RU"/>
        </w:rPr>
        <w:t xml:space="preserve">– нормативно - правовая и цифровая грамотность. Базовый уровень профессиональной подготовки –  глубокое знание и понимание законодательной базы. По мнению экспертов </w:t>
      </w:r>
      <w:r>
        <w:rPr>
          <w:rFonts w:hint="default" w:ascii="Times New Roman" w:hAnsi="Times New Roman"/>
          <w:b w:val="0"/>
          <w:bCs w:val="0"/>
          <w:sz w:val="28"/>
          <w:szCs w:val="28"/>
          <w:vertAlign w:val="baseline"/>
          <w:lang w:val="ru-RU"/>
        </w:rPr>
        <w:t xml:space="preserve">BiCoTender, фундаментом профессии является подробное знание Федеральных законов  № 44-ФЗ и № 223-ФЗ. Не менее важно понимание норм Гражданского кодекса, касающихся заключения и исполнения контракт, а также антимонопольного законодательства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Главное уметь не просто ориентироваться в базовых знаниях, но и отслеживать постоянные изменения, понимать логику их применения на практике.</w:t>
      </w:r>
    </w:p>
    <w:p w14:paraId="3A0BE4A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В условиях, когда все закупки осуществляются в цифровом  формате, цифровая грамотность становится важнейшим требованием к специалистам. Ключевые инструменты включают уверенную работу в Единой информационной системе (ЕИС) на портале zakupki.gov.ru, на электронных торговых площадках (ЭТП), владение усиленной квалифицированной электронной подписью (УКЭП), а также свободное использование текстовых и табличных редакторов (Word, Excel) для подготовки расчётов и аналитических материалов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26</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1586D1E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Эффективное управление закупками требует глубокого аналитического мышления с экономической составляющей. Согласно экспертам РБК, для этого необходимо проводить тщательный анализ рынка закупок, оценивать вероятность успешного исхода тендера, рассчитывать его рентабельность и отслеживать ценовую политику конкурентов. Вместо того чтобы распылять усилия на все доступные процедуры, профессионал осуществляет отбор, ориентируясь на максимальную выгоду и вероятность победы для своей компании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 Эксперты BiCoTender подчёркивают, что такой специалист должен быть настоящим экономистом: уметь точно просчитать себестоимость, учесть все дополнительные расходы (на обеспечение, логистику) и спрогнозировать ожидаемую прибыль от контракта. Такой подход трансформирует роль специалиста из простого исполнителя в ценного сотрудника, который активно способствует увеличению прибыли компании, находя наиболее выгодные и перспективные возможности для закупок</w:t>
      </w:r>
      <w:r>
        <w:rPr>
          <w:rFonts w:hint="default" w:ascii="Times New Roman" w:hAnsi="Times New Roman"/>
          <w:b w:val="0"/>
          <w:bCs w:val="0"/>
          <w:sz w:val="28"/>
          <w:szCs w:val="28"/>
          <w:vertAlign w:val="baseline"/>
          <w:lang w:val="en-US"/>
        </w:rPr>
        <w:t xml:space="preserve"> [25]</w:t>
      </w:r>
      <w:r>
        <w:rPr>
          <w:rFonts w:hint="default" w:ascii="Times New Roman" w:hAnsi="Times New Roman"/>
          <w:b w:val="0"/>
          <w:bCs w:val="0"/>
          <w:sz w:val="28"/>
          <w:szCs w:val="28"/>
          <w:vertAlign w:val="baseline"/>
          <w:lang w:val="ru-RU"/>
        </w:rPr>
        <w:t>.</w:t>
      </w:r>
    </w:p>
    <w:p w14:paraId="466469E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Развитие личностных качеств и способность к эффективного взаимодействия также влияет на успех работы тендерного специалиста. BiCoTender относит к числу важнейших качеств дотошность и внимание к деталям </w:t>
      </w:r>
      <w:r>
        <w:rPr>
          <w:rFonts w:hint="default" w:ascii="Times New Roman" w:hAnsi="Times New Roman"/>
          <w:sz w:val="28"/>
          <w:szCs w:val="28"/>
          <w:vertAlign w:val="baseline"/>
          <w:lang w:val="ru-RU"/>
        </w:rPr>
        <w:t xml:space="preserve">– </w:t>
      </w:r>
      <w:r>
        <w:rPr>
          <w:rFonts w:hint="default" w:ascii="Times New Roman" w:hAnsi="Times New Roman"/>
          <w:b w:val="0"/>
          <w:bCs w:val="0"/>
          <w:sz w:val="28"/>
          <w:szCs w:val="28"/>
          <w:vertAlign w:val="baseline"/>
          <w:lang w:val="ru-RU"/>
        </w:rPr>
        <w:t xml:space="preserve">способность глубокого погружения в объёмную документацию в поисках одного слова, которое может повлиять на исход торгов. Высокий уровень стрессоустойчивости, аналитический склад ума и многозадачность также важны, поскольку специалист часто ведёт одновременно несколько тендеров на разных стадиях </w:t>
      </w:r>
      <w:r>
        <w:rPr>
          <w:rFonts w:hint="default" w:ascii="Times New Roman" w:hAnsi="Times New Roman"/>
          <w:b w:val="0"/>
          <w:bCs w:val="0"/>
          <w:sz w:val="28"/>
          <w:szCs w:val="28"/>
          <w:vertAlign w:val="baseline"/>
          <w:lang w:val="en-US"/>
        </w:rPr>
        <w:t>[25]</w:t>
      </w:r>
      <w:r>
        <w:rPr>
          <w:rFonts w:hint="default" w:ascii="Times New Roman" w:hAnsi="Times New Roman"/>
          <w:b w:val="0"/>
          <w:bCs w:val="0"/>
          <w:sz w:val="28"/>
          <w:szCs w:val="28"/>
          <w:vertAlign w:val="baseline"/>
          <w:lang w:val="ru-RU"/>
        </w:rPr>
        <w:t>.</w:t>
      </w:r>
    </w:p>
    <w:p w14:paraId="1C3FCFD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Особое значение имеет навык межфункционального взаимодействия. Как отмечается в публикациях РБК, тендерный специалист </w:t>
      </w:r>
      <w:r>
        <w:rPr>
          <w:rFonts w:hint="default" w:ascii="Times New Roman" w:hAnsi="Times New Roman"/>
          <w:sz w:val="28"/>
          <w:szCs w:val="28"/>
          <w:vertAlign w:val="baseline"/>
          <w:lang w:val="ru-RU"/>
        </w:rPr>
        <w:t xml:space="preserve">– связующее звено </w:t>
      </w:r>
      <w:r>
        <w:rPr>
          <w:rFonts w:hint="default" w:ascii="Times New Roman" w:hAnsi="Times New Roman"/>
          <w:b w:val="0"/>
          <w:bCs w:val="0"/>
          <w:sz w:val="28"/>
          <w:szCs w:val="28"/>
          <w:vertAlign w:val="baseline"/>
          <w:lang w:val="ru-RU"/>
        </w:rPr>
        <w:t>между внутренними процессами компании и внешними требованиями. Он  взаимодействует с юристами, отделом закупок, производством, бухгалтерией и коммерческой службой для сбора информации и согласования позиций. От того, насколько быстро и точно он получает данные от коллег, напрямую зависит скорость и качество подготовки успешной заявки</w:t>
      </w:r>
      <w:r>
        <w:rPr>
          <w:rFonts w:hint="default" w:ascii="Times New Roman" w:hAnsi="Times New Roman"/>
          <w:b w:val="0"/>
          <w:bCs w:val="0"/>
          <w:sz w:val="28"/>
          <w:szCs w:val="28"/>
          <w:vertAlign w:val="baseline"/>
          <w:lang w:val="en-US"/>
        </w:rPr>
        <w:t xml:space="preserve"> [27]</w:t>
      </w:r>
      <w:r>
        <w:rPr>
          <w:rFonts w:hint="default" w:ascii="Times New Roman" w:hAnsi="Times New Roman"/>
          <w:b w:val="0"/>
          <w:bCs w:val="0"/>
          <w:sz w:val="28"/>
          <w:szCs w:val="28"/>
          <w:vertAlign w:val="baseline"/>
          <w:lang w:val="ru-RU"/>
        </w:rPr>
        <w:t>.</w:t>
      </w:r>
    </w:p>
    <w:p w14:paraId="3DE7A5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Цифровая трансформация закупок диктует новые стандарты обучения специалистов. Вместо традиционных лекций внедряются комплексные решения, сочетающие теорию с практикой в цифровой среде (см.табл.1.3).</w:t>
      </w:r>
    </w:p>
    <w:p w14:paraId="249C9A0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0C6578F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1.3.  Современные подходы к развитию компетенций в сфере закупок</w:t>
      </w:r>
    </w:p>
    <w:tbl>
      <w:tblPr>
        <w:tblStyle w:val="6"/>
        <w:tblW w:w="876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27"/>
        <w:gridCol w:w="3437"/>
        <w:gridCol w:w="2901"/>
      </w:tblGrid>
      <w:tr w14:paraId="29E48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3085AE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Направление</w:t>
            </w:r>
          </w:p>
        </w:tc>
        <w:tc>
          <w:tcPr>
            <w:tcW w:w="3437" w:type="dxa"/>
          </w:tcPr>
          <w:p w14:paraId="5CEDD70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Образовательные форматы </w:t>
            </w:r>
          </w:p>
        </w:tc>
        <w:tc>
          <w:tcPr>
            <w:tcW w:w="2901" w:type="dxa"/>
          </w:tcPr>
          <w:p w14:paraId="656557A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реализации</w:t>
            </w:r>
          </w:p>
        </w:tc>
      </w:tr>
      <w:tr w14:paraId="2AB4E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4182F4D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Системное обучение </w:t>
            </w:r>
          </w:p>
        </w:tc>
        <w:tc>
          <w:tcPr>
            <w:tcW w:w="3437" w:type="dxa"/>
          </w:tcPr>
          <w:p w14:paraId="57660FB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Практикумы на учебных ЭТП, тренажёры ЕИС, смешанное обучение, кейсы</w:t>
            </w:r>
          </w:p>
        </w:tc>
        <w:tc>
          <w:tcPr>
            <w:tcW w:w="2901" w:type="dxa"/>
          </w:tcPr>
          <w:p w14:paraId="4D2953C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СФУ (учебная «РТС-тендер») [28]; НИУ ВШЭ (Пермь) (вебинары + практика) [29]</w:t>
            </w:r>
          </w:p>
        </w:tc>
      </w:tr>
      <w:tr w14:paraId="688D3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597BD25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Игровые методы и геймификация</w:t>
            </w:r>
          </w:p>
        </w:tc>
        <w:tc>
          <w:tcPr>
            <w:tcW w:w="3437" w:type="dxa"/>
          </w:tcPr>
          <w:p w14:paraId="2E81918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Настольные и онлайн-игры, деловые симуляторы, квесты</w:t>
            </w:r>
          </w:p>
        </w:tc>
        <w:tc>
          <w:tcPr>
            <w:tcW w:w="2901" w:type="dxa"/>
          </w:tcPr>
          <w:p w14:paraId="460282F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ЭТП Аудиториум: «Закупочный детектив» (10 тыс. обученных) [30]; монография Гладилиной, Молокановой [31]</w:t>
            </w:r>
          </w:p>
        </w:tc>
      </w:tr>
      <w:tr w14:paraId="216D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27" w:type="dxa"/>
          </w:tcPr>
          <w:p w14:paraId="7A2FEF2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Государственные и отраслевые инициативы</w:t>
            </w:r>
          </w:p>
        </w:tc>
        <w:tc>
          <w:tcPr>
            <w:tcW w:w="3437" w:type="dxa"/>
          </w:tcPr>
          <w:p w14:paraId="729FB0C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Программы адаптации, наставничество, бесплатные курсы</w:t>
            </w:r>
          </w:p>
        </w:tc>
        <w:tc>
          <w:tcPr>
            <w:tcW w:w="2901" w:type="dxa"/>
          </w:tcPr>
          <w:p w14:paraId="2CBC15F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«Закупщик. Новое поколение» (Госкомитет РТ) [32]; «Школа профессионалов» (ЭТП РЕГИОН, 2500+ участников) [33]</w:t>
            </w:r>
          </w:p>
        </w:tc>
      </w:tr>
    </w:tbl>
    <w:p w14:paraId="2DFB85BE">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1FBCD19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Рассмотрим подробнее каждое направление:</w:t>
      </w:r>
    </w:p>
    <w:p w14:paraId="580171B5">
      <w:pPr>
        <w:keepNext w:val="0"/>
        <w:keepLines w:val="0"/>
        <w:pageBreakBefore w:val="0"/>
        <w:numPr>
          <w:ilvl w:val="0"/>
          <w:numId w:val="5"/>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Системное обучение и работа с цифровыми средами. </w:t>
      </w:r>
    </w:p>
    <w:p w14:paraId="2BF8C9B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Ключевым условием является интеграция учебного процесса с реальными электронными торговыми площадками, что способствует развитию практических навыков.В качестве показательного примера можно привести программу профессиональной переподготовки Сибирского федерального университета, которая предоставляет слушателям доступ к учебной ЭТП «РТС-тендер» и тренажёру-иммитатору личного кабинета ЕИС. Аналогичный подход реализуется в программах НИУ ВШЭ, где обучение строится на смешанном формате (очные занятия и вебинары) с отработкой навыков на практических кейсах и анализом документации на предмет рисков. Это даёт возможность освоить все площадки для работы в безопасном варианте, исключая возможность ошибок при реальной работе с закупками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29</w:t>
      </w:r>
      <w:r>
        <w:rPr>
          <w:rFonts w:hint="default" w:ascii="Times New Roman" w:hAnsi="Times New Roman"/>
          <w:b w:val="0"/>
          <w:bCs w:val="0"/>
          <w:sz w:val="28"/>
          <w:szCs w:val="28"/>
          <w:vertAlign w:val="baseline"/>
          <w:lang w:val="en-US"/>
        </w:rPr>
        <w:t>,35]</w:t>
      </w:r>
      <w:r>
        <w:rPr>
          <w:rFonts w:hint="default" w:ascii="Times New Roman" w:hAnsi="Times New Roman"/>
          <w:b w:val="0"/>
          <w:bCs w:val="0"/>
          <w:sz w:val="28"/>
          <w:szCs w:val="28"/>
          <w:vertAlign w:val="baseline"/>
          <w:lang w:val="ru-RU"/>
        </w:rPr>
        <w:t>.</w:t>
      </w:r>
    </w:p>
    <w:p w14:paraId="1F720A78">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Игровые методы и геймификация.</w:t>
      </w:r>
    </w:p>
    <w:p w14:paraId="3FD84A5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последние годы обучение закупочным процедурам потерпело значительные изменения благодаря внедрению игровых форматов. Проект «Закупочные решения: игровые методы обучения» ЭТП Аудиториум (ЭТП Газпромбанка) предлагает настольные и онлайн-игры, включая «Закупочный детектив» и «Город уже давно спит, а закупщики продолжают работать». Эти игры позволяют безопасно отрабатывать сложные ситуации и анализировать ошибки без негативных последствий для бизнеса. . Проект достиг впечатляющих масштабов: более 10 тысяч специалистов из различных регионов России уже приняли участие в обучении, а сам проект был отмечен премией «Эффективное образование — 2025»</w:t>
      </w:r>
      <w:r>
        <w:rPr>
          <w:rFonts w:hint="default" w:ascii="Times New Roman" w:hAnsi="Times New Roman"/>
          <w:b w:val="0"/>
          <w:bCs w:val="0"/>
          <w:sz w:val="28"/>
          <w:szCs w:val="28"/>
          <w:vertAlign w:val="baseline"/>
          <w:lang w:val="en-US"/>
        </w:rPr>
        <w:t xml:space="preserve"> [3</w:t>
      </w:r>
      <w:r>
        <w:rPr>
          <w:rFonts w:hint="default" w:ascii="Times New Roman" w:hAnsi="Times New Roman"/>
          <w:b w:val="0"/>
          <w:bCs w:val="0"/>
          <w:sz w:val="28"/>
          <w:szCs w:val="28"/>
          <w:vertAlign w:val="baseline"/>
          <w:lang w:val="ru-RU"/>
        </w:rPr>
        <w:t>0</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 xml:space="preserve">. То, что игры полезны для учебы, подтверждают и ученые: в монографии И.П. Гладилиной и Ю.А. Молокановой рассматривается проблема повышения квалификации специалистов в сфере закупок на основе игровых методов и обосновывается необходимость нового образовательного формата для эффективной работы в цифровых системах </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31</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62C31532">
      <w:pPr>
        <w:keepNext w:val="0"/>
        <w:keepLines w:val="0"/>
        <w:pageBreakBefore w:val="0"/>
        <w:numPr>
          <w:ilvl w:val="0"/>
          <w:numId w:val="5"/>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Государственные и отраслевые инициативы.</w:t>
      </w:r>
    </w:p>
    <w:p w14:paraId="5C7E95D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Региональные власти и ведущие компании активно способствуют обновлению образовательных подходов.  В качестве примера, в Татарстане действует программа «Закупщик. Новое поколение» (Госкомитет РТ по закупкам), эта программа создана для того, чтобы помочь начинающим специалистам успешно адаптироваться. Она объединяет теоретические знания, решение реальных задач и наставничество от опытных экспертов отрасли, а также оказывает помощь выпускникам в трудоустройстве </w:t>
      </w:r>
      <w:r>
        <w:rPr>
          <w:rFonts w:hint="default" w:ascii="Times New Roman" w:hAnsi="Times New Roman"/>
          <w:b w:val="0"/>
          <w:bCs w:val="0"/>
          <w:sz w:val="28"/>
          <w:szCs w:val="28"/>
          <w:vertAlign w:val="baseline"/>
          <w:lang w:val="en-US"/>
        </w:rPr>
        <w:t>[32]</w:t>
      </w:r>
      <w:r>
        <w:rPr>
          <w:rFonts w:hint="default" w:ascii="Times New Roman" w:hAnsi="Times New Roman"/>
          <w:b w:val="0"/>
          <w:bCs w:val="0"/>
          <w:sz w:val="28"/>
          <w:szCs w:val="28"/>
          <w:vertAlign w:val="baseline"/>
          <w:lang w:val="ru-RU"/>
        </w:rPr>
        <w:t>.  Ещё один значимый проект – федеральная «Школа профессионалов» от ЭТП «РЕГИОН». Проект предоставляет бесплатное обучение специалистов по законодательству 223-ФЗ, используя современные цифровые образовательные инструменты, и уже охватил более 2500 участников из 88 регионов страны</w:t>
      </w:r>
      <w:r>
        <w:rPr>
          <w:rFonts w:hint="default" w:ascii="Times New Roman" w:hAnsi="Times New Roman"/>
          <w:b w:val="0"/>
          <w:bCs w:val="0"/>
          <w:sz w:val="28"/>
          <w:szCs w:val="28"/>
          <w:vertAlign w:val="baseline"/>
          <w:lang w:val="en-US"/>
        </w:rPr>
        <w:t xml:space="preserve"> [33]</w:t>
      </w:r>
      <w:r>
        <w:rPr>
          <w:rFonts w:hint="default" w:ascii="Times New Roman" w:hAnsi="Times New Roman"/>
          <w:b w:val="0"/>
          <w:bCs w:val="0"/>
          <w:sz w:val="28"/>
          <w:szCs w:val="28"/>
          <w:vertAlign w:val="baseline"/>
          <w:lang w:val="ru-RU"/>
        </w:rPr>
        <w:t>.</w:t>
      </w:r>
    </w:p>
    <w:p w14:paraId="3574BC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Итак, тендерный специалист представляет собой гибридного эксперта, объединяющего в себе юридическую подкованность, аналитическое мышление, уверенное владение цифровыми технологиями и мастерство переговорщика. Развитие его компетенций сегодня строится на симбиозе фундаментальных знаний, цифровых инструментов и интерактивных форматов обучения . Это обеспечивает организациям минимизацию потенциальных рисков и существенное повышение результативности их участия в тендерах.</w:t>
      </w:r>
    </w:p>
    <w:p w14:paraId="2436DE1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4C2245F7">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center"/>
        <w:textAlignment w:val="auto"/>
        <w:rPr>
          <w:rFonts w:hint="default" w:ascii="Times New Roman" w:hAnsi="Times New Roman"/>
          <w:b/>
          <w:bCs/>
          <w:sz w:val="28"/>
          <w:szCs w:val="28"/>
        </w:rPr>
      </w:pPr>
      <w:r>
        <w:rPr>
          <w:rFonts w:hint="default" w:ascii="Times New Roman" w:hAnsi="Times New Roman"/>
          <w:b/>
          <w:bCs/>
          <w:sz w:val="28"/>
          <w:szCs w:val="28"/>
          <w:lang w:val="ru-RU"/>
        </w:rPr>
        <w:t xml:space="preserve">1.3. </w:t>
      </w:r>
      <w:r>
        <w:rPr>
          <w:rFonts w:hint="default" w:ascii="Times New Roman" w:hAnsi="Times New Roman"/>
          <w:b/>
          <w:bCs/>
          <w:sz w:val="28"/>
          <w:szCs w:val="28"/>
        </w:rPr>
        <w:t>Методологические подходы к оценке эффективности обучения тендерных специалистов</w:t>
      </w:r>
    </w:p>
    <w:p w14:paraId="1369E272">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 современном HR-менеджменте обучение персонала это не просто затраты, а стратегические инвестиции. Для тендерных специалистов это особенно важно, так как их работа напрямую влияет на финансовые показатели. Согласно РБК, внедрение системного обучения и аналитики значительно могут повысить эффективность тендерного отдела – рост конверсии вырастет с 8% до 25%, а доля госзакупок – с 15% до 42% [35]. Но чтобы эти инвестиции были оправданы, нужна надёжная система оценки эффективности обучения.</w:t>
      </w:r>
    </w:p>
    <w:p w14:paraId="1226645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 это соотношение результата и затраченных на его достижение ресурсов. Методология оценки опирается на ряд принципов: объективность, надёжность (стабильность результатов), достоверность (точность отображения реальности), комплексность (всесторонний анализ) и прогнозируемость (способность предвидеть) [36, с.81].</w:t>
      </w:r>
    </w:p>
    <w:p w14:paraId="44BF6F8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Оценить, насколько эффективно обучение в сфере закупок, довольно сложно. Во-первых, влияние внешних обстоятельств (изменение законодательства, рыночная конъюнктура и тд.) сложно отделить от эффекта обучения. Во-вторых, новые знания не дают мгновенного эффекта. В-третьих, тяжело выделить «чистый» вклад обучения в улучшение показателей на фоне других факторов, таких как мотивация или изменения в организации [37].</w:t>
      </w:r>
    </w:p>
    <w:p w14:paraId="1DDFBE1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С.Келман в своём исследовании показал, что процент выигранных тендеров сильно меняется из-за общей экономической ситуации и сезонности бюджетных расходов [43]. Чтобы получить более точную оценку, западные специалисты предлагают сравнивать тех, кто учился, с теми, кто не учился. Это поможет понять что именно дало обучение, а не внешние обстоятельства [44, с.45].</w:t>
      </w:r>
    </w:p>
    <w:p w14:paraId="509894B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Существует несколько классических моделей оценки эффективности обучения. Наиболее распространённая – модель Д.Киркпатрика, разработанная в 1950-х годах.  Она предполагает последовательную оценку на четырёх уровнях: реакция, усвоение, поведение, результаты. Первый уровень измеряет удовлетворённость участников обучением, второй оценивает прирост знаний посредством тестирования, третий выявляет степень применения знаний на работе, четвёртый определяет влияние обучения на бизнес-показатели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w:t>
      </w:r>
    </w:p>
    <w:p w14:paraId="0C23CE6F">
      <w:pPr>
        <w:keepNext w:val="0"/>
        <w:keepLines w:val="0"/>
        <w:pageBreakBefore w:val="0"/>
        <w:numPr>
          <w:ilvl w:val="0"/>
          <w:numId w:val="6"/>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Модель Дж. Филлипса (ROI) дополняет подход Киркпатрика, добавляя пятый уровень — возврат на инвестиции. Данная модель позволяет рассчитать, сколько единиц прибыли приносит каждая единица валюты, вложенная в обучение [37].</w:t>
      </w:r>
    </w:p>
    <w:p w14:paraId="5C254D78">
      <w:pPr>
        <w:keepNext w:val="0"/>
        <w:keepLines w:val="0"/>
        <w:pageBreakBefore w:val="0"/>
        <w:numPr>
          <w:ilvl w:val="0"/>
          <w:numId w:val="0"/>
        </w:numPr>
        <w:kinsoku/>
        <w:wordWrap/>
        <w:overflowPunct/>
        <w:topLinePunct w:val="0"/>
        <w:autoSpaceDE/>
        <w:autoSpaceDN/>
        <w:bidi w:val="0"/>
        <w:adjustRightInd/>
        <w:snapToGrid/>
        <w:spacing w:line="360" w:lineRule="auto"/>
        <w:ind w:leftChars="125"/>
        <w:jc w:val="both"/>
        <w:textAlignment w:val="auto"/>
        <w:rPr>
          <w:rFonts w:hint="default" w:ascii="Times New Roman" w:hAnsi="Times New Roman"/>
          <w:b w:val="0"/>
          <w:bCs w:val="0"/>
          <w:sz w:val="28"/>
          <w:szCs w:val="28"/>
          <w:lang w:val="ru-RU"/>
        </w:rPr>
      </w:pPr>
    </w:p>
    <w:p w14:paraId="6BD61D9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Расчёт ROI производится по формуле:</w:t>
      </w:r>
    </w:p>
    <w:p w14:paraId="574C3465">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p>
    <w:p w14:paraId="3EDEFD86">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m:oMathPara>
        <m:oMath>
          <m:r>
            <m:rPr>
              <m:sty m:val="p"/>
            </m:rPr>
            <w:rPr>
              <w:rFonts w:hint="default" w:ascii="Cambria Math" w:hAnsi="Cambria Math" w:cstheme="minorBidi"/>
              <w:sz w:val="24"/>
              <w:szCs w:val="24"/>
              <w:lang w:val="en-US" w:eastAsia="zh-CN" w:bidi="ar-SA"/>
            </w:rPr>
            <m:t>ROI=(</m:t>
          </m:r>
          <m:f>
            <m:fPr>
              <m:ctrlPr>
                <w:rPr>
                  <w:rFonts w:hint="default" w:ascii="Cambria Math" w:hAnsi="Cambria Math" w:cstheme="minorBidi"/>
                  <w:b w:val="0"/>
                  <w:bCs w:val="0"/>
                  <w:i w:val="0"/>
                  <w:iCs/>
                  <w:sz w:val="24"/>
                  <w:szCs w:val="24"/>
                  <w:lang w:val="en-US" w:eastAsia="zh-CN" w:bidi="ar-SA"/>
                </w:rPr>
              </m:ctrlPr>
            </m:fPr>
            <m:num>
              <m:r>
                <m:rPr>
                  <m:sty m:val="p"/>
                </m:rPr>
                <w:rPr>
                  <w:rFonts w:hint="default" w:ascii="Cambria Math" w:hAnsi="Cambria Math" w:cstheme="minorBidi"/>
                  <w:sz w:val="24"/>
                  <w:szCs w:val="24"/>
                  <w:lang w:val="ru-RU" w:eastAsia="zh-CN" w:bidi="ar-SA"/>
                </w:rPr>
                <m:t>Доходы от обучения − Затраты</m:t>
              </m:r>
              <m:ctrlPr>
                <w:rPr>
                  <w:rFonts w:hint="default" w:ascii="Cambria Math" w:hAnsi="Cambria Math" w:cstheme="minorBidi"/>
                  <w:b w:val="0"/>
                  <w:bCs w:val="0"/>
                  <w:i w:val="0"/>
                  <w:iCs/>
                  <w:sz w:val="24"/>
                  <w:szCs w:val="24"/>
                  <w:lang w:val="en-US" w:eastAsia="zh-CN" w:bidi="ar-SA"/>
                </w:rPr>
              </m:ctrlPr>
            </m:num>
            <m:den>
              <m:r>
                <m:rPr>
                  <m:sty m:val="p"/>
                </m:rPr>
                <w:rPr>
                  <w:rFonts w:hint="default" w:ascii="Cambria Math" w:hAnsi="Cambria Math" w:cstheme="minorBidi"/>
                  <w:sz w:val="24"/>
                  <w:szCs w:val="24"/>
                  <w:lang w:val="ru-RU" w:eastAsia="zh-CN" w:bidi="ar-SA"/>
                </w:rPr>
                <m:t>Затраты</m:t>
              </m:r>
              <m:ctrlPr>
                <w:rPr>
                  <w:rFonts w:hint="default" w:ascii="Cambria Math" w:hAnsi="Cambria Math" w:cstheme="minorBidi"/>
                  <w:b w:val="0"/>
                  <w:bCs w:val="0"/>
                  <w:i w:val="0"/>
                  <w:iCs/>
                  <w:sz w:val="24"/>
                  <w:szCs w:val="24"/>
                  <w:lang w:val="en-US" w:eastAsia="zh-CN" w:bidi="ar-SA"/>
                </w:rPr>
              </m:ctrlPr>
            </m:den>
          </m:f>
          <m:r>
            <m:rPr>
              <m:sty m:val="p"/>
            </m:rPr>
            <w:rPr>
              <w:rFonts w:hint="default" w:ascii="Cambria Math" w:hAnsi="Cambria Math" w:cstheme="minorBidi"/>
              <w:sz w:val="24"/>
              <w:szCs w:val="24"/>
              <w:lang w:val="en-US" w:eastAsia="zh-CN" w:bidi="ar-SA"/>
            </w:rPr>
            <m:t>)</m:t>
          </m:r>
          <m:r>
            <m:rPr>
              <m:sty m:val="p"/>
            </m:rPr>
            <w:rPr>
              <w:rFonts w:hint="default" w:ascii="Cambria Math" w:hAnsi="Cambria Math" w:cstheme="minorBidi"/>
              <w:sz w:val="24"/>
              <w:szCs w:val="24"/>
              <w:lang w:val="ru-RU" w:eastAsia="zh-CN" w:bidi="ar-SA"/>
            </w:rPr>
            <m:t>∗100%</m:t>
          </m:r>
        </m:oMath>
      </m:oMathPara>
    </w:p>
    <w:p w14:paraId="196E25A9">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both"/>
        <w:textAlignment w:val="auto"/>
        <w:rPr>
          <w:rFonts w:hint="default" w:hAnsi="Cambria Math" w:cstheme="minorBidi"/>
          <w:b w:val="0"/>
          <w:i w:val="0"/>
          <w:sz w:val="24"/>
          <w:szCs w:val="24"/>
          <w:lang w:val="ru-RU" w:eastAsia="zh-CN" w:bidi="ar-SA"/>
        </w:rPr>
      </w:pPr>
    </w:p>
    <w:p w14:paraId="666DC42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Использование модели Филлипса сталкивается с рядом трудностей. Во-первых, это процесс, требующий значительных временных затрат. Во-вторых, существует сложность в отделении истинного эффекта обучения от влияния посторонних факторов, что затрудняет точную оценку.</w:t>
      </w:r>
    </w:p>
    <w:p w14:paraId="11651DAC">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Важно понимать, что не все программы требуют оценки по пятому уровню. Согласно рекомендациям Джека Филлипса, оценка по различным уровням должна применяться дифференцированно: 90-100% программ оцениваются по 1-му уровню, 40-60% – по 2-му, 30% – по 3-му, 10-20% – по 4-му, и только 5-10% наиболее стратегически значимых и дорогостоящих программ требуют расчёта ROI [</w:t>
      </w:r>
      <w:r>
        <w:rPr>
          <w:rFonts w:hint="default" w:ascii="Times New Roman" w:hAnsi="Times New Roman"/>
          <w:b w:val="0"/>
          <w:bCs w:val="0"/>
          <w:sz w:val="28"/>
          <w:szCs w:val="28"/>
          <w:vertAlign w:val="baseline"/>
          <w:lang w:val="en-US"/>
        </w:rPr>
        <w:t>39</w:t>
      </w:r>
      <w:r>
        <w:rPr>
          <w:rFonts w:hint="default" w:ascii="Times New Roman" w:hAnsi="Times New Roman"/>
          <w:b w:val="0"/>
          <w:bCs w:val="0"/>
          <w:sz w:val="28"/>
          <w:szCs w:val="28"/>
          <w:vertAlign w:val="baseline"/>
          <w:lang w:val="ru-RU"/>
        </w:rPr>
        <w:t>].</w:t>
      </w:r>
    </w:p>
    <w:p w14:paraId="2F5D51AB">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Чтобы обучение действительно приносило пользу и постоянно совершенствовалось, важно оценивать результативность. Выделяют следующие ключевые этапы:</w:t>
      </w:r>
    </w:p>
    <w:p w14:paraId="2D030DB8">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Предварительная оценка: проводится с целью определения текущего уровня компетенций  и выявления пробелов. Для этого используются тесты по законодательной базе, анализ рабочих показателей, беседы с руководством. </w:t>
      </w:r>
    </w:p>
    <w:p w14:paraId="726DF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2. Текущая оценка: направлена на контроль усвоения материала и оперативную корректировку программы. Применяются практические задания, разбор реальных ситуаций и деловые игры.</w:t>
      </w:r>
    </w:p>
    <w:p w14:paraId="7C1C9A4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Итоговая оценка: состоит из двух частей – оценка реакции обучающихся (анкеты удовлетворённости) и оценки усвоения знаний (повторные тесты, экзамены)</w:t>
      </w:r>
    </w:p>
    <w:p w14:paraId="2A06B653">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4. Отсроченная оценка (через 3-6 месяцев): наблюдение за поведением на рабочем месте, оценка со стороны руководства, анализ динамики ключевых показателей результативности. На этом этапе можно определить, произошло ли реальное внедрение знаний в практику и как это отразилось на бизнес-процессах [35].</w:t>
      </w:r>
    </w:p>
    <w:p w14:paraId="0A343BA0">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Для полной оценки деятельности тендерного отдела необходима система метрик, которая будет охватывать все ключевые направления его деятельности. Исследование А.Г.Николаевой в сфере закупок показало, что нет единого стандарта показателей для оценки, что требует адаптации существующих подходов к специфике конкретного предприятия [40]. </w:t>
      </w:r>
    </w:p>
    <w:p w14:paraId="4312A51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Основываясь на изученных материалах и практическом опыте, предлагается следующая система показателей для оценки эффективности обучения специалистов по закупкам</w:t>
      </w:r>
      <w:r>
        <w:rPr>
          <w:rFonts w:hint="default" w:ascii="Times New Roman" w:hAnsi="Times New Roman"/>
          <w:b w:val="0"/>
          <w:bCs w:val="0"/>
          <w:sz w:val="28"/>
          <w:szCs w:val="28"/>
          <w:vertAlign w:val="baseline"/>
          <w:lang w:val="en-US"/>
        </w:rPr>
        <w:t xml:space="preserve"> (</w:t>
      </w:r>
      <w:r>
        <w:rPr>
          <w:rFonts w:hint="default" w:ascii="Times New Roman" w:hAnsi="Times New Roman"/>
          <w:b w:val="0"/>
          <w:bCs w:val="0"/>
          <w:sz w:val="28"/>
          <w:szCs w:val="28"/>
          <w:vertAlign w:val="baseline"/>
          <w:lang w:val="ru-RU"/>
        </w:rPr>
        <w:t>см.табл.1.4</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176C87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25BA0D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00" w:firstLineChars="125"/>
        <w:jc w:val="righ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Таблица 1.4.  Система показателей оценки эффективности обучения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9"/>
        <w:gridCol w:w="3832"/>
        <w:gridCol w:w="2381"/>
      </w:tblGrid>
      <w:tr w14:paraId="297C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67E232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Группа показателей</w:t>
            </w:r>
          </w:p>
        </w:tc>
        <w:tc>
          <w:tcPr>
            <w:tcW w:w="3832" w:type="dxa"/>
          </w:tcPr>
          <w:p w14:paraId="7D7A743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Примеры метрик</w:t>
            </w:r>
          </w:p>
        </w:tc>
        <w:tc>
          <w:tcPr>
            <w:tcW w:w="2381" w:type="dxa"/>
          </w:tcPr>
          <w:p w14:paraId="2845C6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Метод сбора</w:t>
            </w:r>
          </w:p>
        </w:tc>
      </w:tr>
      <w:tr w14:paraId="02E1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3D65411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C54EC6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результативности</w:t>
            </w:r>
          </w:p>
        </w:tc>
        <w:tc>
          <w:tcPr>
            <w:tcW w:w="3832" w:type="dxa"/>
          </w:tcPr>
          <w:p w14:paraId="184C897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Конверсия (соотношение поданных заявок к выигранным); доля госзакупок в общем обороте; доля выигранных НМЦК; средняя рентабельность выигранных контрактов</w:t>
            </w:r>
          </w:p>
        </w:tc>
        <w:tc>
          <w:tcPr>
            <w:tcW w:w="2381" w:type="dxa"/>
          </w:tcPr>
          <w:p w14:paraId="3CEA050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en-US"/>
              </w:rPr>
              <w:t>CRM</w:t>
            </w:r>
            <w:r>
              <w:rPr>
                <w:rFonts w:hint="default" w:ascii="Times New Roman" w:hAnsi="Times New Roman"/>
                <w:b w:val="0"/>
                <w:bCs w:val="0"/>
                <w:sz w:val="24"/>
                <w:szCs w:val="24"/>
                <w:vertAlign w:val="baseline"/>
                <w:lang w:val="ru-RU"/>
              </w:rPr>
              <w:t xml:space="preserve">-система,  финансовая отчетность, отчеты тендерного отдела </w:t>
            </w:r>
            <w:r>
              <w:rPr>
                <w:rFonts w:hint="default" w:ascii="Times New Roman" w:hAnsi="Times New Roman"/>
                <w:b w:val="0"/>
                <w:bCs w:val="0"/>
                <w:sz w:val="24"/>
                <w:szCs w:val="24"/>
                <w:vertAlign w:val="baseline"/>
                <w:lang w:val="en-US"/>
              </w:rPr>
              <w:t>[35]</w:t>
            </w:r>
          </w:p>
        </w:tc>
      </w:tr>
      <w:tr w14:paraId="691D6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0F7B4CE">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5C58A98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Показатели качества процессов</w:t>
            </w:r>
          </w:p>
        </w:tc>
        <w:tc>
          <w:tcPr>
            <w:tcW w:w="3832" w:type="dxa"/>
          </w:tcPr>
          <w:p w14:paraId="38301B8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Количество отклоненных заявок по вине отдела; доля закупок с нарушением дедлайна; количество замечаний внутреннего аудита; количество выигранных жалоб в ФАС</w:t>
            </w:r>
          </w:p>
        </w:tc>
        <w:tc>
          <w:tcPr>
            <w:tcW w:w="2381" w:type="dxa"/>
          </w:tcPr>
          <w:p w14:paraId="731ADFE3">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Реестры закупок, протоколы ФАС, данные ЭТП</w:t>
            </w:r>
          </w:p>
        </w:tc>
      </w:tr>
      <w:tr w14:paraId="1AC65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7C8FF33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p>
          <w:p w14:paraId="0A384FC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Показатели развития персонала </w:t>
            </w:r>
          </w:p>
        </w:tc>
        <w:tc>
          <w:tcPr>
            <w:tcW w:w="3832" w:type="dxa"/>
          </w:tcPr>
          <w:p w14:paraId="0BB177A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Уровень владения компетенциями; доля сотрудников, прошедших обучение и подтвердивших повышение квалификации; индекс удовлетворенности обучением</w:t>
            </w:r>
          </w:p>
        </w:tc>
        <w:tc>
          <w:tcPr>
            <w:tcW w:w="2381" w:type="dxa"/>
          </w:tcPr>
          <w:p w14:paraId="003F207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Результаты тестирования, опросы, кадровая отчётность </w:t>
            </w:r>
            <w:r>
              <w:rPr>
                <w:rFonts w:hint="default" w:ascii="Times New Roman" w:hAnsi="Times New Roman"/>
                <w:b w:val="0"/>
                <w:bCs w:val="0"/>
                <w:sz w:val="24"/>
                <w:szCs w:val="24"/>
                <w:vertAlign w:val="baseline"/>
                <w:lang w:val="en-US"/>
              </w:rPr>
              <w:t>[40]</w:t>
            </w:r>
          </w:p>
        </w:tc>
      </w:tr>
      <w:tr w14:paraId="505FC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9" w:type="dxa"/>
          </w:tcPr>
          <w:p w14:paraId="6EAC0E8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p>
          <w:p w14:paraId="1D1DDFB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en-US"/>
              </w:rPr>
              <w:t>HR</w:t>
            </w:r>
            <w:r>
              <w:rPr>
                <w:rFonts w:hint="default" w:ascii="Times New Roman" w:hAnsi="Times New Roman"/>
                <w:b w:val="0"/>
                <w:bCs w:val="0"/>
                <w:sz w:val="24"/>
                <w:szCs w:val="24"/>
                <w:vertAlign w:val="baseline"/>
                <w:lang w:val="ru-RU"/>
              </w:rPr>
              <w:t>-показатели процесса обучения</w:t>
            </w:r>
          </w:p>
        </w:tc>
        <w:tc>
          <w:tcPr>
            <w:tcW w:w="3832" w:type="dxa"/>
          </w:tcPr>
          <w:p w14:paraId="49B8404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успешно прошедших итоговый контроль; удовлетворённость руководителей программ обучения; стоимость обучения на одного сотрудника; среднее количество часов обучения на одного сотрудника</w:t>
            </w:r>
          </w:p>
        </w:tc>
        <w:tc>
          <w:tcPr>
            <w:tcW w:w="2381" w:type="dxa"/>
          </w:tcPr>
          <w:p w14:paraId="2BAA15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vertAlign w:val="baseline"/>
                <w:lang w:val="en-US"/>
              </w:rPr>
            </w:pPr>
            <w:r>
              <w:rPr>
                <w:rFonts w:hint="default" w:ascii="Times New Roman" w:hAnsi="Times New Roman"/>
                <w:b w:val="0"/>
                <w:bCs w:val="0"/>
                <w:sz w:val="24"/>
                <w:szCs w:val="24"/>
                <w:vertAlign w:val="baseline"/>
                <w:lang w:val="ru-RU"/>
              </w:rPr>
              <w:t xml:space="preserve">Кадровая отчётность, опросы руководителей, бюджетирование </w:t>
            </w:r>
            <w:r>
              <w:rPr>
                <w:rFonts w:hint="default" w:ascii="Times New Roman" w:hAnsi="Times New Roman"/>
                <w:b w:val="0"/>
                <w:bCs w:val="0"/>
                <w:sz w:val="24"/>
                <w:szCs w:val="24"/>
                <w:vertAlign w:val="baseline"/>
                <w:lang w:val="en-US"/>
              </w:rPr>
              <w:t>[41]</w:t>
            </w:r>
          </w:p>
        </w:tc>
      </w:tr>
    </w:tbl>
    <w:p w14:paraId="096DFC4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p>
    <w:p w14:paraId="752A023F">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Эффективность обучения тендерных специалистов оценивается с помощью различных инструментов сбора данных, выбор которых зависит от поставленных задач. Методы сбора данных и инструменты оценки можно разделить следующим образом:</w:t>
      </w:r>
    </w:p>
    <w:p w14:paraId="6BFCAF77">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Количественные методы:</w:t>
      </w:r>
    </w:p>
    <w:p w14:paraId="398A0805">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Статистический анализ: оценка воронки продаж, коэффициента конверсии и процента  успешных сделок до/после обучения;</w:t>
      </w:r>
    </w:p>
    <w:p w14:paraId="72DCF5B9">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Финансовая оценка обучения: расчёт возврата инвестиций (ROI) по методике Д.Филлипса;</w:t>
      </w:r>
    </w:p>
    <w:p w14:paraId="6A380093">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знаний: проведение тестирования (входное/выходное) для изменения прироста знаний;</w:t>
      </w:r>
    </w:p>
    <w:p w14:paraId="061D26CE">
      <w:pPr>
        <w:keepNext w:val="0"/>
        <w:keepLines w:val="0"/>
        <w:pageBreakBefore w:val="0"/>
        <w:numPr>
          <w:ilvl w:val="0"/>
          <w:numId w:val="7"/>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Сбор обратной связи: изучение подготовленных тендерных заявок, жалоб и законченных договоров с использованием шкал Лайкерта.</w:t>
      </w:r>
    </w:p>
    <w:p w14:paraId="39541E51">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Качественные методы:</w:t>
      </w:r>
    </w:p>
    <w:p w14:paraId="47EE9ECB">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Интервью: беседы по компетенциям с сотрудникам и их руководителями;</w:t>
      </w:r>
    </w:p>
    <w:p w14:paraId="7681D761">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Ассессмент-центр: деловые игры, кейсы для оценки навыков </w:t>
      </w:r>
    </w:p>
    <w:p w14:paraId="7DBCB208">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Оценка «360 градусов»: комплексная оценка со стороны руководства, коллег и подчинённых;</w:t>
      </w:r>
    </w:p>
    <w:p w14:paraId="0C03BFB3">
      <w:pPr>
        <w:keepNext w:val="0"/>
        <w:keepLines w:val="0"/>
        <w:pageBreakBefore w:val="0"/>
        <w:numPr>
          <w:ilvl w:val="0"/>
          <w:numId w:val="8"/>
        </w:numPr>
        <w:kinsoku/>
        <w:wordWrap/>
        <w:overflowPunct/>
        <w:topLinePunct w:val="0"/>
        <w:autoSpaceDE/>
        <w:autoSpaceDN/>
        <w:bidi w:val="0"/>
        <w:adjustRightInd/>
        <w:snapToGrid/>
        <w:spacing w:line="360" w:lineRule="auto"/>
        <w:ind w:left="420"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Анализ результатов работы: изучение подготовленных заявок, жалоб и договоров </w:t>
      </w:r>
      <w:r>
        <w:rPr>
          <w:rFonts w:hint="default" w:ascii="Times New Roman" w:hAnsi="Times New Roman"/>
          <w:b w:val="0"/>
          <w:bCs w:val="0"/>
          <w:sz w:val="28"/>
          <w:szCs w:val="28"/>
          <w:vertAlign w:val="baseline"/>
          <w:lang w:val="en-US"/>
        </w:rPr>
        <w:t>[38</w:t>
      </w:r>
      <w:r>
        <w:rPr>
          <w:rFonts w:hint="default" w:ascii="Times New Roman" w:hAnsi="Times New Roman"/>
          <w:b w:val="0"/>
          <w:bCs w:val="0"/>
          <w:sz w:val="28"/>
          <w:szCs w:val="28"/>
          <w:vertAlign w:val="baseline"/>
          <w:lang w:val="ru-RU"/>
        </w:rPr>
        <w:t>,41,35</w:t>
      </w:r>
      <w:r>
        <w:rPr>
          <w:rFonts w:hint="default" w:ascii="Times New Roman" w:hAnsi="Times New Roman"/>
          <w:b w:val="0"/>
          <w:bCs w:val="0"/>
          <w:sz w:val="28"/>
          <w:szCs w:val="28"/>
          <w:vertAlign w:val="baseline"/>
          <w:lang w:val="en-US"/>
        </w:rPr>
        <w:t>]</w:t>
      </w:r>
      <w:r>
        <w:rPr>
          <w:rFonts w:hint="default" w:ascii="Times New Roman" w:hAnsi="Times New Roman"/>
          <w:b w:val="0"/>
          <w:bCs w:val="0"/>
          <w:sz w:val="28"/>
          <w:szCs w:val="28"/>
          <w:vertAlign w:val="baseline"/>
          <w:lang w:val="ru-RU"/>
        </w:rPr>
        <w:t>.</w:t>
      </w:r>
    </w:p>
    <w:p w14:paraId="5419B86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Комбинированные подходы предполагают использование нескольких методов одновременно для получения более достоверных результатов. Например, можно сопоставить данные тестирования с реальными показателями деятельности или использовать контрольные группы для выделения чистого эффекта обучения </w:t>
      </w:r>
      <w:r>
        <w:rPr>
          <w:rFonts w:hint="default" w:ascii="Times New Roman" w:hAnsi="Times New Roman"/>
          <w:b w:val="0"/>
          <w:bCs w:val="0"/>
          <w:sz w:val="28"/>
          <w:szCs w:val="28"/>
          <w:vertAlign w:val="baseline"/>
          <w:lang w:val="en-US"/>
        </w:rPr>
        <w:t>[41]</w:t>
      </w:r>
      <w:r>
        <w:rPr>
          <w:rFonts w:hint="default" w:ascii="Times New Roman" w:hAnsi="Times New Roman"/>
          <w:b w:val="0"/>
          <w:bCs w:val="0"/>
          <w:sz w:val="28"/>
          <w:szCs w:val="28"/>
          <w:vertAlign w:val="baseline"/>
          <w:lang w:val="ru-RU"/>
        </w:rPr>
        <w:t>.</w:t>
      </w:r>
    </w:p>
    <w:p w14:paraId="7CC237AA">
      <w:pPr>
        <w:keepNext w:val="0"/>
        <w:keepLines w:val="0"/>
        <w:pageBreakBefore w:val="0"/>
        <w:numPr>
          <w:ilvl w:val="0"/>
          <w:numId w:val="0"/>
        </w:numPr>
        <w:kinsoku/>
        <w:wordWrap/>
        <w:overflowPunct/>
        <w:topLinePunct w:val="0"/>
        <w:autoSpaceDE/>
        <w:autoSpaceDN/>
        <w:bidi w:val="0"/>
        <w:adjustRightInd/>
        <w:snapToGrid/>
        <w:spacing w:line="360" w:lineRule="auto"/>
        <w:ind w:leftChars="0"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Внедрение системы оценки эффективности обучения на практике сталкивается с рядом трудностей:</w:t>
      </w:r>
    </w:p>
    <w:p w14:paraId="5BEC4F2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1. Методологические проблемы: отсутствие единого стандарта показателей, задержка во времени между обучением и проявлением его результатов, трудность в определении вклада обучения в общий успех (т.к. влияют многочисленные факторы) </w:t>
      </w:r>
    </w:p>
    <w:p w14:paraId="67E6409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 xml:space="preserve">2. Организационные проблемы: существенные временные и финансовые затраты на проведение всесторонней оценки, сопротивление сотрудников (страх перед оценкой, непонимание целей), отсутствие единой системы хранения данных </w:t>
      </w:r>
    </w:p>
    <w:p w14:paraId="20B169B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3. Проблема изоляции эффектов обучения</w:t>
      </w:r>
    </w:p>
    <w:p w14:paraId="751896A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Для преодоления этих ограничений рекомендуется использовать комбинацию различных методов оценки, поэтапно внедрять оценочные процедуры, объяснять сотрудникам цели и автоматизировать сбор и анализ данных (например, с помощью CRM-систем).</w:t>
      </w:r>
    </w:p>
    <w:p w14:paraId="3F823CE5">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Анализ показал, что оценка эффективности обучения специалистов по тендерам должна быть комплексной и многогранной. Она должна охватывать реакцию участников, усвоение знаний, изменения в поведении и, главное, бизнес-результаты. В основе лежит модель Киркпатрика из четырёх уровней, а для наиболее важных программ добавляется расчёт ROI по методике Филлипса. Важно проводить отложенную оценку (через 3-6 месяцев) для выявления реальных изменений в работе. Система показателей должна быть сбалансированной, учитывая не только бизнес-результаты, но и качество процессов и развитие сотрудников. Цель – создать непрерывный цикл «диагностика - обучение - оценка - корректировка», чтобы обучение стало инвестицией, повышающей конкурентоспособность компании в закупках.</w:t>
      </w:r>
    </w:p>
    <w:p w14:paraId="54FBE68D">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p>
    <w:p w14:paraId="6DFE3CA9">
      <w:pPr>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br w:type="page"/>
      </w:r>
    </w:p>
    <w:p w14:paraId="38A2800C">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первой главе</w:t>
      </w:r>
    </w:p>
    <w:p w14:paraId="140424C4">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vertAlign w:val="baseline"/>
          <w:lang w:val="ru-RU"/>
        </w:rPr>
      </w:pPr>
      <w:r>
        <w:rPr>
          <w:rFonts w:hint="default" w:ascii="Times New Roman" w:hAnsi="Times New Roman"/>
          <w:b w:val="0"/>
          <w:bCs w:val="0"/>
          <w:sz w:val="28"/>
          <w:szCs w:val="28"/>
          <w:vertAlign w:val="baseline"/>
          <w:lang w:val="ru-RU"/>
        </w:rPr>
        <w:t>Теоретическое исследование показало, что подготовка тендерных специалистов выступает важным элементом, определяющим успешность деятельности компании. Это обусловлено тем, что уровень профессионализма данных сотрудников прямо сказывается на эффективности всей системы закупок. Ошибки в подготовке документации или нарушение установленных законодательством норм могут повлечь за собой не только срыв контрактов, но репутационные потери. Следовательно, совершенствование системы обучения данной категории персонала становится актуальной задачей.</w:t>
      </w:r>
    </w:p>
    <w:p w14:paraId="3580E5C7">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sz w:val="28"/>
          <w:szCs w:val="28"/>
          <w:vertAlign w:val="baseline"/>
          <w:lang w:val="ru-RU"/>
        </w:rPr>
        <w:t xml:space="preserve">Анализ профессиональных компетенций тендерных специалистов выявил их комплексный характер. Навыки включают в себя знание законодательства (в частности, 44-ФЗ и 223-ФЗ), экономические аспекты (определение НМЦК, анализ прибыльности), владение цифровыми инструментами и торговыми площадками. Учитывая такую структуру требуемых компетенций, необходимо сместить акцент с устаревших методов обучения на программы, ориентированные на практику и формирующие </w:t>
      </w:r>
      <w:r>
        <w:rPr>
          <w:rFonts w:hint="default" w:ascii="Times New Roman" w:hAnsi="Times New Roman"/>
          <w:b w:val="0"/>
          <w:bCs w:val="0"/>
          <w:color w:val="000000" w:themeColor="text1"/>
          <w:sz w:val="28"/>
          <w:szCs w:val="28"/>
          <w:vertAlign w:val="baseline"/>
          <w:lang w:val="ru-RU"/>
          <w14:textFill>
            <w14:solidFill>
              <w14:schemeClr w14:val="tx1"/>
            </w14:solidFill>
          </w14:textFill>
        </w:rPr>
        <w:t xml:space="preserve"> навыки применения знаний в реальных закупочных процедурах.</w:t>
      </w:r>
    </w:p>
    <w:p w14:paraId="7197E103">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Анализ существующих методик оценки эффективности обучения выявил необходимость корректировки традиционных моделей Д.Киркпатрика и Филлипса в контексте профессиональной подготовки. Ключевые трудности обусловлены воздействием обстоятельств, независящих от учебного процесса (рыночная конъюнктура, изменения законодательства) и сложностью выделения «чистого» эффекта обучения. Исследование международного опыта позволило определить актуальность направления: анализ активности сотрудников на электронных цифровых площадках и использование сравнительных групп для оценки.</w:t>
      </w:r>
    </w:p>
    <w:p w14:paraId="295395D2">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В результате синтеза существующих подходов была создана система критериев, определяющих эффективность обучения. Она включает в себя количественные показатели, качественные  характеристики и бизнес-критерии. Такой подход обеспечивает комплексный анализ влияния обучения на профессиональные компетенции  сотрудников и конечные результаты закупочной деятельности.</w:t>
      </w:r>
    </w:p>
    <w:p w14:paraId="03507A2F">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000000" w:themeColor="text1"/>
          <w:sz w:val="28"/>
          <w:szCs w:val="28"/>
          <w:vertAlign w:val="baseline"/>
          <w:lang w:val="ru-RU"/>
          <w14:textFill>
            <w14:solidFill>
              <w14:schemeClr w14:val="tx1"/>
            </w14:solidFill>
          </w14:textFill>
        </w:rPr>
      </w:pPr>
      <w:r>
        <w:rPr>
          <w:rFonts w:hint="default" w:ascii="Times New Roman" w:hAnsi="Times New Roman"/>
          <w:b w:val="0"/>
          <w:bCs w:val="0"/>
          <w:color w:val="000000" w:themeColor="text1"/>
          <w:sz w:val="28"/>
          <w:szCs w:val="28"/>
          <w:vertAlign w:val="baseline"/>
          <w:lang w:val="ru-RU"/>
          <w14:textFill>
            <w14:solidFill>
              <w14:schemeClr w14:val="tx1"/>
            </w14:solidFill>
          </w14:textFill>
        </w:rPr>
        <w:t>Поставленные в первой главе задачи выполнены, что создает теоретическую базу для последующего анализа существующей системы обучения в ООО «Лайф Медиа» и разработки практических рекомендаций по её совершенствованию.</w:t>
      </w:r>
    </w:p>
    <w:p w14:paraId="72A5300B">
      <w:pPr>
        <w:keepNext w:val="0"/>
        <w:keepLines w:val="0"/>
        <w:pageBreakBefore w:val="0"/>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color w:val="C00000"/>
          <w:sz w:val="28"/>
          <w:szCs w:val="28"/>
          <w:vertAlign w:val="baseline"/>
          <w:lang w:val="ru-RU"/>
        </w:rPr>
      </w:pPr>
    </w:p>
    <w:p w14:paraId="752C9CE6">
      <w:pPr>
        <w:rPr>
          <w:rFonts w:hint="default" w:ascii="Times New Roman" w:hAnsi="Times New Roman"/>
          <w:b w:val="0"/>
          <w:bCs w:val="0"/>
          <w:color w:val="C00000"/>
          <w:sz w:val="28"/>
          <w:szCs w:val="28"/>
          <w:vertAlign w:val="baseline"/>
          <w:lang w:val="ru-RU"/>
        </w:rPr>
      </w:pPr>
      <w:r>
        <w:rPr>
          <w:rFonts w:hint="default" w:ascii="Times New Roman" w:hAnsi="Times New Roman"/>
          <w:b w:val="0"/>
          <w:bCs w:val="0"/>
          <w:color w:val="C00000"/>
          <w:sz w:val="28"/>
          <w:szCs w:val="28"/>
          <w:vertAlign w:val="baseline"/>
          <w:lang w:val="ru-RU"/>
        </w:rPr>
        <w:br w:type="page"/>
      </w:r>
    </w:p>
    <w:p w14:paraId="3D6A801F">
      <w:pPr>
        <w:keepNext w:val="0"/>
        <w:keepLines w:val="0"/>
        <w:pageBreakBefore w:val="0"/>
        <w:widowControl/>
        <w:numPr>
          <w:ilvl w:val="0"/>
          <w:numId w:val="0"/>
        </w:numPr>
        <w:tabs>
          <w:tab w:val="right" w:pos="9000"/>
        </w:tabs>
        <w:kinsoku/>
        <w:wordWrap/>
        <w:overflowPunct/>
        <w:topLinePunct w:val="0"/>
        <w:autoSpaceDE/>
        <w:autoSpaceDN/>
        <w:bidi w:val="0"/>
        <w:adjustRightInd/>
        <w:snapToGrid/>
        <w:spacing w:line="360" w:lineRule="auto"/>
        <w:ind w:left="200" w:leftChars="0" w:right="200" w:rightChars="100" w:hanging="200" w:hangingChars="71"/>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ГЛАВА 2. АНАЛИЗ СИСТЕМЫ ОБУЧЕНИЯ И РАЗВИТИЯ ТЕНДЕРНЫХ СПЕЦИАЛИСТОВ ООО «ЛАЙФ МЕДИА»</w:t>
      </w:r>
    </w:p>
    <w:p w14:paraId="798E5449">
      <w:pPr>
        <w:keepNext w:val="0"/>
        <w:keepLines w:val="0"/>
        <w:pageBreakBefore w:val="0"/>
        <w:numPr>
          <w:ilvl w:val="1"/>
          <w:numId w:val="2"/>
        </w:numPr>
        <w:kinsoku/>
        <w:wordWrap/>
        <w:overflowPunct/>
        <w:topLinePunct w:val="0"/>
        <w:autoSpaceDE/>
        <w:autoSpaceDN/>
        <w:bidi w:val="0"/>
        <w:adjustRightInd/>
        <w:snapToGrid/>
        <w:spacing w:line="360" w:lineRule="auto"/>
        <w:ind w:left="49" w:leftChars="0" w:firstLine="351" w:firstLineChars="0"/>
        <w:jc w:val="both"/>
        <w:textAlignment w:val="auto"/>
        <w:rPr>
          <w:rFonts w:hint="default" w:ascii="Times New Roman" w:hAnsi="Times New Roman"/>
          <w:b/>
          <w:bCs/>
          <w:sz w:val="28"/>
          <w:szCs w:val="28"/>
          <w:lang w:val="ru-RU"/>
        </w:rPr>
      </w:pPr>
      <w:r>
        <w:rPr>
          <w:rFonts w:hint="default" w:ascii="Times New Roman" w:hAnsi="Times New Roman"/>
          <w:b/>
          <w:bCs/>
          <w:sz w:val="28"/>
          <w:szCs w:val="28"/>
          <w:lang w:val="ru-RU"/>
        </w:rPr>
        <w:t xml:space="preserve">Общая характеристика ООО «Лайф Медиа» и структуры закупочной деятельности </w:t>
      </w:r>
    </w:p>
    <w:p w14:paraId="60F809CE">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Общество с ограниченной ответственностью «Лайф Медиа» является активно развивающимся предприятием, специализирующимся на оптовых поставках техники и оборудования. Его успех и динамичное развитие обусловлены активным участием в государственных и корпоративных закупках. Компания была зарегистрирована 16 февраля 2016 года в г.Нижнем Новгороде, и с тех пор успешно работает на рынках B2B и B2G.</w:t>
      </w:r>
    </w:p>
    <w:p w14:paraId="353BE1D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Основная миссия ООО «Лайф Медиа» заключается в предоставлении коммерческим и государственным организациям надёжной техники и оборудования по оптимальным ценам посредством проведения честных конкурентных закупок.   Стратегическая цель компании на среднесрочную перспективу — увеличение доли выигранных тендеров до 25% от общего числа поданных заявок и расширение географии поставок за пределы Приволжского федерального округа.</w:t>
      </w:r>
    </w:p>
    <w:p w14:paraId="485A554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Основные реквизиты и структура управления:</w:t>
      </w:r>
    </w:p>
    <w:p w14:paraId="02D307C1">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Юридический адрес: 603122, Нижегородская область, г. о. город Нижний Новгород, г. Нижний Новгород, ул. Богородского, д. 7, к. 1, кв. 81.</w:t>
      </w:r>
    </w:p>
    <w:p w14:paraId="227AF605">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ОГРН: 1165261050790</w:t>
      </w:r>
    </w:p>
    <w:p w14:paraId="6EEF8E2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ИНН: 5261103730</w:t>
      </w:r>
    </w:p>
    <w:p w14:paraId="1A762FE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Организационно-правовая форма: общество с ограниченной ответственностью</w:t>
      </w:r>
    </w:p>
    <w:p w14:paraId="01B9B7F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Руководитель и учредитель: генеральный директор — Бакаев Кирилл Владимирович</w:t>
      </w:r>
    </w:p>
    <w:p w14:paraId="3A31778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видом деятельности в соответствии с Общероссийским классификатором видов экономической деятельности (ОКВЭД) является 46.14.1 — деятельность агентов по оптовой торговле компьютерной техникой, телекоммуникационным оборудованием и прочим офисным оборудованием. Компания также имеет более 37 дополнительных направлений деятельности, включая онлайн–торговлю офисной мебелью, медицинским оборудованием и автозапчастями, что позволяет ей участвовать в самых разнообразных тендерных процедурах —  от поставок офисного оборудования в школы до оснащения медицинских учреждений.</w:t>
      </w:r>
    </w:p>
    <w:p w14:paraId="593B63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Организационная структура компании является линейно-функциональной, типичной для контрактов малого бизнеса и обеспечивающей высокую эффективность принятия решений. Организацию возглавляет генеральный директор, который обеспечивает общее стратегическое управление и контроль за финансовыми результатами. Следующие ключевые подразделения подчиняются непосредственно генеральному директору:</w:t>
      </w:r>
    </w:p>
    <w:p w14:paraId="19649373">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Тендерный отдел ( 8 специалистов)</w:t>
      </w:r>
    </w:p>
    <w:p w14:paraId="056AD284">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Сотрудники отдела занимаются мониторингом электронных торговых площадок (ЭТП) и единой информационной системы (ЕИС) в поисказ подходящего тендера, анализом конкурсной документации, подготовкой пакета документов для участия в торгах, расчётом начальной минимальной цены контракта (НМЦК), подачей заявок, участие в аукционах, сопровождением заключения контрактов по выигранным торгам.</w:t>
      </w:r>
    </w:p>
    <w:p w14:paraId="61882B55">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логистики и снабжения (3 специалиста)</w:t>
      </w:r>
    </w:p>
    <w:p w14:paraId="4F191019">
      <w:pPr>
        <w:keepNext w:val="0"/>
        <w:keepLines w:val="0"/>
        <w:pageBreakBefore w:val="0"/>
        <w:widowControl/>
        <w:numPr>
          <w:ilvl w:val="0"/>
          <w:numId w:val="0"/>
        </w:numPr>
        <w:tabs>
          <w:tab w:val="left" w:pos="420"/>
        </w:tabs>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задачи отдела входит доставка товаров клиентам, поиск оптимальных логистических решений, контроль сроков поставки, взаимодействие с транспортными компаниями.</w:t>
      </w:r>
    </w:p>
    <w:p w14:paraId="28A8FC3F">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Бухгалтерия (1 специалист);</w:t>
      </w:r>
    </w:p>
    <w:p w14:paraId="26434F12">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Занимается ведением налогового и бухгалтерского учёта, расчётом заработной платы и страховых взносов, оформлением кадровых документов, сдачей отчётов в контролирующие органы (ФНС, СФР).</w:t>
      </w:r>
    </w:p>
    <w:p w14:paraId="32E34DBA">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продаж и взаимодействия с клиентами (4 сотрудника)</w:t>
      </w:r>
    </w:p>
    <w:p w14:paraId="35B55F5E">
      <w:pPr>
        <w:keepNext w:val="0"/>
        <w:keepLines w:val="0"/>
        <w:pageBreakBefore w:val="0"/>
        <w:widowControl/>
        <w:numPr>
          <w:ilvl w:val="0"/>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Отдел занимается частными (нетендерными) заказами, консультирует клиентов по ассортименту и условиям поставки, обрабатывает входящие заявки, сопровождает сделки от выставления счёта до отгрузки товара</w:t>
      </w:r>
    </w:p>
    <w:p w14:paraId="0DEAD148">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Юрисконсульт (специалист по аутсорсингу на контрактной основе);</w:t>
      </w:r>
    </w:p>
    <w:p w14:paraId="23E58F00">
      <w:pPr>
        <w:keepNext w:val="0"/>
        <w:keepLines w:val="0"/>
        <w:pageBreakBefore w:val="0"/>
        <w:widowControl/>
        <w:numPr>
          <w:ilvl w:val="-2"/>
          <w:numId w:val="0"/>
        </w:numPr>
        <w:kinsoku/>
        <w:wordWrap/>
        <w:overflowPunct/>
        <w:topLinePunct w:val="0"/>
        <w:autoSpaceDE/>
        <w:autoSpaceDN/>
        <w:bidi w:val="0"/>
        <w:adjustRightInd/>
        <w:snapToGrid/>
        <w:spacing w:line="360" w:lineRule="auto"/>
        <w:ind w:left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en-US"/>
        </w:rPr>
        <w:t>Консультирует</w:t>
      </w:r>
      <w:r>
        <w:rPr>
          <w:rFonts w:hint="default" w:ascii="Times New Roman" w:hAnsi="Times New Roman"/>
          <w:b w:val="0"/>
          <w:bCs w:val="0"/>
          <w:sz w:val="28"/>
          <w:szCs w:val="28"/>
          <w:lang w:val="ru-RU"/>
        </w:rPr>
        <w:t xml:space="preserve"> по вопросам заключения контрактов, проверяет договорную документацию, участвует в разрешении спорных ситуаций с заказчиками</w:t>
      </w:r>
    </w:p>
    <w:p w14:paraId="303B0BF2">
      <w:pPr>
        <w:keepNext w:val="0"/>
        <w:keepLines w:val="0"/>
        <w:pageBreakBefore w:val="0"/>
        <w:widowControl/>
        <w:numPr>
          <w:ilvl w:val="0"/>
          <w:numId w:val="9"/>
        </w:numPr>
        <w:kinsoku/>
        <w:wordWrap/>
        <w:overflowPunct/>
        <w:topLinePunct w:val="0"/>
        <w:autoSpaceDE/>
        <w:autoSpaceDN/>
        <w:bidi w:val="0"/>
        <w:adjustRightInd/>
        <w:snapToGrid/>
        <w:spacing w:line="360" w:lineRule="auto"/>
        <w:ind w:left="420" w:leftChars="0" w:hanging="420"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xml:space="preserve">Системный администратор (1 сотрудник, обеспечивающий работу </w:t>
      </w:r>
      <w:r>
        <w:rPr>
          <w:rFonts w:hint="default" w:ascii="Times New Roman" w:hAnsi="Times New Roman"/>
          <w:b w:val="0"/>
          <w:bCs w:val="0"/>
          <w:sz w:val="28"/>
          <w:szCs w:val="28"/>
          <w:lang w:val="en-US"/>
        </w:rPr>
        <w:t>IT</w:t>
      </w:r>
      <w:r>
        <w:rPr>
          <w:rFonts w:hint="default" w:ascii="Times New Roman" w:hAnsi="Times New Roman"/>
          <w:b w:val="0"/>
          <w:bCs w:val="0"/>
          <w:sz w:val="28"/>
          <w:szCs w:val="28"/>
          <w:lang w:val="ru-RU"/>
        </w:rPr>
        <w:t>-инфраструктуры).</w:t>
      </w:r>
    </w:p>
    <w:p w14:paraId="25582F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каждом из перечисленных отделов сотрудники подписывают должностную инструкцию, регламентирующую их права, обязанности и ответственность (Приложение 1). Тендерный отдел, являясь центральным подразделением, имеет неформальную внутреннюю специализацию: одни специалисты специализируются на поиске закупок по 44-ФЗ (государственные нужды), другие — по 223-ФЗ (закупки государственных корпораций и естественных монополий), а также есть сотрудники, ответственные за подготовку ценовых предложений и рецензирование контрактов.</w:t>
      </w:r>
    </w:p>
    <w:p w14:paraId="4E2ACBDA">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Закупочная деятельность ООО «Лайф Медиа» основана на постоянном мониторинге электронных торговых площадок (ЕТП), таких как СберАСТ, РТС-Тендер, ЭТП ГПБ, и Единой информационной системы в сфере закупок (ЕИС). Бизнес-модель компании предполагает поиск лотов, начальная максимальная цена контракта (НМЦК) которых позволяет приобрести оборудование у производителя или дистрибьютора со скидкой, обеспечивающей маржу не менее 10-15%. Процесс участия в тендере включает следующие этапы:</w:t>
      </w:r>
    </w:p>
    <w:p w14:paraId="6FAF302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Поиск и анализ закупки (проверка требований заказчика, изучение технического задания);</w:t>
      </w:r>
    </w:p>
    <w:p w14:paraId="3DE80CB5">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Подготовка тендерного предложения (сбор коммерческих предложений от поставщиков, расчёт стоимости, формирование ценового предложения);</w:t>
      </w:r>
    </w:p>
    <w:p w14:paraId="23F4946C">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Подача и обеспечение тендерного предложения (при необходимости —  внесение обеспечения тендерного предложения);</w:t>
      </w:r>
    </w:p>
    <w:p w14:paraId="188C00DA">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Отслеживание результатов тендера и защита интересов компании в случае их обжалования (с привлечением юристконсульта);</w:t>
      </w:r>
    </w:p>
    <w:p w14:paraId="4185D177">
      <w:pPr>
        <w:keepNext w:val="0"/>
        <w:keepLines w:val="0"/>
        <w:pageBreakBefore w:val="0"/>
        <w:widowControl/>
        <w:numPr>
          <w:ilvl w:val="0"/>
          <w:numId w:val="10"/>
        </w:numPr>
        <w:kinsoku/>
        <w:wordWrap/>
        <w:overflowPunct/>
        <w:topLinePunct w:val="0"/>
        <w:autoSpaceDE/>
        <w:autoSpaceDN/>
        <w:bidi w:val="0"/>
        <w:adjustRightInd/>
        <w:snapToGrid/>
        <w:spacing w:line="360" w:lineRule="auto"/>
        <w:ind w:left="425" w:leftChars="0" w:hanging="425" w:firstLineChars="0"/>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Сопровождение контракта в случае победы (взаимодействие с отделом логистики при отгрузке товара).</w:t>
      </w:r>
    </w:p>
    <w:p w14:paraId="5952E1F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Фундаментальной особенностью деятельности ООО «Лайф Медиа» является полностью удалённый формат работы для большинства сотрудников, и в первую очередь для ключевого тендерного отдела. Такой подход сложился исторически и обусловлен несколькими факторами:</w:t>
      </w:r>
    </w:p>
    <w:p w14:paraId="32B7172F">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Характер деятельности: работа на электронных торговых площадках  и в ЕИС не требует физического присутствия в офисе и может осуществляться из любой точки мира при стабильном подключении к Интернету.</w:t>
      </w:r>
    </w:p>
    <w:p w14:paraId="73489673">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Экономическая эффективность: отсутствие затрат на аренду большого офиса и организацию рабочих мест позволяет компании направлять ресурсы на развитие и мотивацию сотрудников.</w:t>
      </w:r>
    </w:p>
    <w:p w14:paraId="6FB0DF70">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  Расширение географии поиска персонала: возможность нанимать лучших специалистов из любого региона, а не только из Нижнего Новгорода.</w:t>
      </w:r>
    </w:p>
    <w:p w14:paraId="5B507E57">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Цифровая инфраструктура компании включает в себя следующие элементы:</w:t>
      </w:r>
    </w:p>
    <w:p w14:paraId="3B419E18">
      <w:pPr>
        <w:keepNext w:val="0"/>
        <w:keepLines w:val="0"/>
        <w:pageBreakBefore w:val="0"/>
        <w:widowControl/>
        <w:numPr>
          <w:ilvl w:val="0"/>
          <w:numId w:val="11"/>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Корпоративный портал и система управления задачами: Битрикс24 используется для координации работы, где распределяются задачи, отслеживаются сроки выполнения,  документооборот;</w:t>
      </w:r>
    </w:p>
    <w:p w14:paraId="4742289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Средства коммуникации: основным каналом оперативной коммуникации является корпоративный мессенджер Битрикс24 со структурированными чатами, Zoom используется для официальных видеоконференций, совещаний по планированию и собеседований.</w:t>
      </w:r>
    </w:p>
    <w:p w14:paraId="1FF094F1">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Облачное хранилище: все рабочие документы, шаблоны приложений, регламенты и отчеты хранятся в облаке (Google Workspace/Яндекс.Диск), обеспечивая круглосуточный доступ к актуальной информации для всех сотрудников.</w:t>
      </w:r>
    </w:p>
    <w:p w14:paraId="01401180">
      <w:pPr>
        <w:keepNext w:val="0"/>
        <w:keepLines w:val="0"/>
        <w:pageBreakBefore w:val="0"/>
        <w:widowControl/>
        <w:numPr>
          <w:ilvl w:val="0"/>
          <w:numId w:val="11"/>
        </w:numPr>
        <w:kinsoku/>
        <w:wordWrap/>
        <w:overflowPunct/>
        <w:topLinePunct w:val="0"/>
        <w:autoSpaceDE/>
        <w:autoSpaceDN/>
        <w:bidi w:val="0"/>
        <w:adjustRightInd/>
        <w:snapToGrid/>
        <w:spacing w:line="360" w:lineRule="auto"/>
        <w:ind w:left="0" w:leftChars="0"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Электронный документооборот (ЭДО): кадровые документы и контракты с контрагентами подписываются с использованием электронной подписи, что полностью исключает необходимость личного присутствия.</w:t>
      </w:r>
    </w:p>
    <w:p w14:paraId="70BCF41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Проведём анализ основных финансово-экономических показателей за последние 3 года (2022-2025 гг.), чтобы выявить основные тенденции развития компании и функционирование тендерного отдела (см.табл.1.1.)</w:t>
      </w:r>
    </w:p>
    <w:p w14:paraId="7A965C54">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5F9C099F">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00" w:firstLineChars="125"/>
        <w:jc w:val="right"/>
        <w:textAlignment w:val="auto"/>
        <w:rPr>
          <w:rFonts w:hint="default" w:ascii="Times New Roman" w:hAnsi="Times New Roman"/>
          <w:b w:val="0"/>
          <w:bCs w:val="0"/>
          <w:sz w:val="24"/>
          <w:szCs w:val="24"/>
          <w:lang w:val="ru-RU"/>
        </w:rPr>
      </w:pPr>
      <w:r>
        <w:rPr>
          <w:rFonts w:hint="default" w:ascii="Times New Roman" w:hAnsi="Times New Roman"/>
          <w:b w:val="0"/>
          <w:bCs w:val="0"/>
          <w:sz w:val="24"/>
          <w:szCs w:val="24"/>
          <w:lang w:val="ru-RU"/>
        </w:rPr>
        <w:t>Таблица 1.1. Основные финансовые показатели ООО «Лайф Медиа» за 2022-2025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64"/>
        <w:gridCol w:w="1517"/>
        <w:gridCol w:w="1121"/>
        <w:gridCol w:w="1192"/>
        <w:gridCol w:w="1552"/>
        <w:gridCol w:w="1570"/>
      </w:tblGrid>
      <w:tr w14:paraId="4A3A1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A0AD29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Показатель</w:t>
            </w:r>
          </w:p>
        </w:tc>
        <w:tc>
          <w:tcPr>
            <w:tcW w:w="1517" w:type="dxa"/>
            <w:vAlign w:val="center"/>
          </w:tcPr>
          <w:p w14:paraId="0858C37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2023</w:t>
            </w:r>
          </w:p>
        </w:tc>
        <w:tc>
          <w:tcPr>
            <w:tcW w:w="1121" w:type="dxa"/>
            <w:vAlign w:val="center"/>
          </w:tcPr>
          <w:p w14:paraId="6F83072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2024</w:t>
            </w:r>
          </w:p>
        </w:tc>
        <w:tc>
          <w:tcPr>
            <w:tcW w:w="1192" w:type="dxa"/>
            <w:vAlign w:val="center"/>
          </w:tcPr>
          <w:p w14:paraId="5E9B630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2025</w:t>
            </w:r>
          </w:p>
        </w:tc>
        <w:tc>
          <w:tcPr>
            <w:tcW w:w="1552" w:type="dxa"/>
            <w:vAlign w:val="center"/>
          </w:tcPr>
          <w:p w14:paraId="33411C6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Абсолютное отклонение (2025 к 2024)</w:t>
            </w:r>
          </w:p>
        </w:tc>
        <w:tc>
          <w:tcPr>
            <w:tcW w:w="1570" w:type="dxa"/>
            <w:vAlign w:val="center"/>
          </w:tcPr>
          <w:p w14:paraId="47455DD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Темп роста 2025/2024, %</w:t>
            </w:r>
          </w:p>
        </w:tc>
      </w:tr>
      <w:tr w14:paraId="2636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011DE2F8">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Общая выручка, тыс.руб.</w:t>
            </w:r>
          </w:p>
        </w:tc>
        <w:tc>
          <w:tcPr>
            <w:tcW w:w="1517" w:type="dxa"/>
            <w:vAlign w:val="center"/>
          </w:tcPr>
          <w:p w14:paraId="40A039F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42 680</w:t>
            </w:r>
          </w:p>
        </w:tc>
        <w:tc>
          <w:tcPr>
            <w:tcW w:w="1121" w:type="dxa"/>
            <w:vAlign w:val="center"/>
          </w:tcPr>
          <w:p w14:paraId="7DEFC6C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44 520</w:t>
            </w:r>
          </w:p>
        </w:tc>
        <w:tc>
          <w:tcPr>
            <w:tcW w:w="1192" w:type="dxa"/>
            <w:vAlign w:val="center"/>
          </w:tcPr>
          <w:p w14:paraId="2E65255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41 350</w:t>
            </w:r>
          </w:p>
        </w:tc>
        <w:tc>
          <w:tcPr>
            <w:tcW w:w="1552" w:type="dxa"/>
            <w:vAlign w:val="center"/>
          </w:tcPr>
          <w:p w14:paraId="0CA0E9D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- 3 170</w:t>
            </w:r>
          </w:p>
        </w:tc>
        <w:tc>
          <w:tcPr>
            <w:tcW w:w="1570" w:type="dxa"/>
            <w:vAlign w:val="center"/>
          </w:tcPr>
          <w:p w14:paraId="394797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92,9</w:t>
            </w:r>
          </w:p>
        </w:tc>
      </w:tr>
      <w:tr w14:paraId="6BD4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46EDD13">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Выручка от тендерной деятельности, тыс.руб.</w:t>
            </w:r>
          </w:p>
        </w:tc>
        <w:tc>
          <w:tcPr>
            <w:tcW w:w="1517" w:type="dxa"/>
            <w:vAlign w:val="center"/>
          </w:tcPr>
          <w:p w14:paraId="6F01C28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34 120</w:t>
            </w:r>
          </w:p>
        </w:tc>
        <w:tc>
          <w:tcPr>
            <w:tcW w:w="1121" w:type="dxa"/>
            <w:vAlign w:val="center"/>
          </w:tcPr>
          <w:p w14:paraId="1C69CA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35 860</w:t>
            </w:r>
          </w:p>
        </w:tc>
        <w:tc>
          <w:tcPr>
            <w:tcW w:w="1192" w:type="dxa"/>
            <w:vAlign w:val="center"/>
          </w:tcPr>
          <w:p w14:paraId="0F904A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30 840</w:t>
            </w:r>
          </w:p>
        </w:tc>
        <w:tc>
          <w:tcPr>
            <w:tcW w:w="1552" w:type="dxa"/>
            <w:vAlign w:val="center"/>
          </w:tcPr>
          <w:p w14:paraId="08A9864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- 5 020</w:t>
            </w:r>
          </w:p>
        </w:tc>
        <w:tc>
          <w:tcPr>
            <w:tcW w:w="1570" w:type="dxa"/>
            <w:vAlign w:val="center"/>
          </w:tcPr>
          <w:p w14:paraId="4359E66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86,0</w:t>
            </w:r>
          </w:p>
        </w:tc>
      </w:tr>
      <w:tr w14:paraId="0904E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898079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Доля тендерной выручки в общей, %</w:t>
            </w:r>
          </w:p>
        </w:tc>
        <w:tc>
          <w:tcPr>
            <w:tcW w:w="1517" w:type="dxa"/>
            <w:vAlign w:val="center"/>
          </w:tcPr>
          <w:p w14:paraId="669608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79,9</w:t>
            </w:r>
          </w:p>
        </w:tc>
        <w:tc>
          <w:tcPr>
            <w:tcW w:w="1121" w:type="dxa"/>
            <w:vAlign w:val="center"/>
          </w:tcPr>
          <w:p w14:paraId="4DB24FB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80,5</w:t>
            </w:r>
          </w:p>
        </w:tc>
        <w:tc>
          <w:tcPr>
            <w:tcW w:w="1192" w:type="dxa"/>
            <w:vAlign w:val="center"/>
          </w:tcPr>
          <w:p w14:paraId="15A236A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74,6</w:t>
            </w:r>
          </w:p>
        </w:tc>
        <w:tc>
          <w:tcPr>
            <w:tcW w:w="1552" w:type="dxa"/>
            <w:vAlign w:val="center"/>
          </w:tcPr>
          <w:p w14:paraId="4AC73B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- 5,9 п.п.</w:t>
            </w:r>
          </w:p>
        </w:tc>
        <w:tc>
          <w:tcPr>
            <w:tcW w:w="1570" w:type="dxa"/>
            <w:vAlign w:val="center"/>
          </w:tcPr>
          <w:p w14:paraId="1EADE6B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w:t>
            </w:r>
          </w:p>
        </w:tc>
      </w:tr>
      <w:tr w14:paraId="70F7E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11751732">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Себестоимость продаж, тыс.руб.</w:t>
            </w:r>
          </w:p>
        </w:tc>
        <w:tc>
          <w:tcPr>
            <w:tcW w:w="1517" w:type="dxa"/>
            <w:vAlign w:val="center"/>
          </w:tcPr>
          <w:p w14:paraId="0798241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31 450</w:t>
            </w:r>
          </w:p>
        </w:tc>
        <w:tc>
          <w:tcPr>
            <w:tcW w:w="1121" w:type="dxa"/>
            <w:vAlign w:val="center"/>
          </w:tcPr>
          <w:p w14:paraId="7F98015D">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33 620</w:t>
            </w:r>
          </w:p>
        </w:tc>
        <w:tc>
          <w:tcPr>
            <w:tcW w:w="1192" w:type="dxa"/>
            <w:vAlign w:val="center"/>
          </w:tcPr>
          <w:p w14:paraId="68FC3D79">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32 180</w:t>
            </w:r>
          </w:p>
        </w:tc>
        <w:tc>
          <w:tcPr>
            <w:tcW w:w="1552" w:type="dxa"/>
            <w:vAlign w:val="center"/>
          </w:tcPr>
          <w:p w14:paraId="78EC1CF8">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- 1 440</w:t>
            </w:r>
          </w:p>
        </w:tc>
        <w:tc>
          <w:tcPr>
            <w:tcW w:w="1570" w:type="dxa"/>
            <w:vAlign w:val="center"/>
          </w:tcPr>
          <w:p w14:paraId="056B5B0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95,7</w:t>
            </w:r>
          </w:p>
        </w:tc>
      </w:tr>
      <w:tr w14:paraId="3668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5806BAAE">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Валовая прибыль, тыс.руб.</w:t>
            </w:r>
          </w:p>
        </w:tc>
        <w:tc>
          <w:tcPr>
            <w:tcW w:w="1517" w:type="dxa"/>
            <w:vAlign w:val="center"/>
          </w:tcPr>
          <w:p w14:paraId="1E8099F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11 230</w:t>
            </w:r>
          </w:p>
        </w:tc>
        <w:tc>
          <w:tcPr>
            <w:tcW w:w="1121" w:type="dxa"/>
            <w:vAlign w:val="center"/>
          </w:tcPr>
          <w:p w14:paraId="2617C6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10 900</w:t>
            </w:r>
          </w:p>
        </w:tc>
        <w:tc>
          <w:tcPr>
            <w:tcW w:w="1192" w:type="dxa"/>
            <w:vAlign w:val="center"/>
          </w:tcPr>
          <w:p w14:paraId="71E29F37">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9 170</w:t>
            </w:r>
          </w:p>
        </w:tc>
        <w:tc>
          <w:tcPr>
            <w:tcW w:w="1552" w:type="dxa"/>
            <w:vAlign w:val="center"/>
          </w:tcPr>
          <w:p w14:paraId="4E2B974B">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- 1 730</w:t>
            </w:r>
          </w:p>
        </w:tc>
        <w:tc>
          <w:tcPr>
            <w:tcW w:w="1570" w:type="dxa"/>
            <w:vAlign w:val="center"/>
          </w:tcPr>
          <w:p w14:paraId="314AC882">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84.1</w:t>
            </w:r>
          </w:p>
        </w:tc>
      </w:tr>
      <w:tr w14:paraId="1A4AA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75B18C1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Коммерческие расходы, тыс.руб.</w:t>
            </w:r>
          </w:p>
        </w:tc>
        <w:tc>
          <w:tcPr>
            <w:tcW w:w="1517" w:type="dxa"/>
            <w:vAlign w:val="center"/>
          </w:tcPr>
          <w:p w14:paraId="7F0A6C34">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60" w:firstLineChars="150"/>
              <w:jc w:val="both"/>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xml:space="preserve"> 3 080</w:t>
            </w:r>
          </w:p>
        </w:tc>
        <w:tc>
          <w:tcPr>
            <w:tcW w:w="1121" w:type="dxa"/>
            <w:vAlign w:val="center"/>
          </w:tcPr>
          <w:p w14:paraId="5B29A7F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3 260</w:t>
            </w:r>
          </w:p>
        </w:tc>
        <w:tc>
          <w:tcPr>
            <w:tcW w:w="1192" w:type="dxa"/>
            <w:vAlign w:val="center"/>
          </w:tcPr>
          <w:p w14:paraId="59BC0CF0">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3 190</w:t>
            </w:r>
          </w:p>
        </w:tc>
        <w:tc>
          <w:tcPr>
            <w:tcW w:w="1552" w:type="dxa"/>
            <w:vAlign w:val="center"/>
          </w:tcPr>
          <w:p w14:paraId="11ECACC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- 70</w:t>
            </w:r>
          </w:p>
        </w:tc>
        <w:tc>
          <w:tcPr>
            <w:tcW w:w="1570" w:type="dxa"/>
            <w:vAlign w:val="center"/>
          </w:tcPr>
          <w:p w14:paraId="456C461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97,9</w:t>
            </w:r>
          </w:p>
        </w:tc>
      </w:tr>
      <w:tr w14:paraId="17B5A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4E37D8AB">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Управленские расходы, тыс.руб.</w:t>
            </w:r>
          </w:p>
        </w:tc>
        <w:tc>
          <w:tcPr>
            <w:tcW w:w="1517" w:type="dxa"/>
            <w:vAlign w:val="center"/>
          </w:tcPr>
          <w:p w14:paraId="0A0C1B6C">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3 150</w:t>
            </w:r>
          </w:p>
        </w:tc>
        <w:tc>
          <w:tcPr>
            <w:tcW w:w="1121" w:type="dxa"/>
            <w:vAlign w:val="center"/>
          </w:tcPr>
          <w:p w14:paraId="24E851A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3 240</w:t>
            </w:r>
          </w:p>
        </w:tc>
        <w:tc>
          <w:tcPr>
            <w:tcW w:w="1192" w:type="dxa"/>
            <w:vAlign w:val="center"/>
          </w:tcPr>
          <w:p w14:paraId="11A75F1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3 210</w:t>
            </w:r>
          </w:p>
        </w:tc>
        <w:tc>
          <w:tcPr>
            <w:tcW w:w="1552" w:type="dxa"/>
            <w:vAlign w:val="center"/>
          </w:tcPr>
          <w:p w14:paraId="2B973886">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- 30</w:t>
            </w:r>
          </w:p>
        </w:tc>
        <w:tc>
          <w:tcPr>
            <w:tcW w:w="1570" w:type="dxa"/>
            <w:vAlign w:val="center"/>
          </w:tcPr>
          <w:p w14:paraId="642DA7CA">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99,1</w:t>
            </w:r>
          </w:p>
        </w:tc>
      </w:tr>
      <w:tr w14:paraId="5A24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A98C1CA">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Прибыль от продаж, тыс.руб.</w:t>
            </w:r>
          </w:p>
        </w:tc>
        <w:tc>
          <w:tcPr>
            <w:tcW w:w="1517" w:type="dxa"/>
            <w:vAlign w:val="center"/>
          </w:tcPr>
          <w:p w14:paraId="34164DF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5 000</w:t>
            </w:r>
          </w:p>
        </w:tc>
        <w:tc>
          <w:tcPr>
            <w:tcW w:w="1121" w:type="dxa"/>
            <w:vAlign w:val="center"/>
          </w:tcPr>
          <w:p w14:paraId="5333155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4 400</w:t>
            </w:r>
          </w:p>
        </w:tc>
        <w:tc>
          <w:tcPr>
            <w:tcW w:w="1192" w:type="dxa"/>
            <w:vAlign w:val="center"/>
          </w:tcPr>
          <w:p w14:paraId="1CAE9EEE">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2 770</w:t>
            </w:r>
          </w:p>
        </w:tc>
        <w:tc>
          <w:tcPr>
            <w:tcW w:w="1552" w:type="dxa"/>
            <w:vAlign w:val="center"/>
          </w:tcPr>
          <w:p w14:paraId="0562407F">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- 1 630</w:t>
            </w:r>
          </w:p>
        </w:tc>
        <w:tc>
          <w:tcPr>
            <w:tcW w:w="1570" w:type="dxa"/>
            <w:vAlign w:val="center"/>
          </w:tcPr>
          <w:p w14:paraId="43530A73">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r w14:paraId="5C6BE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64" w:type="dxa"/>
            <w:vAlign w:val="center"/>
          </w:tcPr>
          <w:p w14:paraId="62B850D9">
            <w:pPr>
              <w:keepNext w:val="0"/>
              <w:keepLines w:val="0"/>
              <w:pageBreakBefore w:val="0"/>
              <w:widowControl/>
              <w:numPr>
                <w:ilvl w:val="0"/>
                <w:numId w:val="0"/>
              </w:numPr>
              <w:kinsoku/>
              <w:wordWrap/>
              <w:overflowPunct/>
              <w:topLinePunct w:val="0"/>
              <w:autoSpaceDE/>
              <w:autoSpaceDN/>
              <w:bidi w:val="0"/>
              <w:adjustRightInd/>
              <w:snapToGrid/>
              <w:spacing w:line="240" w:lineRule="auto"/>
              <w:jc w:val="left"/>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Чистая прибыль, тыс.руб.</w:t>
            </w:r>
          </w:p>
        </w:tc>
        <w:tc>
          <w:tcPr>
            <w:tcW w:w="1517" w:type="dxa"/>
            <w:vAlign w:val="center"/>
          </w:tcPr>
          <w:p w14:paraId="5261B96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4 000</w:t>
            </w:r>
          </w:p>
        </w:tc>
        <w:tc>
          <w:tcPr>
            <w:tcW w:w="1121" w:type="dxa"/>
            <w:vAlign w:val="center"/>
          </w:tcPr>
          <w:p w14:paraId="5C64289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3 520</w:t>
            </w:r>
          </w:p>
        </w:tc>
        <w:tc>
          <w:tcPr>
            <w:tcW w:w="1192" w:type="dxa"/>
            <w:vAlign w:val="center"/>
          </w:tcPr>
          <w:p w14:paraId="71D2B3A5">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2 216</w:t>
            </w:r>
          </w:p>
        </w:tc>
        <w:tc>
          <w:tcPr>
            <w:tcW w:w="1552" w:type="dxa"/>
            <w:vAlign w:val="center"/>
          </w:tcPr>
          <w:p w14:paraId="2F35F2D1">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- 1 304</w:t>
            </w:r>
          </w:p>
        </w:tc>
        <w:tc>
          <w:tcPr>
            <w:tcW w:w="1570" w:type="dxa"/>
            <w:vAlign w:val="center"/>
          </w:tcPr>
          <w:p w14:paraId="595B5844">
            <w:pPr>
              <w:keepNext w:val="0"/>
              <w:keepLines w:val="0"/>
              <w:pageBreakBefore w:val="0"/>
              <w:widowControl/>
              <w:numPr>
                <w:ilvl w:val="0"/>
                <w:numId w:val="0"/>
              </w:numPr>
              <w:kinsoku/>
              <w:wordWrap/>
              <w:overflowPunct/>
              <w:topLinePunct w:val="0"/>
              <w:autoSpaceDE/>
              <w:autoSpaceDN/>
              <w:bidi w:val="0"/>
              <w:adjustRightInd/>
              <w:snapToGrid/>
              <w:spacing w:line="240" w:lineRule="auto"/>
              <w:jc w:val="center"/>
              <w:textAlignment w:val="auto"/>
              <w:rPr>
                <w:rFonts w:hint="default" w:ascii="Times New Roman" w:hAnsi="Times New Roman"/>
                <w:b w:val="0"/>
                <w:bCs w:val="0"/>
                <w:sz w:val="24"/>
                <w:szCs w:val="24"/>
                <w:vertAlign w:val="baseline"/>
                <w:lang w:val="ru-RU"/>
              </w:rPr>
            </w:pPr>
            <w:r>
              <w:rPr>
                <w:rFonts w:hint="default" w:ascii="Times New Roman" w:hAnsi="Times New Roman"/>
                <w:b w:val="0"/>
                <w:bCs w:val="0"/>
                <w:sz w:val="24"/>
                <w:szCs w:val="24"/>
                <w:vertAlign w:val="baseline"/>
                <w:lang w:val="ru-RU"/>
              </w:rPr>
              <w:t>63,0</w:t>
            </w:r>
          </w:p>
        </w:tc>
      </w:tr>
    </w:tbl>
    <w:p w14:paraId="0330813D">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300" w:firstLineChars="125"/>
        <w:jc w:val="both"/>
        <w:textAlignment w:val="auto"/>
        <w:rPr>
          <w:rFonts w:hint="default" w:ascii="Times New Roman" w:hAnsi="Times New Roman"/>
          <w:b w:val="0"/>
          <w:bCs w:val="0"/>
          <w:sz w:val="24"/>
          <w:szCs w:val="24"/>
          <w:lang w:val="ru-RU"/>
        </w:rPr>
      </w:pPr>
    </w:p>
    <w:p w14:paraId="2C71D4F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Из таблицы 1.1. видно, что за анализируемый период общая выручка ООО «Лайф Медиа» сократилась на 7,9% и составила в 2025 году 41,3 млн.руб. При этом выручка от тендерной деятельности снизилась ощутимее —  на 14% и составила 30,8 млн.руб. Валовая прибыль снизилась на 15,9% и составила 9,1 млн.руб. Управленческие и коммерческие расходы практически не изменились и остались на том же уровне, не сокращаясь вслед за падением доходов. В итоге прибыль от продаж и чистая прибыль упали на 37%, составив 2,7 млн.руб. и 2,2 млн.руб. соответственно. Компания сохраняет положительную прибыль, однако ухудшение показателей требует анализа эффективности работы ключевого подразделения — тендерного отдела.</w:t>
      </w:r>
    </w:p>
    <w:p w14:paraId="2142D3B0">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0" w:firstLineChars="125"/>
        <w:jc w:val="both"/>
        <w:textAlignment w:val="auto"/>
        <w:rPr>
          <w:rFonts w:hint="default" w:ascii="Times New Roman" w:hAnsi="Times New Roman"/>
          <w:b w:val="0"/>
          <w:bCs w:val="0"/>
          <w:sz w:val="28"/>
          <w:szCs w:val="28"/>
          <w:lang w:val="ru-RU"/>
        </w:rPr>
      </w:pPr>
    </w:p>
    <w:p w14:paraId="199DC25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351" w:firstLineChars="125"/>
        <w:jc w:val="center"/>
        <w:textAlignment w:val="auto"/>
        <w:rPr>
          <w:rFonts w:hint="default" w:ascii="Times New Roman" w:hAnsi="Times New Roman"/>
          <w:b/>
          <w:bCs/>
          <w:sz w:val="28"/>
          <w:szCs w:val="28"/>
          <w:lang w:val="ru-RU"/>
        </w:rPr>
      </w:pPr>
      <w:r>
        <w:rPr>
          <w:rFonts w:hint="default" w:ascii="Times New Roman" w:hAnsi="Times New Roman"/>
          <w:b/>
          <w:bCs/>
          <w:sz w:val="28"/>
          <w:szCs w:val="28"/>
          <w:lang w:val="ru-RU"/>
        </w:rPr>
        <w:t>2.2. Анализ системы управления персоналом ООО «Лайф Медиа»</w:t>
      </w:r>
    </w:p>
    <w:p w14:paraId="74509818">
      <w:pPr>
        <w:spacing w:after="120" w:line="360" w:lineRule="auto"/>
        <w:ind w:firstLine="700"/>
        <w:jc w:val="both"/>
      </w:pPr>
      <w:r>
        <w:rPr>
          <w:rFonts w:ascii="Times New Roman" w:hAnsi="Times New Roman"/>
          <w:b w:val="0"/>
          <w:sz w:val="28"/>
        </w:rPr>
        <w:t>Система управления персоналом ООО «Лайф Медиа» формируется с уч</w:t>
      </w:r>
      <w:r>
        <w:rPr>
          <w:rFonts w:ascii="Times New Roman" w:hAnsi="Times New Roman"/>
          <w:b w:val="0"/>
          <w:sz w:val="28"/>
          <w:lang w:val="ru-RU"/>
        </w:rPr>
        <w:t>ё</w:t>
      </w:r>
      <w:r>
        <w:rPr>
          <w:rFonts w:ascii="Times New Roman" w:hAnsi="Times New Roman"/>
          <w:b w:val="0"/>
          <w:sz w:val="28"/>
        </w:rPr>
        <w:t>том двух особенностей предприятия: малого масштаба бизнеса и полностью удал</w:t>
      </w:r>
      <w:r>
        <w:rPr>
          <w:rFonts w:ascii="Times New Roman" w:hAnsi="Times New Roman"/>
          <w:b w:val="0"/>
          <w:sz w:val="28"/>
          <w:lang w:val="ru-RU"/>
        </w:rPr>
        <w:t>ё</w:t>
      </w:r>
      <w:r>
        <w:rPr>
          <w:rFonts w:ascii="Times New Roman" w:hAnsi="Times New Roman"/>
          <w:b w:val="0"/>
          <w:sz w:val="28"/>
        </w:rPr>
        <w:t>нного формата работы большинства сотрудников. В компании отсутствует самостоятельная HR-служба, поэтому кадровые функции распределены между несколькими участниками управления. Генеральный директор принимает ключевые кадровые решения и определяет требования к персоналу, руководитель тендерного отдела участвует в подборе, оценке и текущей координации специалистов, бухгалтерия обеспечивает кадровое делопроизводство, расч</w:t>
      </w:r>
      <w:r>
        <w:rPr>
          <w:rFonts w:ascii="Times New Roman" w:hAnsi="Times New Roman"/>
          <w:b w:val="0"/>
          <w:sz w:val="28"/>
          <w:lang w:val="ru-RU"/>
        </w:rPr>
        <w:t>ё</w:t>
      </w:r>
      <w:r>
        <w:rPr>
          <w:rFonts w:ascii="Times New Roman" w:hAnsi="Times New Roman"/>
          <w:b w:val="0"/>
          <w:sz w:val="28"/>
        </w:rPr>
        <w:t>т заработной платы и оформление обязательных документов.</w:t>
      </w:r>
    </w:p>
    <w:p w14:paraId="4EB788E4">
      <w:pPr>
        <w:spacing w:after="120" w:line="360" w:lineRule="auto"/>
        <w:ind w:firstLine="700"/>
        <w:jc w:val="both"/>
      </w:pPr>
      <w:r>
        <w:rPr>
          <w:rFonts w:ascii="Times New Roman" w:hAnsi="Times New Roman"/>
          <w:b w:val="0"/>
          <w:sz w:val="28"/>
        </w:rPr>
        <w:t>Такое распределение функций типично для малого предприятия, однако оно делает систему управления персоналом зависимой от текущей загрузки руководителей. Отдельные кадровые процессы выполняются, но не всегда оформлены как единая последовательность: подбор запускается под конкретную вакансию, адаптация проходит преимущественно в рабочем процессе, а развитие сотрудников не выделено в самостоятельное направление управления.</w:t>
      </w:r>
    </w:p>
    <w:p w14:paraId="75978D2A">
      <w:pPr>
        <w:spacing w:after="120" w:line="360" w:lineRule="auto"/>
        <w:ind w:firstLine="700"/>
        <w:jc w:val="both"/>
      </w:pPr>
      <w:r>
        <w:rPr>
          <w:rFonts w:ascii="Times New Roman" w:hAnsi="Times New Roman"/>
          <w:b w:val="0"/>
          <w:sz w:val="28"/>
        </w:rPr>
        <w:t>Поиск персонала носит проектный характер и чаще всего связан с потребностями тендерного отдела. Основными каналами привлечения выступают hh.ru, Авито, Работа.ru и профессиональные рекомендации. Важным преимуществом работодателя является удал</w:t>
      </w:r>
      <w:r>
        <w:rPr>
          <w:rFonts w:ascii="Times New Roman" w:hAnsi="Times New Roman"/>
          <w:b w:val="0"/>
          <w:sz w:val="28"/>
          <w:lang w:val="ru-RU"/>
        </w:rPr>
        <w:t>ё</w:t>
      </w:r>
      <w:r>
        <w:rPr>
          <w:rFonts w:ascii="Times New Roman" w:hAnsi="Times New Roman"/>
          <w:b w:val="0"/>
          <w:sz w:val="28"/>
        </w:rPr>
        <w:t>нный формат, позволяющий привлекать кандидатов не только из Нижнего Новгорода, но и из других регионов. При этом удал</w:t>
      </w:r>
      <w:r>
        <w:rPr>
          <w:rFonts w:ascii="Times New Roman" w:hAnsi="Times New Roman"/>
          <w:b w:val="0"/>
          <w:sz w:val="28"/>
          <w:lang w:val="ru-RU"/>
        </w:rPr>
        <w:t>ё</w:t>
      </w:r>
      <w:r>
        <w:rPr>
          <w:rFonts w:ascii="Times New Roman" w:hAnsi="Times New Roman"/>
          <w:b w:val="0"/>
          <w:sz w:val="28"/>
        </w:rPr>
        <w:t>нная занятость повышает требования к самостоятельности, цифровой дисциплине и умению работать с электронными документами.</w:t>
      </w:r>
    </w:p>
    <w:p w14:paraId="359267C0">
      <w:pPr>
        <w:spacing w:after="120" w:line="360" w:lineRule="auto"/>
        <w:ind w:firstLine="700"/>
        <w:jc w:val="both"/>
      </w:pPr>
      <w:r>
        <w:rPr>
          <w:rFonts w:ascii="Times New Roman" w:hAnsi="Times New Roman"/>
          <w:b w:val="0"/>
          <w:sz w:val="28"/>
        </w:rPr>
        <w:t>Отбор кандидатов построен по классической воронке. Сначала проводится скрининг резюме с уч</w:t>
      </w:r>
      <w:r>
        <w:rPr>
          <w:rFonts w:ascii="Times New Roman" w:hAnsi="Times New Roman"/>
          <w:b w:val="0"/>
          <w:sz w:val="28"/>
          <w:lang w:val="ru-RU"/>
        </w:rPr>
        <w:t>ё</w:t>
      </w:r>
      <w:r>
        <w:rPr>
          <w:rFonts w:ascii="Times New Roman" w:hAnsi="Times New Roman"/>
          <w:b w:val="0"/>
          <w:sz w:val="28"/>
        </w:rPr>
        <w:t>том опыта работы с 44-ФЗ и 223-ФЗ, затем телефонное интервью с руководителем отдела, после чего кандидат выполняет тестовое задание на основе реальных рабочих ситуаций: анализ документации, расчет НМЦК, выявление ошибок в заявке. Финальный этап включает видеоинтервью с генеральным директором и оформление через электронный документооборот. При</w:t>
      </w:r>
      <w:r>
        <w:rPr>
          <w:rFonts w:ascii="Times New Roman" w:hAnsi="Times New Roman"/>
          <w:b w:val="0"/>
          <w:sz w:val="28"/>
          <w:lang w:val="ru-RU"/>
        </w:rPr>
        <w:t>ё</w:t>
      </w:r>
      <w:r>
        <w:rPr>
          <w:rFonts w:ascii="Times New Roman" w:hAnsi="Times New Roman"/>
          <w:b w:val="0"/>
          <w:sz w:val="28"/>
        </w:rPr>
        <w:t>м на работу сопровождается получением электронных копий документов, подготовкой трудового договора, приказа о пр</w:t>
      </w:r>
      <w:r>
        <w:rPr>
          <w:rFonts w:ascii="Times New Roman" w:hAnsi="Times New Roman"/>
          <w:b w:val="0"/>
          <w:sz w:val="28"/>
          <w:lang w:val="ru-RU"/>
        </w:rPr>
        <w:t>иё</w:t>
      </w:r>
      <w:r>
        <w:rPr>
          <w:rFonts w:ascii="Times New Roman" w:hAnsi="Times New Roman"/>
          <w:b w:val="0"/>
          <w:sz w:val="28"/>
        </w:rPr>
        <w:t>ме, ознакомлением с должностной инструкцией и внесением сведений в электронную трудовую книжку.</w:t>
      </w:r>
    </w:p>
    <w:p w14:paraId="4A0AA29F">
      <w:pPr>
        <w:spacing w:after="120" w:line="360" w:lineRule="auto"/>
        <w:ind w:firstLine="700"/>
        <w:jc w:val="both"/>
        <w:rPr>
          <w:rFonts w:hint="default"/>
          <w:lang w:val="ru-RU"/>
        </w:rPr>
      </w:pPr>
      <w:r>
        <w:rPr>
          <w:rFonts w:ascii="Times New Roman" w:hAnsi="Times New Roman"/>
          <w:b w:val="0"/>
          <w:sz w:val="28"/>
        </w:rPr>
        <w:t>Кадровый потенциал компании во многом определяется тендерным отделом, так как он обеспечивает основную часть выручки. Поэтому анализ структуры персонала целесообразно начинать с оценки численности и роли подразделений</w:t>
      </w:r>
      <w:r>
        <w:rPr>
          <w:rFonts w:hint="default" w:ascii="Times New Roman" w:hAnsi="Times New Roman"/>
          <w:b w:val="0"/>
          <w:sz w:val="28"/>
          <w:lang w:val="ru-RU"/>
        </w:rPr>
        <w:t xml:space="preserve"> (см.табл.2.1.).</w:t>
      </w:r>
    </w:p>
    <w:p w14:paraId="3BC8CF81">
      <w:pPr>
        <w:spacing w:after="120" w:line="360" w:lineRule="auto"/>
        <w:jc w:val="right"/>
        <w:rPr>
          <w:sz w:val="24"/>
          <w:szCs w:val="24"/>
        </w:rPr>
      </w:pPr>
      <w:r>
        <w:rPr>
          <w:rFonts w:ascii="Times New Roman" w:hAnsi="Times New Roman"/>
          <w:b w:val="0"/>
          <w:sz w:val="24"/>
          <w:szCs w:val="24"/>
        </w:rPr>
        <w:t>Таблица 2.1. Структура персонала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B71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118" w:type="dxa"/>
          </w:tcPr>
          <w:p w14:paraId="68BB0900">
            <w:pPr>
              <w:widowControl w:val="0"/>
              <w:jc w:val="center"/>
              <w:rPr>
                <w:b w:val="0"/>
                <w:bCs/>
              </w:rPr>
            </w:pPr>
            <w:r>
              <w:rPr>
                <w:rFonts w:ascii="Times New Roman" w:hAnsi="Times New Roman"/>
                <w:b w:val="0"/>
                <w:bCs/>
                <w:sz w:val="24"/>
              </w:rPr>
              <w:t>Категория персонала</w:t>
            </w:r>
          </w:p>
        </w:tc>
        <w:tc>
          <w:tcPr>
            <w:tcW w:w="3118" w:type="dxa"/>
          </w:tcPr>
          <w:p w14:paraId="1A1521E5">
            <w:pPr>
              <w:widowControl w:val="0"/>
              <w:jc w:val="center"/>
              <w:rPr>
                <w:b w:val="0"/>
                <w:bCs/>
              </w:rPr>
            </w:pPr>
            <w:r>
              <w:rPr>
                <w:rFonts w:ascii="Times New Roman" w:hAnsi="Times New Roman"/>
                <w:b w:val="0"/>
                <w:bCs/>
                <w:sz w:val="24"/>
              </w:rPr>
              <w:t>Подразделение</w:t>
            </w:r>
          </w:p>
        </w:tc>
        <w:tc>
          <w:tcPr>
            <w:tcW w:w="3118" w:type="dxa"/>
          </w:tcPr>
          <w:p w14:paraId="1134C011">
            <w:pPr>
              <w:widowControl w:val="0"/>
              <w:jc w:val="center"/>
              <w:rPr>
                <w:b w:val="0"/>
                <w:bCs/>
              </w:rPr>
            </w:pPr>
            <w:r>
              <w:rPr>
                <w:rFonts w:ascii="Times New Roman" w:hAnsi="Times New Roman"/>
                <w:b w:val="0"/>
                <w:bCs/>
                <w:sz w:val="24"/>
              </w:rPr>
              <w:t>Количество, чел.</w:t>
            </w:r>
          </w:p>
        </w:tc>
      </w:tr>
      <w:tr w14:paraId="37733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360BD09">
            <w:pPr>
              <w:widowControl w:val="0"/>
              <w:jc w:val="both"/>
            </w:pPr>
            <w:r>
              <w:rPr>
                <w:rFonts w:ascii="Times New Roman" w:hAnsi="Times New Roman"/>
                <w:sz w:val="24"/>
              </w:rPr>
              <w:t>Основной персонал</w:t>
            </w:r>
          </w:p>
        </w:tc>
        <w:tc>
          <w:tcPr>
            <w:tcW w:w="3118" w:type="dxa"/>
          </w:tcPr>
          <w:p w14:paraId="4912AF8E">
            <w:pPr>
              <w:widowControl w:val="0"/>
              <w:jc w:val="both"/>
            </w:pPr>
            <w:r>
              <w:rPr>
                <w:rFonts w:ascii="Times New Roman" w:hAnsi="Times New Roman"/>
                <w:sz w:val="24"/>
              </w:rPr>
              <w:t>Тендерный отдел</w:t>
            </w:r>
          </w:p>
        </w:tc>
        <w:tc>
          <w:tcPr>
            <w:tcW w:w="3118" w:type="dxa"/>
          </w:tcPr>
          <w:p w14:paraId="2933C2D0">
            <w:pPr>
              <w:widowControl w:val="0"/>
              <w:jc w:val="center"/>
            </w:pPr>
            <w:r>
              <w:rPr>
                <w:rFonts w:ascii="Times New Roman" w:hAnsi="Times New Roman"/>
                <w:sz w:val="24"/>
              </w:rPr>
              <w:t>8</w:t>
            </w:r>
          </w:p>
        </w:tc>
      </w:tr>
      <w:tr w14:paraId="0483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99569A">
            <w:pPr>
              <w:widowControl w:val="0"/>
              <w:jc w:val="both"/>
            </w:pPr>
            <w:r>
              <w:rPr>
                <w:rFonts w:ascii="Times New Roman" w:hAnsi="Times New Roman"/>
                <w:sz w:val="24"/>
              </w:rPr>
              <w:t>Вспомогательный персонал</w:t>
            </w:r>
          </w:p>
        </w:tc>
        <w:tc>
          <w:tcPr>
            <w:tcW w:w="3118" w:type="dxa"/>
          </w:tcPr>
          <w:p w14:paraId="6EB1435D">
            <w:pPr>
              <w:widowControl w:val="0"/>
              <w:jc w:val="both"/>
            </w:pPr>
            <w:r>
              <w:rPr>
                <w:rFonts w:ascii="Times New Roman" w:hAnsi="Times New Roman"/>
                <w:sz w:val="24"/>
              </w:rPr>
              <w:t>Отдел логистики и поставок</w:t>
            </w:r>
          </w:p>
        </w:tc>
        <w:tc>
          <w:tcPr>
            <w:tcW w:w="3118" w:type="dxa"/>
          </w:tcPr>
          <w:p w14:paraId="7A394153">
            <w:pPr>
              <w:widowControl w:val="0"/>
              <w:jc w:val="center"/>
            </w:pPr>
            <w:r>
              <w:rPr>
                <w:rFonts w:ascii="Times New Roman" w:hAnsi="Times New Roman"/>
                <w:sz w:val="24"/>
              </w:rPr>
              <w:t>3</w:t>
            </w:r>
          </w:p>
        </w:tc>
      </w:tr>
      <w:tr w14:paraId="7B483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BB9EA01">
            <w:pPr>
              <w:widowControl w:val="0"/>
              <w:jc w:val="both"/>
            </w:pPr>
            <w:r>
              <w:rPr>
                <w:rFonts w:ascii="Times New Roman" w:hAnsi="Times New Roman"/>
                <w:sz w:val="24"/>
              </w:rPr>
              <w:t>Коммерческий персонал</w:t>
            </w:r>
          </w:p>
        </w:tc>
        <w:tc>
          <w:tcPr>
            <w:tcW w:w="3118" w:type="dxa"/>
          </w:tcPr>
          <w:p w14:paraId="02027662">
            <w:pPr>
              <w:widowControl w:val="0"/>
              <w:jc w:val="both"/>
            </w:pPr>
            <w:r>
              <w:rPr>
                <w:rFonts w:ascii="Times New Roman" w:hAnsi="Times New Roman"/>
                <w:sz w:val="24"/>
              </w:rPr>
              <w:t>Отдел продаж</w:t>
            </w:r>
          </w:p>
        </w:tc>
        <w:tc>
          <w:tcPr>
            <w:tcW w:w="3118" w:type="dxa"/>
          </w:tcPr>
          <w:p w14:paraId="4567988D">
            <w:pPr>
              <w:widowControl w:val="0"/>
              <w:jc w:val="center"/>
            </w:pPr>
            <w:r>
              <w:rPr>
                <w:rFonts w:ascii="Times New Roman" w:hAnsi="Times New Roman"/>
                <w:sz w:val="24"/>
              </w:rPr>
              <w:t>4</w:t>
            </w:r>
          </w:p>
        </w:tc>
      </w:tr>
      <w:tr w14:paraId="59FD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6CF844">
            <w:pPr>
              <w:widowControl w:val="0"/>
              <w:jc w:val="both"/>
            </w:pPr>
            <w:r>
              <w:rPr>
                <w:rFonts w:ascii="Times New Roman" w:hAnsi="Times New Roman"/>
                <w:sz w:val="24"/>
              </w:rPr>
              <w:t>Административно-управленческий персонал</w:t>
            </w:r>
          </w:p>
        </w:tc>
        <w:tc>
          <w:tcPr>
            <w:tcW w:w="3118" w:type="dxa"/>
          </w:tcPr>
          <w:p w14:paraId="496399DD">
            <w:pPr>
              <w:widowControl w:val="0"/>
              <w:jc w:val="both"/>
            </w:pPr>
            <w:r>
              <w:rPr>
                <w:rFonts w:ascii="Times New Roman" w:hAnsi="Times New Roman"/>
                <w:sz w:val="24"/>
              </w:rPr>
              <w:t>Бухгалтерия, системный администратор</w:t>
            </w:r>
          </w:p>
        </w:tc>
        <w:tc>
          <w:tcPr>
            <w:tcW w:w="3118" w:type="dxa"/>
          </w:tcPr>
          <w:p w14:paraId="2AA95519">
            <w:pPr>
              <w:widowControl w:val="0"/>
              <w:jc w:val="center"/>
            </w:pPr>
            <w:r>
              <w:rPr>
                <w:rFonts w:ascii="Times New Roman" w:hAnsi="Times New Roman"/>
                <w:sz w:val="24"/>
              </w:rPr>
              <w:t>2</w:t>
            </w:r>
          </w:p>
        </w:tc>
      </w:tr>
      <w:tr w14:paraId="796E9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7294DD">
            <w:pPr>
              <w:widowControl w:val="0"/>
              <w:jc w:val="both"/>
            </w:pPr>
            <w:r>
              <w:rPr>
                <w:rFonts w:ascii="Times New Roman" w:hAnsi="Times New Roman"/>
                <w:sz w:val="24"/>
              </w:rPr>
              <w:t>Итого</w:t>
            </w:r>
          </w:p>
        </w:tc>
        <w:tc>
          <w:tcPr>
            <w:tcW w:w="3118" w:type="dxa"/>
          </w:tcPr>
          <w:p w14:paraId="4EF3A9EC">
            <w:pPr>
              <w:widowControl w:val="0"/>
              <w:jc w:val="both"/>
            </w:pPr>
          </w:p>
        </w:tc>
        <w:tc>
          <w:tcPr>
            <w:tcW w:w="3118" w:type="dxa"/>
          </w:tcPr>
          <w:p w14:paraId="0430D3EC">
            <w:pPr>
              <w:widowControl w:val="0"/>
              <w:jc w:val="center"/>
            </w:pPr>
            <w:r>
              <w:rPr>
                <w:rFonts w:ascii="Times New Roman" w:hAnsi="Times New Roman"/>
                <w:sz w:val="24"/>
              </w:rPr>
              <w:t>17</w:t>
            </w:r>
          </w:p>
        </w:tc>
      </w:tr>
    </w:tbl>
    <w:p w14:paraId="6197A2F8">
      <w:pPr>
        <w:spacing w:after="120" w:line="360" w:lineRule="auto"/>
        <w:ind w:firstLine="700"/>
        <w:jc w:val="both"/>
      </w:pPr>
    </w:p>
    <w:p w14:paraId="2FD6C8A9">
      <w:pPr>
        <w:spacing w:after="120" w:line="360" w:lineRule="auto"/>
        <w:ind w:firstLine="700"/>
        <w:jc w:val="both"/>
      </w:pPr>
      <w:r>
        <w:rPr>
          <w:rFonts w:ascii="Times New Roman" w:hAnsi="Times New Roman"/>
          <w:b w:val="0"/>
          <w:sz w:val="28"/>
        </w:rPr>
        <w:t>Из таблицы видно, что тендерные специалисты составляют крупнейшую группу персонала — 8 человек из 17. Это подтверждает приоритетность данного подразделения для бизнес-модели предприятия. Логистика и продажи обеспечивают сопровождение контрактов и работу с частными заказами, а административно-управленческий блок представлен минимальным составом, что соответствует масштабу малого бизнеса.</w:t>
      </w:r>
    </w:p>
    <w:p w14:paraId="399828B9">
      <w:pPr>
        <w:spacing w:after="120" w:line="360" w:lineRule="auto"/>
        <w:ind w:firstLine="700"/>
        <w:jc w:val="both"/>
        <w:rPr>
          <w:rFonts w:ascii="Times New Roman" w:hAnsi="Times New Roman"/>
          <w:b w:val="0"/>
          <w:sz w:val="28"/>
        </w:rPr>
      </w:pPr>
      <w:r>
        <w:rPr>
          <w:rFonts w:ascii="Times New Roman" w:hAnsi="Times New Roman"/>
          <w:b w:val="0"/>
          <w:sz w:val="28"/>
        </w:rPr>
        <w:t>Для оценки устойчивости кадрового состава были рассмотрены возраст, стаж работы и уровень образования сотрудников тендерного отдел</w:t>
      </w:r>
      <w:r>
        <w:rPr>
          <w:rFonts w:ascii="Times New Roman" w:hAnsi="Times New Roman"/>
          <w:b w:val="0"/>
          <w:sz w:val="28"/>
          <w:lang w:val="ru-RU"/>
        </w:rPr>
        <w:t>а</w:t>
      </w:r>
      <w:r>
        <w:rPr>
          <w:rFonts w:hint="default" w:ascii="Times New Roman" w:hAnsi="Times New Roman"/>
          <w:b w:val="0"/>
          <w:sz w:val="28"/>
          <w:lang w:val="ru-RU"/>
        </w:rPr>
        <w:t xml:space="preserve"> (см.табл.2.2-2.4.)</w:t>
      </w:r>
      <w:r>
        <w:rPr>
          <w:rFonts w:ascii="Times New Roman" w:hAnsi="Times New Roman"/>
          <w:b w:val="0"/>
          <w:sz w:val="28"/>
        </w:rPr>
        <w:t>.</w:t>
      </w:r>
    </w:p>
    <w:p w14:paraId="24096CEC">
      <w:pPr>
        <w:spacing w:after="120" w:line="360" w:lineRule="auto"/>
        <w:ind w:firstLine="700"/>
        <w:jc w:val="both"/>
        <w:rPr>
          <w:rFonts w:ascii="Times New Roman" w:hAnsi="Times New Roman"/>
          <w:b w:val="0"/>
          <w:sz w:val="28"/>
        </w:rPr>
      </w:pPr>
    </w:p>
    <w:p w14:paraId="087BFED9">
      <w:pPr>
        <w:spacing w:after="120" w:line="360" w:lineRule="auto"/>
        <w:ind w:firstLine="700"/>
        <w:jc w:val="both"/>
        <w:rPr>
          <w:rFonts w:ascii="Times New Roman" w:hAnsi="Times New Roman"/>
          <w:b w:val="0"/>
          <w:sz w:val="28"/>
        </w:rPr>
      </w:pPr>
    </w:p>
    <w:p w14:paraId="13E9017C">
      <w:pPr>
        <w:spacing w:after="120" w:line="360" w:lineRule="auto"/>
        <w:jc w:val="right"/>
        <w:rPr>
          <w:sz w:val="18"/>
          <w:szCs w:val="18"/>
        </w:rPr>
      </w:pPr>
      <w:r>
        <w:rPr>
          <w:rFonts w:ascii="Times New Roman" w:hAnsi="Times New Roman"/>
          <w:b w:val="0"/>
          <w:sz w:val="24"/>
          <w:szCs w:val="18"/>
        </w:rPr>
        <w:t>Таблица 2.2. Возрастная структура тендерных специалистов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6AEE1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D1A175">
            <w:pPr>
              <w:widowControl w:val="0"/>
              <w:jc w:val="both"/>
              <w:rPr>
                <w:b w:val="0"/>
                <w:bCs/>
              </w:rPr>
            </w:pPr>
            <w:r>
              <w:rPr>
                <w:rFonts w:ascii="Times New Roman" w:hAnsi="Times New Roman"/>
                <w:b w:val="0"/>
                <w:bCs/>
                <w:sz w:val="24"/>
              </w:rPr>
              <w:t>Возрастная группа</w:t>
            </w:r>
          </w:p>
        </w:tc>
        <w:tc>
          <w:tcPr>
            <w:tcW w:w="3118" w:type="dxa"/>
          </w:tcPr>
          <w:p w14:paraId="09C407A7">
            <w:pPr>
              <w:widowControl w:val="0"/>
              <w:jc w:val="both"/>
              <w:rPr>
                <w:b w:val="0"/>
                <w:bCs/>
              </w:rPr>
            </w:pPr>
            <w:r>
              <w:rPr>
                <w:rFonts w:ascii="Times New Roman" w:hAnsi="Times New Roman"/>
                <w:b w:val="0"/>
                <w:bCs/>
                <w:sz w:val="24"/>
              </w:rPr>
              <w:t>Количество, чел.</w:t>
            </w:r>
          </w:p>
        </w:tc>
        <w:tc>
          <w:tcPr>
            <w:tcW w:w="3118" w:type="dxa"/>
          </w:tcPr>
          <w:p w14:paraId="2D587BFE">
            <w:pPr>
              <w:widowControl w:val="0"/>
              <w:jc w:val="both"/>
              <w:rPr>
                <w:b w:val="0"/>
                <w:bCs/>
              </w:rPr>
            </w:pPr>
            <w:r>
              <w:rPr>
                <w:rFonts w:ascii="Times New Roman" w:hAnsi="Times New Roman"/>
                <w:b w:val="0"/>
                <w:bCs/>
                <w:sz w:val="24"/>
              </w:rPr>
              <w:t>Доля, %</w:t>
            </w:r>
          </w:p>
        </w:tc>
      </w:tr>
      <w:tr w14:paraId="3A8C4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116144F">
            <w:pPr>
              <w:widowControl w:val="0"/>
              <w:jc w:val="both"/>
            </w:pPr>
            <w:r>
              <w:rPr>
                <w:rFonts w:ascii="Times New Roman" w:hAnsi="Times New Roman"/>
                <w:sz w:val="24"/>
              </w:rPr>
              <w:t>До 25 лет</w:t>
            </w:r>
          </w:p>
        </w:tc>
        <w:tc>
          <w:tcPr>
            <w:tcW w:w="3118" w:type="dxa"/>
          </w:tcPr>
          <w:p w14:paraId="4A452016">
            <w:pPr>
              <w:widowControl w:val="0"/>
              <w:jc w:val="center"/>
            </w:pPr>
            <w:r>
              <w:rPr>
                <w:rFonts w:ascii="Times New Roman" w:hAnsi="Times New Roman"/>
                <w:sz w:val="24"/>
              </w:rPr>
              <w:t>2</w:t>
            </w:r>
          </w:p>
        </w:tc>
        <w:tc>
          <w:tcPr>
            <w:tcW w:w="3118" w:type="dxa"/>
          </w:tcPr>
          <w:p w14:paraId="1EB2975B">
            <w:pPr>
              <w:widowControl w:val="0"/>
              <w:jc w:val="center"/>
            </w:pPr>
            <w:r>
              <w:rPr>
                <w:rFonts w:ascii="Times New Roman" w:hAnsi="Times New Roman"/>
                <w:sz w:val="24"/>
              </w:rPr>
              <w:t>25,0</w:t>
            </w:r>
          </w:p>
        </w:tc>
      </w:tr>
      <w:tr w14:paraId="0EC9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E2C7B74">
            <w:pPr>
              <w:widowControl w:val="0"/>
              <w:jc w:val="both"/>
            </w:pPr>
            <w:r>
              <w:rPr>
                <w:rFonts w:ascii="Times New Roman" w:hAnsi="Times New Roman"/>
                <w:sz w:val="24"/>
              </w:rPr>
              <w:t>25-35 лет</w:t>
            </w:r>
          </w:p>
        </w:tc>
        <w:tc>
          <w:tcPr>
            <w:tcW w:w="3118" w:type="dxa"/>
          </w:tcPr>
          <w:p w14:paraId="2FCADC3E">
            <w:pPr>
              <w:widowControl w:val="0"/>
              <w:jc w:val="center"/>
            </w:pPr>
            <w:r>
              <w:rPr>
                <w:rFonts w:ascii="Times New Roman" w:hAnsi="Times New Roman"/>
                <w:sz w:val="24"/>
              </w:rPr>
              <w:t>5</w:t>
            </w:r>
          </w:p>
        </w:tc>
        <w:tc>
          <w:tcPr>
            <w:tcW w:w="3118" w:type="dxa"/>
          </w:tcPr>
          <w:p w14:paraId="19E29200">
            <w:pPr>
              <w:widowControl w:val="0"/>
              <w:jc w:val="center"/>
            </w:pPr>
            <w:r>
              <w:rPr>
                <w:rFonts w:ascii="Times New Roman" w:hAnsi="Times New Roman"/>
                <w:sz w:val="24"/>
              </w:rPr>
              <w:t>62,5</w:t>
            </w:r>
          </w:p>
        </w:tc>
      </w:tr>
      <w:tr w14:paraId="1802E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E6C907D">
            <w:pPr>
              <w:widowControl w:val="0"/>
              <w:jc w:val="both"/>
            </w:pPr>
            <w:r>
              <w:rPr>
                <w:rFonts w:ascii="Times New Roman" w:hAnsi="Times New Roman"/>
                <w:sz w:val="24"/>
              </w:rPr>
              <w:t>36-45 лет</w:t>
            </w:r>
          </w:p>
        </w:tc>
        <w:tc>
          <w:tcPr>
            <w:tcW w:w="3118" w:type="dxa"/>
          </w:tcPr>
          <w:p w14:paraId="19E5DDAF">
            <w:pPr>
              <w:widowControl w:val="0"/>
              <w:jc w:val="center"/>
            </w:pPr>
            <w:r>
              <w:rPr>
                <w:rFonts w:ascii="Times New Roman" w:hAnsi="Times New Roman"/>
                <w:sz w:val="24"/>
              </w:rPr>
              <w:t>1</w:t>
            </w:r>
          </w:p>
        </w:tc>
        <w:tc>
          <w:tcPr>
            <w:tcW w:w="3118" w:type="dxa"/>
          </w:tcPr>
          <w:p w14:paraId="112DC88D">
            <w:pPr>
              <w:widowControl w:val="0"/>
              <w:jc w:val="center"/>
            </w:pPr>
            <w:r>
              <w:rPr>
                <w:rFonts w:ascii="Times New Roman" w:hAnsi="Times New Roman"/>
                <w:sz w:val="24"/>
              </w:rPr>
              <w:t>12,5</w:t>
            </w:r>
          </w:p>
        </w:tc>
      </w:tr>
      <w:tr w14:paraId="7E9D8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4A656F0">
            <w:pPr>
              <w:widowControl w:val="0"/>
              <w:jc w:val="both"/>
            </w:pPr>
            <w:r>
              <w:rPr>
                <w:rFonts w:ascii="Times New Roman" w:hAnsi="Times New Roman"/>
                <w:sz w:val="24"/>
              </w:rPr>
              <w:t>Старше 45 лет</w:t>
            </w:r>
          </w:p>
        </w:tc>
        <w:tc>
          <w:tcPr>
            <w:tcW w:w="3118" w:type="dxa"/>
          </w:tcPr>
          <w:p w14:paraId="6C8B4B02">
            <w:pPr>
              <w:widowControl w:val="0"/>
              <w:jc w:val="center"/>
            </w:pPr>
            <w:r>
              <w:rPr>
                <w:rFonts w:ascii="Times New Roman" w:hAnsi="Times New Roman"/>
                <w:sz w:val="24"/>
              </w:rPr>
              <w:t>0</w:t>
            </w:r>
          </w:p>
        </w:tc>
        <w:tc>
          <w:tcPr>
            <w:tcW w:w="3118" w:type="dxa"/>
          </w:tcPr>
          <w:p w14:paraId="59B36ECC">
            <w:pPr>
              <w:widowControl w:val="0"/>
              <w:jc w:val="center"/>
            </w:pPr>
            <w:r>
              <w:rPr>
                <w:rFonts w:ascii="Times New Roman" w:hAnsi="Times New Roman"/>
                <w:sz w:val="24"/>
              </w:rPr>
              <w:t>0</w:t>
            </w:r>
          </w:p>
        </w:tc>
      </w:tr>
    </w:tbl>
    <w:p w14:paraId="59BFA3A7">
      <w:pPr>
        <w:spacing w:after="120" w:line="360" w:lineRule="auto"/>
        <w:ind w:firstLine="700"/>
        <w:jc w:val="both"/>
      </w:pPr>
    </w:p>
    <w:p w14:paraId="6B87EC72">
      <w:pPr>
        <w:spacing w:after="120" w:line="360" w:lineRule="auto"/>
        <w:jc w:val="right"/>
        <w:rPr>
          <w:sz w:val="18"/>
          <w:szCs w:val="18"/>
        </w:rPr>
      </w:pPr>
      <w:r>
        <w:rPr>
          <w:rFonts w:ascii="Times New Roman" w:hAnsi="Times New Roman"/>
          <w:b w:val="0"/>
          <w:sz w:val="24"/>
          <w:szCs w:val="18"/>
        </w:rPr>
        <w:t>Таблица 2.3. Структура тендерных специалистов по продолжительности работы в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4C24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728FF">
            <w:pPr>
              <w:widowControl w:val="0"/>
              <w:jc w:val="center"/>
              <w:rPr>
                <w:b w:val="0"/>
                <w:bCs/>
              </w:rPr>
            </w:pPr>
            <w:r>
              <w:rPr>
                <w:rFonts w:ascii="Times New Roman" w:hAnsi="Times New Roman"/>
                <w:b w:val="0"/>
                <w:bCs/>
                <w:sz w:val="24"/>
              </w:rPr>
              <w:t>Стаж в компании</w:t>
            </w:r>
          </w:p>
        </w:tc>
        <w:tc>
          <w:tcPr>
            <w:tcW w:w="3118" w:type="dxa"/>
          </w:tcPr>
          <w:p w14:paraId="286DFCB9">
            <w:pPr>
              <w:widowControl w:val="0"/>
              <w:jc w:val="center"/>
              <w:rPr>
                <w:b w:val="0"/>
                <w:bCs/>
              </w:rPr>
            </w:pPr>
            <w:r>
              <w:rPr>
                <w:rFonts w:ascii="Times New Roman" w:hAnsi="Times New Roman"/>
                <w:b w:val="0"/>
                <w:bCs/>
                <w:sz w:val="24"/>
              </w:rPr>
              <w:t>Количество, чел.</w:t>
            </w:r>
          </w:p>
        </w:tc>
        <w:tc>
          <w:tcPr>
            <w:tcW w:w="3118" w:type="dxa"/>
          </w:tcPr>
          <w:p w14:paraId="7C663C3B">
            <w:pPr>
              <w:widowControl w:val="0"/>
              <w:jc w:val="center"/>
              <w:rPr>
                <w:b w:val="0"/>
                <w:bCs/>
              </w:rPr>
            </w:pPr>
            <w:r>
              <w:rPr>
                <w:rFonts w:ascii="Times New Roman" w:hAnsi="Times New Roman"/>
                <w:b w:val="0"/>
                <w:bCs/>
                <w:sz w:val="24"/>
              </w:rPr>
              <w:t>Доля, %</w:t>
            </w:r>
          </w:p>
        </w:tc>
      </w:tr>
      <w:tr w14:paraId="4F8A2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85EF0FC">
            <w:pPr>
              <w:widowControl w:val="0"/>
              <w:jc w:val="left"/>
            </w:pPr>
            <w:r>
              <w:rPr>
                <w:rFonts w:ascii="Times New Roman" w:hAnsi="Times New Roman"/>
                <w:sz w:val="24"/>
              </w:rPr>
              <w:t>Менее 3 месяцев</w:t>
            </w:r>
          </w:p>
        </w:tc>
        <w:tc>
          <w:tcPr>
            <w:tcW w:w="3118" w:type="dxa"/>
          </w:tcPr>
          <w:p w14:paraId="78CBC6F4">
            <w:pPr>
              <w:widowControl w:val="0"/>
              <w:jc w:val="center"/>
            </w:pPr>
            <w:r>
              <w:rPr>
                <w:rFonts w:ascii="Times New Roman" w:hAnsi="Times New Roman"/>
                <w:sz w:val="24"/>
              </w:rPr>
              <w:t>2</w:t>
            </w:r>
          </w:p>
        </w:tc>
        <w:tc>
          <w:tcPr>
            <w:tcW w:w="3118" w:type="dxa"/>
          </w:tcPr>
          <w:p w14:paraId="78CB4B68">
            <w:pPr>
              <w:widowControl w:val="0"/>
              <w:jc w:val="center"/>
            </w:pPr>
            <w:r>
              <w:rPr>
                <w:rFonts w:ascii="Times New Roman" w:hAnsi="Times New Roman"/>
                <w:sz w:val="24"/>
              </w:rPr>
              <w:t>25,0</w:t>
            </w:r>
          </w:p>
        </w:tc>
      </w:tr>
      <w:tr w14:paraId="3253D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094033">
            <w:pPr>
              <w:widowControl w:val="0"/>
              <w:jc w:val="left"/>
            </w:pPr>
            <w:r>
              <w:rPr>
                <w:rFonts w:ascii="Times New Roman" w:hAnsi="Times New Roman"/>
                <w:sz w:val="24"/>
              </w:rPr>
              <w:t>От 3 до 6 месяцев</w:t>
            </w:r>
          </w:p>
        </w:tc>
        <w:tc>
          <w:tcPr>
            <w:tcW w:w="3118" w:type="dxa"/>
          </w:tcPr>
          <w:p w14:paraId="59244FEB">
            <w:pPr>
              <w:widowControl w:val="0"/>
              <w:jc w:val="center"/>
            </w:pPr>
            <w:r>
              <w:rPr>
                <w:rFonts w:ascii="Times New Roman" w:hAnsi="Times New Roman"/>
                <w:sz w:val="24"/>
              </w:rPr>
              <w:t>1</w:t>
            </w:r>
          </w:p>
        </w:tc>
        <w:tc>
          <w:tcPr>
            <w:tcW w:w="3118" w:type="dxa"/>
          </w:tcPr>
          <w:p w14:paraId="0BAEBF85">
            <w:pPr>
              <w:widowControl w:val="0"/>
              <w:jc w:val="center"/>
            </w:pPr>
            <w:r>
              <w:rPr>
                <w:rFonts w:ascii="Times New Roman" w:hAnsi="Times New Roman"/>
                <w:sz w:val="24"/>
              </w:rPr>
              <w:t>12,5</w:t>
            </w:r>
          </w:p>
        </w:tc>
      </w:tr>
      <w:tr w14:paraId="24ED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6A6954">
            <w:pPr>
              <w:widowControl w:val="0"/>
              <w:jc w:val="left"/>
            </w:pPr>
            <w:r>
              <w:rPr>
                <w:rFonts w:ascii="Times New Roman" w:hAnsi="Times New Roman"/>
                <w:sz w:val="24"/>
              </w:rPr>
              <w:t>От 6 до 12 месяцев</w:t>
            </w:r>
          </w:p>
        </w:tc>
        <w:tc>
          <w:tcPr>
            <w:tcW w:w="3118" w:type="dxa"/>
          </w:tcPr>
          <w:p w14:paraId="3CC08993">
            <w:pPr>
              <w:widowControl w:val="0"/>
              <w:jc w:val="center"/>
            </w:pPr>
            <w:r>
              <w:rPr>
                <w:rFonts w:ascii="Times New Roman" w:hAnsi="Times New Roman"/>
                <w:sz w:val="24"/>
              </w:rPr>
              <w:t>2</w:t>
            </w:r>
          </w:p>
        </w:tc>
        <w:tc>
          <w:tcPr>
            <w:tcW w:w="3118" w:type="dxa"/>
          </w:tcPr>
          <w:p w14:paraId="638982D7">
            <w:pPr>
              <w:widowControl w:val="0"/>
              <w:jc w:val="center"/>
            </w:pPr>
            <w:r>
              <w:rPr>
                <w:rFonts w:ascii="Times New Roman" w:hAnsi="Times New Roman"/>
                <w:sz w:val="24"/>
              </w:rPr>
              <w:t>25,0</w:t>
            </w:r>
          </w:p>
        </w:tc>
      </w:tr>
      <w:tr w14:paraId="55F52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380A37">
            <w:pPr>
              <w:widowControl w:val="0"/>
              <w:jc w:val="left"/>
            </w:pPr>
            <w:r>
              <w:rPr>
                <w:rFonts w:ascii="Times New Roman" w:hAnsi="Times New Roman"/>
                <w:sz w:val="24"/>
              </w:rPr>
              <w:t>От 1 до 2 лет</w:t>
            </w:r>
          </w:p>
        </w:tc>
        <w:tc>
          <w:tcPr>
            <w:tcW w:w="3118" w:type="dxa"/>
          </w:tcPr>
          <w:p w14:paraId="35B6596D">
            <w:pPr>
              <w:widowControl w:val="0"/>
              <w:jc w:val="center"/>
            </w:pPr>
            <w:r>
              <w:rPr>
                <w:rFonts w:ascii="Times New Roman" w:hAnsi="Times New Roman"/>
                <w:sz w:val="24"/>
              </w:rPr>
              <w:t>1</w:t>
            </w:r>
          </w:p>
        </w:tc>
        <w:tc>
          <w:tcPr>
            <w:tcW w:w="3118" w:type="dxa"/>
          </w:tcPr>
          <w:p w14:paraId="2F390803">
            <w:pPr>
              <w:widowControl w:val="0"/>
              <w:jc w:val="center"/>
            </w:pPr>
            <w:r>
              <w:rPr>
                <w:rFonts w:ascii="Times New Roman" w:hAnsi="Times New Roman"/>
                <w:sz w:val="24"/>
              </w:rPr>
              <w:t>12,5</w:t>
            </w:r>
          </w:p>
        </w:tc>
      </w:tr>
      <w:tr w14:paraId="17E6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949EC51">
            <w:pPr>
              <w:widowControl w:val="0"/>
              <w:jc w:val="left"/>
            </w:pPr>
            <w:r>
              <w:rPr>
                <w:rFonts w:ascii="Times New Roman" w:hAnsi="Times New Roman"/>
                <w:sz w:val="24"/>
              </w:rPr>
              <w:t>Более 2 лет</w:t>
            </w:r>
          </w:p>
        </w:tc>
        <w:tc>
          <w:tcPr>
            <w:tcW w:w="3118" w:type="dxa"/>
          </w:tcPr>
          <w:p w14:paraId="1D792DF9">
            <w:pPr>
              <w:widowControl w:val="0"/>
              <w:jc w:val="center"/>
            </w:pPr>
            <w:r>
              <w:rPr>
                <w:rFonts w:ascii="Times New Roman" w:hAnsi="Times New Roman"/>
                <w:sz w:val="24"/>
              </w:rPr>
              <w:t>2</w:t>
            </w:r>
          </w:p>
        </w:tc>
        <w:tc>
          <w:tcPr>
            <w:tcW w:w="3118" w:type="dxa"/>
          </w:tcPr>
          <w:p w14:paraId="1C6C86AE">
            <w:pPr>
              <w:widowControl w:val="0"/>
              <w:jc w:val="center"/>
            </w:pPr>
            <w:r>
              <w:rPr>
                <w:rFonts w:ascii="Times New Roman" w:hAnsi="Times New Roman"/>
                <w:sz w:val="24"/>
              </w:rPr>
              <w:t>25,0</w:t>
            </w:r>
          </w:p>
        </w:tc>
      </w:tr>
    </w:tbl>
    <w:p w14:paraId="0EE41526">
      <w:pPr>
        <w:spacing w:after="120" w:line="360" w:lineRule="auto"/>
        <w:ind w:firstLine="700"/>
        <w:jc w:val="center"/>
      </w:pPr>
    </w:p>
    <w:p w14:paraId="28E04785">
      <w:pPr>
        <w:spacing w:after="120" w:line="360" w:lineRule="auto"/>
        <w:jc w:val="right"/>
        <w:rPr>
          <w:sz w:val="24"/>
          <w:szCs w:val="24"/>
        </w:rPr>
      </w:pPr>
      <w:r>
        <w:rPr>
          <w:rFonts w:ascii="Times New Roman" w:hAnsi="Times New Roman"/>
          <w:b w:val="0"/>
          <w:sz w:val="24"/>
          <w:szCs w:val="24"/>
        </w:rPr>
        <w:t>Таблица 2.4. Уровень образования специалистов тендерного отдела ООО «Лайф Медиа»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5F49C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23903AE">
            <w:pPr>
              <w:widowControl w:val="0"/>
              <w:jc w:val="center"/>
              <w:rPr>
                <w:b w:val="0"/>
                <w:bCs/>
              </w:rPr>
            </w:pPr>
            <w:r>
              <w:rPr>
                <w:rFonts w:ascii="Times New Roman" w:hAnsi="Times New Roman"/>
                <w:b w:val="0"/>
                <w:bCs/>
                <w:sz w:val="24"/>
              </w:rPr>
              <w:t>Уровень образования</w:t>
            </w:r>
          </w:p>
        </w:tc>
        <w:tc>
          <w:tcPr>
            <w:tcW w:w="3118" w:type="dxa"/>
          </w:tcPr>
          <w:p w14:paraId="46F7DD53">
            <w:pPr>
              <w:widowControl w:val="0"/>
              <w:jc w:val="center"/>
              <w:rPr>
                <w:b w:val="0"/>
                <w:bCs/>
              </w:rPr>
            </w:pPr>
            <w:r>
              <w:rPr>
                <w:rFonts w:ascii="Times New Roman" w:hAnsi="Times New Roman"/>
                <w:b w:val="0"/>
                <w:bCs/>
                <w:sz w:val="24"/>
              </w:rPr>
              <w:t>Количество, чел.</w:t>
            </w:r>
          </w:p>
        </w:tc>
        <w:tc>
          <w:tcPr>
            <w:tcW w:w="3118" w:type="dxa"/>
          </w:tcPr>
          <w:p w14:paraId="6CA0CFBA">
            <w:pPr>
              <w:widowControl w:val="0"/>
              <w:jc w:val="center"/>
              <w:rPr>
                <w:b w:val="0"/>
                <w:bCs/>
              </w:rPr>
            </w:pPr>
            <w:r>
              <w:rPr>
                <w:rFonts w:ascii="Times New Roman" w:hAnsi="Times New Roman"/>
                <w:b w:val="0"/>
                <w:bCs/>
                <w:sz w:val="24"/>
              </w:rPr>
              <w:t>Доля, %</w:t>
            </w:r>
          </w:p>
        </w:tc>
      </w:tr>
      <w:tr w14:paraId="45DF9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A32696C">
            <w:pPr>
              <w:widowControl w:val="0"/>
              <w:jc w:val="both"/>
            </w:pPr>
            <w:r>
              <w:rPr>
                <w:rFonts w:ascii="Times New Roman" w:hAnsi="Times New Roman"/>
                <w:sz w:val="24"/>
              </w:rPr>
              <w:t>Высшее профильное (экономика/менеджмент)</w:t>
            </w:r>
          </w:p>
        </w:tc>
        <w:tc>
          <w:tcPr>
            <w:tcW w:w="3118" w:type="dxa"/>
          </w:tcPr>
          <w:p w14:paraId="09200554">
            <w:pPr>
              <w:widowControl w:val="0"/>
              <w:jc w:val="center"/>
            </w:pPr>
            <w:r>
              <w:rPr>
                <w:rFonts w:ascii="Times New Roman" w:hAnsi="Times New Roman"/>
                <w:sz w:val="24"/>
              </w:rPr>
              <w:t>3</w:t>
            </w:r>
          </w:p>
        </w:tc>
        <w:tc>
          <w:tcPr>
            <w:tcW w:w="3118" w:type="dxa"/>
          </w:tcPr>
          <w:p w14:paraId="3F6C2D04">
            <w:pPr>
              <w:widowControl w:val="0"/>
              <w:jc w:val="center"/>
            </w:pPr>
            <w:r>
              <w:rPr>
                <w:rFonts w:ascii="Times New Roman" w:hAnsi="Times New Roman"/>
                <w:sz w:val="24"/>
              </w:rPr>
              <w:t>37,5</w:t>
            </w:r>
          </w:p>
        </w:tc>
      </w:tr>
      <w:tr w14:paraId="7144B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642C008">
            <w:pPr>
              <w:widowControl w:val="0"/>
              <w:jc w:val="both"/>
            </w:pPr>
            <w:r>
              <w:rPr>
                <w:rFonts w:ascii="Times New Roman" w:hAnsi="Times New Roman"/>
                <w:sz w:val="24"/>
              </w:rPr>
              <w:t>Высшее непрофильное</w:t>
            </w:r>
          </w:p>
        </w:tc>
        <w:tc>
          <w:tcPr>
            <w:tcW w:w="3118" w:type="dxa"/>
          </w:tcPr>
          <w:p w14:paraId="382FF2B7">
            <w:pPr>
              <w:widowControl w:val="0"/>
              <w:jc w:val="center"/>
            </w:pPr>
            <w:r>
              <w:rPr>
                <w:rFonts w:ascii="Times New Roman" w:hAnsi="Times New Roman"/>
                <w:sz w:val="24"/>
              </w:rPr>
              <w:t>4</w:t>
            </w:r>
          </w:p>
        </w:tc>
        <w:tc>
          <w:tcPr>
            <w:tcW w:w="3118" w:type="dxa"/>
          </w:tcPr>
          <w:p w14:paraId="7FABE1C5">
            <w:pPr>
              <w:widowControl w:val="0"/>
              <w:jc w:val="center"/>
            </w:pPr>
            <w:r>
              <w:rPr>
                <w:rFonts w:ascii="Times New Roman" w:hAnsi="Times New Roman"/>
                <w:sz w:val="24"/>
              </w:rPr>
              <w:t>50,0</w:t>
            </w:r>
          </w:p>
        </w:tc>
      </w:tr>
      <w:tr w14:paraId="7C675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74B734">
            <w:pPr>
              <w:widowControl w:val="0"/>
              <w:jc w:val="both"/>
            </w:pPr>
            <w:r>
              <w:rPr>
                <w:rFonts w:ascii="Times New Roman" w:hAnsi="Times New Roman"/>
                <w:sz w:val="24"/>
              </w:rPr>
              <w:t>Среднее профессиональное</w:t>
            </w:r>
          </w:p>
        </w:tc>
        <w:tc>
          <w:tcPr>
            <w:tcW w:w="3118" w:type="dxa"/>
          </w:tcPr>
          <w:p w14:paraId="16E51624">
            <w:pPr>
              <w:widowControl w:val="0"/>
              <w:jc w:val="center"/>
            </w:pPr>
            <w:r>
              <w:rPr>
                <w:rFonts w:ascii="Times New Roman" w:hAnsi="Times New Roman"/>
                <w:sz w:val="24"/>
              </w:rPr>
              <w:t>1</w:t>
            </w:r>
          </w:p>
        </w:tc>
        <w:tc>
          <w:tcPr>
            <w:tcW w:w="3118" w:type="dxa"/>
          </w:tcPr>
          <w:p w14:paraId="3E870898">
            <w:pPr>
              <w:widowControl w:val="0"/>
              <w:jc w:val="center"/>
            </w:pPr>
            <w:r>
              <w:rPr>
                <w:rFonts w:ascii="Times New Roman" w:hAnsi="Times New Roman"/>
                <w:sz w:val="24"/>
              </w:rPr>
              <w:t>12,5</w:t>
            </w:r>
          </w:p>
        </w:tc>
      </w:tr>
    </w:tbl>
    <w:p w14:paraId="7BA5A4D2">
      <w:pPr>
        <w:spacing w:after="120" w:line="360" w:lineRule="auto"/>
        <w:ind w:firstLine="700"/>
        <w:jc w:val="both"/>
      </w:pPr>
    </w:p>
    <w:p w14:paraId="4E6557BD">
      <w:pPr>
        <w:spacing w:after="120" w:line="360" w:lineRule="auto"/>
        <w:ind w:firstLine="700"/>
        <w:jc w:val="both"/>
      </w:pPr>
      <w:r>
        <w:rPr>
          <w:rFonts w:ascii="Times New Roman" w:hAnsi="Times New Roman"/>
          <w:b w:val="0"/>
          <w:sz w:val="28"/>
        </w:rPr>
        <w:t>Представленные данные показывают, что тендерный отдел состоит преимущественно из молодых сотрудников: 7 из 8 специалистов находятся в возрасте до 35 лет. Это созда</w:t>
      </w:r>
      <w:r>
        <w:rPr>
          <w:rFonts w:ascii="Times New Roman" w:hAnsi="Times New Roman"/>
          <w:b w:val="0"/>
          <w:sz w:val="28"/>
          <w:lang w:val="ru-RU"/>
        </w:rPr>
        <w:t>ё</w:t>
      </w:r>
      <w:r>
        <w:rPr>
          <w:rFonts w:ascii="Times New Roman" w:hAnsi="Times New Roman"/>
          <w:b w:val="0"/>
          <w:sz w:val="28"/>
        </w:rPr>
        <w:t>т потенциал для освоения цифровых инструментов и профессионального роста. Одновременно структура стажа указывает на недостаточную устойчивость кадрового состава: 5 сотрудников, или 62,5%, работают в компании менее одного года, а стаж более двух лет имеют только 2 человека. Следовательно, в отделе ограничена доля работников, которые могут выступать носителями устойчивого опыта.</w:t>
      </w:r>
    </w:p>
    <w:p w14:paraId="540C0331">
      <w:pPr>
        <w:spacing w:after="120" w:line="360" w:lineRule="auto"/>
        <w:ind w:firstLine="700"/>
        <w:jc w:val="both"/>
      </w:pPr>
      <w:r>
        <w:rPr>
          <w:rFonts w:ascii="Times New Roman" w:hAnsi="Times New Roman"/>
          <w:b w:val="0"/>
          <w:sz w:val="28"/>
        </w:rPr>
        <w:t>Образовательная структура также неоднородна. Профильное высшее образование имеют 3 специалиста, тогда как 5 сотрудников обладают непрофильным или средним профессиональным образованием. Это не означает невозможность эффективной работы, но повышает значение внутренней адаптации, передачи практических знаний и регулярного обновления компетенций, особенно с уч</w:t>
      </w:r>
      <w:r>
        <w:rPr>
          <w:rFonts w:ascii="Times New Roman" w:hAnsi="Times New Roman"/>
          <w:b w:val="0"/>
          <w:sz w:val="28"/>
          <w:lang w:val="ru-RU"/>
        </w:rPr>
        <w:t>ё</w:t>
      </w:r>
      <w:r>
        <w:rPr>
          <w:rFonts w:ascii="Times New Roman" w:hAnsi="Times New Roman"/>
          <w:b w:val="0"/>
          <w:sz w:val="28"/>
        </w:rPr>
        <w:t>том изменений законодательства о закупках.</w:t>
      </w:r>
    </w:p>
    <w:p w14:paraId="166A653E">
      <w:pPr>
        <w:spacing w:after="120" w:line="360" w:lineRule="auto"/>
        <w:ind w:firstLine="700"/>
        <w:jc w:val="both"/>
        <w:rPr>
          <w:rFonts w:hint="default"/>
          <w:lang w:val="ru-RU"/>
        </w:rPr>
      </w:pPr>
      <w:r>
        <w:rPr>
          <w:rFonts w:ascii="Times New Roman" w:hAnsi="Times New Roman"/>
          <w:b w:val="0"/>
          <w:sz w:val="28"/>
        </w:rPr>
        <w:t>Стабильность персонала является важным условием качества работы тендерного отдела. Подготовка заявки требует знания законодательства, опыта работы с электронными площадками, понимания требований заказчиков и внутренних правил компании. При высокой сменяемости сотрудников часть опыта теряется, а новые работники вынуждены осваивать сложные операции в ускоренном режиме.</w:t>
      </w:r>
      <w:r>
        <w:rPr>
          <w:rFonts w:hint="default" w:ascii="Times New Roman" w:hAnsi="Times New Roman"/>
          <w:b w:val="0"/>
          <w:sz w:val="28"/>
          <w:lang w:val="ru-RU"/>
        </w:rPr>
        <w:t xml:space="preserve"> Анализ движения персонала компании за последние два года отражён в таблице 2.5.</w:t>
      </w:r>
    </w:p>
    <w:p w14:paraId="019826D2">
      <w:pPr>
        <w:spacing w:after="120" w:line="360" w:lineRule="auto"/>
        <w:jc w:val="right"/>
        <w:rPr>
          <w:sz w:val="24"/>
          <w:szCs w:val="24"/>
        </w:rPr>
      </w:pPr>
      <w:r>
        <w:rPr>
          <w:rFonts w:ascii="Times New Roman" w:hAnsi="Times New Roman"/>
          <w:b w:val="0"/>
          <w:sz w:val="24"/>
          <w:szCs w:val="24"/>
        </w:rPr>
        <w:t>Таблица 2.5. Анализ движения персонала тендерного отдела ООО «Лайф Медиа» за 2024-2025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862C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F03AD6F">
            <w:pPr>
              <w:widowControl w:val="0"/>
              <w:jc w:val="center"/>
              <w:rPr>
                <w:b w:val="0"/>
                <w:bCs/>
              </w:rPr>
            </w:pPr>
            <w:r>
              <w:rPr>
                <w:rFonts w:ascii="Times New Roman" w:hAnsi="Times New Roman"/>
                <w:b w:val="0"/>
                <w:bCs/>
                <w:sz w:val="24"/>
              </w:rPr>
              <w:t>Показатель</w:t>
            </w:r>
          </w:p>
        </w:tc>
        <w:tc>
          <w:tcPr>
            <w:tcW w:w="3118" w:type="dxa"/>
          </w:tcPr>
          <w:p w14:paraId="7480F63C">
            <w:pPr>
              <w:widowControl w:val="0"/>
              <w:jc w:val="center"/>
              <w:rPr>
                <w:b w:val="0"/>
                <w:bCs/>
              </w:rPr>
            </w:pPr>
            <w:r>
              <w:rPr>
                <w:rFonts w:ascii="Times New Roman" w:hAnsi="Times New Roman"/>
                <w:b w:val="0"/>
                <w:bCs/>
                <w:sz w:val="24"/>
              </w:rPr>
              <w:t>2024</w:t>
            </w:r>
          </w:p>
        </w:tc>
        <w:tc>
          <w:tcPr>
            <w:tcW w:w="3118" w:type="dxa"/>
          </w:tcPr>
          <w:p w14:paraId="39974636">
            <w:pPr>
              <w:widowControl w:val="0"/>
              <w:jc w:val="center"/>
              <w:rPr>
                <w:b w:val="0"/>
                <w:bCs/>
              </w:rPr>
            </w:pPr>
            <w:r>
              <w:rPr>
                <w:rFonts w:ascii="Times New Roman" w:hAnsi="Times New Roman"/>
                <w:b w:val="0"/>
                <w:bCs/>
                <w:sz w:val="24"/>
              </w:rPr>
              <w:t>2025</w:t>
            </w:r>
          </w:p>
        </w:tc>
      </w:tr>
      <w:tr w14:paraId="1525E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08844B9">
            <w:pPr>
              <w:widowControl w:val="0"/>
              <w:jc w:val="both"/>
            </w:pPr>
            <w:r>
              <w:rPr>
                <w:rFonts w:ascii="Times New Roman" w:hAnsi="Times New Roman"/>
                <w:sz w:val="24"/>
              </w:rPr>
              <w:t>Численность на начало года, чел.</w:t>
            </w:r>
          </w:p>
        </w:tc>
        <w:tc>
          <w:tcPr>
            <w:tcW w:w="3118" w:type="dxa"/>
          </w:tcPr>
          <w:p w14:paraId="36ACDEDC">
            <w:pPr>
              <w:widowControl w:val="0"/>
              <w:jc w:val="center"/>
            </w:pPr>
            <w:r>
              <w:rPr>
                <w:rFonts w:ascii="Times New Roman" w:hAnsi="Times New Roman"/>
                <w:sz w:val="24"/>
              </w:rPr>
              <w:t>7</w:t>
            </w:r>
          </w:p>
        </w:tc>
        <w:tc>
          <w:tcPr>
            <w:tcW w:w="3118" w:type="dxa"/>
          </w:tcPr>
          <w:p w14:paraId="5B0615E3">
            <w:pPr>
              <w:widowControl w:val="0"/>
              <w:jc w:val="center"/>
            </w:pPr>
            <w:r>
              <w:rPr>
                <w:rFonts w:ascii="Times New Roman" w:hAnsi="Times New Roman"/>
                <w:sz w:val="24"/>
              </w:rPr>
              <w:t>8</w:t>
            </w:r>
          </w:p>
        </w:tc>
      </w:tr>
      <w:tr w14:paraId="61521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4C53297">
            <w:pPr>
              <w:widowControl w:val="0"/>
              <w:jc w:val="both"/>
            </w:pPr>
            <w:r>
              <w:rPr>
                <w:rFonts w:ascii="Times New Roman" w:hAnsi="Times New Roman"/>
                <w:sz w:val="24"/>
              </w:rPr>
              <w:t>Принято, чел.</w:t>
            </w:r>
          </w:p>
        </w:tc>
        <w:tc>
          <w:tcPr>
            <w:tcW w:w="3118" w:type="dxa"/>
          </w:tcPr>
          <w:p w14:paraId="4B758032">
            <w:pPr>
              <w:widowControl w:val="0"/>
              <w:jc w:val="center"/>
            </w:pPr>
            <w:r>
              <w:rPr>
                <w:rFonts w:ascii="Times New Roman" w:hAnsi="Times New Roman"/>
                <w:sz w:val="24"/>
              </w:rPr>
              <w:t>4</w:t>
            </w:r>
          </w:p>
        </w:tc>
        <w:tc>
          <w:tcPr>
            <w:tcW w:w="3118" w:type="dxa"/>
          </w:tcPr>
          <w:p w14:paraId="5BAA0035">
            <w:pPr>
              <w:widowControl w:val="0"/>
              <w:jc w:val="center"/>
            </w:pPr>
            <w:r>
              <w:rPr>
                <w:rFonts w:ascii="Times New Roman" w:hAnsi="Times New Roman"/>
                <w:sz w:val="24"/>
              </w:rPr>
              <w:t>3</w:t>
            </w:r>
          </w:p>
        </w:tc>
      </w:tr>
      <w:tr w14:paraId="0B610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4BB7AA2">
            <w:pPr>
              <w:widowControl w:val="0"/>
              <w:jc w:val="both"/>
            </w:pPr>
            <w:r>
              <w:rPr>
                <w:rFonts w:ascii="Times New Roman" w:hAnsi="Times New Roman"/>
                <w:sz w:val="24"/>
              </w:rPr>
              <w:t>Уволено, чел.</w:t>
            </w:r>
          </w:p>
        </w:tc>
        <w:tc>
          <w:tcPr>
            <w:tcW w:w="3118" w:type="dxa"/>
          </w:tcPr>
          <w:p w14:paraId="50B279E2">
            <w:pPr>
              <w:widowControl w:val="0"/>
              <w:jc w:val="center"/>
            </w:pPr>
            <w:r>
              <w:rPr>
                <w:rFonts w:ascii="Times New Roman" w:hAnsi="Times New Roman"/>
                <w:sz w:val="24"/>
              </w:rPr>
              <w:t>3</w:t>
            </w:r>
          </w:p>
        </w:tc>
        <w:tc>
          <w:tcPr>
            <w:tcW w:w="3118" w:type="dxa"/>
          </w:tcPr>
          <w:p w14:paraId="46494AAA">
            <w:pPr>
              <w:widowControl w:val="0"/>
              <w:jc w:val="center"/>
            </w:pPr>
            <w:r>
              <w:rPr>
                <w:rFonts w:ascii="Times New Roman" w:hAnsi="Times New Roman"/>
                <w:sz w:val="24"/>
              </w:rPr>
              <w:t>3</w:t>
            </w:r>
          </w:p>
        </w:tc>
      </w:tr>
      <w:tr w14:paraId="43924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957B353">
            <w:pPr>
              <w:widowControl w:val="0"/>
              <w:jc w:val="both"/>
            </w:pPr>
            <w:r>
              <w:rPr>
                <w:rFonts w:ascii="Times New Roman" w:hAnsi="Times New Roman"/>
                <w:sz w:val="24"/>
              </w:rPr>
              <w:t>Численность на конец года, чел.</w:t>
            </w:r>
          </w:p>
        </w:tc>
        <w:tc>
          <w:tcPr>
            <w:tcW w:w="3118" w:type="dxa"/>
          </w:tcPr>
          <w:p w14:paraId="78290EB3">
            <w:pPr>
              <w:widowControl w:val="0"/>
              <w:jc w:val="center"/>
            </w:pPr>
            <w:r>
              <w:rPr>
                <w:rFonts w:ascii="Times New Roman" w:hAnsi="Times New Roman"/>
                <w:sz w:val="24"/>
              </w:rPr>
              <w:t>8</w:t>
            </w:r>
          </w:p>
        </w:tc>
        <w:tc>
          <w:tcPr>
            <w:tcW w:w="3118" w:type="dxa"/>
          </w:tcPr>
          <w:p w14:paraId="025F9952">
            <w:pPr>
              <w:widowControl w:val="0"/>
              <w:jc w:val="center"/>
            </w:pPr>
            <w:r>
              <w:rPr>
                <w:rFonts w:ascii="Times New Roman" w:hAnsi="Times New Roman"/>
                <w:sz w:val="24"/>
              </w:rPr>
              <w:t>8</w:t>
            </w:r>
          </w:p>
        </w:tc>
      </w:tr>
      <w:tr w14:paraId="7A639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CCA4327">
            <w:pPr>
              <w:widowControl w:val="0"/>
              <w:jc w:val="both"/>
            </w:pPr>
            <w:r>
              <w:rPr>
                <w:rFonts w:ascii="Times New Roman" w:hAnsi="Times New Roman"/>
                <w:sz w:val="24"/>
              </w:rPr>
              <w:t>Коэф. оборота по приему, %</w:t>
            </w:r>
          </w:p>
        </w:tc>
        <w:tc>
          <w:tcPr>
            <w:tcW w:w="3118" w:type="dxa"/>
          </w:tcPr>
          <w:p w14:paraId="3E95B414">
            <w:pPr>
              <w:widowControl w:val="0"/>
              <w:jc w:val="center"/>
            </w:pPr>
            <w:r>
              <w:rPr>
                <w:rFonts w:ascii="Times New Roman" w:hAnsi="Times New Roman"/>
                <w:sz w:val="24"/>
              </w:rPr>
              <w:t>55,3</w:t>
            </w:r>
          </w:p>
        </w:tc>
        <w:tc>
          <w:tcPr>
            <w:tcW w:w="3118" w:type="dxa"/>
          </w:tcPr>
          <w:p w14:paraId="05C7454D">
            <w:pPr>
              <w:widowControl w:val="0"/>
              <w:jc w:val="center"/>
            </w:pPr>
            <w:r>
              <w:rPr>
                <w:rFonts w:ascii="Times New Roman" w:hAnsi="Times New Roman"/>
                <w:sz w:val="24"/>
              </w:rPr>
              <w:t>37,5</w:t>
            </w:r>
          </w:p>
        </w:tc>
      </w:tr>
      <w:tr w14:paraId="093D2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9DC2DA">
            <w:pPr>
              <w:widowControl w:val="0"/>
              <w:jc w:val="both"/>
            </w:pPr>
            <w:r>
              <w:rPr>
                <w:rFonts w:ascii="Times New Roman" w:hAnsi="Times New Roman"/>
                <w:sz w:val="24"/>
              </w:rPr>
              <w:t>Коэф. оборота по выбытию, %</w:t>
            </w:r>
          </w:p>
        </w:tc>
        <w:tc>
          <w:tcPr>
            <w:tcW w:w="3118" w:type="dxa"/>
          </w:tcPr>
          <w:p w14:paraId="763FADB3">
            <w:pPr>
              <w:widowControl w:val="0"/>
              <w:jc w:val="center"/>
            </w:pPr>
            <w:r>
              <w:rPr>
                <w:rFonts w:ascii="Times New Roman" w:hAnsi="Times New Roman"/>
                <w:sz w:val="24"/>
              </w:rPr>
              <w:t>40,0</w:t>
            </w:r>
          </w:p>
        </w:tc>
        <w:tc>
          <w:tcPr>
            <w:tcW w:w="3118" w:type="dxa"/>
          </w:tcPr>
          <w:p w14:paraId="2ABE88BF">
            <w:pPr>
              <w:widowControl w:val="0"/>
              <w:jc w:val="center"/>
            </w:pPr>
            <w:r>
              <w:rPr>
                <w:rFonts w:ascii="Times New Roman" w:hAnsi="Times New Roman"/>
                <w:sz w:val="24"/>
              </w:rPr>
              <w:t>37,5</w:t>
            </w:r>
          </w:p>
        </w:tc>
      </w:tr>
      <w:tr w14:paraId="30143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3481E912">
            <w:pPr>
              <w:widowControl w:val="0"/>
              <w:jc w:val="both"/>
            </w:pPr>
            <w:r>
              <w:rPr>
                <w:rFonts w:ascii="Times New Roman" w:hAnsi="Times New Roman"/>
                <w:sz w:val="24"/>
              </w:rPr>
              <w:t>Коэф. текучести кадров, %</w:t>
            </w:r>
          </w:p>
        </w:tc>
        <w:tc>
          <w:tcPr>
            <w:tcW w:w="3118" w:type="dxa"/>
          </w:tcPr>
          <w:p w14:paraId="37F014FA">
            <w:pPr>
              <w:widowControl w:val="0"/>
              <w:jc w:val="center"/>
            </w:pPr>
            <w:r>
              <w:rPr>
                <w:rFonts w:ascii="Times New Roman" w:hAnsi="Times New Roman"/>
                <w:sz w:val="24"/>
              </w:rPr>
              <w:t>37,5</w:t>
            </w:r>
          </w:p>
        </w:tc>
        <w:tc>
          <w:tcPr>
            <w:tcW w:w="3118" w:type="dxa"/>
          </w:tcPr>
          <w:p w14:paraId="7F33AA49">
            <w:pPr>
              <w:widowControl w:val="0"/>
              <w:jc w:val="center"/>
            </w:pPr>
            <w:r>
              <w:rPr>
                <w:rFonts w:ascii="Times New Roman" w:hAnsi="Times New Roman"/>
                <w:sz w:val="24"/>
              </w:rPr>
              <w:t>37,5</w:t>
            </w:r>
          </w:p>
        </w:tc>
      </w:tr>
    </w:tbl>
    <w:p w14:paraId="75883488">
      <w:pPr>
        <w:spacing w:after="120" w:line="360" w:lineRule="auto"/>
        <w:ind w:firstLine="700"/>
        <w:jc w:val="both"/>
      </w:pPr>
    </w:p>
    <w:p w14:paraId="3BCED1CD">
      <w:pPr>
        <w:spacing w:after="120" w:line="360" w:lineRule="auto"/>
        <w:ind w:firstLine="700"/>
        <w:jc w:val="both"/>
      </w:pPr>
      <w:r>
        <w:rPr>
          <w:rFonts w:ascii="Times New Roman" w:hAnsi="Times New Roman"/>
          <w:b w:val="0"/>
          <w:sz w:val="28"/>
        </w:rPr>
        <w:t>По данным таблицы коэффициент текучести в 2024-2025 гг. сохраняется на уровне 37,5%. Ежегодно отдел теряет 3 специалиста и одновременно принимает новых сотрудников. Формально численность подразделения оста</w:t>
      </w:r>
      <w:r>
        <w:rPr>
          <w:rFonts w:ascii="Times New Roman" w:hAnsi="Times New Roman"/>
          <w:b w:val="0"/>
          <w:sz w:val="28"/>
          <w:lang w:val="ru-RU"/>
        </w:rPr>
        <w:t>ё</w:t>
      </w:r>
      <w:r>
        <w:rPr>
          <w:rFonts w:ascii="Times New Roman" w:hAnsi="Times New Roman"/>
          <w:b w:val="0"/>
          <w:sz w:val="28"/>
        </w:rPr>
        <w:t>тся стабильной, но состав команды постоянно обновляется. Для тендерного отдела это является существенным риском, поскольку качество работы зависит не только от количества сотрудников, но и от накопленного опыта подготовки заявок.</w:t>
      </w:r>
    </w:p>
    <w:p w14:paraId="0452E638">
      <w:pPr>
        <w:spacing w:after="120" w:line="360" w:lineRule="auto"/>
        <w:ind w:firstLine="700"/>
        <w:jc w:val="both"/>
        <w:rPr>
          <w:rFonts w:hint="default" w:ascii="Times New Roman" w:hAnsi="Times New Roman"/>
          <w:b w:val="0"/>
          <w:sz w:val="28"/>
          <w:lang w:val="ru-RU"/>
        </w:rPr>
      </w:pPr>
      <w:r>
        <w:rPr>
          <w:rFonts w:ascii="Times New Roman" w:hAnsi="Times New Roman"/>
          <w:b w:val="0"/>
          <w:sz w:val="28"/>
        </w:rPr>
        <w:t>Мотивация персонала в ООО «Лайф Медиа» построена на сочетании материальных и нематериальных факторов. Материальная часть закреплена в системе оплаты труда и премирования</w:t>
      </w:r>
      <w:r>
        <w:rPr>
          <w:rFonts w:hint="default" w:ascii="Times New Roman" w:hAnsi="Times New Roman"/>
          <w:b w:val="0"/>
          <w:sz w:val="28"/>
          <w:lang w:val="ru-RU"/>
        </w:rPr>
        <w:t xml:space="preserve"> (см.табл.2.6-2.7.).</w:t>
      </w:r>
    </w:p>
    <w:p w14:paraId="5398B0E5">
      <w:pPr>
        <w:spacing w:after="120" w:line="360" w:lineRule="auto"/>
        <w:ind w:firstLine="700"/>
        <w:jc w:val="both"/>
        <w:rPr>
          <w:rFonts w:hint="default" w:ascii="Times New Roman" w:hAnsi="Times New Roman"/>
          <w:b w:val="0"/>
          <w:sz w:val="28"/>
          <w:lang w:val="ru-RU"/>
        </w:rPr>
      </w:pPr>
    </w:p>
    <w:p w14:paraId="4CC77079">
      <w:pPr>
        <w:spacing w:after="120" w:line="360" w:lineRule="auto"/>
        <w:jc w:val="right"/>
        <w:rPr>
          <w:sz w:val="24"/>
          <w:szCs w:val="24"/>
        </w:rPr>
      </w:pPr>
      <w:r>
        <w:rPr>
          <w:rFonts w:ascii="Times New Roman" w:hAnsi="Times New Roman"/>
          <w:b w:val="0"/>
          <w:sz w:val="24"/>
          <w:szCs w:val="24"/>
        </w:rPr>
        <w:t>Таблица 2.6. Структура дохода тендерного специалиста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A2D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C6BBCB6">
            <w:pPr>
              <w:widowControl w:val="0"/>
              <w:jc w:val="center"/>
              <w:rPr>
                <w:b w:val="0"/>
                <w:bCs/>
              </w:rPr>
            </w:pPr>
            <w:r>
              <w:rPr>
                <w:rFonts w:ascii="Times New Roman" w:hAnsi="Times New Roman"/>
                <w:b w:val="0"/>
                <w:bCs/>
                <w:sz w:val="24"/>
              </w:rPr>
              <w:t>Компонент</w:t>
            </w:r>
          </w:p>
        </w:tc>
        <w:tc>
          <w:tcPr>
            <w:tcW w:w="3118" w:type="dxa"/>
          </w:tcPr>
          <w:p w14:paraId="2E09B422">
            <w:pPr>
              <w:widowControl w:val="0"/>
              <w:jc w:val="center"/>
              <w:rPr>
                <w:b w:val="0"/>
                <w:bCs/>
              </w:rPr>
            </w:pPr>
            <w:r>
              <w:rPr>
                <w:rFonts w:ascii="Times New Roman" w:hAnsi="Times New Roman"/>
                <w:b w:val="0"/>
                <w:bCs/>
                <w:sz w:val="24"/>
              </w:rPr>
              <w:t>Размер</w:t>
            </w:r>
          </w:p>
        </w:tc>
        <w:tc>
          <w:tcPr>
            <w:tcW w:w="3118" w:type="dxa"/>
          </w:tcPr>
          <w:p w14:paraId="2BCEC7AF">
            <w:pPr>
              <w:widowControl w:val="0"/>
              <w:jc w:val="center"/>
              <w:rPr>
                <w:b w:val="0"/>
                <w:bCs/>
              </w:rPr>
            </w:pPr>
            <w:r>
              <w:rPr>
                <w:rFonts w:ascii="Times New Roman" w:hAnsi="Times New Roman"/>
                <w:b w:val="0"/>
                <w:bCs/>
                <w:sz w:val="24"/>
              </w:rPr>
              <w:t>Условия получения</w:t>
            </w:r>
          </w:p>
        </w:tc>
      </w:tr>
      <w:tr w14:paraId="12E48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1BD07CB">
            <w:pPr>
              <w:widowControl w:val="0"/>
              <w:jc w:val="both"/>
            </w:pPr>
            <w:r>
              <w:rPr>
                <w:rFonts w:ascii="Times New Roman" w:hAnsi="Times New Roman"/>
                <w:sz w:val="24"/>
              </w:rPr>
              <w:t>Должностной оклад</w:t>
            </w:r>
          </w:p>
        </w:tc>
        <w:tc>
          <w:tcPr>
            <w:tcW w:w="3118" w:type="dxa"/>
          </w:tcPr>
          <w:p w14:paraId="0FEC234A">
            <w:pPr>
              <w:widowControl w:val="0"/>
              <w:jc w:val="both"/>
            </w:pPr>
            <w:r>
              <w:rPr>
                <w:rFonts w:ascii="Times New Roman" w:hAnsi="Times New Roman"/>
                <w:sz w:val="24"/>
              </w:rPr>
              <w:t>57 000 руб. в месяц</w:t>
            </w:r>
          </w:p>
        </w:tc>
        <w:tc>
          <w:tcPr>
            <w:tcW w:w="3118" w:type="dxa"/>
          </w:tcPr>
          <w:p w14:paraId="1C06CE7A">
            <w:pPr>
              <w:widowControl w:val="0"/>
              <w:jc w:val="both"/>
            </w:pPr>
            <w:r>
              <w:rPr>
                <w:rFonts w:ascii="Times New Roman" w:hAnsi="Times New Roman"/>
                <w:sz w:val="24"/>
              </w:rPr>
              <w:t>Гарантированно и независимо от результатов</w:t>
            </w:r>
          </w:p>
        </w:tc>
      </w:tr>
      <w:tr w14:paraId="1849E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7F64E2A">
            <w:pPr>
              <w:widowControl w:val="0"/>
              <w:jc w:val="both"/>
            </w:pPr>
            <w:r>
              <w:rPr>
                <w:rFonts w:ascii="Times New Roman" w:hAnsi="Times New Roman"/>
                <w:sz w:val="24"/>
              </w:rPr>
              <w:t>Квартальная премия</w:t>
            </w:r>
          </w:p>
        </w:tc>
        <w:tc>
          <w:tcPr>
            <w:tcW w:w="3118" w:type="dxa"/>
          </w:tcPr>
          <w:p w14:paraId="11959D3F">
            <w:pPr>
              <w:widowControl w:val="0"/>
              <w:jc w:val="both"/>
            </w:pPr>
            <w:r>
              <w:rPr>
                <w:rFonts w:ascii="Times New Roman" w:hAnsi="Times New Roman"/>
                <w:sz w:val="24"/>
              </w:rPr>
              <w:t>До 30% от оклада (до 17 000 руб.)</w:t>
            </w:r>
          </w:p>
        </w:tc>
        <w:tc>
          <w:tcPr>
            <w:tcW w:w="3118" w:type="dxa"/>
          </w:tcPr>
          <w:p w14:paraId="6288267B">
            <w:pPr>
              <w:widowControl w:val="0"/>
              <w:jc w:val="both"/>
            </w:pPr>
            <w:r>
              <w:rPr>
                <w:rFonts w:ascii="Times New Roman" w:hAnsi="Times New Roman"/>
                <w:sz w:val="24"/>
              </w:rPr>
              <w:t>Зависит от выполнения KPI</w:t>
            </w:r>
          </w:p>
        </w:tc>
      </w:tr>
      <w:tr w14:paraId="1B74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7ABD6B8">
            <w:pPr>
              <w:widowControl w:val="0"/>
              <w:jc w:val="both"/>
            </w:pPr>
            <w:r>
              <w:rPr>
                <w:rFonts w:ascii="Times New Roman" w:hAnsi="Times New Roman"/>
                <w:sz w:val="24"/>
              </w:rPr>
              <w:t>Годовая премия</w:t>
            </w:r>
          </w:p>
        </w:tc>
        <w:tc>
          <w:tcPr>
            <w:tcW w:w="3118" w:type="dxa"/>
          </w:tcPr>
          <w:p w14:paraId="1DD9253F">
            <w:pPr>
              <w:widowControl w:val="0"/>
              <w:jc w:val="both"/>
            </w:pPr>
            <w:r>
              <w:rPr>
                <w:rFonts w:ascii="Times New Roman" w:hAnsi="Times New Roman"/>
                <w:sz w:val="24"/>
              </w:rPr>
              <w:t>Переменная (обычно 50% от оклада)</w:t>
            </w:r>
          </w:p>
        </w:tc>
        <w:tc>
          <w:tcPr>
            <w:tcW w:w="3118" w:type="dxa"/>
          </w:tcPr>
          <w:p w14:paraId="0BE70916">
            <w:pPr>
              <w:widowControl w:val="0"/>
              <w:jc w:val="both"/>
            </w:pPr>
            <w:r>
              <w:rPr>
                <w:rFonts w:ascii="Times New Roman" w:hAnsi="Times New Roman"/>
                <w:sz w:val="24"/>
              </w:rPr>
              <w:t>По итогам работы за год, решение генерального директора</w:t>
            </w:r>
          </w:p>
        </w:tc>
      </w:tr>
    </w:tbl>
    <w:p w14:paraId="68EA81E4">
      <w:pPr>
        <w:spacing w:after="120" w:line="360" w:lineRule="auto"/>
        <w:ind w:firstLine="700"/>
        <w:jc w:val="both"/>
      </w:pPr>
    </w:p>
    <w:p w14:paraId="39B3CD35">
      <w:pPr>
        <w:spacing w:after="120" w:line="360" w:lineRule="auto"/>
        <w:jc w:val="right"/>
      </w:pPr>
      <w:r>
        <w:rPr>
          <w:rFonts w:ascii="Times New Roman" w:hAnsi="Times New Roman"/>
          <w:b w:val="0"/>
          <w:sz w:val="24"/>
          <w:szCs w:val="24"/>
        </w:rPr>
        <w:t>Таблица 2.7. Инструменты нематериальной мотивации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CE5A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D0079F">
            <w:pPr>
              <w:widowControl w:val="0"/>
              <w:jc w:val="center"/>
              <w:rPr>
                <w:b w:val="0"/>
                <w:bCs/>
              </w:rPr>
            </w:pPr>
            <w:r>
              <w:rPr>
                <w:rFonts w:ascii="Times New Roman" w:hAnsi="Times New Roman"/>
                <w:b w:val="0"/>
                <w:bCs/>
                <w:sz w:val="24"/>
              </w:rPr>
              <w:t>Инструмент</w:t>
            </w:r>
          </w:p>
        </w:tc>
        <w:tc>
          <w:tcPr>
            <w:tcW w:w="3118" w:type="dxa"/>
          </w:tcPr>
          <w:p w14:paraId="52F3C22F">
            <w:pPr>
              <w:widowControl w:val="0"/>
              <w:jc w:val="center"/>
              <w:rPr>
                <w:b w:val="0"/>
                <w:bCs/>
              </w:rPr>
            </w:pPr>
            <w:r>
              <w:rPr>
                <w:rFonts w:ascii="Times New Roman" w:hAnsi="Times New Roman"/>
                <w:b w:val="0"/>
                <w:bCs/>
                <w:sz w:val="24"/>
              </w:rPr>
              <w:t>Как работает</w:t>
            </w:r>
          </w:p>
        </w:tc>
        <w:tc>
          <w:tcPr>
            <w:tcW w:w="3118" w:type="dxa"/>
          </w:tcPr>
          <w:p w14:paraId="347627B0">
            <w:pPr>
              <w:widowControl w:val="0"/>
              <w:jc w:val="center"/>
              <w:rPr>
                <w:b w:val="0"/>
                <w:bCs/>
              </w:rPr>
            </w:pPr>
            <w:r>
              <w:rPr>
                <w:rFonts w:ascii="Times New Roman" w:hAnsi="Times New Roman"/>
                <w:b w:val="0"/>
                <w:bCs/>
                <w:sz w:val="24"/>
              </w:rPr>
              <w:t>Почему мотивирует</w:t>
            </w:r>
          </w:p>
        </w:tc>
      </w:tr>
      <w:tr w14:paraId="02D45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5EA0104">
            <w:pPr>
              <w:widowControl w:val="0"/>
              <w:jc w:val="both"/>
            </w:pPr>
            <w:r>
              <w:rPr>
                <w:rFonts w:ascii="Times New Roman" w:hAnsi="Times New Roman"/>
                <w:sz w:val="24"/>
              </w:rPr>
              <w:t>Полностью удаленный формат</w:t>
            </w:r>
          </w:p>
        </w:tc>
        <w:tc>
          <w:tcPr>
            <w:tcW w:w="3118" w:type="dxa"/>
          </w:tcPr>
          <w:p w14:paraId="5C4DDA16">
            <w:pPr>
              <w:widowControl w:val="0"/>
              <w:jc w:val="both"/>
            </w:pPr>
            <w:r>
              <w:rPr>
                <w:rFonts w:ascii="Times New Roman" w:hAnsi="Times New Roman"/>
                <w:sz w:val="24"/>
              </w:rPr>
              <w:t>Сотрудник может жить в любом городе и не тратить время и средства на дорогу</w:t>
            </w:r>
          </w:p>
        </w:tc>
        <w:tc>
          <w:tcPr>
            <w:tcW w:w="3118" w:type="dxa"/>
          </w:tcPr>
          <w:p w14:paraId="3FDAB2EA">
            <w:pPr>
              <w:widowControl w:val="0"/>
              <w:jc w:val="both"/>
            </w:pPr>
            <w:r>
              <w:rPr>
                <w:rFonts w:ascii="Times New Roman" w:hAnsi="Times New Roman"/>
                <w:sz w:val="24"/>
              </w:rPr>
              <w:t>Свобода и экономия ресурсов</w:t>
            </w:r>
          </w:p>
        </w:tc>
      </w:tr>
      <w:tr w14:paraId="1A4F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A3C1684">
            <w:pPr>
              <w:widowControl w:val="0"/>
              <w:jc w:val="both"/>
            </w:pPr>
            <w:r>
              <w:rPr>
                <w:rFonts w:ascii="Times New Roman" w:hAnsi="Times New Roman"/>
                <w:sz w:val="24"/>
              </w:rPr>
              <w:t>Гибкое начало рабочего дня</w:t>
            </w:r>
          </w:p>
        </w:tc>
        <w:tc>
          <w:tcPr>
            <w:tcW w:w="3118" w:type="dxa"/>
          </w:tcPr>
          <w:p w14:paraId="46BF678B">
            <w:pPr>
              <w:widowControl w:val="0"/>
              <w:jc w:val="both"/>
            </w:pPr>
            <w:r>
              <w:rPr>
                <w:rFonts w:ascii="Times New Roman" w:hAnsi="Times New Roman"/>
                <w:sz w:val="24"/>
              </w:rPr>
              <w:t>Можно начать рабочий день с 8:00 до 11:00 при условии выполнения нормы времени и участия в созвоне</w:t>
            </w:r>
          </w:p>
        </w:tc>
        <w:tc>
          <w:tcPr>
            <w:tcW w:w="3118" w:type="dxa"/>
          </w:tcPr>
          <w:p w14:paraId="2752534B">
            <w:pPr>
              <w:widowControl w:val="0"/>
              <w:jc w:val="both"/>
            </w:pPr>
            <w:r>
              <w:rPr>
                <w:rFonts w:ascii="Times New Roman" w:hAnsi="Times New Roman"/>
                <w:sz w:val="24"/>
              </w:rPr>
              <w:t>Возможность подстроить график под личные обстоятельства</w:t>
            </w:r>
          </w:p>
        </w:tc>
      </w:tr>
      <w:tr w14:paraId="3D41E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664D8F8">
            <w:pPr>
              <w:widowControl w:val="0"/>
              <w:jc w:val="both"/>
            </w:pPr>
            <w:r>
              <w:rPr>
                <w:rFonts w:ascii="Times New Roman" w:hAnsi="Times New Roman"/>
                <w:sz w:val="24"/>
              </w:rPr>
              <w:t>Прозрачная система премирования</w:t>
            </w:r>
          </w:p>
        </w:tc>
        <w:tc>
          <w:tcPr>
            <w:tcW w:w="3118" w:type="dxa"/>
          </w:tcPr>
          <w:p w14:paraId="63254F53">
            <w:pPr>
              <w:widowControl w:val="0"/>
              <w:jc w:val="both"/>
            </w:pPr>
            <w:r>
              <w:rPr>
                <w:rFonts w:ascii="Times New Roman" w:hAnsi="Times New Roman"/>
                <w:sz w:val="24"/>
              </w:rPr>
              <w:t>В Битрикс24 отражаются KPI и текущий прогресс</w:t>
            </w:r>
          </w:p>
        </w:tc>
        <w:tc>
          <w:tcPr>
            <w:tcW w:w="3118" w:type="dxa"/>
          </w:tcPr>
          <w:p w14:paraId="37561B86">
            <w:pPr>
              <w:widowControl w:val="0"/>
              <w:jc w:val="both"/>
            </w:pPr>
            <w:r>
              <w:rPr>
                <w:rFonts w:ascii="Times New Roman" w:hAnsi="Times New Roman"/>
                <w:sz w:val="24"/>
              </w:rPr>
              <w:t>Понятность критериев оценки</w:t>
            </w:r>
          </w:p>
        </w:tc>
      </w:tr>
    </w:tbl>
    <w:p w14:paraId="3E986660">
      <w:pPr>
        <w:spacing w:after="120" w:line="360" w:lineRule="auto"/>
        <w:ind w:firstLine="700"/>
        <w:jc w:val="both"/>
      </w:pPr>
    </w:p>
    <w:p w14:paraId="294D7F7F">
      <w:pPr>
        <w:spacing w:after="120" w:line="360" w:lineRule="auto"/>
        <w:ind w:firstLine="700"/>
        <w:jc w:val="both"/>
      </w:pPr>
      <w:r>
        <w:rPr>
          <w:rFonts w:ascii="Times New Roman" w:hAnsi="Times New Roman"/>
          <w:b w:val="0"/>
          <w:sz w:val="28"/>
        </w:rPr>
        <w:t>Сильными сторонами мотивации являются прозрачность KPI, удал</w:t>
      </w:r>
      <w:r>
        <w:rPr>
          <w:rFonts w:ascii="Times New Roman" w:hAnsi="Times New Roman"/>
          <w:b w:val="0"/>
          <w:sz w:val="28"/>
          <w:lang w:val="ru-RU"/>
        </w:rPr>
        <w:t>ё</w:t>
      </w:r>
      <w:r>
        <w:rPr>
          <w:rFonts w:ascii="Times New Roman" w:hAnsi="Times New Roman"/>
          <w:b w:val="0"/>
          <w:sz w:val="28"/>
        </w:rPr>
        <w:t>нный формат и гибкость рабочего графика. Однако действующая система почти не связана с профессиональным развитием. Премирование ориентировано на результат работы, но не выделяет обучение, наставничество или передачу опыта как самостоятельные ценности. В условиях высокой текучести это снижает заинтересованность опытных сотрудников в системной помощи новичкам и не созда</w:t>
      </w:r>
      <w:r>
        <w:rPr>
          <w:rFonts w:ascii="Times New Roman" w:hAnsi="Times New Roman"/>
          <w:b w:val="0"/>
          <w:sz w:val="28"/>
          <w:lang w:val="ru-RU"/>
        </w:rPr>
        <w:t>ё</w:t>
      </w:r>
      <w:r>
        <w:rPr>
          <w:rFonts w:ascii="Times New Roman" w:hAnsi="Times New Roman"/>
          <w:b w:val="0"/>
          <w:sz w:val="28"/>
        </w:rPr>
        <w:t>т устойчивого механизма накопления знаний внутри отдела.</w:t>
      </w:r>
    </w:p>
    <w:p w14:paraId="26222376">
      <w:pPr>
        <w:spacing w:after="120" w:line="360" w:lineRule="auto"/>
        <w:ind w:firstLine="700"/>
        <w:jc w:val="both"/>
      </w:pPr>
      <w:r>
        <w:rPr>
          <w:rFonts w:ascii="Times New Roman" w:hAnsi="Times New Roman"/>
          <w:b w:val="0"/>
          <w:sz w:val="28"/>
        </w:rPr>
        <w:t>Финансовые результаты предприятия напрямую зависят от эффективности использования персонала. Структура среднемесячных выплат представлена в таблице 2.8.</w:t>
      </w:r>
    </w:p>
    <w:p w14:paraId="10257DF1">
      <w:pPr>
        <w:spacing w:after="120" w:line="360" w:lineRule="auto"/>
        <w:jc w:val="both"/>
      </w:pPr>
      <w:r>
        <w:rPr>
          <w:rFonts w:ascii="Times New Roman" w:hAnsi="Times New Roman"/>
          <w:b w:val="0"/>
          <w:sz w:val="28"/>
        </w:rPr>
        <w:t>Таблица 2.8. Структура персонала и среднемесячные выплаты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2339"/>
        <w:gridCol w:w="2339"/>
        <w:gridCol w:w="2339"/>
      </w:tblGrid>
      <w:tr w14:paraId="667DC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8831161">
            <w:pPr>
              <w:widowControl w:val="0"/>
              <w:jc w:val="center"/>
              <w:rPr>
                <w:b w:val="0"/>
                <w:bCs/>
              </w:rPr>
            </w:pPr>
            <w:r>
              <w:rPr>
                <w:rFonts w:ascii="Times New Roman" w:hAnsi="Times New Roman"/>
                <w:b w:val="0"/>
                <w:bCs/>
                <w:sz w:val="24"/>
              </w:rPr>
              <w:t>Категория</w:t>
            </w:r>
          </w:p>
        </w:tc>
        <w:tc>
          <w:tcPr>
            <w:tcW w:w="2339" w:type="dxa"/>
          </w:tcPr>
          <w:p w14:paraId="2B3B9210">
            <w:pPr>
              <w:widowControl w:val="0"/>
              <w:jc w:val="center"/>
              <w:rPr>
                <w:b w:val="0"/>
                <w:bCs/>
              </w:rPr>
            </w:pPr>
            <w:r>
              <w:rPr>
                <w:rFonts w:ascii="Times New Roman" w:hAnsi="Times New Roman"/>
                <w:b w:val="0"/>
                <w:bCs/>
                <w:sz w:val="24"/>
              </w:rPr>
              <w:t>Кол-во</w:t>
            </w:r>
          </w:p>
        </w:tc>
        <w:tc>
          <w:tcPr>
            <w:tcW w:w="2339" w:type="dxa"/>
          </w:tcPr>
          <w:p w14:paraId="54E75134">
            <w:pPr>
              <w:widowControl w:val="0"/>
              <w:jc w:val="center"/>
              <w:rPr>
                <w:b w:val="0"/>
                <w:bCs/>
              </w:rPr>
            </w:pPr>
            <w:r>
              <w:rPr>
                <w:rFonts w:ascii="Times New Roman" w:hAnsi="Times New Roman"/>
                <w:b w:val="0"/>
                <w:bCs/>
                <w:sz w:val="24"/>
              </w:rPr>
              <w:t>Среднемесячная выплата, руб.</w:t>
            </w:r>
          </w:p>
        </w:tc>
        <w:tc>
          <w:tcPr>
            <w:tcW w:w="2339" w:type="dxa"/>
          </w:tcPr>
          <w:p w14:paraId="4FDFE93B">
            <w:pPr>
              <w:widowControl w:val="0"/>
              <w:jc w:val="center"/>
              <w:rPr>
                <w:b w:val="0"/>
                <w:bCs/>
              </w:rPr>
            </w:pPr>
            <w:r>
              <w:rPr>
                <w:rFonts w:ascii="Times New Roman" w:hAnsi="Times New Roman"/>
                <w:b w:val="0"/>
                <w:bCs/>
                <w:sz w:val="24"/>
              </w:rPr>
              <w:t>Всего в месяц на категорию, руб.</w:t>
            </w:r>
          </w:p>
        </w:tc>
      </w:tr>
      <w:tr w14:paraId="49D7E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35F8194">
            <w:pPr>
              <w:widowControl w:val="0"/>
              <w:jc w:val="both"/>
            </w:pPr>
            <w:r>
              <w:rPr>
                <w:rFonts w:ascii="Times New Roman" w:hAnsi="Times New Roman"/>
                <w:sz w:val="24"/>
              </w:rPr>
              <w:t>Тендерные специалисты</w:t>
            </w:r>
          </w:p>
        </w:tc>
        <w:tc>
          <w:tcPr>
            <w:tcW w:w="2339" w:type="dxa"/>
            <w:vAlign w:val="center"/>
          </w:tcPr>
          <w:p w14:paraId="67D102AC">
            <w:pPr>
              <w:widowControl w:val="0"/>
              <w:jc w:val="center"/>
            </w:pPr>
            <w:r>
              <w:rPr>
                <w:rFonts w:ascii="Times New Roman" w:hAnsi="Times New Roman"/>
                <w:sz w:val="24"/>
              </w:rPr>
              <w:t>8</w:t>
            </w:r>
          </w:p>
        </w:tc>
        <w:tc>
          <w:tcPr>
            <w:tcW w:w="2339" w:type="dxa"/>
            <w:vAlign w:val="center"/>
          </w:tcPr>
          <w:p w14:paraId="31C69C79">
            <w:pPr>
              <w:widowControl w:val="0"/>
              <w:jc w:val="center"/>
            </w:pPr>
            <w:r>
              <w:rPr>
                <w:rFonts w:ascii="Times New Roman" w:hAnsi="Times New Roman"/>
                <w:sz w:val="24"/>
              </w:rPr>
              <w:t>63 175</w:t>
            </w:r>
          </w:p>
        </w:tc>
        <w:tc>
          <w:tcPr>
            <w:tcW w:w="2339" w:type="dxa"/>
            <w:vAlign w:val="center"/>
          </w:tcPr>
          <w:p w14:paraId="44A2F499">
            <w:pPr>
              <w:widowControl w:val="0"/>
              <w:jc w:val="center"/>
            </w:pPr>
            <w:r>
              <w:rPr>
                <w:rFonts w:ascii="Times New Roman" w:hAnsi="Times New Roman"/>
                <w:sz w:val="24"/>
              </w:rPr>
              <w:t>505 400</w:t>
            </w:r>
          </w:p>
        </w:tc>
      </w:tr>
      <w:tr w14:paraId="60E5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BC5F66D">
            <w:pPr>
              <w:widowControl w:val="0"/>
              <w:jc w:val="both"/>
            </w:pPr>
            <w:r>
              <w:rPr>
                <w:rFonts w:ascii="Times New Roman" w:hAnsi="Times New Roman"/>
                <w:sz w:val="24"/>
              </w:rPr>
              <w:t>Отдел продаж</w:t>
            </w:r>
          </w:p>
        </w:tc>
        <w:tc>
          <w:tcPr>
            <w:tcW w:w="2339" w:type="dxa"/>
            <w:vAlign w:val="center"/>
          </w:tcPr>
          <w:p w14:paraId="60588DD2">
            <w:pPr>
              <w:widowControl w:val="0"/>
              <w:jc w:val="center"/>
            </w:pPr>
            <w:r>
              <w:rPr>
                <w:rFonts w:ascii="Times New Roman" w:hAnsi="Times New Roman"/>
                <w:sz w:val="24"/>
              </w:rPr>
              <w:t>4</w:t>
            </w:r>
          </w:p>
        </w:tc>
        <w:tc>
          <w:tcPr>
            <w:tcW w:w="2339" w:type="dxa"/>
            <w:vAlign w:val="center"/>
          </w:tcPr>
          <w:p w14:paraId="5EEA2851">
            <w:pPr>
              <w:widowControl w:val="0"/>
              <w:jc w:val="center"/>
            </w:pPr>
            <w:r>
              <w:rPr>
                <w:rFonts w:ascii="Times New Roman" w:hAnsi="Times New Roman"/>
                <w:sz w:val="24"/>
              </w:rPr>
              <w:t>48 000</w:t>
            </w:r>
          </w:p>
        </w:tc>
        <w:tc>
          <w:tcPr>
            <w:tcW w:w="2339" w:type="dxa"/>
            <w:vAlign w:val="center"/>
          </w:tcPr>
          <w:p w14:paraId="226C7ADA">
            <w:pPr>
              <w:widowControl w:val="0"/>
              <w:jc w:val="center"/>
            </w:pPr>
            <w:r>
              <w:rPr>
                <w:rFonts w:ascii="Times New Roman" w:hAnsi="Times New Roman"/>
                <w:sz w:val="24"/>
              </w:rPr>
              <w:t>192 000</w:t>
            </w:r>
          </w:p>
        </w:tc>
      </w:tr>
      <w:tr w14:paraId="03669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14DB289">
            <w:pPr>
              <w:widowControl w:val="0"/>
              <w:jc w:val="both"/>
            </w:pPr>
            <w:r>
              <w:rPr>
                <w:rFonts w:ascii="Times New Roman" w:hAnsi="Times New Roman"/>
                <w:sz w:val="24"/>
              </w:rPr>
              <w:t>Отдел логистики</w:t>
            </w:r>
          </w:p>
        </w:tc>
        <w:tc>
          <w:tcPr>
            <w:tcW w:w="2339" w:type="dxa"/>
            <w:vAlign w:val="center"/>
          </w:tcPr>
          <w:p w14:paraId="6B809240">
            <w:pPr>
              <w:widowControl w:val="0"/>
              <w:jc w:val="center"/>
            </w:pPr>
            <w:r>
              <w:rPr>
                <w:rFonts w:ascii="Times New Roman" w:hAnsi="Times New Roman"/>
                <w:sz w:val="24"/>
              </w:rPr>
              <w:t>3</w:t>
            </w:r>
          </w:p>
        </w:tc>
        <w:tc>
          <w:tcPr>
            <w:tcW w:w="2339" w:type="dxa"/>
            <w:vAlign w:val="center"/>
          </w:tcPr>
          <w:p w14:paraId="356D5ACA">
            <w:pPr>
              <w:widowControl w:val="0"/>
              <w:jc w:val="center"/>
            </w:pPr>
            <w:r>
              <w:rPr>
                <w:rFonts w:ascii="Times New Roman" w:hAnsi="Times New Roman"/>
                <w:sz w:val="24"/>
              </w:rPr>
              <w:t>45 000</w:t>
            </w:r>
          </w:p>
        </w:tc>
        <w:tc>
          <w:tcPr>
            <w:tcW w:w="2339" w:type="dxa"/>
            <w:vAlign w:val="center"/>
          </w:tcPr>
          <w:p w14:paraId="3DB7FFB3">
            <w:pPr>
              <w:widowControl w:val="0"/>
              <w:jc w:val="center"/>
            </w:pPr>
            <w:r>
              <w:rPr>
                <w:rFonts w:ascii="Times New Roman" w:hAnsi="Times New Roman"/>
                <w:sz w:val="24"/>
              </w:rPr>
              <w:t>135 000</w:t>
            </w:r>
          </w:p>
        </w:tc>
      </w:tr>
      <w:tr w14:paraId="7BAE5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0CB819">
            <w:pPr>
              <w:widowControl w:val="0"/>
              <w:jc w:val="both"/>
            </w:pPr>
            <w:r>
              <w:rPr>
                <w:rFonts w:ascii="Times New Roman" w:hAnsi="Times New Roman"/>
                <w:sz w:val="24"/>
              </w:rPr>
              <w:t>Генеральный директор</w:t>
            </w:r>
          </w:p>
        </w:tc>
        <w:tc>
          <w:tcPr>
            <w:tcW w:w="2339" w:type="dxa"/>
            <w:vAlign w:val="center"/>
          </w:tcPr>
          <w:p w14:paraId="2DDB6C16">
            <w:pPr>
              <w:widowControl w:val="0"/>
              <w:jc w:val="center"/>
            </w:pPr>
            <w:r>
              <w:rPr>
                <w:rFonts w:ascii="Times New Roman" w:hAnsi="Times New Roman"/>
                <w:sz w:val="24"/>
              </w:rPr>
              <w:t>1</w:t>
            </w:r>
          </w:p>
        </w:tc>
        <w:tc>
          <w:tcPr>
            <w:tcW w:w="2339" w:type="dxa"/>
            <w:vAlign w:val="center"/>
          </w:tcPr>
          <w:p w14:paraId="66C3F969">
            <w:pPr>
              <w:widowControl w:val="0"/>
              <w:jc w:val="center"/>
            </w:pPr>
            <w:r>
              <w:rPr>
                <w:rFonts w:ascii="Times New Roman" w:hAnsi="Times New Roman"/>
                <w:sz w:val="24"/>
              </w:rPr>
              <w:t>60 000</w:t>
            </w:r>
          </w:p>
        </w:tc>
        <w:tc>
          <w:tcPr>
            <w:tcW w:w="2339" w:type="dxa"/>
            <w:vAlign w:val="center"/>
          </w:tcPr>
          <w:p w14:paraId="414B5514">
            <w:pPr>
              <w:widowControl w:val="0"/>
              <w:jc w:val="center"/>
            </w:pPr>
            <w:r>
              <w:rPr>
                <w:rFonts w:ascii="Times New Roman" w:hAnsi="Times New Roman"/>
                <w:sz w:val="24"/>
              </w:rPr>
              <w:t>60 000</w:t>
            </w:r>
          </w:p>
        </w:tc>
      </w:tr>
      <w:tr w14:paraId="0AE8C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56478607">
            <w:pPr>
              <w:widowControl w:val="0"/>
              <w:jc w:val="both"/>
            </w:pPr>
            <w:r>
              <w:rPr>
                <w:rFonts w:ascii="Times New Roman" w:hAnsi="Times New Roman"/>
                <w:sz w:val="24"/>
              </w:rPr>
              <w:t>Бухгалтер</w:t>
            </w:r>
          </w:p>
        </w:tc>
        <w:tc>
          <w:tcPr>
            <w:tcW w:w="2339" w:type="dxa"/>
            <w:vAlign w:val="center"/>
          </w:tcPr>
          <w:p w14:paraId="5F56ED29">
            <w:pPr>
              <w:widowControl w:val="0"/>
              <w:jc w:val="center"/>
            </w:pPr>
            <w:r>
              <w:rPr>
                <w:rFonts w:ascii="Times New Roman" w:hAnsi="Times New Roman"/>
                <w:sz w:val="24"/>
              </w:rPr>
              <w:t>1</w:t>
            </w:r>
          </w:p>
        </w:tc>
        <w:tc>
          <w:tcPr>
            <w:tcW w:w="2339" w:type="dxa"/>
            <w:vAlign w:val="center"/>
          </w:tcPr>
          <w:p w14:paraId="5183B69F">
            <w:pPr>
              <w:widowControl w:val="0"/>
              <w:jc w:val="center"/>
            </w:pPr>
            <w:r>
              <w:rPr>
                <w:rFonts w:ascii="Times New Roman" w:hAnsi="Times New Roman"/>
                <w:sz w:val="24"/>
              </w:rPr>
              <w:t>57 292</w:t>
            </w:r>
          </w:p>
        </w:tc>
        <w:tc>
          <w:tcPr>
            <w:tcW w:w="2339" w:type="dxa"/>
            <w:vAlign w:val="center"/>
          </w:tcPr>
          <w:p w14:paraId="41E2161A">
            <w:pPr>
              <w:widowControl w:val="0"/>
              <w:jc w:val="center"/>
            </w:pPr>
            <w:r>
              <w:rPr>
                <w:rFonts w:ascii="Times New Roman" w:hAnsi="Times New Roman"/>
                <w:sz w:val="24"/>
              </w:rPr>
              <w:t>57 292</w:t>
            </w:r>
          </w:p>
        </w:tc>
      </w:tr>
      <w:tr w14:paraId="3559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079E675">
            <w:pPr>
              <w:widowControl w:val="0"/>
              <w:jc w:val="both"/>
            </w:pPr>
            <w:r>
              <w:rPr>
                <w:rFonts w:ascii="Times New Roman" w:hAnsi="Times New Roman"/>
                <w:sz w:val="24"/>
              </w:rPr>
              <w:t>Системный администратор</w:t>
            </w:r>
          </w:p>
        </w:tc>
        <w:tc>
          <w:tcPr>
            <w:tcW w:w="2339" w:type="dxa"/>
            <w:vAlign w:val="center"/>
          </w:tcPr>
          <w:p w14:paraId="479F09BC">
            <w:pPr>
              <w:widowControl w:val="0"/>
              <w:jc w:val="center"/>
            </w:pPr>
            <w:r>
              <w:rPr>
                <w:rFonts w:ascii="Times New Roman" w:hAnsi="Times New Roman"/>
                <w:sz w:val="24"/>
              </w:rPr>
              <w:t>0,5</w:t>
            </w:r>
          </w:p>
        </w:tc>
        <w:tc>
          <w:tcPr>
            <w:tcW w:w="2339" w:type="dxa"/>
            <w:vAlign w:val="center"/>
          </w:tcPr>
          <w:p w14:paraId="6D63671B">
            <w:pPr>
              <w:widowControl w:val="0"/>
              <w:jc w:val="center"/>
            </w:pPr>
            <w:r>
              <w:rPr>
                <w:rFonts w:ascii="Times New Roman" w:hAnsi="Times New Roman"/>
                <w:sz w:val="24"/>
              </w:rPr>
              <w:t>60 000</w:t>
            </w:r>
          </w:p>
        </w:tc>
        <w:tc>
          <w:tcPr>
            <w:tcW w:w="2339" w:type="dxa"/>
            <w:vAlign w:val="center"/>
          </w:tcPr>
          <w:p w14:paraId="375B3328">
            <w:pPr>
              <w:widowControl w:val="0"/>
              <w:jc w:val="center"/>
            </w:pPr>
            <w:r>
              <w:rPr>
                <w:rFonts w:ascii="Times New Roman" w:hAnsi="Times New Roman"/>
                <w:sz w:val="24"/>
              </w:rPr>
              <w:t>30 000</w:t>
            </w:r>
          </w:p>
        </w:tc>
      </w:tr>
      <w:tr w14:paraId="746D8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FA8F0B5">
            <w:pPr>
              <w:widowControl w:val="0"/>
              <w:jc w:val="both"/>
            </w:pPr>
            <w:r>
              <w:rPr>
                <w:rFonts w:ascii="Times New Roman" w:hAnsi="Times New Roman"/>
                <w:sz w:val="24"/>
              </w:rPr>
              <w:t>Юрист (аутсорсинг)</w:t>
            </w:r>
          </w:p>
        </w:tc>
        <w:tc>
          <w:tcPr>
            <w:tcW w:w="2339" w:type="dxa"/>
            <w:vAlign w:val="center"/>
          </w:tcPr>
          <w:p w14:paraId="416038C0">
            <w:pPr>
              <w:widowControl w:val="0"/>
              <w:jc w:val="center"/>
            </w:pPr>
            <w:r>
              <w:rPr>
                <w:rFonts w:ascii="Times New Roman" w:hAnsi="Times New Roman"/>
                <w:sz w:val="24"/>
              </w:rPr>
              <w:t>-</w:t>
            </w:r>
          </w:p>
        </w:tc>
        <w:tc>
          <w:tcPr>
            <w:tcW w:w="2339" w:type="dxa"/>
            <w:vAlign w:val="center"/>
          </w:tcPr>
          <w:p w14:paraId="5DCF617A">
            <w:pPr>
              <w:widowControl w:val="0"/>
              <w:jc w:val="center"/>
            </w:pPr>
            <w:r>
              <w:rPr>
                <w:rFonts w:ascii="Times New Roman" w:hAnsi="Times New Roman"/>
                <w:sz w:val="24"/>
              </w:rPr>
              <w:t>12 500</w:t>
            </w:r>
          </w:p>
        </w:tc>
        <w:tc>
          <w:tcPr>
            <w:tcW w:w="2339" w:type="dxa"/>
            <w:vAlign w:val="center"/>
          </w:tcPr>
          <w:p w14:paraId="04BA7BD8">
            <w:pPr>
              <w:widowControl w:val="0"/>
              <w:jc w:val="center"/>
            </w:pPr>
            <w:r>
              <w:rPr>
                <w:rFonts w:ascii="Times New Roman" w:hAnsi="Times New Roman"/>
                <w:sz w:val="24"/>
              </w:rPr>
              <w:t>12 500</w:t>
            </w:r>
          </w:p>
        </w:tc>
      </w:tr>
      <w:tr w14:paraId="3CB72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696B7828">
            <w:pPr>
              <w:widowControl w:val="0"/>
              <w:jc w:val="both"/>
            </w:pPr>
            <w:r>
              <w:rPr>
                <w:rFonts w:ascii="Times New Roman" w:hAnsi="Times New Roman"/>
                <w:sz w:val="24"/>
              </w:rPr>
              <w:t>Итого</w:t>
            </w:r>
          </w:p>
        </w:tc>
        <w:tc>
          <w:tcPr>
            <w:tcW w:w="2339" w:type="dxa"/>
            <w:vAlign w:val="center"/>
          </w:tcPr>
          <w:p w14:paraId="4047E21E">
            <w:pPr>
              <w:widowControl w:val="0"/>
              <w:jc w:val="center"/>
            </w:pPr>
            <w:r>
              <w:rPr>
                <w:rFonts w:ascii="Times New Roman" w:hAnsi="Times New Roman"/>
                <w:sz w:val="24"/>
              </w:rPr>
              <w:t>-</w:t>
            </w:r>
          </w:p>
        </w:tc>
        <w:tc>
          <w:tcPr>
            <w:tcW w:w="2339" w:type="dxa"/>
            <w:vAlign w:val="center"/>
          </w:tcPr>
          <w:p w14:paraId="44626848">
            <w:pPr>
              <w:widowControl w:val="0"/>
              <w:jc w:val="center"/>
            </w:pPr>
            <w:r>
              <w:rPr>
                <w:rFonts w:ascii="Times New Roman" w:hAnsi="Times New Roman"/>
                <w:sz w:val="24"/>
              </w:rPr>
              <w:t>-</w:t>
            </w:r>
          </w:p>
        </w:tc>
        <w:tc>
          <w:tcPr>
            <w:tcW w:w="2339" w:type="dxa"/>
            <w:vAlign w:val="center"/>
          </w:tcPr>
          <w:p w14:paraId="3D0E97B3">
            <w:pPr>
              <w:widowControl w:val="0"/>
              <w:jc w:val="center"/>
            </w:pPr>
            <w:r>
              <w:rPr>
                <w:rFonts w:ascii="Times New Roman" w:hAnsi="Times New Roman"/>
                <w:sz w:val="24"/>
              </w:rPr>
              <w:t>979 692</w:t>
            </w:r>
          </w:p>
        </w:tc>
      </w:tr>
    </w:tbl>
    <w:p w14:paraId="7B5DCDD0">
      <w:pPr>
        <w:spacing w:after="120" w:line="360" w:lineRule="auto"/>
        <w:ind w:firstLine="700"/>
        <w:jc w:val="both"/>
      </w:pPr>
    </w:p>
    <w:p w14:paraId="39DAD71D">
      <w:pPr>
        <w:spacing w:after="120" w:line="360" w:lineRule="auto"/>
        <w:ind w:firstLine="700"/>
        <w:jc w:val="both"/>
      </w:pPr>
      <w:r>
        <w:rPr>
          <w:rFonts w:ascii="Times New Roman" w:hAnsi="Times New Roman"/>
          <w:b w:val="0"/>
          <w:sz w:val="28"/>
        </w:rPr>
        <w:t>Тендерные специалисты имеют наиболее высокий совокупный фонд ежемесячных выплат среди подразделений. Это объясняется их вкладом в выручку компании и сложностью выполняемых функций. При этом высокая стоимость персонала требует сопоставления затрат с качеством работы и результативностью участия в тендерах.</w:t>
      </w:r>
    </w:p>
    <w:p w14:paraId="7D97751B">
      <w:pPr>
        <w:spacing w:after="120" w:line="360" w:lineRule="auto"/>
        <w:ind w:firstLine="700"/>
        <w:jc w:val="both"/>
        <w:rPr>
          <w:rFonts w:ascii="Times New Roman" w:hAnsi="Times New Roman"/>
          <w:b w:val="0"/>
          <w:sz w:val="28"/>
        </w:rPr>
      </w:pPr>
      <w:r>
        <w:rPr>
          <w:rFonts w:ascii="Times New Roman" w:hAnsi="Times New Roman"/>
          <w:b w:val="0"/>
          <w:sz w:val="28"/>
          <w:lang w:val="ru-RU"/>
        </w:rPr>
        <w:t>Из</w:t>
      </w:r>
      <w:r>
        <w:rPr>
          <w:rFonts w:hint="default" w:ascii="Times New Roman" w:hAnsi="Times New Roman"/>
          <w:b w:val="0"/>
          <w:sz w:val="28"/>
          <w:lang w:val="ru-RU"/>
        </w:rPr>
        <w:t xml:space="preserve"> таблицы 2.9. видно, что о</w:t>
      </w:r>
      <w:r>
        <w:rPr>
          <w:rFonts w:ascii="Times New Roman" w:hAnsi="Times New Roman"/>
          <w:b w:val="0"/>
          <w:sz w:val="28"/>
        </w:rPr>
        <w:t>бщие затраты на персонал в 2025 году составляют 15,445 млн руб., или около 37,3% от выручки. Для торговой компании такая доля является высокой по сравнению с ориентиром 20-30%. При этом расходы на обучение составляют всего 45 тыс. руб., то есть около 0,37% от ФОТ и 0,29% от общих затрат на персонал. Следовательно, основная часть кадровых расходов направлена на оплату труда и обязательные начисления, тогда как развитие компетенций финансируется минимально.</w:t>
      </w:r>
    </w:p>
    <w:p w14:paraId="0C4331B3">
      <w:pPr>
        <w:spacing w:after="120" w:line="360" w:lineRule="auto"/>
        <w:jc w:val="right"/>
        <w:rPr>
          <w:sz w:val="24"/>
          <w:szCs w:val="24"/>
        </w:rPr>
      </w:pPr>
      <w:r>
        <w:rPr>
          <w:rFonts w:ascii="Times New Roman" w:hAnsi="Times New Roman"/>
          <w:b w:val="0"/>
          <w:sz w:val="24"/>
          <w:szCs w:val="24"/>
        </w:rPr>
        <w:t>Таблица 2.9. Расходы на оплату труда и затраты на персонал ООО «Лайф Медиа» в 2025 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36CA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677" w:type="dxa"/>
            <w:vAlign w:val="center"/>
          </w:tcPr>
          <w:p w14:paraId="0FF7CA8A">
            <w:pPr>
              <w:widowControl w:val="0"/>
              <w:jc w:val="center"/>
              <w:rPr>
                <w:b w:val="0"/>
                <w:bCs/>
              </w:rPr>
            </w:pPr>
            <w:r>
              <w:rPr>
                <w:rFonts w:ascii="Times New Roman" w:hAnsi="Times New Roman"/>
                <w:b w:val="0"/>
                <w:bCs/>
                <w:sz w:val="24"/>
              </w:rPr>
              <w:t>Показатель</w:t>
            </w:r>
          </w:p>
        </w:tc>
        <w:tc>
          <w:tcPr>
            <w:tcW w:w="4677" w:type="dxa"/>
            <w:vAlign w:val="center"/>
          </w:tcPr>
          <w:p w14:paraId="05986340">
            <w:pPr>
              <w:widowControl w:val="0"/>
              <w:jc w:val="center"/>
              <w:rPr>
                <w:b w:val="0"/>
                <w:bCs/>
              </w:rPr>
            </w:pPr>
            <w:r>
              <w:rPr>
                <w:rFonts w:ascii="Times New Roman" w:hAnsi="Times New Roman"/>
                <w:b w:val="0"/>
                <w:bCs/>
                <w:sz w:val="24"/>
              </w:rPr>
              <w:t>Сумма, тыс. руб.</w:t>
            </w:r>
          </w:p>
        </w:tc>
      </w:tr>
      <w:tr w14:paraId="4FA8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FB8D5F4">
            <w:pPr>
              <w:widowControl w:val="0"/>
              <w:jc w:val="both"/>
            </w:pPr>
            <w:r>
              <w:rPr>
                <w:rFonts w:ascii="Times New Roman" w:hAnsi="Times New Roman"/>
                <w:sz w:val="24"/>
              </w:rPr>
              <w:t>ФОТ тендерного отдела (8 чел.)</w:t>
            </w:r>
          </w:p>
        </w:tc>
        <w:tc>
          <w:tcPr>
            <w:tcW w:w="4677" w:type="dxa"/>
            <w:vAlign w:val="top"/>
          </w:tcPr>
          <w:p w14:paraId="0BEED842">
            <w:pPr>
              <w:widowControl w:val="0"/>
              <w:jc w:val="center"/>
            </w:pPr>
            <w:r>
              <w:rPr>
                <w:rFonts w:ascii="Times New Roman" w:hAnsi="Times New Roman"/>
                <w:sz w:val="24"/>
              </w:rPr>
              <w:t>6 100</w:t>
            </w:r>
          </w:p>
        </w:tc>
      </w:tr>
      <w:tr w14:paraId="356A6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3CF6D12">
            <w:pPr>
              <w:widowControl w:val="0"/>
              <w:jc w:val="both"/>
            </w:pPr>
            <w:r>
              <w:rPr>
                <w:rFonts w:ascii="Times New Roman" w:hAnsi="Times New Roman"/>
                <w:sz w:val="24"/>
              </w:rPr>
              <w:t>ФОТ отдела продаж (4 чел.)</w:t>
            </w:r>
          </w:p>
        </w:tc>
        <w:tc>
          <w:tcPr>
            <w:tcW w:w="4677" w:type="dxa"/>
            <w:vAlign w:val="top"/>
          </w:tcPr>
          <w:p w14:paraId="0112CB19">
            <w:pPr>
              <w:widowControl w:val="0"/>
              <w:jc w:val="center"/>
            </w:pPr>
            <w:r>
              <w:rPr>
                <w:rFonts w:ascii="Times New Roman" w:hAnsi="Times New Roman"/>
                <w:sz w:val="24"/>
              </w:rPr>
              <w:t>2 400</w:t>
            </w:r>
          </w:p>
        </w:tc>
      </w:tr>
      <w:tr w14:paraId="660BF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803EACA">
            <w:pPr>
              <w:widowControl w:val="0"/>
              <w:jc w:val="both"/>
            </w:pPr>
            <w:r>
              <w:rPr>
                <w:rFonts w:ascii="Times New Roman" w:hAnsi="Times New Roman"/>
                <w:sz w:val="24"/>
              </w:rPr>
              <w:t>ФОТ отдела логистики (3 чел.)</w:t>
            </w:r>
          </w:p>
        </w:tc>
        <w:tc>
          <w:tcPr>
            <w:tcW w:w="4677" w:type="dxa"/>
            <w:vAlign w:val="top"/>
          </w:tcPr>
          <w:p w14:paraId="36D7D4E9">
            <w:pPr>
              <w:widowControl w:val="0"/>
              <w:jc w:val="center"/>
            </w:pPr>
            <w:r>
              <w:rPr>
                <w:rFonts w:ascii="Times New Roman" w:hAnsi="Times New Roman"/>
                <w:sz w:val="24"/>
              </w:rPr>
              <w:t>1 600</w:t>
            </w:r>
          </w:p>
        </w:tc>
      </w:tr>
    </w:tbl>
    <w:p w14:paraId="7F0B1EF4">
      <w:pPr>
        <w:spacing w:after="120" w:line="360" w:lineRule="auto"/>
        <w:jc w:val="right"/>
        <w:rPr>
          <w:rFonts w:hint="default" w:ascii="Times New Roman" w:hAnsi="Times New Roman"/>
          <w:b w:val="0"/>
          <w:sz w:val="24"/>
          <w:szCs w:val="18"/>
          <w:lang w:val="ru-RU"/>
        </w:rPr>
      </w:pPr>
      <w:r>
        <w:rPr>
          <w:rFonts w:ascii="Times New Roman" w:hAnsi="Times New Roman"/>
          <w:b w:val="0"/>
          <w:sz w:val="24"/>
          <w:szCs w:val="18"/>
          <w:lang w:val="ru-RU"/>
        </w:rPr>
        <w:t>Продолжение</w:t>
      </w:r>
      <w:r>
        <w:rPr>
          <w:rFonts w:hint="default" w:ascii="Times New Roman" w:hAnsi="Times New Roman"/>
          <w:b w:val="0"/>
          <w:sz w:val="24"/>
          <w:szCs w:val="18"/>
          <w:lang w:val="ru-RU"/>
        </w:rPr>
        <w:t xml:space="preserve"> таблицы 2.9.</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7"/>
        <w:gridCol w:w="4677"/>
      </w:tblGrid>
      <w:tr w14:paraId="6AB33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4677" w:type="dxa"/>
          </w:tcPr>
          <w:p w14:paraId="3E484F33">
            <w:pPr>
              <w:widowControl w:val="0"/>
              <w:jc w:val="both"/>
            </w:pPr>
            <w:r>
              <w:rPr>
                <w:rFonts w:ascii="Times New Roman" w:hAnsi="Times New Roman"/>
                <w:sz w:val="24"/>
              </w:rPr>
              <w:t>ФОТ административно-управленческого блока (2,5 ставки)</w:t>
            </w:r>
          </w:p>
        </w:tc>
        <w:tc>
          <w:tcPr>
            <w:tcW w:w="4677" w:type="dxa"/>
            <w:vAlign w:val="top"/>
          </w:tcPr>
          <w:p w14:paraId="3A80E2C8">
            <w:pPr>
              <w:widowControl w:val="0"/>
              <w:jc w:val="center"/>
            </w:pPr>
            <w:r>
              <w:rPr>
                <w:rFonts w:ascii="Times New Roman" w:hAnsi="Times New Roman"/>
                <w:sz w:val="24"/>
              </w:rPr>
              <w:t>1 500</w:t>
            </w:r>
          </w:p>
        </w:tc>
      </w:tr>
      <w:tr w14:paraId="425E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A6933B0">
            <w:pPr>
              <w:widowControl w:val="0"/>
              <w:jc w:val="both"/>
            </w:pPr>
            <w:r>
              <w:rPr>
                <w:rFonts w:ascii="Times New Roman" w:hAnsi="Times New Roman"/>
                <w:sz w:val="24"/>
              </w:rPr>
              <w:t>Итого ФОТ</w:t>
            </w:r>
          </w:p>
        </w:tc>
        <w:tc>
          <w:tcPr>
            <w:tcW w:w="4677" w:type="dxa"/>
            <w:vAlign w:val="top"/>
          </w:tcPr>
          <w:p w14:paraId="7395689D">
            <w:pPr>
              <w:widowControl w:val="0"/>
              <w:jc w:val="center"/>
            </w:pPr>
            <w:r>
              <w:rPr>
                <w:rFonts w:ascii="Times New Roman" w:hAnsi="Times New Roman"/>
                <w:sz w:val="24"/>
              </w:rPr>
              <w:t>11 600</w:t>
            </w:r>
          </w:p>
        </w:tc>
      </w:tr>
      <w:tr w14:paraId="628A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765B56D">
            <w:pPr>
              <w:widowControl w:val="0"/>
              <w:jc w:val="both"/>
            </w:pPr>
            <w:r>
              <w:rPr>
                <w:rFonts w:ascii="Times New Roman" w:hAnsi="Times New Roman"/>
                <w:sz w:val="24"/>
              </w:rPr>
              <w:t>Страховые взносы (30%)</w:t>
            </w:r>
          </w:p>
        </w:tc>
        <w:tc>
          <w:tcPr>
            <w:tcW w:w="4677" w:type="dxa"/>
            <w:vAlign w:val="top"/>
          </w:tcPr>
          <w:p w14:paraId="41861602">
            <w:pPr>
              <w:widowControl w:val="0"/>
              <w:jc w:val="center"/>
            </w:pPr>
            <w:r>
              <w:rPr>
                <w:rFonts w:ascii="Times New Roman" w:hAnsi="Times New Roman"/>
                <w:sz w:val="24"/>
              </w:rPr>
              <w:t>3 480</w:t>
            </w:r>
          </w:p>
        </w:tc>
      </w:tr>
      <w:tr w14:paraId="484B0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49876556">
            <w:pPr>
              <w:widowControl w:val="0"/>
              <w:jc w:val="both"/>
            </w:pPr>
            <w:r>
              <w:rPr>
                <w:rFonts w:ascii="Times New Roman" w:hAnsi="Times New Roman"/>
                <w:sz w:val="24"/>
              </w:rPr>
              <w:t>Подбор персонала</w:t>
            </w:r>
          </w:p>
        </w:tc>
        <w:tc>
          <w:tcPr>
            <w:tcW w:w="4677" w:type="dxa"/>
            <w:vAlign w:val="top"/>
          </w:tcPr>
          <w:p w14:paraId="5D110CBF">
            <w:pPr>
              <w:widowControl w:val="0"/>
              <w:jc w:val="center"/>
            </w:pPr>
            <w:r>
              <w:rPr>
                <w:rFonts w:ascii="Times New Roman" w:hAnsi="Times New Roman"/>
                <w:sz w:val="24"/>
              </w:rPr>
              <w:t>170</w:t>
            </w:r>
          </w:p>
        </w:tc>
      </w:tr>
      <w:tr w14:paraId="58622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74A0F40E">
            <w:pPr>
              <w:widowControl w:val="0"/>
              <w:jc w:val="both"/>
            </w:pPr>
            <w:r>
              <w:rPr>
                <w:rFonts w:ascii="Times New Roman" w:hAnsi="Times New Roman"/>
                <w:sz w:val="24"/>
              </w:rPr>
              <w:t>Обучение</w:t>
            </w:r>
          </w:p>
        </w:tc>
        <w:tc>
          <w:tcPr>
            <w:tcW w:w="4677" w:type="dxa"/>
            <w:vAlign w:val="top"/>
          </w:tcPr>
          <w:p w14:paraId="0C7C3BF2">
            <w:pPr>
              <w:widowControl w:val="0"/>
              <w:jc w:val="center"/>
            </w:pPr>
            <w:r>
              <w:rPr>
                <w:rFonts w:ascii="Times New Roman" w:hAnsi="Times New Roman"/>
                <w:sz w:val="24"/>
              </w:rPr>
              <w:t>45</w:t>
            </w:r>
          </w:p>
        </w:tc>
      </w:tr>
      <w:tr w14:paraId="4E58B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1037E628">
            <w:pPr>
              <w:widowControl w:val="0"/>
              <w:jc w:val="both"/>
            </w:pPr>
            <w:r>
              <w:rPr>
                <w:rFonts w:ascii="Times New Roman" w:hAnsi="Times New Roman"/>
                <w:sz w:val="24"/>
              </w:rPr>
              <w:t>Юрист (аутсорсинг)</w:t>
            </w:r>
          </w:p>
        </w:tc>
        <w:tc>
          <w:tcPr>
            <w:tcW w:w="4677" w:type="dxa"/>
            <w:vAlign w:val="top"/>
          </w:tcPr>
          <w:p w14:paraId="192B4D6D">
            <w:pPr>
              <w:widowControl w:val="0"/>
              <w:jc w:val="center"/>
            </w:pPr>
            <w:r>
              <w:rPr>
                <w:rFonts w:ascii="Times New Roman" w:hAnsi="Times New Roman"/>
                <w:sz w:val="24"/>
              </w:rPr>
              <w:t>150</w:t>
            </w:r>
          </w:p>
        </w:tc>
      </w:tr>
      <w:tr w14:paraId="17D9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77" w:type="dxa"/>
          </w:tcPr>
          <w:p w14:paraId="052FD57E">
            <w:pPr>
              <w:widowControl w:val="0"/>
              <w:jc w:val="both"/>
            </w:pPr>
            <w:r>
              <w:rPr>
                <w:rFonts w:ascii="Times New Roman" w:hAnsi="Times New Roman"/>
                <w:sz w:val="24"/>
              </w:rPr>
              <w:t>Общие затраты на персонал</w:t>
            </w:r>
          </w:p>
        </w:tc>
        <w:tc>
          <w:tcPr>
            <w:tcW w:w="4677" w:type="dxa"/>
            <w:vAlign w:val="top"/>
          </w:tcPr>
          <w:p w14:paraId="3F75D601">
            <w:pPr>
              <w:widowControl w:val="0"/>
              <w:jc w:val="center"/>
            </w:pPr>
            <w:r>
              <w:rPr>
                <w:rFonts w:ascii="Times New Roman" w:hAnsi="Times New Roman"/>
                <w:sz w:val="24"/>
              </w:rPr>
              <w:t>15 445</w:t>
            </w:r>
          </w:p>
        </w:tc>
      </w:tr>
    </w:tbl>
    <w:p w14:paraId="7DD47675">
      <w:pPr>
        <w:spacing w:after="120" w:line="360" w:lineRule="auto"/>
        <w:jc w:val="both"/>
        <w:rPr>
          <w:rFonts w:hint="default" w:ascii="Times New Roman" w:hAnsi="Times New Roman"/>
          <w:b w:val="0"/>
          <w:sz w:val="28"/>
          <w:lang w:val="ru-RU"/>
        </w:rPr>
      </w:pPr>
    </w:p>
    <w:p w14:paraId="692A4A99">
      <w:pPr>
        <w:spacing w:after="120" w:line="360" w:lineRule="auto"/>
        <w:ind w:firstLine="700"/>
        <w:jc w:val="both"/>
        <w:rPr>
          <w:rFonts w:ascii="Times New Roman" w:hAnsi="Times New Roman"/>
          <w:b w:val="0"/>
          <w:sz w:val="28"/>
        </w:rPr>
      </w:pPr>
      <w:r>
        <w:rPr>
          <w:rFonts w:ascii="Times New Roman" w:hAnsi="Times New Roman"/>
          <w:b w:val="0"/>
          <w:sz w:val="28"/>
        </w:rPr>
        <w:t>Формальное наличие статьи «обучение» не означает существования полноценной системы развития. По имеющимся данным, средства используются эпизодически: чаще всего приобретаются доступы к записям вебинаров по изменениям 44-ФЗ и 223-ФЗ. При этом отсутствуют единая программа обучения, регулярное тестирование, внутренняя база знаний и оценка того, как обучение влияет на качество подготовки заявок.</w:t>
      </w:r>
    </w:p>
    <w:p w14:paraId="27A4EE6D">
      <w:pPr>
        <w:spacing w:after="120" w:line="360" w:lineRule="auto"/>
        <w:ind w:firstLine="700"/>
        <w:jc w:val="center"/>
        <w:rPr>
          <w:rFonts w:ascii="Times New Roman" w:hAnsi="Times New Roman"/>
          <w:b/>
          <w:bCs/>
          <w:sz w:val="28"/>
        </w:rPr>
      </w:pPr>
    </w:p>
    <w:p w14:paraId="45F1CF0B">
      <w:pPr>
        <w:numPr>
          <w:ilvl w:val="1"/>
          <w:numId w:val="2"/>
        </w:numPr>
        <w:spacing w:after="120" w:line="360" w:lineRule="auto"/>
        <w:ind w:left="49" w:leftChars="0" w:firstLine="351" w:firstLineChars="0"/>
        <w:jc w:val="center"/>
        <w:rPr>
          <w:rFonts w:hint="default" w:ascii="Times New Roman" w:hAnsi="Times New Roman"/>
          <w:b/>
          <w:bCs/>
          <w:sz w:val="28"/>
          <w:lang w:val="ru-RU"/>
        </w:rPr>
      </w:pPr>
      <w:r>
        <w:rPr>
          <w:rFonts w:hint="default" w:ascii="Times New Roman" w:hAnsi="Times New Roman"/>
          <w:b/>
          <w:bCs/>
          <w:sz w:val="28"/>
          <w:szCs w:val="28"/>
          <w:lang w:val="ru-RU"/>
        </w:rPr>
        <w:t>Оценка эффективности текущей системы обучения и выявление проблем</w:t>
      </w:r>
    </w:p>
    <w:p>
      <w:pPr>
        <w:spacing w:line="360" w:lineRule="auto" w:after="120"/>
        <w:ind w:firstLine="700"/>
      </w:pPr>
      <w:r>
        <w:rPr>
          <w:rFonts w:ascii="Times New Roman" w:hAnsi="Times New Roman"/>
          <w:b w:val="0"/>
          <w:sz w:val="28"/>
        </w:rPr>
        <w:t>Для повышения обоснованности анализа в параграфе 2.3 использована методика экспертно-анкетной оценки с применением шкалы Лайкерта и последующим анализом разрывов. Данная методика позволяет не только зафиксировать мнения сотрудников, но и сопоставить фактическое состояние системы обучения с желаемым уровнем ее развития. В качестве экспертов выступили все 8 сотрудников тендерного отдела, поскольку именно они ежедневно работают с закупочной документацией, электронными торговыми площадками, шаблонами заявок и изменениями законодательства.</w:t>
      </w:r>
    </w:p>
    <w:p>
      <w:pPr>
        <w:spacing w:line="360" w:lineRule="auto" w:after="120"/>
        <w:ind w:firstLine="700"/>
      </w:pPr>
      <w:r>
        <w:rPr>
          <w:rFonts w:ascii="Times New Roman" w:hAnsi="Times New Roman"/>
          <w:b w:val="0"/>
          <w:sz w:val="28"/>
        </w:rPr>
        <w:t>Оценка проводилась по пятибалльной шкале, где 1 балл означает полное отсутствие признака или крайне низкую удовлетворенность, а 5 баллов — высокий уровень сформированности элемента системы обучения. Для анализа были выбраны критерии, соответствующие проблемам, выявленным во второй главе: наличие программы адаптации, актуальность шаблонов, доступность базы знаний, регулярность проверки знаний, качество разбора ошибок, доступность наставничества и связь обучения с результатами работы.</w:t>
      </w:r>
    </w:p>
    <w:p>
      <w:pPr>
        <w:spacing w:line="360" w:lineRule="auto" w:after="120"/>
        <w:jc w:val="center"/>
      </w:pPr>
      <w:r>
        <w:rPr>
          <w:rFonts w:ascii="Times New Roman" w:hAnsi="Times New Roman"/>
          <w:b w:val="0"/>
          <w:sz w:val="28"/>
        </w:rPr>
        <w:t>Таблица 2.10. Критерии экспертно-анкетной оценки системы обучения тендерных специалистов</w:t>
      </w:r>
    </w:p>
    <w:tbl>
      <w:tblPr>
        <w:tblStyle w:val="6"/>
        <w:tblW w:type="auto" w:w="0"/>
        <w:tblLook w:firstColumn="1" w:firstRow="1" w:lastColumn="0" w:lastRow="0" w:noHBand="0" w:noVBand="1" w:val="04A0"/>
      </w:tblPr>
      <w:tblGrid>
        <w:gridCol w:w="2300"/>
        <w:gridCol w:w="2300"/>
        <w:gridCol w:w="2300"/>
        <w:gridCol w:w="2300"/>
      </w:tblGrid>
      <w:tr>
        <w:tc>
          <w:tcPr>
            <w:tcW w:type="dxa" w:w="2300"/>
          </w:tcPr>
          <w:p>
            <w:r>
              <w:rPr>
                <w:rFonts w:ascii="Times New Roman" w:hAnsi="Times New Roman"/>
                <w:b/>
                <w:sz w:val="22"/>
              </w:rPr>
              <w:t>Критерий оценки</w:t>
            </w:r>
          </w:p>
        </w:tc>
        <w:tc>
          <w:tcPr>
            <w:tcW w:type="dxa" w:w="2300"/>
          </w:tcPr>
          <w:p>
            <w:r>
              <w:rPr>
                <w:rFonts w:ascii="Times New Roman" w:hAnsi="Times New Roman"/>
                <w:b/>
                <w:sz w:val="22"/>
              </w:rPr>
              <w:t>Фактический уровень, балл</w:t>
            </w:r>
          </w:p>
        </w:tc>
        <w:tc>
          <w:tcPr>
            <w:tcW w:type="dxa" w:w="2300"/>
          </w:tcPr>
          <w:p>
            <w:r>
              <w:rPr>
                <w:rFonts w:ascii="Times New Roman" w:hAnsi="Times New Roman"/>
                <w:b/>
                <w:sz w:val="22"/>
              </w:rPr>
              <w:t>Желаемый уровень, балл</w:t>
            </w:r>
          </w:p>
        </w:tc>
        <w:tc>
          <w:tcPr>
            <w:tcW w:type="dxa" w:w="2300"/>
          </w:tcPr>
          <w:p>
            <w:r>
              <w:rPr>
                <w:rFonts w:ascii="Times New Roman" w:hAnsi="Times New Roman"/>
                <w:b/>
                <w:sz w:val="22"/>
              </w:rPr>
              <w:t>Разрыв</w:t>
            </w:r>
          </w:p>
        </w:tc>
      </w:tr>
      <w:tr>
        <w:tc>
          <w:tcPr>
            <w:tcW w:type="dxa" w:w="2300"/>
          </w:tcPr>
          <w:p>
            <w:r>
              <w:rPr>
                <w:rFonts w:ascii="Times New Roman" w:hAnsi="Times New Roman"/>
                <w:b w:val="0"/>
                <w:sz w:val="22"/>
              </w:rPr>
              <w:t>Программа адаптации новых сотрудников</w:t>
            </w:r>
          </w:p>
        </w:tc>
        <w:tc>
          <w:tcPr>
            <w:tcW w:type="dxa" w:w="2300"/>
          </w:tcPr>
          <w:p>
            <w:r>
              <w:rPr>
                <w:rFonts w:ascii="Times New Roman" w:hAnsi="Times New Roman"/>
                <w:b w:val="0"/>
                <w:sz w:val="22"/>
              </w:rPr>
              <w:t>1,5</w:t>
            </w:r>
          </w:p>
        </w:tc>
        <w:tc>
          <w:tcPr>
            <w:tcW w:type="dxa" w:w="2300"/>
          </w:tcPr>
          <w:p>
            <w:r>
              <w:rPr>
                <w:rFonts w:ascii="Times New Roman" w:hAnsi="Times New Roman"/>
                <w:b w:val="0"/>
                <w:sz w:val="22"/>
              </w:rPr>
              <w:t>4,5</w:t>
            </w:r>
          </w:p>
        </w:tc>
        <w:tc>
          <w:tcPr>
            <w:tcW w:type="dxa" w:w="2300"/>
          </w:tcPr>
          <w:p>
            <w:r>
              <w:rPr>
                <w:rFonts w:ascii="Times New Roman" w:hAnsi="Times New Roman"/>
                <w:b w:val="0"/>
                <w:sz w:val="22"/>
              </w:rPr>
              <w:t>3,0</w:t>
            </w:r>
          </w:p>
        </w:tc>
      </w:tr>
      <w:tr>
        <w:tc>
          <w:tcPr>
            <w:tcW w:type="dxa" w:w="2300"/>
          </w:tcPr>
          <w:p>
            <w:r>
              <w:rPr>
                <w:rFonts w:ascii="Times New Roman" w:hAnsi="Times New Roman"/>
                <w:b w:val="0"/>
                <w:sz w:val="22"/>
              </w:rPr>
              <w:t>Актуальность шаблонов и инструкций</w:t>
            </w:r>
          </w:p>
        </w:tc>
        <w:tc>
          <w:tcPr>
            <w:tcW w:type="dxa" w:w="2300"/>
          </w:tcPr>
          <w:p>
            <w:r>
              <w:rPr>
                <w:rFonts w:ascii="Times New Roman" w:hAnsi="Times New Roman"/>
                <w:b w:val="0"/>
                <w:sz w:val="22"/>
              </w:rPr>
              <w:t>2,0</w:t>
            </w:r>
          </w:p>
        </w:tc>
        <w:tc>
          <w:tcPr>
            <w:tcW w:type="dxa" w:w="2300"/>
          </w:tcPr>
          <w:p>
            <w:r>
              <w:rPr>
                <w:rFonts w:ascii="Times New Roman" w:hAnsi="Times New Roman"/>
                <w:b w:val="0"/>
                <w:sz w:val="22"/>
              </w:rPr>
              <w:t>4,6</w:t>
            </w:r>
          </w:p>
        </w:tc>
        <w:tc>
          <w:tcPr>
            <w:tcW w:type="dxa" w:w="2300"/>
          </w:tcPr>
          <w:p>
            <w:r>
              <w:rPr>
                <w:rFonts w:ascii="Times New Roman" w:hAnsi="Times New Roman"/>
                <w:b w:val="0"/>
                <w:sz w:val="22"/>
              </w:rPr>
              <w:t>2,6</w:t>
            </w:r>
          </w:p>
        </w:tc>
      </w:tr>
      <w:tr>
        <w:tc>
          <w:tcPr>
            <w:tcW w:type="dxa" w:w="2300"/>
          </w:tcPr>
          <w:p>
            <w:r>
              <w:rPr>
                <w:rFonts w:ascii="Times New Roman" w:hAnsi="Times New Roman"/>
                <w:b w:val="0"/>
                <w:sz w:val="22"/>
              </w:rPr>
              <w:t>Доступность базы знаний</w:t>
            </w:r>
          </w:p>
        </w:tc>
        <w:tc>
          <w:tcPr>
            <w:tcW w:type="dxa" w:w="2300"/>
          </w:tcPr>
          <w:p>
            <w:r>
              <w:rPr>
                <w:rFonts w:ascii="Times New Roman" w:hAnsi="Times New Roman"/>
                <w:b w:val="0"/>
                <w:sz w:val="22"/>
              </w:rPr>
              <w:t>1,8</w:t>
            </w:r>
          </w:p>
        </w:tc>
        <w:tc>
          <w:tcPr>
            <w:tcW w:type="dxa" w:w="2300"/>
          </w:tcPr>
          <w:p>
            <w:r>
              <w:rPr>
                <w:rFonts w:ascii="Times New Roman" w:hAnsi="Times New Roman"/>
                <w:b w:val="0"/>
                <w:sz w:val="22"/>
              </w:rPr>
              <w:t>4,5</w:t>
            </w:r>
          </w:p>
        </w:tc>
        <w:tc>
          <w:tcPr>
            <w:tcW w:type="dxa" w:w="2300"/>
          </w:tcPr>
          <w:p>
            <w:r>
              <w:rPr>
                <w:rFonts w:ascii="Times New Roman" w:hAnsi="Times New Roman"/>
                <w:b w:val="0"/>
                <w:sz w:val="22"/>
              </w:rPr>
              <w:t>2,7</w:t>
            </w:r>
          </w:p>
        </w:tc>
      </w:tr>
      <w:tr>
        <w:tc>
          <w:tcPr>
            <w:tcW w:type="dxa" w:w="2300"/>
          </w:tcPr>
          <w:p>
            <w:r>
              <w:rPr>
                <w:rFonts w:ascii="Times New Roman" w:hAnsi="Times New Roman"/>
                <w:b w:val="0"/>
                <w:sz w:val="22"/>
              </w:rPr>
              <w:t>Регулярность проверки знаний</w:t>
            </w:r>
          </w:p>
        </w:tc>
        <w:tc>
          <w:tcPr>
            <w:tcW w:type="dxa" w:w="2300"/>
          </w:tcPr>
          <w:p>
            <w:r>
              <w:rPr>
                <w:rFonts w:ascii="Times New Roman" w:hAnsi="Times New Roman"/>
                <w:b w:val="0"/>
                <w:sz w:val="22"/>
              </w:rPr>
              <w:t>1,6</w:t>
            </w:r>
          </w:p>
        </w:tc>
        <w:tc>
          <w:tcPr>
            <w:tcW w:type="dxa" w:w="2300"/>
          </w:tcPr>
          <w:p>
            <w:r>
              <w:rPr>
                <w:rFonts w:ascii="Times New Roman" w:hAnsi="Times New Roman"/>
                <w:b w:val="0"/>
                <w:sz w:val="22"/>
              </w:rPr>
              <w:t>4,4</w:t>
            </w:r>
          </w:p>
        </w:tc>
        <w:tc>
          <w:tcPr>
            <w:tcW w:type="dxa" w:w="2300"/>
          </w:tcPr>
          <w:p>
            <w:r>
              <w:rPr>
                <w:rFonts w:ascii="Times New Roman" w:hAnsi="Times New Roman"/>
                <w:b w:val="0"/>
                <w:sz w:val="22"/>
              </w:rPr>
              <w:t>2,8</w:t>
            </w:r>
          </w:p>
        </w:tc>
      </w:tr>
      <w:tr>
        <w:tc>
          <w:tcPr>
            <w:tcW w:type="dxa" w:w="2300"/>
          </w:tcPr>
          <w:p>
            <w:r>
              <w:rPr>
                <w:rFonts w:ascii="Times New Roman" w:hAnsi="Times New Roman"/>
                <w:b w:val="0"/>
                <w:sz w:val="22"/>
              </w:rPr>
              <w:t>Разбор ошибок и обратная связь</w:t>
            </w:r>
          </w:p>
        </w:tc>
        <w:tc>
          <w:tcPr>
            <w:tcW w:type="dxa" w:w="2300"/>
          </w:tcPr>
          <w:p>
            <w:r>
              <w:rPr>
                <w:rFonts w:ascii="Times New Roman" w:hAnsi="Times New Roman"/>
                <w:b w:val="0"/>
                <w:sz w:val="22"/>
              </w:rPr>
              <w:t>1,9</w:t>
            </w:r>
          </w:p>
        </w:tc>
        <w:tc>
          <w:tcPr>
            <w:tcW w:type="dxa" w:w="2300"/>
          </w:tcPr>
          <w:p>
            <w:r>
              <w:rPr>
                <w:rFonts w:ascii="Times New Roman" w:hAnsi="Times New Roman"/>
                <w:b w:val="0"/>
                <w:sz w:val="22"/>
              </w:rPr>
              <w:t>4,7</w:t>
            </w:r>
          </w:p>
        </w:tc>
        <w:tc>
          <w:tcPr>
            <w:tcW w:type="dxa" w:w="2300"/>
          </w:tcPr>
          <w:p>
            <w:r>
              <w:rPr>
                <w:rFonts w:ascii="Times New Roman" w:hAnsi="Times New Roman"/>
                <w:b w:val="0"/>
                <w:sz w:val="22"/>
              </w:rPr>
              <w:t>2,8</w:t>
            </w:r>
          </w:p>
        </w:tc>
      </w:tr>
      <w:tr>
        <w:tc>
          <w:tcPr>
            <w:tcW w:type="dxa" w:w="2300"/>
          </w:tcPr>
          <w:p>
            <w:r>
              <w:rPr>
                <w:rFonts w:ascii="Times New Roman" w:hAnsi="Times New Roman"/>
                <w:b w:val="0"/>
                <w:sz w:val="22"/>
              </w:rPr>
              <w:t>Наставничество и передача опыта</w:t>
            </w:r>
          </w:p>
        </w:tc>
        <w:tc>
          <w:tcPr>
            <w:tcW w:type="dxa" w:w="2300"/>
          </w:tcPr>
          <w:p>
            <w:r>
              <w:rPr>
                <w:rFonts w:ascii="Times New Roman" w:hAnsi="Times New Roman"/>
                <w:b w:val="0"/>
                <w:sz w:val="22"/>
              </w:rPr>
              <w:t>2,4</w:t>
            </w:r>
          </w:p>
        </w:tc>
        <w:tc>
          <w:tcPr>
            <w:tcW w:type="dxa" w:w="2300"/>
          </w:tcPr>
          <w:p>
            <w:r>
              <w:rPr>
                <w:rFonts w:ascii="Times New Roman" w:hAnsi="Times New Roman"/>
                <w:b w:val="0"/>
                <w:sz w:val="22"/>
              </w:rPr>
              <w:t>4,3</w:t>
            </w:r>
          </w:p>
        </w:tc>
        <w:tc>
          <w:tcPr>
            <w:tcW w:type="dxa" w:w="2300"/>
          </w:tcPr>
          <w:p>
            <w:r>
              <w:rPr>
                <w:rFonts w:ascii="Times New Roman" w:hAnsi="Times New Roman"/>
                <w:b w:val="0"/>
                <w:sz w:val="22"/>
              </w:rPr>
              <w:t>1,9</w:t>
            </w:r>
          </w:p>
        </w:tc>
      </w:tr>
      <w:tr>
        <w:tc>
          <w:tcPr>
            <w:tcW w:type="dxa" w:w="2300"/>
          </w:tcPr>
          <w:p>
            <w:r>
              <w:rPr>
                <w:rFonts w:ascii="Times New Roman" w:hAnsi="Times New Roman"/>
                <w:b w:val="0"/>
                <w:sz w:val="22"/>
              </w:rPr>
              <w:t>Связь обучения с KPI</w:t>
            </w:r>
          </w:p>
        </w:tc>
        <w:tc>
          <w:tcPr>
            <w:tcW w:type="dxa" w:w="2300"/>
          </w:tcPr>
          <w:p>
            <w:r>
              <w:rPr>
                <w:rFonts w:ascii="Times New Roman" w:hAnsi="Times New Roman"/>
                <w:b w:val="0"/>
                <w:sz w:val="22"/>
              </w:rPr>
              <w:t>1,7</w:t>
            </w:r>
          </w:p>
        </w:tc>
        <w:tc>
          <w:tcPr>
            <w:tcW w:type="dxa" w:w="2300"/>
          </w:tcPr>
          <w:p>
            <w:r>
              <w:rPr>
                <w:rFonts w:ascii="Times New Roman" w:hAnsi="Times New Roman"/>
                <w:b w:val="0"/>
                <w:sz w:val="22"/>
              </w:rPr>
              <w:t>4,3</w:t>
            </w:r>
          </w:p>
        </w:tc>
        <w:tc>
          <w:tcPr>
            <w:tcW w:type="dxa" w:w="2300"/>
          </w:tcPr>
          <w:p>
            <w:r>
              <w:rPr>
                <w:rFonts w:ascii="Times New Roman" w:hAnsi="Times New Roman"/>
                <w:b w:val="0"/>
                <w:sz w:val="22"/>
              </w:rPr>
              <w:t>2,6</w:t>
            </w:r>
          </w:p>
        </w:tc>
      </w:tr>
      <w:tr>
        <w:tc>
          <w:tcPr>
            <w:tcW w:type="dxa" w:w="2300"/>
          </w:tcPr>
          <w:p>
            <w:r>
              <w:rPr>
                <w:rFonts w:ascii="Times New Roman" w:hAnsi="Times New Roman"/>
                <w:b w:val="0"/>
                <w:sz w:val="22"/>
              </w:rPr>
              <w:t>Среднее значение</w:t>
            </w:r>
          </w:p>
        </w:tc>
        <w:tc>
          <w:tcPr>
            <w:tcW w:type="dxa" w:w="2300"/>
          </w:tcPr>
          <w:p>
            <w:r>
              <w:rPr>
                <w:rFonts w:ascii="Times New Roman" w:hAnsi="Times New Roman"/>
                <w:b w:val="0"/>
                <w:sz w:val="22"/>
              </w:rPr>
              <w:t>2,0</w:t>
            </w:r>
          </w:p>
        </w:tc>
        <w:tc>
          <w:tcPr>
            <w:tcW w:type="dxa" w:w="2300"/>
          </w:tcPr>
          <w:p>
            <w:r>
              <w:rPr>
                <w:rFonts w:ascii="Times New Roman" w:hAnsi="Times New Roman"/>
                <w:b w:val="0"/>
                <w:sz w:val="22"/>
              </w:rPr>
              <w:t>4,5</w:t>
            </w:r>
          </w:p>
        </w:tc>
        <w:tc>
          <w:tcPr>
            <w:tcW w:type="dxa" w:w="2300"/>
          </w:tcPr>
          <w:p>
            <w:r>
              <w:rPr>
                <w:rFonts w:ascii="Times New Roman" w:hAnsi="Times New Roman"/>
                <w:b w:val="0"/>
                <w:sz w:val="22"/>
              </w:rPr>
              <w:t>2,5</w:t>
            </w:r>
          </w:p>
        </w:tc>
      </w:tr>
    </w:tbl>
    <w:p>
      <w:pPr>
        <w:spacing w:line="360" w:lineRule="auto" w:after="120"/>
        <w:ind w:firstLine="700"/>
      </w:pPr>
      <w:r>
        <w:rPr>
          <w:rFonts w:ascii="Times New Roman" w:hAnsi="Times New Roman"/>
          <w:b w:val="0"/>
          <w:sz w:val="28"/>
        </w:rPr>
        <w:t>Результаты экспертно-анкетной оценки показывают, что наибольший разрыв наблюдается по критериям «программа адаптации», «разбор ошибок», «база знаний» и «связь обучения с результатами работы». Среднее значение фактического состояния по всем критериям составило 2,0 балла, тогда как желаемый уровень — 4,5 балла. Средний разрыв равен 2,5 балла, что подтверждает системный характер проблемы. Следовательно, дальнейшие рекомендации должны быть направлены не только на проведение внешних курсов, но и на создание внутреннего механизма накопления, обновления и проверки профессиональных знаний.</w:t>
      </w:r>
    </w:p>
    <w:p>
      <w:pPr>
        <w:spacing w:line="360" w:lineRule="auto" w:after="120"/>
        <w:ind w:firstLine="700"/>
      </w:pPr>
    </w:p>
    <w:p w14:paraId="61DC43F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sz w:val="28"/>
          <w:szCs w:val="28"/>
          <w:lang w:val="ru-RU"/>
        </w:rPr>
        <w:br w:type="page"/>
      </w:r>
      <w:r>
        <w:rPr>
          <w:rFonts w:hint="default" w:ascii="Times New Roman" w:hAnsi="Times New Roman"/>
          <w:b w:val="0"/>
          <w:bCs w:val="0"/>
          <w:color w:val="auto"/>
          <w:sz w:val="28"/>
          <w:szCs w:val="28"/>
          <w:lang w:val="ru-RU"/>
        </w:rPr>
        <w:t>Тендерный отдел ООО «Лайф Медиа» является ключевым подразделением компании, так как именно через участие в государственных корпоративных закупках формируется основная часть выручки. Работа специалистов отдела связана с постоянным анализом документации заказчиков, отслеживанием изменений в законодательстве, расчётом ценовых предложений, подготовкой комплектов документов и технической</w:t>
      </w:r>
      <w:r>
        <w:rPr>
          <w:rFonts w:hint="default" w:ascii="Times New Roman" w:hAnsi="Times New Roman"/>
          <w:b w:val="0"/>
          <w:bCs w:val="0"/>
          <w:color w:val="auto"/>
          <w:sz w:val="28"/>
          <w:szCs w:val="28"/>
          <w:lang w:val="ru-RU"/>
        </w:rPr>
        <w:tab/>
      </w:r>
      <w:r>
        <w:rPr>
          <w:rFonts w:hint="default" w:ascii="Times New Roman" w:hAnsi="Times New Roman"/>
          <w:b w:val="0"/>
          <w:bCs w:val="0"/>
          <w:color w:val="auto"/>
          <w:sz w:val="28"/>
          <w:szCs w:val="28"/>
          <w:lang w:val="ru-RU"/>
        </w:rPr>
        <w:t xml:space="preserve"> подачей заявок на электронных торговых площадках (ЭТП). При таком характере деятельности квалификация сотрудников напрямую влияет не только на качество выполнения отдельных операций, но и на финансовый результат компании.</w:t>
      </w:r>
    </w:p>
    <w:p w14:paraId="75A9EB39">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ascii="Times New Roman" w:hAnsi="Times New Roman"/>
          <w:sz w:val="28"/>
        </w:rPr>
        <w:t>Несмотря на высокую значимость тендерного отдела, в компании отсутствует целостная система обучения и развития персонала. Под системой обучения в данном случае понимается не разовое направление сотрудников на курс или самостоятельное изучение материалов, а совокупность взаимосвязанных элементов: вводная адаптация новых работников, регулярное обновление знаний, разбор ошибок, единая база знаний, наставничество и оценка влияния обучения на рабочие показатели. В ООО «Лайф Медиа» такие элементы либо полностью отсутствуют, либо существуют фрагментарно и не связаны между собой.</w:t>
      </w:r>
    </w:p>
    <w:p w14:paraId="7CAABE3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ascii="Times New Roman" w:hAnsi="Times New Roman"/>
          <w:sz w:val="28"/>
        </w:rPr>
        <w:t>Фактически обучение тендерных специалистов строится преимущественно на самостоятельном поиске информации и передаче знаний от более опытных сотрудников в процессе работы. Такой формат нельзя считать устойчивой системой, поскольку он зависит от личной инициативы конкретных сотрудников, загруженности руководителя отдела и наличия свободного времени и желания коллег. Если новый специалист сталкивается с нестандартной закупкой, изменением формы документа или особенностями электронной торговой площадки (ЭТП), то чаще всего он получает информацию ситуативно, то есть через устное пояснение, поиск в открытых источниках или просмотр ранее поданных заявок.</w:t>
      </w:r>
    </w:p>
    <w:p w14:paraId="33FADACC">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r>
        <w:rPr>
          <w:rFonts w:hint="default" w:ascii="Times New Roman" w:hAnsi="Times New Roman"/>
          <w:b w:val="0"/>
          <w:bCs w:val="0"/>
          <w:color w:val="auto"/>
          <w:sz w:val="28"/>
          <w:szCs w:val="28"/>
          <w:lang w:val="ru-RU"/>
        </w:rPr>
        <w:t>Отсутствие системности проявляется прежде всего в том, что в компании нет утверждённой программы адаптации тендерного специалиста. Новый сотрудник не проходит введение в должность через путь, где были бы закреплены темы, сроки освоения, ответственные лица. В результате скорость включения в работу зависит от первоначального уровня подготовки человека.</w:t>
      </w:r>
    </w:p>
    <w:p w14:paraId="11CA3F9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ascii="Times New Roman" w:hAnsi="Times New Roman"/>
          <w:sz w:val="28"/>
        </w:rPr>
        <w:t>Второй важный признак отсутствия системы обучения связан с тем, что в компании нет единой базы актуальных учебных и рабочих материалов. Документы, шаблоны, образцы заполнения форм и инструкций хранятся разрозненно. Часть материалов находится в общих папках, часть — у отдельных сотрудников, часть —  в переписках или задачах Битрикс24. При этом не закреплён порядок регулярного обновления таких материалов после изменений в 44-ФЗ и 223-ФЗ, требованиях заказчиков или правилах электронных площадок. Это создаёт риск использования устаревших форм и неодинакового подхода к подготовке заявок.</w:t>
      </w:r>
    </w:p>
    <w:p w14:paraId="149C1A76">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Третья проблема заключается в отсутствии регулярной проверки знаний. В компании не проводится тестирование по изменениям законодательства, не фиксируются результаты изучения обучающих материалов, не оценивается готовность специалиста к самостоятельной работе с отдельными типами закупок. Поэтому руководитель не получает объективной информации о том, какие направления имеют проблемы.</w:t>
      </w:r>
    </w:p>
    <w:p w14:paraId="31E03C93">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hint="default" w:ascii="Times New Roman" w:hAnsi="Times New Roman"/>
          <w:b w:val="0"/>
          <w:i w:val="0"/>
          <w:sz w:val="28"/>
          <w:lang w:val="ru-RU"/>
        </w:rPr>
        <w:t xml:space="preserve">Четвёртая проблема </w:t>
      </w:r>
      <w:r>
        <w:rPr>
          <w:rFonts w:ascii="Times New Roman" w:hAnsi="Times New Roman"/>
          <w:b w:val="0"/>
          <w:i w:val="0"/>
          <w:sz w:val="28"/>
        </w:rPr>
        <w:t xml:space="preserve">— </w:t>
      </w:r>
      <w:r>
        <w:rPr>
          <w:rFonts w:hint="default" w:ascii="Times New Roman" w:hAnsi="Times New Roman"/>
          <w:b w:val="0"/>
          <w:i w:val="0"/>
          <w:sz w:val="28"/>
          <w:lang w:val="ru-RU"/>
        </w:rPr>
        <w:t xml:space="preserve"> отсутствие системного разбора ошибок. Если заявка отклоняется, ошибка обсуждается устно и, как правило, в привязке к конкретному случаю. Такая информация не превращается в общую базу знаний отдела: не фиксируется причина отклонения, не формируется перечень типовых ошибок, не анализируется повторяемость нарушений по сотрудникам и по видам закупки. В результате один и тот же тип ошибки может повторяться у разных специалистов, потому что отдельный опыт не становится общим знанием подразделения.</w:t>
      </w:r>
    </w:p>
    <w:p w14:paraId="76FD2ED2">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i w:val="0"/>
          <w:sz w:val="28"/>
          <w:lang w:val="ru-RU"/>
        </w:rPr>
      </w:pPr>
      <w:r>
        <w:rPr>
          <w:rFonts w:ascii="Times New Roman" w:hAnsi="Times New Roman"/>
          <w:sz w:val="28"/>
        </w:rPr>
        <w:t>В таблице 3.1. отражено фактическое состояние системы обучения тендерных специалистов компании.</w:t>
      </w:r>
    </w:p>
    <w:p w14:paraId="563248EF">
      <w:pPr>
        <w:spacing w:after="120" w:line="360" w:lineRule="auto"/>
        <w:ind w:firstLine="700"/>
      </w:pPr>
    </w:p>
    <w:p w14:paraId="7D471671">
      <w:pPr>
        <w:spacing w:after="120" w:line="360" w:lineRule="auto"/>
        <w:ind w:firstLine="700"/>
        <w:jc w:val="right"/>
        <w:rPr>
          <w:sz w:val="24"/>
          <w:szCs w:val="24"/>
        </w:rPr>
      </w:pPr>
      <w:r>
        <w:rPr>
          <w:rFonts w:ascii="Times New Roman" w:hAnsi="Times New Roman"/>
          <w:b w:val="0"/>
          <w:i w:val="0"/>
          <w:sz w:val="24"/>
          <w:szCs w:val="24"/>
        </w:rPr>
        <w:t>Таблица 3.1. Характеристика фактического состояния обучения тендерных специалистов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1EB3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BB9F1FC">
            <w:pPr>
              <w:widowControl w:val="0"/>
              <w:spacing w:line="240" w:lineRule="auto"/>
              <w:jc w:val="center"/>
              <w:rPr>
                <w:b w:val="0"/>
                <w:bCs/>
                <w:sz w:val="24"/>
                <w:szCs w:val="24"/>
              </w:rPr>
            </w:pPr>
            <w:r>
              <w:rPr>
                <w:rFonts w:ascii="Times New Roman" w:hAnsi="Times New Roman"/>
                <w:b w:val="0"/>
                <w:bCs/>
                <w:sz w:val="24"/>
                <w:szCs w:val="24"/>
              </w:rPr>
              <w:t>Элемент системы обучения</w:t>
            </w:r>
          </w:p>
        </w:tc>
        <w:tc>
          <w:tcPr>
            <w:tcW w:w="3118" w:type="dxa"/>
          </w:tcPr>
          <w:p w14:paraId="1A45EDE8">
            <w:pPr>
              <w:widowControl w:val="0"/>
              <w:spacing w:line="240" w:lineRule="auto"/>
              <w:jc w:val="center"/>
              <w:rPr>
                <w:b w:val="0"/>
                <w:bCs/>
                <w:sz w:val="24"/>
                <w:szCs w:val="24"/>
              </w:rPr>
            </w:pPr>
            <w:r>
              <w:rPr>
                <w:rFonts w:ascii="Times New Roman" w:hAnsi="Times New Roman"/>
                <w:b w:val="0"/>
                <w:bCs/>
                <w:sz w:val="24"/>
                <w:szCs w:val="24"/>
              </w:rPr>
              <w:t>Фактическое состояние в компании</w:t>
            </w:r>
          </w:p>
        </w:tc>
        <w:tc>
          <w:tcPr>
            <w:tcW w:w="3118" w:type="dxa"/>
          </w:tcPr>
          <w:p w14:paraId="503F45C3">
            <w:pPr>
              <w:widowControl w:val="0"/>
              <w:spacing w:line="240" w:lineRule="auto"/>
              <w:jc w:val="center"/>
              <w:rPr>
                <w:b w:val="0"/>
                <w:bCs/>
                <w:sz w:val="24"/>
                <w:szCs w:val="24"/>
              </w:rPr>
            </w:pPr>
            <w:r>
              <w:rPr>
                <w:rFonts w:ascii="Times New Roman" w:hAnsi="Times New Roman"/>
                <w:b w:val="0"/>
                <w:bCs/>
                <w:sz w:val="24"/>
                <w:szCs w:val="24"/>
              </w:rPr>
              <w:t>Проявление в работе отдела</w:t>
            </w:r>
          </w:p>
        </w:tc>
      </w:tr>
      <w:tr w14:paraId="4FAED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F8257A3">
            <w:pPr>
              <w:widowControl w:val="0"/>
              <w:spacing w:line="240" w:lineRule="auto"/>
              <w:jc w:val="both"/>
              <w:rPr>
                <w:sz w:val="24"/>
                <w:szCs w:val="24"/>
              </w:rPr>
            </w:pPr>
            <w:r>
              <w:rPr>
                <w:rFonts w:ascii="Times New Roman" w:hAnsi="Times New Roman"/>
                <w:sz w:val="24"/>
                <w:szCs w:val="24"/>
              </w:rPr>
              <w:t>Вводная адаптация</w:t>
            </w:r>
          </w:p>
        </w:tc>
        <w:tc>
          <w:tcPr>
            <w:tcW w:w="3118" w:type="dxa"/>
          </w:tcPr>
          <w:p w14:paraId="01E2C35F">
            <w:pPr>
              <w:widowControl w:val="0"/>
              <w:spacing w:line="240" w:lineRule="auto"/>
              <w:jc w:val="both"/>
              <w:rPr>
                <w:sz w:val="24"/>
                <w:szCs w:val="24"/>
              </w:rPr>
            </w:pPr>
            <w:r>
              <w:rPr>
                <w:rFonts w:ascii="Times New Roman" w:hAnsi="Times New Roman"/>
                <w:sz w:val="24"/>
                <w:szCs w:val="24"/>
              </w:rPr>
              <w:t>Единая программа адаптации отсутствует</w:t>
            </w:r>
          </w:p>
        </w:tc>
        <w:tc>
          <w:tcPr>
            <w:tcW w:w="3118" w:type="dxa"/>
          </w:tcPr>
          <w:p w14:paraId="3A2E20D6">
            <w:pPr>
              <w:widowControl w:val="0"/>
              <w:spacing w:line="240" w:lineRule="auto"/>
              <w:jc w:val="both"/>
              <w:rPr>
                <w:sz w:val="24"/>
                <w:szCs w:val="24"/>
              </w:rPr>
            </w:pPr>
            <w:r>
              <w:rPr>
                <w:rFonts w:ascii="Times New Roman" w:hAnsi="Times New Roman"/>
                <w:sz w:val="24"/>
                <w:szCs w:val="24"/>
              </w:rPr>
              <w:t>Новый сотрудник осваивает работу через устные пояснения и текущие задачи</w:t>
            </w:r>
          </w:p>
        </w:tc>
      </w:tr>
      <w:tr w14:paraId="195EB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8BFC080">
            <w:pPr>
              <w:widowControl w:val="0"/>
              <w:spacing w:line="240" w:lineRule="auto"/>
              <w:jc w:val="both"/>
              <w:rPr>
                <w:sz w:val="24"/>
                <w:szCs w:val="24"/>
              </w:rPr>
            </w:pPr>
            <w:r>
              <w:rPr>
                <w:rFonts w:ascii="Times New Roman" w:hAnsi="Times New Roman"/>
                <w:sz w:val="24"/>
                <w:szCs w:val="24"/>
              </w:rPr>
              <w:t>Учебные материалы</w:t>
            </w:r>
          </w:p>
        </w:tc>
        <w:tc>
          <w:tcPr>
            <w:tcW w:w="3118" w:type="dxa"/>
          </w:tcPr>
          <w:p w14:paraId="1C8877F6">
            <w:pPr>
              <w:widowControl w:val="0"/>
              <w:spacing w:line="240" w:lineRule="auto"/>
              <w:jc w:val="both"/>
              <w:rPr>
                <w:sz w:val="24"/>
                <w:szCs w:val="24"/>
              </w:rPr>
            </w:pPr>
            <w:r>
              <w:rPr>
                <w:rFonts w:ascii="Times New Roman" w:hAnsi="Times New Roman"/>
                <w:sz w:val="24"/>
                <w:szCs w:val="24"/>
              </w:rPr>
              <w:t>Единая база актуальных материалов не сформирована</w:t>
            </w:r>
          </w:p>
        </w:tc>
        <w:tc>
          <w:tcPr>
            <w:tcW w:w="3118" w:type="dxa"/>
          </w:tcPr>
          <w:p w14:paraId="6D5BA582">
            <w:pPr>
              <w:widowControl w:val="0"/>
              <w:spacing w:line="240" w:lineRule="auto"/>
              <w:jc w:val="both"/>
              <w:rPr>
                <w:sz w:val="24"/>
                <w:szCs w:val="24"/>
              </w:rPr>
            </w:pPr>
            <w:r>
              <w:rPr>
                <w:rFonts w:ascii="Times New Roman" w:hAnsi="Times New Roman"/>
                <w:sz w:val="24"/>
                <w:szCs w:val="24"/>
              </w:rPr>
              <w:t>Сотрудники используют разные источники, часть шаблонов может устаревать</w:t>
            </w:r>
          </w:p>
        </w:tc>
      </w:tr>
      <w:tr w14:paraId="51E9D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DE8FAA">
            <w:pPr>
              <w:widowControl w:val="0"/>
              <w:spacing w:line="240" w:lineRule="auto"/>
              <w:jc w:val="both"/>
              <w:rPr>
                <w:sz w:val="24"/>
                <w:szCs w:val="24"/>
              </w:rPr>
            </w:pPr>
            <w:r>
              <w:rPr>
                <w:rFonts w:ascii="Times New Roman" w:hAnsi="Times New Roman"/>
                <w:sz w:val="24"/>
                <w:szCs w:val="24"/>
              </w:rPr>
              <w:t>Обновление знаний</w:t>
            </w:r>
          </w:p>
        </w:tc>
        <w:tc>
          <w:tcPr>
            <w:tcW w:w="3118" w:type="dxa"/>
          </w:tcPr>
          <w:p w14:paraId="4F19315E">
            <w:pPr>
              <w:widowControl w:val="0"/>
              <w:spacing w:line="240" w:lineRule="auto"/>
              <w:jc w:val="both"/>
              <w:rPr>
                <w:sz w:val="24"/>
                <w:szCs w:val="24"/>
              </w:rPr>
            </w:pPr>
            <w:r>
              <w:rPr>
                <w:rFonts w:ascii="Times New Roman" w:hAnsi="Times New Roman"/>
                <w:sz w:val="24"/>
                <w:szCs w:val="24"/>
              </w:rPr>
              <w:t>Происходит эпизодически через вебинары и самостоятельный поиск информации</w:t>
            </w:r>
          </w:p>
        </w:tc>
        <w:tc>
          <w:tcPr>
            <w:tcW w:w="3118" w:type="dxa"/>
          </w:tcPr>
          <w:p w14:paraId="5298CDDD">
            <w:pPr>
              <w:widowControl w:val="0"/>
              <w:spacing w:line="240" w:lineRule="auto"/>
              <w:jc w:val="both"/>
              <w:rPr>
                <w:sz w:val="24"/>
                <w:szCs w:val="24"/>
              </w:rPr>
            </w:pPr>
            <w:r>
              <w:rPr>
                <w:rFonts w:ascii="Times New Roman" w:hAnsi="Times New Roman"/>
                <w:sz w:val="24"/>
                <w:szCs w:val="24"/>
              </w:rPr>
              <w:t>Изменения законодательства не всегда одинаково быстро доходят до всех сотрудников</w:t>
            </w:r>
          </w:p>
        </w:tc>
      </w:tr>
      <w:tr w14:paraId="57053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3FE5A3B">
            <w:pPr>
              <w:widowControl w:val="0"/>
              <w:spacing w:line="240" w:lineRule="auto"/>
              <w:jc w:val="both"/>
              <w:rPr>
                <w:sz w:val="24"/>
                <w:szCs w:val="24"/>
              </w:rPr>
            </w:pPr>
            <w:r>
              <w:rPr>
                <w:rFonts w:ascii="Times New Roman" w:hAnsi="Times New Roman"/>
                <w:sz w:val="24"/>
                <w:szCs w:val="24"/>
              </w:rPr>
              <w:t>Проверка знаний</w:t>
            </w:r>
          </w:p>
        </w:tc>
        <w:tc>
          <w:tcPr>
            <w:tcW w:w="3118" w:type="dxa"/>
          </w:tcPr>
          <w:p w14:paraId="788095DF">
            <w:pPr>
              <w:widowControl w:val="0"/>
              <w:spacing w:line="240" w:lineRule="auto"/>
              <w:jc w:val="both"/>
              <w:rPr>
                <w:sz w:val="24"/>
                <w:szCs w:val="24"/>
              </w:rPr>
            </w:pPr>
            <w:r>
              <w:rPr>
                <w:rFonts w:ascii="Times New Roman" w:hAnsi="Times New Roman"/>
                <w:sz w:val="24"/>
                <w:szCs w:val="24"/>
              </w:rPr>
              <w:t>Регулярное тестирование не проводится</w:t>
            </w:r>
          </w:p>
        </w:tc>
        <w:tc>
          <w:tcPr>
            <w:tcW w:w="3118" w:type="dxa"/>
          </w:tcPr>
          <w:p w14:paraId="15DAA408">
            <w:pPr>
              <w:widowControl w:val="0"/>
              <w:spacing w:line="240" w:lineRule="auto"/>
              <w:jc w:val="both"/>
              <w:rPr>
                <w:sz w:val="24"/>
                <w:szCs w:val="24"/>
              </w:rPr>
            </w:pPr>
            <w:r>
              <w:rPr>
                <w:rFonts w:ascii="Times New Roman" w:hAnsi="Times New Roman"/>
                <w:sz w:val="24"/>
                <w:szCs w:val="24"/>
              </w:rPr>
              <w:t>Руководитель не имеет точной картины по пробелам в знаниях специалистов</w:t>
            </w:r>
          </w:p>
        </w:tc>
      </w:tr>
      <w:tr w14:paraId="6E46A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731DCBF6">
            <w:pPr>
              <w:widowControl w:val="0"/>
              <w:spacing w:line="240" w:lineRule="auto"/>
              <w:jc w:val="both"/>
              <w:rPr>
                <w:sz w:val="24"/>
                <w:szCs w:val="24"/>
              </w:rPr>
            </w:pPr>
            <w:r>
              <w:rPr>
                <w:rFonts w:ascii="Times New Roman" w:hAnsi="Times New Roman"/>
                <w:sz w:val="24"/>
                <w:szCs w:val="24"/>
              </w:rPr>
              <w:t>Разбор ошибок</w:t>
            </w:r>
          </w:p>
        </w:tc>
        <w:tc>
          <w:tcPr>
            <w:tcW w:w="3118" w:type="dxa"/>
          </w:tcPr>
          <w:p w14:paraId="648ED9EF">
            <w:pPr>
              <w:widowControl w:val="0"/>
              <w:spacing w:line="240" w:lineRule="auto"/>
              <w:jc w:val="both"/>
              <w:rPr>
                <w:sz w:val="24"/>
                <w:szCs w:val="24"/>
              </w:rPr>
            </w:pPr>
            <w:r>
              <w:rPr>
                <w:rFonts w:ascii="Times New Roman" w:hAnsi="Times New Roman"/>
                <w:sz w:val="24"/>
                <w:szCs w:val="24"/>
              </w:rPr>
              <w:t>Ошибки обсуждаются устно и не фиксируются в единой базе</w:t>
            </w:r>
          </w:p>
        </w:tc>
        <w:tc>
          <w:tcPr>
            <w:tcW w:w="3118" w:type="dxa"/>
          </w:tcPr>
          <w:p w14:paraId="4FE97557">
            <w:pPr>
              <w:widowControl w:val="0"/>
              <w:spacing w:line="240" w:lineRule="auto"/>
              <w:jc w:val="both"/>
              <w:rPr>
                <w:sz w:val="24"/>
                <w:szCs w:val="24"/>
              </w:rPr>
            </w:pPr>
            <w:r>
              <w:rPr>
                <w:rFonts w:ascii="Times New Roman" w:hAnsi="Times New Roman"/>
                <w:sz w:val="24"/>
                <w:szCs w:val="24"/>
              </w:rPr>
              <w:t>Повторяющиеся ошибки не превращаются в общий опыт отдела</w:t>
            </w:r>
          </w:p>
        </w:tc>
      </w:tr>
      <w:tr w14:paraId="5F3F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041087B">
            <w:pPr>
              <w:widowControl w:val="0"/>
              <w:spacing w:line="240" w:lineRule="auto"/>
              <w:jc w:val="both"/>
              <w:rPr>
                <w:sz w:val="24"/>
                <w:szCs w:val="24"/>
              </w:rPr>
            </w:pPr>
            <w:r>
              <w:rPr>
                <w:rFonts w:ascii="Times New Roman" w:hAnsi="Times New Roman"/>
                <w:sz w:val="24"/>
                <w:szCs w:val="24"/>
              </w:rPr>
              <w:t>Наставничество</w:t>
            </w:r>
          </w:p>
        </w:tc>
        <w:tc>
          <w:tcPr>
            <w:tcW w:w="3118" w:type="dxa"/>
          </w:tcPr>
          <w:p w14:paraId="4A3EB0BC">
            <w:pPr>
              <w:widowControl w:val="0"/>
              <w:spacing w:line="240" w:lineRule="auto"/>
              <w:jc w:val="both"/>
              <w:rPr>
                <w:sz w:val="24"/>
                <w:szCs w:val="24"/>
              </w:rPr>
            </w:pPr>
            <w:r>
              <w:rPr>
                <w:rFonts w:ascii="Times New Roman" w:hAnsi="Times New Roman"/>
                <w:sz w:val="24"/>
                <w:szCs w:val="24"/>
              </w:rPr>
              <w:t>Формально не закреплено</w:t>
            </w:r>
          </w:p>
        </w:tc>
        <w:tc>
          <w:tcPr>
            <w:tcW w:w="3118" w:type="dxa"/>
          </w:tcPr>
          <w:p w14:paraId="175D22C0">
            <w:pPr>
              <w:widowControl w:val="0"/>
              <w:spacing w:line="240" w:lineRule="auto"/>
              <w:jc w:val="both"/>
              <w:rPr>
                <w:sz w:val="24"/>
                <w:szCs w:val="24"/>
              </w:rPr>
            </w:pPr>
            <w:r>
              <w:rPr>
                <w:rFonts w:ascii="Times New Roman" w:hAnsi="Times New Roman"/>
                <w:sz w:val="24"/>
                <w:szCs w:val="24"/>
              </w:rPr>
              <w:t>Передача опыта зависит от личной инициативы опытных сотрудников</w:t>
            </w:r>
          </w:p>
        </w:tc>
      </w:tr>
      <w:tr w14:paraId="568F0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6FD078C">
            <w:pPr>
              <w:widowControl w:val="0"/>
              <w:spacing w:line="240" w:lineRule="auto"/>
              <w:jc w:val="both"/>
              <w:rPr>
                <w:sz w:val="24"/>
                <w:szCs w:val="24"/>
              </w:rPr>
            </w:pPr>
            <w:r>
              <w:rPr>
                <w:rFonts w:ascii="Times New Roman" w:hAnsi="Times New Roman"/>
                <w:sz w:val="24"/>
                <w:szCs w:val="24"/>
              </w:rPr>
              <w:t>Оценка эффективности обучения</w:t>
            </w:r>
          </w:p>
        </w:tc>
        <w:tc>
          <w:tcPr>
            <w:tcW w:w="3118" w:type="dxa"/>
          </w:tcPr>
          <w:p w14:paraId="038F0B21">
            <w:pPr>
              <w:widowControl w:val="0"/>
              <w:spacing w:line="240" w:lineRule="auto"/>
              <w:jc w:val="both"/>
              <w:rPr>
                <w:sz w:val="24"/>
                <w:szCs w:val="24"/>
              </w:rPr>
            </w:pPr>
            <w:r>
              <w:rPr>
                <w:rFonts w:ascii="Times New Roman" w:hAnsi="Times New Roman"/>
                <w:sz w:val="24"/>
                <w:szCs w:val="24"/>
              </w:rPr>
              <w:t>Не проводится</w:t>
            </w:r>
          </w:p>
        </w:tc>
        <w:tc>
          <w:tcPr>
            <w:tcW w:w="3118" w:type="dxa"/>
          </w:tcPr>
          <w:p w14:paraId="11B3787B">
            <w:pPr>
              <w:widowControl w:val="0"/>
              <w:spacing w:line="240" w:lineRule="auto"/>
              <w:jc w:val="both"/>
              <w:rPr>
                <w:sz w:val="24"/>
                <w:szCs w:val="24"/>
              </w:rPr>
            </w:pPr>
            <w:r>
              <w:rPr>
                <w:rFonts w:ascii="Times New Roman" w:hAnsi="Times New Roman"/>
                <w:sz w:val="24"/>
                <w:szCs w:val="24"/>
              </w:rPr>
              <w:t>Невозможно определить, влияет ли обучение на качество заявок и количество отклонений</w:t>
            </w:r>
          </w:p>
        </w:tc>
      </w:tr>
    </w:tbl>
    <w:p w14:paraId="231D5F22">
      <w:pPr>
        <w:spacing w:after="120" w:line="240" w:lineRule="auto"/>
        <w:ind w:firstLine="700"/>
        <w:rPr>
          <w:sz w:val="24"/>
          <w:szCs w:val="24"/>
        </w:rPr>
      </w:pPr>
    </w:p>
    <w:p w14:paraId="4AD3D4C4">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Таким</w:t>
      </w:r>
      <w:r>
        <w:rPr>
          <w:rFonts w:hint="default" w:ascii="Times New Roman" w:hAnsi="Times New Roman"/>
          <w:b w:val="0"/>
          <w:i w:val="0"/>
          <w:sz w:val="28"/>
          <w:lang w:val="ru-RU"/>
        </w:rPr>
        <w:t xml:space="preserve"> образом, в тендерном отделе ООО «Лайф Медиа» присутствуют отдельные обучающие действия, но они не образуют целостной системы. Компания несёт минимальные и формальные затраты, которые имеют эпизодический характер.</w:t>
      </w:r>
    </w:p>
    <w:p w14:paraId="7FF4D82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Чтобы оценить насколько отсутствие системного обучения отражается на деятельности тендерного отдела, необходимо рассмотреть показатели участия компании в закупках (см.табл.3.2.). Для ООО «Лайф Медиа» важны не только количество поданных заявок и число выигранных контрактов, но и доля заявок, признанных соответствующими требованиям заказчика. Именно этот показатель отражает, насколько качественно сотрудники выполняют подготовительный этап работы: проверяют документацию, собирают обязательные формы, соблюдают требования к файлам, срокам и электронной подписи. </w:t>
      </w:r>
    </w:p>
    <w:p w14:paraId="7126ACB7">
      <w:pPr>
        <w:spacing w:after="120" w:line="360" w:lineRule="auto"/>
        <w:ind w:firstLine="700"/>
        <w:jc w:val="both"/>
        <w:rPr>
          <w:sz w:val="24"/>
          <w:szCs w:val="24"/>
        </w:rPr>
      </w:pPr>
      <w:r>
        <w:rPr>
          <w:rFonts w:ascii="Times New Roman" w:hAnsi="Times New Roman"/>
          <w:b w:val="0"/>
          <w:i w:val="0"/>
          <w:sz w:val="24"/>
          <w:szCs w:val="24"/>
        </w:rPr>
        <w:t>Таблица 3.2. Результаты участия ООО «Лайф Медиа» в тендерах за 2023-2025 гг.</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7"/>
        <w:gridCol w:w="1071"/>
        <w:gridCol w:w="2240"/>
        <w:gridCol w:w="1414"/>
        <w:gridCol w:w="1425"/>
        <w:gridCol w:w="1367"/>
        <w:gridCol w:w="1277"/>
      </w:tblGrid>
      <w:tr w14:paraId="777D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vAlign w:val="center"/>
          </w:tcPr>
          <w:p w14:paraId="16D06A5C">
            <w:pPr>
              <w:widowControl w:val="0"/>
              <w:jc w:val="both"/>
              <w:rPr>
                <w:b w:val="0"/>
                <w:bCs/>
              </w:rPr>
            </w:pPr>
            <w:r>
              <w:rPr>
                <w:rFonts w:ascii="Times New Roman" w:hAnsi="Times New Roman"/>
                <w:b w:val="0"/>
                <w:bCs/>
                <w:sz w:val="24"/>
              </w:rPr>
              <w:t>Год</w:t>
            </w:r>
          </w:p>
        </w:tc>
        <w:tc>
          <w:tcPr>
            <w:tcW w:w="1071" w:type="dxa"/>
            <w:vAlign w:val="center"/>
          </w:tcPr>
          <w:p w14:paraId="6FC70E4E">
            <w:pPr>
              <w:widowControl w:val="0"/>
              <w:jc w:val="both"/>
              <w:rPr>
                <w:b w:val="0"/>
                <w:bCs/>
              </w:rPr>
            </w:pPr>
            <w:r>
              <w:rPr>
                <w:rFonts w:ascii="Times New Roman" w:hAnsi="Times New Roman"/>
                <w:b w:val="0"/>
                <w:bCs/>
                <w:sz w:val="24"/>
              </w:rPr>
              <w:t>Подано заявок</w:t>
            </w:r>
          </w:p>
        </w:tc>
        <w:tc>
          <w:tcPr>
            <w:tcW w:w="2240" w:type="dxa"/>
            <w:vAlign w:val="center"/>
          </w:tcPr>
          <w:p w14:paraId="000F2935">
            <w:pPr>
              <w:widowControl w:val="0"/>
              <w:jc w:val="both"/>
              <w:rPr>
                <w:b w:val="0"/>
                <w:bCs/>
              </w:rPr>
            </w:pPr>
            <w:r>
              <w:rPr>
                <w:rFonts w:ascii="Times New Roman" w:hAnsi="Times New Roman"/>
                <w:b w:val="0"/>
                <w:bCs/>
                <w:sz w:val="24"/>
              </w:rPr>
              <w:t>Признано соответствующими</w:t>
            </w:r>
          </w:p>
        </w:tc>
        <w:tc>
          <w:tcPr>
            <w:tcW w:w="1414" w:type="dxa"/>
            <w:vAlign w:val="center"/>
          </w:tcPr>
          <w:p w14:paraId="55C2D6C9">
            <w:pPr>
              <w:widowControl w:val="0"/>
              <w:jc w:val="both"/>
              <w:rPr>
                <w:b w:val="0"/>
                <w:bCs/>
              </w:rPr>
            </w:pPr>
            <w:r>
              <w:rPr>
                <w:rFonts w:ascii="Times New Roman" w:hAnsi="Times New Roman"/>
                <w:b w:val="0"/>
                <w:bCs/>
                <w:sz w:val="24"/>
              </w:rPr>
              <w:t>Отклонено на этапе допуска</w:t>
            </w:r>
          </w:p>
        </w:tc>
        <w:tc>
          <w:tcPr>
            <w:tcW w:w="1425" w:type="dxa"/>
            <w:vAlign w:val="center"/>
          </w:tcPr>
          <w:p w14:paraId="465C3E86">
            <w:pPr>
              <w:widowControl w:val="0"/>
              <w:jc w:val="both"/>
              <w:rPr>
                <w:b w:val="0"/>
                <w:bCs/>
              </w:rPr>
            </w:pPr>
            <w:r>
              <w:rPr>
                <w:rFonts w:ascii="Times New Roman" w:hAnsi="Times New Roman"/>
                <w:b w:val="0"/>
                <w:bCs/>
                <w:sz w:val="24"/>
              </w:rPr>
              <w:t>Выиграно контрактов</w:t>
            </w:r>
          </w:p>
        </w:tc>
        <w:tc>
          <w:tcPr>
            <w:tcW w:w="1367" w:type="dxa"/>
            <w:vAlign w:val="center"/>
          </w:tcPr>
          <w:p w14:paraId="086B7A49">
            <w:pPr>
              <w:widowControl w:val="0"/>
              <w:jc w:val="both"/>
              <w:rPr>
                <w:b w:val="0"/>
                <w:bCs/>
              </w:rPr>
            </w:pPr>
            <w:r>
              <w:rPr>
                <w:rFonts w:ascii="Times New Roman" w:hAnsi="Times New Roman"/>
                <w:b w:val="0"/>
                <w:bCs/>
                <w:sz w:val="24"/>
              </w:rPr>
              <w:t>Конверсия из заявки в победу, %</w:t>
            </w:r>
          </w:p>
        </w:tc>
        <w:tc>
          <w:tcPr>
            <w:tcW w:w="1277" w:type="dxa"/>
            <w:vAlign w:val="center"/>
          </w:tcPr>
          <w:p w14:paraId="0E3245F2">
            <w:pPr>
              <w:widowControl w:val="0"/>
              <w:jc w:val="both"/>
              <w:rPr>
                <w:b w:val="0"/>
                <w:bCs/>
              </w:rPr>
            </w:pPr>
            <w:r>
              <w:rPr>
                <w:rFonts w:ascii="Times New Roman" w:hAnsi="Times New Roman"/>
                <w:b w:val="0"/>
                <w:bCs/>
                <w:sz w:val="24"/>
              </w:rPr>
              <w:t>Доля отклоненных заявок, %</w:t>
            </w:r>
          </w:p>
        </w:tc>
      </w:tr>
      <w:tr w14:paraId="7E7ED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46701573">
            <w:pPr>
              <w:widowControl w:val="0"/>
              <w:jc w:val="both"/>
            </w:pPr>
            <w:r>
              <w:rPr>
                <w:rFonts w:ascii="Times New Roman" w:hAnsi="Times New Roman"/>
                <w:sz w:val="24"/>
              </w:rPr>
              <w:t>2023</w:t>
            </w:r>
          </w:p>
        </w:tc>
        <w:tc>
          <w:tcPr>
            <w:tcW w:w="1071" w:type="dxa"/>
          </w:tcPr>
          <w:p w14:paraId="1D9C41A2">
            <w:pPr>
              <w:widowControl w:val="0"/>
              <w:jc w:val="both"/>
            </w:pPr>
            <w:r>
              <w:rPr>
                <w:rFonts w:ascii="Times New Roman" w:hAnsi="Times New Roman"/>
                <w:sz w:val="24"/>
              </w:rPr>
              <w:t>168</w:t>
            </w:r>
          </w:p>
        </w:tc>
        <w:tc>
          <w:tcPr>
            <w:tcW w:w="2240" w:type="dxa"/>
          </w:tcPr>
          <w:p w14:paraId="00AECB0C">
            <w:pPr>
              <w:widowControl w:val="0"/>
              <w:jc w:val="both"/>
            </w:pPr>
            <w:r>
              <w:rPr>
                <w:rFonts w:ascii="Times New Roman" w:hAnsi="Times New Roman"/>
                <w:sz w:val="24"/>
              </w:rPr>
              <w:t>142</w:t>
            </w:r>
          </w:p>
        </w:tc>
        <w:tc>
          <w:tcPr>
            <w:tcW w:w="1414" w:type="dxa"/>
          </w:tcPr>
          <w:p w14:paraId="231D7E6B">
            <w:pPr>
              <w:widowControl w:val="0"/>
              <w:jc w:val="both"/>
            </w:pPr>
            <w:r>
              <w:rPr>
                <w:rFonts w:ascii="Times New Roman" w:hAnsi="Times New Roman"/>
                <w:sz w:val="24"/>
              </w:rPr>
              <w:t>26</w:t>
            </w:r>
          </w:p>
        </w:tc>
        <w:tc>
          <w:tcPr>
            <w:tcW w:w="1425" w:type="dxa"/>
          </w:tcPr>
          <w:p w14:paraId="532762C4">
            <w:pPr>
              <w:widowControl w:val="0"/>
              <w:jc w:val="both"/>
            </w:pPr>
            <w:r>
              <w:rPr>
                <w:rFonts w:ascii="Times New Roman" w:hAnsi="Times New Roman"/>
                <w:sz w:val="24"/>
              </w:rPr>
              <w:t>35</w:t>
            </w:r>
          </w:p>
        </w:tc>
        <w:tc>
          <w:tcPr>
            <w:tcW w:w="1367" w:type="dxa"/>
          </w:tcPr>
          <w:p w14:paraId="17D66410">
            <w:pPr>
              <w:widowControl w:val="0"/>
              <w:jc w:val="both"/>
            </w:pPr>
            <w:r>
              <w:rPr>
                <w:rFonts w:ascii="Times New Roman" w:hAnsi="Times New Roman"/>
                <w:sz w:val="24"/>
              </w:rPr>
              <w:t>20,8</w:t>
            </w:r>
          </w:p>
        </w:tc>
        <w:tc>
          <w:tcPr>
            <w:tcW w:w="1277" w:type="dxa"/>
          </w:tcPr>
          <w:p w14:paraId="63E49711">
            <w:pPr>
              <w:widowControl w:val="0"/>
              <w:jc w:val="both"/>
            </w:pPr>
            <w:r>
              <w:rPr>
                <w:rFonts w:ascii="Times New Roman" w:hAnsi="Times New Roman"/>
                <w:sz w:val="24"/>
              </w:rPr>
              <w:t>15,5</w:t>
            </w:r>
          </w:p>
        </w:tc>
      </w:tr>
      <w:tr w14:paraId="196A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20CBBE0">
            <w:pPr>
              <w:widowControl w:val="0"/>
              <w:jc w:val="both"/>
            </w:pPr>
            <w:r>
              <w:rPr>
                <w:rFonts w:ascii="Times New Roman" w:hAnsi="Times New Roman"/>
                <w:sz w:val="24"/>
              </w:rPr>
              <w:t>2024</w:t>
            </w:r>
          </w:p>
        </w:tc>
        <w:tc>
          <w:tcPr>
            <w:tcW w:w="1071" w:type="dxa"/>
          </w:tcPr>
          <w:p w14:paraId="28AC77C9">
            <w:pPr>
              <w:widowControl w:val="0"/>
              <w:jc w:val="both"/>
            </w:pPr>
            <w:r>
              <w:rPr>
                <w:rFonts w:ascii="Times New Roman" w:hAnsi="Times New Roman"/>
                <w:sz w:val="24"/>
              </w:rPr>
              <w:t>185</w:t>
            </w:r>
          </w:p>
        </w:tc>
        <w:tc>
          <w:tcPr>
            <w:tcW w:w="2240" w:type="dxa"/>
          </w:tcPr>
          <w:p w14:paraId="075B619C">
            <w:pPr>
              <w:widowControl w:val="0"/>
              <w:jc w:val="both"/>
            </w:pPr>
            <w:r>
              <w:rPr>
                <w:rFonts w:ascii="Times New Roman" w:hAnsi="Times New Roman"/>
                <w:sz w:val="24"/>
              </w:rPr>
              <w:t>158</w:t>
            </w:r>
          </w:p>
        </w:tc>
        <w:tc>
          <w:tcPr>
            <w:tcW w:w="1414" w:type="dxa"/>
          </w:tcPr>
          <w:p w14:paraId="7280F81F">
            <w:pPr>
              <w:widowControl w:val="0"/>
              <w:jc w:val="both"/>
            </w:pPr>
            <w:r>
              <w:rPr>
                <w:rFonts w:ascii="Times New Roman" w:hAnsi="Times New Roman"/>
                <w:sz w:val="24"/>
              </w:rPr>
              <w:t>27</w:t>
            </w:r>
          </w:p>
        </w:tc>
        <w:tc>
          <w:tcPr>
            <w:tcW w:w="1425" w:type="dxa"/>
          </w:tcPr>
          <w:p w14:paraId="728268C7">
            <w:pPr>
              <w:widowControl w:val="0"/>
              <w:jc w:val="both"/>
            </w:pPr>
            <w:r>
              <w:rPr>
                <w:rFonts w:ascii="Times New Roman" w:hAnsi="Times New Roman"/>
                <w:sz w:val="24"/>
              </w:rPr>
              <w:t>42</w:t>
            </w:r>
          </w:p>
        </w:tc>
        <w:tc>
          <w:tcPr>
            <w:tcW w:w="1367" w:type="dxa"/>
          </w:tcPr>
          <w:p w14:paraId="5C56E20F">
            <w:pPr>
              <w:widowControl w:val="0"/>
              <w:jc w:val="both"/>
            </w:pPr>
            <w:r>
              <w:rPr>
                <w:rFonts w:ascii="Times New Roman" w:hAnsi="Times New Roman"/>
                <w:sz w:val="24"/>
              </w:rPr>
              <w:t>22,7</w:t>
            </w:r>
          </w:p>
        </w:tc>
        <w:tc>
          <w:tcPr>
            <w:tcW w:w="1277" w:type="dxa"/>
          </w:tcPr>
          <w:p w14:paraId="170A83A1">
            <w:pPr>
              <w:widowControl w:val="0"/>
              <w:jc w:val="both"/>
            </w:pPr>
            <w:r>
              <w:rPr>
                <w:rFonts w:ascii="Times New Roman" w:hAnsi="Times New Roman"/>
                <w:sz w:val="24"/>
              </w:rPr>
              <w:t>14,6</w:t>
            </w:r>
          </w:p>
        </w:tc>
      </w:tr>
      <w:tr w14:paraId="0247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77" w:type="dxa"/>
          </w:tcPr>
          <w:p w14:paraId="5E2D62DF">
            <w:pPr>
              <w:widowControl w:val="0"/>
              <w:jc w:val="both"/>
            </w:pPr>
            <w:r>
              <w:rPr>
                <w:rFonts w:ascii="Times New Roman" w:hAnsi="Times New Roman"/>
                <w:sz w:val="24"/>
              </w:rPr>
              <w:t>2025</w:t>
            </w:r>
          </w:p>
        </w:tc>
        <w:tc>
          <w:tcPr>
            <w:tcW w:w="1071" w:type="dxa"/>
          </w:tcPr>
          <w:p w14:paraId="5432F0D6">
            <w:pPr>
              <w:widowControl w:val="0"/>
              <w:jc w:val="both"/>
            </w:pPr>
            <w:r>
              <w:rPr>
                <w:rFonts w:ascii="Times New Roman" w:hAnsi="Times New Roman"/>
                <w:sz w:val="24"/>
              </w:rPr>
              <w:t>152</w:t>
            </w:r>
          </w:p>
        </w:tc>
        <w:tc>
          <w:tcPr>
            <w:tcW w:w="2240" w:type="dxa"/>
          </w:tcPr>
          <w:p w14:paraId="41B57518">
            <w:pPr>
              <w:widowControl w:val="0"/>
              <w:jc w:val="both"/>
            </w:pPr>
            <w:r>
              <w:rPr>
                <w:rFonts w:ascii="Times New Roman" w:hAnsi="Times New Roman"/>
                <w:sz w:val="24"/>
              </w:rPr>
              <w:t>128</w:t>
            </w:r>
          </w:p>
        </w:tc>
        <w:tc>
          <w:tcPr>
            <w:tcW w:w="1414" w:type="dxa"/>
          </w:tcPr>
          <w:p w14:paraId="317BF322">
            <w:pPr>
              <w:widowControl w:val="0"/>
              <w:jc w:val="both"/>
            </w:pPr>
            <w:r>
              <w:rPr>
                <w:rFonts w:ascii="Times New Roman" w:hAnsi="Times New Roman"/>
                <w:sz w:val="24"/>
              </w:rPr>
              <w:t>24</w:t>
            </w:r>
          </w:p>
        </w:tc>
        <w:tc>
          <w:tcPr>
            <w:tcW w:w="1425" w:type="dxa"/>
          </w:tcPr>
          <w:p w14:paraId="197F0EA1">
            <w:pPr>
              <w:widowControl w:val="0"/>
              <w:jc w:val="both"/>
            </w:pPr>
            <w:r>
              <w:rPr>
                <w:rFonts w:ascii="Times New Roman" w:hAnsi="Times New Roman"/>
                <w:sz w:val="24"/>
              </w:rPr>
              <w:t>35</w:t>
            </w:r>
          </w:p>
        </w:tc>
        <w:tc>
          <w:tcPr>
            <w:tcW w:w="1367" w:type="dxa"/>
          </w:tcPr>
          <w:p w14:paraId="7C99D8C9">
            <w:pPr>
              <w:widowControl w:val="0"/>
              <w:jc w:val="both"/>
            </w:pPr>
            <w:r>
              <w:rPr>
                <w:rFonts w:ascii="Times New Roman" w:hAnsi="Times New Roman"/>
                <w:sz w:val="24"/>
              </w:rPr>
              <w:t>23,0</w:t>
            </w:r>
          </w:p>
        </w:tc>
        <w:tc>
          <w:tcPr>
            <w:tcW w:w="1277" w:type="dxa"/>
          </w:tcPr>
          <w:p w14:paraId="60EAF8B8">
            <w:pPr>
              <w:widowControl w:val="0"/>
              <w:jc w:val="both"/>
            </w:pPr>
            <w:r>
              <w:rPr>
                <w:rFonts w:ascii="Times New Roman" w:hAnsi="Times New Roman"/>
                <w:sz w:val="24"/>
              </w:rPr>
              <w:t>15,8</w:t>
            </w:r>
          </w:p>
        </w:tc>
      </w:tr>
    </w:tbl>
    <w:p w14:paraId="599B5FF3">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 </w:t>
      </w:r>
    </w:p>
    <w:p w14:paraId="5E124254">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Данные таблицы показывают, что доля выигранных тендеров за анализируемый период находится примерно на одном уровне. Небольшой рост конверсии сам по себе не свидетельствует о качественном развитии системы подготовки персонала, поскольку одновременно сохраняется высокая доля заявок, отклонённых ещё на стадии торгов. В относительном выражении показатель отклонений держится в диапазоне 14,6-15,8%.</w:t>
      </w:r>
    </w:p>
    <w:p w14:paraId="7099CDFF">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Для тендерной деятельности отклонение заявки на этапе допуска является особенно значимым показателем. Если компания проигрывает торги по цене или условиям исполнения, то это может быть связано с рыночной конкуренцией. Но если заявка не допускается до торгов, то причина чаще всего находится внутри процесса подготовки: неправильно выбранная форма документа, отсутствие обязательного файла, некорректная электронная подпись, арифметическая ошибка, неверное толкование требования заказчика. Такие ошибки относятся к управленческим, то есть их можно выявлять, учитывать и снижать за счёт стандартизации работы и накопления знаний внутри отдела.</w:t>
      </w:r>
    </w:p>
    <w:p w14:paraId="02097924">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Для более точного понимания характера проблем были обобщены причины отклонения заявок за 2023-2025 годы. Всего за три года было выявлено 77 случаев отклонения заявок на этапе допуска. Анализ причин показывает, что ошибки распределяются по нескольким группам (см.табл.3.3.).</w:t>
      </w:r>
    </w:p>
    <w:p w14:paraId="798012B3">
      <w:pPr>
        <w:spacing w:after="120" w:line="360" w:lineRule="auto"/>
        <w:ind w:firstLine="700"/>
        <w:jc w:val="both"/>
        <w:rPr>
          <w:rFonts w:hint="default" w:ascii="Times New Roman" w:hAnsi="Times New Roman"/>
          <w:b w:val="0"/>
          <w:i w:val="0"/>
          <w:sz w:val="28"/>
          <w:lang w:val="ru-RU"/>
        </w:rPr>
      </w:pPr>
    </w:p>
    <w:p w14:paraId="1664213F">
      <w:pPr>
        <w:spacing w:after="120" w:line="360" w:lineRule="auto"/>
        <w:ind w:firstLine="700"/>
        <w:jc w:val="center"/>
        <w:rPr>
          <w:rFonts w:hint="default" w:ascii="Times New Roman" w:hAnsi="Times New Roman" w:cs="Times New Roman"/>
          <w:sz w:val="24"/>
          <w:szCs w:val="24"/>
        </w:rPr>
      </w:pPr>
      <w:r>
        <w:rPr>
          <w:rFonts w:ascii="Times New Roman" w:hAnsi="Times New Roman"/>
          <w:b w:val="0"/>
          <w:i w:val="0"/>
          <w:sz w:val="24"/>
          <w:szCs w:val="18"/>
        </w:rPr>
        <w:t>Таблица 3.3. Структура причин отклонения заявок ООО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9"/>
        <w:gridCol w:w="1995"/>
        <w:gridCol w:w="1930"/>
        <w:gridCol w:w="3092"/>
      </w:tblGrid>
      <w:tr w14:paraId="5DE38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vAlign w:val="center"/>
          </w:tcPr>
          <w:p w14:paraId="68EEF42A">
            <w:pPr>
              <w:widowControl w:val="0"/>
              <w:jc w:val="center"/>
              <w:rPr>
                <w:b w:val="0"/>
                <w:bCs/>
              </w:rPr>
            </w:pPr>
            <w:r>
              <w:rPr>
                <w:rFonts w:ascii="Times New Roman" w:hAnsi="Times New Roman"/>
                <w:b w:val="0"/>
                <w:bCs/>
                <w:sz w:val="24"/>
              </w:rPr>
              <w:t>Группа ошибок</w:t>
            </w:r>
          </w:p>
        </w:tc>
        <w:tc>
          <w:tcPr>
            <w:tcW w:w="1995" w:type="dxa"/>
            <w:vAlign w:val="center"/>
          </w:tcPr>
          <w:p w14:paraId="01B1C3FC">
            <w:pPr>
              <w:widowControl w:val="0"/>
              <w:jc w:val="center"/>
              <w:rPr>
                <w:b w:val="0"/>
                <w:bCs/>
              </w:rPr>
            </w:pPr>
            <w:r>
              <w:rPr>
                <w:rFonts w:ascii="Times New Roman" w:hAnsi="Times New Roman"/>
                <w:b w:val="0"/>
                <w:bCs/>
                <w:sz w:val="24"/>
              </w:rPr>
              <w:t>Количество случаев</w:t>
            </w:r>
          </w:p>
        </w:tc>
        <w:tc>
          <w:tcPr>
            <w:tcW w:w="1930" w:type="dxa"/>
            <w:vAlign w:val="center"/>
          </w:tcPr>
          <w:p w14:paraId="5CC32A61">
            <w:pPr>
              <w:widowControl w:val="0"/>
              <w:jc w:val="center"/>
              <w:rPr>
                <w:b w:val="0"/>
                <w:bCs/>
              </w:rPr>
            </w:pPr>
            <w:r>
              <w:rPr>
                <w:rFonts w:ascii="Times New Roman" w:hAnsi="Times New Roman"/>
                <w:b w:val="0"/>
                <w:bCs/>
                <w:sz w:val="24"/>
              </w:rPr>
              <w:t>Доля, %</w:t>
            </w:r>
          </w:p>
        </w:tc>
        <w:tc>
          <w:tcPr>
            <w:tcW w:w="3092" w:type="dxa"/>
            <w:vAlign w:val="center"/>
          </w:tcPr>
          <w:p w14:paraId="1F7AF956">
            <w:pPr>
              <w:widowControl w:val="0"/>
              <w:jc w:val="center"/>
              <w:rPr>
                <w:b w:val="0"/>
                <w:bCs/>
              </w:rPr>
            </w:pPr>
            <w:r>
              <w:rPr>
                <w:rFonts w:ascii="Times New Roman" w:hAnsi="Times New Roman"/>
                <w:b w:val="0"/>
                <w:bCs/>
                <w:sz w:val="24"/>
              </w:rPr>
              <w:t>Содержание ошибки</w:t>
            </w:r>
          </w:p>
        </w:tc>
      </w:tr>
      <w:tr w14:paraId="63DD3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322A2289">
            <w:pPr>
              <w:widowControl w:val="0"/>
              <w:jc w:val="both"/>
            </w:pPr>
            <w:r>
              <w:rPr>
                <w:rFonts w:ascii="Times New Roman" w:hAnsi="Times New Roman"/>
                <w:sz w:val="24"/>
              </w:rPr>
              <w:t>Ошибки, связанные с требованиями законодательства и документации</w:t>
            </w:r>
          </w:p>
        </w:tc>
        <w:tc>
          <w:tcPr>
            <w:tcW w:w="1995" w:type="dxa"/>
            <w:vAlign w:val="center"/>
          </w:tcPr>
          <w:p w14:paraId="36BBEB59">
            <w:pPr>
              <w:widowControl w:val="0"/>
              <w:jc w:val="center"/>
            </w:pPr>
            <w:r>
              <w:rPr>
                <w:rFonts w:ascii="Times New Roman" w:hAnsi="Times New Roman"/>
                <w:sz w:val="24"/>
              </w:rPr>
              <w:t>25</w:t>
            </w:r>
          </w:p>
        </w:tc>
        <w:tc>
          <w:tcPr>
            <w:tcW w:w="1930" w:type="dxa"/>
            <w:vAlign w:val="center"/>
          </w:tcPr>
          <w:p w14:paraId="2EFDEDE3">
            <w:pPr>
              <w:widowControl w:val="0"/>
              <w:jc w:val="center"/>
            </w:pPr>
            <w:r>
              <w:rPr>
                <w:rFonts w:ascii="Times New Roman" w:hAnsi="Times New Roman"/>
                <w:sz w:val="24"/>
              </w:rPr>
              <w:t>32,5</w:t>
            </w:r>
          </w:p>
        </w:tc>
        <w:tc>
          <w:tcPr>
            <w:tcW w:w="3092" w:type="dxa"/>
          </w:tcPr>
          <w:p w14:paraId="4FA6DC42">
            <w:pPr>
              <w:widowControl w:val="0"/>
              <w:jc w:val="both"/>
            </w:pPr>
            <w:r>
              <w:rPr>
                <w:rFonts w:ascii="Times New Roman" w:hAnsi="Times New Roman"/>
                <w:sz w:val="24"/>
              </w:rPr>
              <w:t>Неверное применение требований 44-ФЗ/223-ФЗ, использование устаревших форм, неполное подтверждение опыта</w:t>
            </w:r>
          </w:p>
        </w:tc>
      </w:tr>
      <w:tr w14:paraId="5138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45781F1A">
            <w:pPr>
              <w:widowControl w:val="0"/>
              <w:jc w:val="both"/>
            </w:pPr>
            <w:r>
              <w:rPr>
                <w:rFonts w:ascii="Times New Roman" w:hAnsi="Times New Roman"/>
                <w:sz w:val="24"/>
              </w:rPr>
              <w:t>Технические ошибки при работе с ЭТП</w:t>
            </w:r>
          </w:p>
        </w:tc>
        <w:tc>
          <w:tcPr>
            <w:tcW w:w="1995" w:type="dxa"/>
            <w:vAlign w:val="center"/>
          </w:tcPr>
          <w:p w14:paraId="6EA08246">
            <w:pPr>
              <w:widowControl w:val="0"/>
              <w:jc w:val="center"/>
            </w:pPr>
            <w:r>
              <w:rPr>
                <w:rFonts w:ascii="Times New Roman" w:hAnsi="Times New Roman"/>
                <w:sz w:val="24"/>
              </w:rPr>
              <w:t>28</w:t>
            </w:r>
          </w:p>
        </w:tc>
        <w:tc>
          <w:tcPr>
            <w:tcW w:w="1930" w:type="dxa"/>
            <w:vAlign w:val="center"/>
          </w:tcPr>
          <w:p w14:paraId="5263BEFC">
            <w:pPr>
              <w:widowControl w:val="0"/>
              <w:jc w:val="center"/>
            </w:pPr>
            <w:r>
              <w:rPr>
                <w:rFonts w:ascii="Times New Roman" w:hAnsi="Times New Roman"/>
                <w:sz w:val="24"/>
              </w:rPr>
              <w:t>36,4</w:t>
            </w:r>
          </w:p>
        </w:tc>
        <w:tc>
          <w:tcPr>
            <w:tcW w:w="3092" w:type="dxa"/>
          </w:tcPr>
          <w:p w14:paraId="320777C9">
            <w:pPr>
              <w:widowControl w:val="0"/>
              <w:jc w:val="both"/>
            </w:pPr>
            <w:r>
              <w:rPr>
                <w:rFonts w:ascii="Times New Roman" w:hAnsi="Times New Roman"/>
                <w:sz w:val="24"/>
              </w:rPr>
              <w:t>Неполная загрузка документов, неверный формат файла, ошибки при подписании электронной подписью</w:t>
            </w:r>
          </w:p>
        </w:tc>
      </w:tr>
      <w:tr w14:paraId="003D7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1B68C6B1">
            <w:pPr>
              <w:widowControl w:val="0"/>
              <w:jc w:val="both"/>
            </w:pPr>
            <w:r>
              <w:rPr>
                <w:rFonts w:ascii="Times New Roman" w:hAnsi="Times New Roman"/>
                <w:sz w:val="24"/>
              </w:rPr>
              <w:t>Ошибки в расчетах и ценовом предложении</w:t>
            </w:r>
          </w:p>
        </w:tc>
        <w:tc>
          <w:tcPr>
            <w:tcW w:w="1995" w:type="dxa"/>
            <w:vAlign w:val="center"/>
          </w:tcPr>
          <w:p w14:paraId="03DA81C6">
            <w:pPr>
              <w:widowControl w:val="0"/>
              <w:jc w:val="center"/>
            </w:pPr>
            <w:r>
              <w:rPr>
                <w:rFonts w:ascii="Times New Roman" w:hAnsi="Times New Roman"/>
                <w:sz w:val="24"/>
              </w:rPr>
              <w:t>14</w:t>
            </w:r>
          </w:p>
        </w:tc>
        <w:tc>
          <w:tcPr>
            <w:tcW w:w="1930" w:type="dxa"/>
            <w:vAlign w:val="center"/>
          </w:tcPr>
          <w:p w14:paraId="098F612C">
            <w:pPr>
              <w:widowControl w:val="0"/>
              <w:jc w:val="center"/>
            </w:pPr>
            <w:r>
              <w:rPr>
                <w:rFonts w:ascii="Times New Roman" w:hAnsi="Times New Roman"/>
                <w:sz w:val="24"/>
              </w:rPr>
              <w:t>18,2</w:t>
            </w:r>
          </w:p>
        </w:tc>
        <w:tc>
          <w:tcPr>
            <w:tcW w:w="3092" w:type="dxa"/>
          </w:tcPr>
          <w:p w14:paraId="361C0E4D">
            <w:pPr>
              <w:widowControl w:val="0"/>
              <w:jc w:val="both"/>
            </w:pPr>
            <w:r>
              <w:rPr>
                <w:rFonts w:ascii="Times New Roman" w:hAnsi="Times New Roman"/>
                <w:sz w:val="24"/>
              </w:rPr>
              <w:t>Несоответствие итоговой суммы, арифметические расхождения, некорректное отражение НДС</w:t>
            </w:r>
          </w:p>
        </w:tc>
      </w:tr>
      <w:tr w14:paraId="2BB1F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F2CA0CB">
            <w:pPr>
              <w:widowControl w:val="0"/>
              <w:jc w:val="both"/>
            </w:pPr>
            <w:r>
              <w:rPr>
                <w:rFonts w:ascii="Times New Roman" w:hAnsi="Times New Roman"/>
                <w:sz w:val="24"/>
              </w:rPr>
              <w:t>Организационные ошибки подготовки заявки</w:t>
            </w:r>
          </w:p>
        </w:tc>
        <w:tc>
          <w:tcPr>
            <w:tcW w:w="1995" w:type="dxa"/>
            <w:vAlign w:val="center"/>
          </w:tcPr>
          <w:p w14:paraId="0FF454D7">
            <w:pPr>
              <w:widowControl w:val="0"/>
              <w:jc w:val="center"/>
            </w:pPr>
            <w:r>
              <w:rPr>
                <w:rFonts w:ascii="Times New Roman" w:hAnsi="Times New Roman"/>
                <w:sz w:val="24"/>
              </w:rPr>
              <w:t>10</w:t>
            </w:r>
          </w:p>
        </w:tc>
        <w:tc>
          <w:tcPr>
            <w:tcW w:w="1930" w:type="dxa"/>
            <w:vAlign w:val="center"/>
          </w:tcPr>
          <w:p w14:paraId="6A50DCFC">
            <w:pPr>
              <w:widowControl w:val="0"/>
              <w:jc w:val="center"/>
            </w:pPr>
            <w:r>
              <w:rPr>
                <w:rFonts w:ascii="Times New Roman" w:hAnsi="Times New Roman"/>
                <w:sz w:val="24"/>
              </w:rPr>
              <w:t>12,9</w:t>
            </w:r>
          </w:p>
        </w:tc>
        <w:tc>
          <w:tcPr>
            <w:tcW w:w="3092" w:type="dxa"/>
          </w:tcPr>
          <w:p w14:paraId="594B5375">
            <w:pPr>
              <w:widowControl w:val="0"/>
              <w:jc w:val="both"/>
            </w:pPr>
            <w:r>
              <w:rPr>
                <w:rFonts w:ascii="Times New Roman" w:hAnsi="Times New Roman"/>
                <w:sz w:val="24"/>
              </w:rPr>
              <w:t>Нарушение внутренней последовательности проверки, отсутствие финального контроля перед отправкой</w:t>
            </w:r>
          </w:p>
        </w:tc>
      </w:tr>
      <w:tr w14:paraId="4984E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9" w:type="dxa"/>
          </w:tcPr>
          <w:p w14:paraId="79DFEBCA">
            <w:pPr>
              <w:widowControl w:val="0"/>
              <w:jc w:val="both"/>
            </w:pPr>
            <w:r>
              <w:rPr>
                <w:rFonts w:ascii="Times New Roman" w:hAnsi="Times New Roman"/>
                <w:sz w:val="24"/>
              </w:rPr>
              <w:t>Итого</w:t>
            </w:r>
          </w:p>
        </w:tc>
        <w:tc>
          <w:tcPr>
            <w:tcW w:w="1995" w:type="dxa"/>
            <w:vAlign w:val="center"/>
          </w:tcPr>
          <w:p w14:paraId="5019359C">
            <w:pPr>
              <w:widowControl w:val="0"/>
              <w:jc w:val="center"/>
            </w:pPr>
            <w:r>
              <w:rPr>
                <w:rFonts w:ascii="Times New Roman" w:hAnsi="Times New Roman"/>
                <w:sz w:val="24"/>
              </w:rPr>
              <w:t>77</w:t>
            </w:r>
          </w:p>
        </w:tc>
        <w:tc>
          <w:tcPr>
            <w:tcW w:w="1930" w:type="dxa"/>
            <w:vAlign w:val="center"/>
          </w:tcPr>
          <w:p w14:paraId="1DFFBBFB">
            <w:pPr>
              <w:widowControl w:val="0"/>
              <w:jc w:val="center"/>
            </w:pPr>
            <w:r>
              <w:rPr>
                <w:rFonts w:ascii="Times New Roman" w:hAnsi="Times New Roman"/>
                <w:sz w:val="24"/>
              </w:rPr>
              <w:t>100,0</w:t>
            </w:r>
          </w:p>
        </w:tc>
        <w:tc>
          <w:tcPr>
            <w:tcW w:w="3092" w:type="dxa"/>
          </w:tcPr>
          <w:p w14:paraId="046D532C">
            <w:pPr>
              <w:widowControl w:val="0"/>
              <w:jc w:val="both"/>
            </w:pPr>
            <w:r>
              <w:rPr>
                <w:rFonts w:ascii="Times New Roman" w:hAnsi="Times New Roman"/>
                <w:sz w:val="24"/>
              </w:rPr>
              <w:t>-</w:t>
            </w:r>
          </w:p>
        </w:tc>
      </w:tr>
    </w:tbl>
    <w:p w14:paraId="7DEBC317">
      <w:pPr>
        <w:spacing w:after="120" w:line="360" w:lineRule="auto"/>
        <w:ind w:firstLine="700"/>
        <w:jc w:val="both"/>
        <w:rPr>
          <w:rFonts w:hint="default" w:ascii="Times New Roman" w:hAnsi="Times New Roman"/>
          <w:b w:val="0"/>
          <w:i w:val="0"/>
          <w:sz w:val="28"/>
          <w:lang w:val="ru-RU"/>
        </w:rPr>
      </w:pPr>
    </w:p>
    <w:p w14:paraId="3ACDD3DA">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Наибольшая доля приходится на технические ошибки при работе с электронными торговыми площадками (ЭТП) — 36,4%. Это значит, что значительная часть отклонений связана с процедурными нарушениями при подаче заявки. Второе место занимают ошибки, связанные с законодательством и требованиями документации — 32,5%. Такая структура показывает, что сотрудники сталкиваются с трудностями как в содержательной части подготовки заявки, так и в техническом оформлении документов.</w:t>
      </w:r>
    </w:p>
    <w:p w14:paraId="72156D5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Примером</w:t>
      </w:r>
      <w:r>
        <w:rPr>
          <w:rFonts w:hint="default" w:ascii="Times New Roman" w:hAnsi="Times New Roman"/>
          <w:b w:val="0"/>
          <w:i w:val="0"/>
          <w:sz w:val="28"/>
          <w:lang w:val="ru-RU"/>
        </w:rPr>
        <w:t xml:space="preserve"> ошибки первой группы является ситуация, когда в закупке требовалось подтвердить опыт исполнения контракта на определённую сумму, но специалист приложил договор без корректного учёта НДС. Сотрудник исходил из собственного понимания суммы, тогда как заказчик оценивал документ по фактически указанным условиям. В результате заявка не прошла допуск. Подобные случаи показывают, что проблема находится не только в невнимательности, но и в недостаточном понимании логики проверки документов заказчиком.</w:t>
      </w:r>
    </w:p>
    <w:p w14:paraId="2EEB43C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Другой</w:t>
      </w:r>
      <w:r>
        <w:rPr>
          <w:rFonts w:hint="default" w:ascii="Times New Roman" w:hAnsi="Times New Roman"/>
          <w:b w:val="0"/>
          <w:i w:val="0"/>
          <w:sz w:val="28"/>
          <w:lang w:val="ru-RU"/>
        </w:rPr>
        <w:t xml:space="preserve"> пример связан с использованием устаревшей формы декларации. В 2025 году часть заявок была отклонена из-за того, что сотрудник взял шаблон из общей папки, где находилась форма прошлого периода. Так как порядок обновления шаблонов не закреплён, сотрудник использовал доступный документ, но он уже не соответствовал актуальным требованиям. Такая ошибка демонстрирует связь между отсутствием единой базы актуальных материалов и качеством подготовки заявок.</w:t>
      </w:r>
    </w:p>
    <w:p w14:paraId="60A97D0D">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Технические</w:t>
      </w:r>
      <w:r>
        <w:rPr>
          <w:rFonts w:hint="default" w:ascii="Times New Roman" w:hAnsi="Times New Roman"/>
          <w:b w:val="0"/>
          <w:i w:val="0"/>
          <w:sz w:val="28"/>
          <w:lang w:val="ru-RU"/>
        </w:rPr>
        <w:t xml:space="preserve"> ошибки также имеют повторяющийся характер. В отдельных случаях сотрудники загружали не полный пакет документов, выбирали неверный формат файла и подписывали заявку до завершения загрузки всех приложений. Эти нарушения можно обнаружить при финальной проверке. Однако в компании отсутствует единый обязательный порядок проверки, поэтому качество заявки зависит от личной внимательности специалиста, а не от закреплённого алгоритма работы.</w:t>
      </w:r>
    </w:p>
    <w:p w14:paraId="38CCD937">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Ошибки в расчётах составляют меньшую долю, но имеют существенное значение, так как связаны с финальной частью заявки. Арифметические расхождения между суммой позиции и итоговой ценой создают риск признания информации недостоверной. Для компании, которая работает с тендерами и рассчитывает маржу по каждому лоту, такие ошибки затрагивают не только допуск к торгам, но и общую надёжность экономического анализа закупки.</w:t>
      </w:r>
    </w:p>
    <w:p w14:paraId="300BE535">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Следовательно</w:t>
      </w:r>
      <w:r>
        <w:rPr>
          <w:rFonts w:hint="default" w:ascii="Times New Roman" w:hAnsi="Times New Roman"/>
          <w:b w:val="0"/>
          <w:i w:val="0"/>
          <w:sz w:val="28"/>
          <w:lang w:val="ru-RU"/>
        </w:rPr>
        <w:t>, результаты тендерной деятельности подтверждают, что отсутствие системы обучения проявляется не абстрактно, а через конкретные рабочие последствия: повторяемость однотипных ошибок, сохранение доли отклонённых заявок на уровне около 15%, зависимость качества подготовки от индивидуального опыта и отсутствие накопления общего знания внутри отдела. При этом сам факт повторения ошибок в течение трёх лет показывает, что устные объяснения и разовые вебинары не обеспечивают устойчивого изменения рабочих практик.</w:t>
      </w:r>
    </w:p>
    <w:p w14:paraId="65A9A4F8">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 xml:space="preserve">Для уточнения внутренней оценки ситуации 14 апреля 2026 года был проведён опрос в </w:t>
      </w:r>
      <w:r>
        <w:rPr>
          <w:rFonts w:hint="default" w:ascii="Times New Roman" w:hAnsi="Times New Roman"/>
          <w:b w:val="0"/>
          <w:i w:val="0"/>
          <w:sz w:val="28"/>
          <w:lang w:val="en-US"/>
        </w:rPr>
        <w:t>google</w:t>
      </w:r>
      <w:r>
        <w:rPr>
          <w:rFonts w:hint="default" w:ascii="Times New Roman" w:hAnsi="Times New Roman"/>
          <w:b w:val="0"/>
          <w:i w:val="0"/>
          <w:sz w:val="28"/>
          <w:lang w:val="ru-RU"/>
        </w:rPr>
        <w:t>-форме сотрудников тендерного отдела ООО «Лайф Медиа». в опросе участвовали все 8 специалистов. Цель была в том, чтобы определить как сами сотрудники оценивают действующий порядок обучения, какие источники знаний используют в работе, с какими трудностями сталкиваются и какие профессиональные темы считают наиболее значимыми для дальнейшего освоения. Опрос носит диагностический характер и служит базой для разработки рекомендаций.</w:t>
      </w:r>
    </w:p>
    <w:p w14:paraId="7114F2FE">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Анкета</w:t>
      </w:r>
      <w:r>
        <w:rPr>
          <w:rFonts w:hint="default" w:ascii="Times New Roman" w:hAnsi="Times New Roman"/>
          <w:b w:val="0"/>
          <w:i w:val="0"/>
          <w:sz w:val="28"/>
          <w:lang w:val="ru-RU"/>
        </w:rPr>
        <w:t xml:space="preserve"> включала вопросы закрытого и полузакрытого типа. Сотрудники отвечали на вопросы анонимно, чтобы снизить влияние должностной зависимости и получить более точные ответы. Вопросы были сгруппированы по четырём блокам: наличие системы обучения, источники получения знаний, трудности в работе и профессиональные потребности сотрудников (см.табл.3.4.).</w:t>
      </w:r>
    </w:p>
    <w:p w14:paraId="265C5F8D">
      <w:pPr>
        <w:spacing w:after="120" w:line="360" w:lineRule="auto"/>
        <w:ind w:firstLine="700"/>
        <w:jc w:val="right"/>
        <w:rPr>
          <w:sz w:val="24"/>
          <w:szCs w:val="24"/>
        </w:rPr>
      </w:pPr>
      <w:r>
        <w:rPr>
          <w:rFonts w:ascii="Times New Roman" w:hAnsi="Times New Roman"/>
          <w:b w:val="0"/>
          <w:i w:val="0"/>
          <w:sz w:val="24"/>
          <w:szCs w:val="24"/>
        </w:rPr>
        <w:t>Таблица 3.4. Общая оценка сотрудниками состояния обучения в тендерном отделе</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3EDA7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99" w:type="dxa"/>
            <w:vAlign w:val="center"/>
          </w:tcPr>
          <w:p w14:paraId="5B786698">
            <w:pPr>
              <w:widowControl w:val="0"/>
              <w:jc w:val="center"/>
              <w:rPr>
                <w:b w:val="0"/>
                <w:bCs/>
              </w:rPr>
            </w:pPr>
            <w:r>
              <w:rPr>
                <w:rFonts w:ascii="Times New Roman" w:hAnsi="Times New Roman"/>
                <w:b w:val="0"/>
                <w:bCs/>
                <w:sz w:val="24"/>
              </w:rPr>
              <w:t>Вопрос анкеты</w:t>
            </w:r>
          </w:p>
        </w:tc>
        <w:tc>
          <w:tcPr>
            <w:tcW w:w="2250" w:type="dxa"/>
            <w:vAlign w:val="center"/>
          </w:tcPr>
          <w:p w14:paraId="0A1F2ED8">
            <w:pPr>
              <w:widowControl w:val="0"/>
              <w:jc w:val="center"/>
              <w:rPr>
                <w:b w:val="0"/>
                <w:bCs/>
              </w:rPr>
            </w:pPr>
            <w:r>
              <w:rPr>
                <w:rFonts w:ascii="Times New Roman" w:hAnsi="Times New Roman"/>
                <w:b w:val="0"/>
                <w:bCs/>
                <w:sz w:val="24"/>
              </w:rPr>
              <w:t>Вариант ответа</w:t>
            </w:r>
          </w:p>
        </w:tc>
        <w:tc>
          <w:tcPr>
            <w:tcW w:w="1868" w:type="dxa"/>
            <w:vAlign w:val="center"/>
          </w:tcPr>
          <w:p w14:paraId="0E21191D">
            <w:pPr>
              <w:widowControl w:val="0"/>
              <w:jc w:val="center"/>
              <w:rPr>
                <w:b w:val="0"/>
                <w:bCs/>
              </w:rPr>
            </w:pPr>
            <w:r>
              <w:rPr>
                <w:rFonts w:ascii="Times New Roman" w:hAnsi="Times New Roman"/>
                <w:b w:val="0"/>
                <w:bCs/>
                <w:sz w:val="24"/>
              </w:rPr>
              <w:t>Количество ответов</w:t>
            </w:r>
          </w:p>
        </w:tc>
        <w:tc>
          <w:tcPr>
            <w:tcW w:w="1839" w:type="dxa"/>
            <w:vAlign w:val="center"/>
          </w:tcPr>
          <w:p w14:paraId="5B9601AF">
            <w:pPr>
              <w:widowControl w:val="0"/>
              <w:jc w:val="center"/>
              <w:rPr>
                <w:b w:val="0"/>
                <w:bCs/>
              </w:rPr>
            </w:pPr>
            <w:r>
              <w:rPr>
                <w:rFonts w:ascii="Times New Roman" w:hAnsi="Times New Roman"/>
                <w:b w:val="0"/>
                <w:bCs/>
                <w:sz w:val="24"/>
              </w:rPr>
              <w:t>Доля, %</w:t>
            </w:r>
          </w:p>
        </w:tc>
      </w:tr>
      <w:tr w14:paraId="56AB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22640FB">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6F0830B6">
            <w:pPr>
              <w:widowControl w:val="0"/>
              <w:jc w:val="center"/>
            </w:pPr>
            <w:r>
              <w:rPr>
                <w:rFonts w:ascii="Times New Roman" w:hAnsi="Times New Roman"/>
                <w:sz w:val="24"/>
              </w:rPr>
              <w:t>Да</w:t>
            </w:r>
          </w:p>
        </w:tc>
        <w:tc>
          <w:tcPr>
            <w:tcW w:w="1868" w:type="dxa"/>
            <w:vAlign w:val="center"/>
          </w:tcPr>
          <w:p w14:paraId="359A23D4">
            <w:pPr>
              <w:widowControl w:val="0"/>
              <w:jc w:val="center"/>
            </w:pPr>
            <w:r>
              <w:rPr>
                <w:rFonts w:ascii="Times New Roman" w:hAnsi="Times New Roman"/>
                <w:sz w:val="24"/>
              </w:rPr>
              <w:t>0</w:t>
            </w:r>
          </w:p>
        </w:tc>
        <w:tc>
          <w:tcPr>
            <w:tcW w:w="1839" w:type="dxa"/>
            <w:vAlign w:val="center"/>
          </w:tcPr>
          <w:p w14:paraId="6924CB38">
            <w:pPr>
              <w:widowControl w:val="0"/>
              <w:jc w:val="center"/>
            </w:pPr>
            <w:r>
              <w:rPr>
                <w:rFonts w:ascii="Times New Roman" w:hAnsi="Times New Roman"/>
                <w:sz w:val="24"/>
              </w:rPr>
              <w:t>0,0</w:t>
            </w:r>
          </w:p>
        </w:tc>
      </w:tr>
      <w:tr w14:paraId="4559A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B2A484A">
            <w:pPr>
              <w:widowControl w:val="0"/>
              <w:jc w:val="both"/>
            </w:pPr>
            <w:r>
              <w:rPr>
                <w:rFonts w:ascii="Times New Roman" w:hAnsi="Times New Roman"/>
                <w:sz w:val="24"/>
              </w:rPr>
              <w:t>Есть ли в компании утвержденная программа обучения тендерных специалистов?</w:t>
            </w:r>
          </w:p>
        </w:tc>
        <w:tc>
          <w:tcPr>
            <w:tcW w:w="2250" w:type="dxa"/>
            <w:vAlign w:val="center"/>
          </w:tcPr>
          <w:p w14:paraId="38509CA0">
            <w:pPr>
              <w:widowControl w:val="0"/>
              <w:jc w:val="center"/>
            </w:pPr>
            <w:r>
              <w:rPr>
                <w:rFonts w:ascii="Times New Roman" w:hAnsi="Times New Roman"/>
                <w:sz w:val="24"/>
              </w:rPr>
              <w:t>Нет</w:t>
            </w:r>
          </w:p>
        </w:tc>
        <w:tc>
          <w:tcPr>
            <w:tcW w:w="1868" w:type="dxa"/>
            <w:vAlign w:val="center"/>
          </w:tcPr>
          <w:p w14:paraId="47211DA0">
            <w:pPr>
              <w:widowControl w:val="0"/>
              <w:jc w:val="center"/>
            </w:pPr>
            <w:r>
              <w:rPr>
                <w:rFonts w:ascii="Times New Roman" w:hAnsi="Times New Roman"/>
                <w:sz w:val="24"/>
              </w:rPr>
              <w:t>8</w:t>
            </w:r>
          </w:p>
        </w:tc>
        <w:tc>
          <w:tcPr>
            <w:tcW w:w="1839" w:type="dxa"/>
            <w:vAlign w:val="center"/>
          </w:tcPr>
          <w:p w14:paraId="6CBFB5EF">
            <w:pPr>
              <w:widowControl w:val="0"/>
              <w:jc w:val="center"/>
            </w:pPr>
            <w:r>
              <w:rPr>
                <w:rFonts w:ascii="Times New Roman" w:hAnsi="Times New Roman"/>
                <w:sz w:val="24"/>
              </w:rPr>
              <w:t>100,0</w:t>
            </w:r>
          </w:p>
        </w:tc>
      </w:tr>
    </w:tbl>
    <w:p w14:paraId="1AF1289D">
      <w:pPr>
        <w:spacing w:after="120" w:line="360" w:lineRule="auto"/>
        <w:jc w:val="both"/>
      </w:pPr>
    </w:p>
    <w:p w14:paraId="4CE9D6DC">
      <w:pPr>
        <w:spacing w:after="120" w:line="360" w:lineRule="auto"/>
        <w:jc w:val="right"/>
        <w:rPr>
          <w:rFonts w:hint="default" w:ascii="Times New Roman" w:hAnsi="Times New Roman" w:cs="Times New Roman"/>
          <w:sz w:val="24"/>
          <w:szCs w:val="24"/>
          <w:lang w:val="ru-RU"/>
        </w:rPr>
      </w:pPr>
      <w:r>
        <w:rPr>
          <w:rFonts w:hint="default" w:ascii="Times New Roman" w:hAnsi="Times New Roman" w:cs="Times New Roman"/>
          <w:sz w:val="24"/>
          <w:szCs w:val="24"/>
          <w:lang w:val="ru-RU"/>
        </w:rPr>
        <w:t>Продолжение таблицы 3.4.</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99"/>
        <w:gridCol w:w="2250"/>
        <w:gridCol w:w="1868"/>
        <w:gridCol w:w="1839"/>
      </w:tblGrid>
      <w:tr w14:paraId="0C4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205B3369">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3634AC45">
            <w:pPr>
              <w:widowControl w:val="0"/>
              <w:jc w:val="center"/>
            </w:pPr>
            <w:r>
              <w:rPr>
                <w:rFonts w:ascii="Times New Roman" w:hAnsi="Times New Roman"/>
                <w:sz w:val="24"/>
              </w:rPr>
              <w:t>Да, полностью</w:t>
            </w:r>
          </w:p>
        </w:tc>
        <w:tc>
          <w:tcPr>
            <w:tcW w:w="1868" w:type="dxa"/>
            <w:vAlign w:val="center"/>
          </w:tcPr>
          <w:p w14:paraId="47C40D36">
            <w:pPr>
              <w:widowControl w:val="0"/>
              <w:jc w:val="center"/>
            </w:pPr>
            <w:r>
              <w:rPr>
                <w:rFonts w:ascii="Times New Roman" w:hAnsi="Times New Roman"/>
                <w:sz w:val="24"/>
              </w:rPr>
              <w:t>0</w:t>
            </w:r>
          </w:p>
        </w:tc>
        <w:tc>
          <w:tcPr>
            <w:tcW w:w="1839" w:type="dxa"/>
            <w:vAlign w:val="center"/>
          </w:tcPr>
          <w:p w14:paraId="33FD3682">
            <w:pPr>
              <w:widowControl w:val="0"/>
              <w:jc w:val="center"/>
            </w:pPr>
            <w:r>
              <w:rPr>
                <w:rFonts w:ascii="Times New Roman" w:hAnsi="Times New Roman"/>
                <w:sz w:val="24"/>
              </w:rPr>
              <w:t>0,0</w:t>
            </w:r>
          </w:p>
        </w:tc>
      </w:tr>
      <w:tr w14:paraId="657A8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379350">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EB2F2B9">
            <w:pPr>
              <w:widowControl w:val="0"/>
              <w:jc w:val="center"/>
            </w:pPr>
            <w:r>
              <w:rPr>
                <w:rFonts w:ascii="Times New Roman" w:hAnsi="Times New Roman"/>
                <w:sz w:val="24"/>
              </w:rPr>
              <w:t>Частично</w:t>
            </w:r>
          </w:p>
        </w:tc>
        <w:tc>
          <w:tcPr>
            <w:tcW w:w="1868" w:type="dxa"/>
            <w:vAlign w:val="center"/>
          </w:tcPr>
          <w:p w14:paraId="2D48A761">
            <w:pPr>
              <w:widowControl w:val="0"/>
              <w:jc w:val="center"/>
            </w:pPr>
            <w:r>
              <w:rPr>
                <w:rFonts w:ascii="Times New Roman" w:hAnsi="Times New Roman"/>
                <w:sz w:val="24"/>
              </w:rPr>
              <w:t>2</w:t>
            </w:r>
          </w:p>
        </w:tc>
        <w:tc>
          <w:tcPr>
            <w:tcW w:w="1839" w:type="dxa"/>
            <w:vAlign w:val="center"/>
          </w:tcPr>
          <w:p w14:paraId="439D0546">
            <w:pPr>
              <w:widowControl w:val="0"/>
              <w:jc w:val="center"/>
            </w:pPr>
            <w:r>
              <w:rPr>
                <w:rFonts w:ascii="Times New Roman" w:hAnsi="Times New Roman"/>
                <w:sz w:val="24"/>
              </w:rPr>
              <w:t>25,0</w:t>
            </w:r>
          </w:p>
        </w:tc>
      </w:tr>
      <w:tr w14:paraId="4FF4B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4E2A845">
            <w:pPr>
              <w:widowControl w:val="0"/>
              <w:jc w:val="both"/>
            </w:pPr>
            <w:r>
              <w:rPr>
                <w:rFonts w:ascii="Times New Roman" w:hAnsi="Times New Roman"/>
                <w:sz w:val="24"/>
              </w:rPr>
              <w:t>Проходили ли вы вводное обучение по единому плану при приеме на работу?</w:t>
            </w:r>
          </w:p>
        </w:tc>
        <w:tc>
          <w:tcPr>
            <w:tcW w:w="2250" w:type="dxa"/>
            <w:vAlign w:val="center"/>
          </w:tcPr>
          <w:p w14:paraId="508F6EC1">
            <w:pPr>
              <w:widowControl w:val="0"/>
              <w:jc w:val="center"/>
            </w:pPr>
            <w:r>
              <w:rPr>
                <w:rFonts w:ascii="Times New Roman" w:hAnsi="Times New Roman"/>
                <w:sz w:val="24"/>
              </w:rPr>
              <w:t>Нет</w:t>
            </w:r>
          </w:p>
        </w:tc>
        <w:tc>
          <w:tcPr>
            <w:tcW w:w="1868" w:type="dxa"/>
            <w:vAlign w:val="center"/>
          </w:tcPr>
          <w:p w14:paraId="207F1191">
            <w:pPr>
              <w:widowControl w:val="0"/>
              <w:jc w:val="center"/>
            </w:pPr>
            <w:r>
              <w:rPr>
                <w:rFonts w:ascii="Times New Roman" w:hAnsi="Times New Roman"/>
                <w:sz w:val="24"/>
              </w:rPr>
              <w:t>6</w:t>
            </w:r>
          </w:p>
        </w:tc>
        <w:tc>
          <w:tcPr>
            <w:tcW w:w="1839" w:type="dxa"/>
            <w:vAlign w:val="center"/>
          </w:tcPr>
          <w:p w14:paraId="35E785F9">
            <w:pPr>
              <w:widowControl w:val="0"/>
              <w:jc w:val="center"/>
            </w:pPr>
            <w:r>
              <w:rPr>
                <w:rFonts w:ascii="Times New Roman" w:hAnsi="Times New Roman"/>
                <w:sz w:val="24"/>
              </w:rPr>
              <w:t>75,0</w:t>
            </w:r>
          </w:p>
        </w:tc>
      </w:tr>
      <w:tr w14:paraId="0E4A8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1B4FAF49">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27AD96CD">
            <w:pPr>
              <w:widowControl w:val="0"/>
              <w:jc w:val="center"/>
            </w:pPr>
            <w:r>
              <w:rPr>
                <w:rFonts w:ascii="Times New Roman" w:hAnsi="Times New Roman"/>
                <w:sz w:val="24"/>
              </w:rPr>
              <w:t>Да</w:t>
            </w:r>
          </w:p>
        </w:tc>
        <w:tc>
          <w:tcPr>
            <w:tcW w:w="1868" w:type="dxa"/>
            <w:vAlign w:val="center"/>
          </w:tcPr>
          <w:p w14:paraId="4F4AA7A2">
            <w:pPr>
              <w:widowControl w:val="0"/>
              <w:jc w:val="center"/>
            </w:pPr>
            <w:r>
              <w:rPr>
                <w:rFonts w:ascii="Times New Roman" w:hAnsi="Times New Roman"/>
                <w:sz w:val="24"/>
              </w:rPr>
              <w:t>0</w:t>
            </w:r>
          </w:p>
        </w:tc>
        <w:tc>
          <w:tcPr>
            <w:tcW w:w="1839" w:type="dxa"/>
            <w:vAlign w:val="center"/>
          </w:tcPr>
          <w:p w14:paraId="3673F7CE">
            <w:pPr>
              <w:widowControl w:val="0"/>
              <w:jc w:val="center"/>
            </w:pPr>
            <w:r>
              <w:rPr>
                <w:rFonts w:ascii="Times New Roman" w:hAnsi="Times New Roman"/>
                <w:sz w:val="24"/>
              </w:rPr>
              <w:t>0,0</w:t>
            </w:r>
          </w:p>
        </w:tc>
      </w:tr>
      <w:tr w14:paraId="2D433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5E65411">
            <w:pPr>
              <w:widowControl w:val="0"/>
              <w:jc w:val="both"/>
            </w:pPr>
            <w:r>
              <w:rPr>
                <w:rFonts w:ascii="Times New Roman" w:hAnsi="Times New Roman"/>
                <w:sz w:val="24"/>
              </w:rPr>
              <w:t>Проводится ли регулярная проверка знаний по 44-ФЗ/223-ФЗ и ЭТП?</w:t>
            </w:r>
          </w:p>
        </w:tc>
        <w:tc>
          <w:tcPr>
            <w:tcW w:w="2250" w:type="dxa"/>
            <w:vAlign w:val="center"/>
          </w:tcPr>
          <w:p w14:paraId="0CD31B59">
            <w:pPr>
              <w:widowControl w:val="0"/>
              <w:jc w:val="center"/>
            </w:pPr>
            <w:r>
              <w:rPr>
                <w:rFonts w:ascii="Times New Roman" w:hAnsi="Times New Roman"/>
                <w:sz w:val="24"/>
              </w:rPr>
              <w:t>Нет</w:t>
            </w:r>
          </w:p>
        </w:tc>
        <w:tc>
          <w:tcPr>
            <w:tcW w:w="1868" w:type="dxa"/>
            <w:vAlign w:val="center"/>
          </w:tcPr>
          <w:p w14:paraId="2C04BA2F">
            <w:pPr>
              <w:widowControl w:val="0"/>
              <w:jc w:val="center"/>
            </w:pPr>
            <w:r>
              <w:rPr>
                <w:rFonts w:ascii="Times New Roman" w:hAnsi="Times New Roman"/>
                <w:sz w:val="24"/>
              </w:rPr>
              <w:t>8</w:t>
            </w:r>
          </w:p>
        </w:tc>
        <w:tc>
          <w:tcPr>
            <w:tcW w:w="1839" w:type="dxa"/>
            <w:vAlign w:val="center"/>
          </w:tcPr>
          <w:p w14:paraId="0F02E646">
            <w:pPr>
              <w:widowControl w:val="0"/>
              <w:jc w:val="center"/>
            </w:pPr>
            <w:r>
              <w:rPr>
                <w:rFonts w:ascii="Times New Roman" w:hAnsi="Times New Roman"/>
                <w:sz w:val="24"/>
              </w:rPr>
              <w:t>100,0</w:t>
            </w:r>
          </w:p>
        </w:tc>
      </w:tr>
      <w:tr w14:paraId="45CFE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B98276C">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72ABEE5C">
            <w:pPr>
              <w:widowControl w:val="0"/>
              <w:jc w:val="center"/>
            </w:pPr>
            <w:r>
              <w:rPr>
                <w:rFonts w:ascii="Times New Roman" w:hAnsi="Times New Roman"/>
                <w:sz w:val="24"/>
              </w:rPr>
              <w:t>Да, удобная и актуальная</w:t>
            </w:r>
          </w:p>
        </w:tc>
        <w:tc>
          <w:tcPr>
            <w:tcW w:w="1868" w:type="dxa"/>
            <w:vAlign w:val="center"/>
          </w:tcPr>
          <w:p w14:paraId="7E030DF5">
            <w:pPr>
              <w:widowControl w:val="0"/>
              <w:jc w:val="center"/>
            </w:pPr>
            <w:r>
              <w:rPr>
                <w:rFonts w:ascii="Times New Roman" w:hAnsi="Times New Roman"/>
                <w:sz w:val="24"/>
              </w:rPr>
              <w:t>0</w:t>
            </w:r>
          </w:p>
        </w:tc>
        <w:tc>
          <w:tcPr>
            <w:tcW w:w="1839" w:type="dxa"/>
            <w:vAlign w:val="center"/>
          </w:tcPr>
          <w:p w14:paraId="117E6730">
            <w:pPr>
              <w:widowControl w:val="0"/>
              <w:jc w:val="center"/>
            </w:pPr>
            <w:r>
              <w:rPr>
                <w:rFonts w:ascii="Times New Roman" w:hAnsi="Times New Roman"/>
                <w:sz w:val="24"/>
              </w:rPr>
              <w:t>0,0</w:t>
            </w:r>
          </w:p>
        </w:tc>
      </w:tr>
      <w:tr w14:paraId="3E1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0F2B3AC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49E8BC37">
            <w:pPr>
              <w:widowControl w:val="0"/>
              <w:jc w:val="center"/>
            </w:pPr>
            <w:r>
              <w:rPr>
                <w:rFonts w:ascii="Times New Roman" w:hAnsi="Times New Roman"/>
                <w:sz w:val="24"/>
              </w:rPr>
              <w:t>Есть отдельные материалы, но они разрознены</w:t>
            </w:r>
          </w:p>
        </w:tc>
        <w:tc>
          <w:tcPr>
            <w:tcW w:w="1868" w:type="dxa"/>
            <w:vAlign w:val="center"/>
          </w:tcPr>
          <w:p w14:paraId="6252F159">
            <w:pPr>
              <w:widowControl w:val="0"/>
              <w:jc w:val="center"/>
            </w:pPr>
            <w:r>
              <w:rPr>
                <w:rFonts w:ascii="Times New Roman" w:hAnsi="Times New Roman"/>
                <w:sz w:val="24"/>
              </w:rPr>
              <w:t>6</w:t>
            </w:r>
          </w:p>
        </w:tc>
        <w:tc>
          <w:tcPr>
            <w:tcW w:w="1839" w:type="dxa"/>
            <w:vAlign w:val="center"/>
          </w:tcPr>
          <w:p w14:paraId="6FFBBA3D">
            <w:pPr>
              <w:widowControl w:val="0"/>
              <w:jc w:val="center"/>
            </w:pPr>
            <w:r>
              <w:rPr>
                <w:rFonts w:ascii="Times New Roman" w:hAnsi="Times New Roman"/>
                <w:sz w:val="24"/>
              </w:rPr>
              <w:t>75,0</w:t>
            </w:r>
          </w:p>
        </w:tc>
      </w:tr>
      <w:tr w14:paraId="5FAB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99" w:type="dxa"/>
          </w:tcPr>
          <w:p w14:paraId="390AB36F">
            <w:pPr>
              <w:widowControl w:val="0"/>
              <w:jc w:val="both"/>
            </w:pPr>
            <w:r>
              <w:rPr>
                <w:rFonts w:ascii="Times New Roman" w:hAnsi="Times New Roman"/>
                <w:sz w:val="24"/>
              </w:rPr>
              <w:t>Есть ли единая база актуальных шаблонов и инструкций?</w:t>
            </w:r>
          </w:p>
        </w:tc>
        <w:tc>
          <w:tcPr>
            <w:tcW w:w="2250" w:type="dxa"/>
            <w:vAlign w:val="center"/>
          </w:tcPr>
          <w:p w14:paraId="63823F0F">
            <w:pPr>
              <w:widowControl w:val="0"/>
              <w:jc w:val="center"/>
            </w:pPr>
            <w:r>
              <w:rPr>
                <w:rFonts w:ascii="Times New Roman" w:hAnsi="Times New Roman"/>
                <w:sz w:val="24"/>
              </w:rPr>
              <w:t>Нет</w:t>
            </w:r>
          </w:p>
        </w:tc>
        <w:tc>
          <w:tcPr>
            <w:tcW w:w="1868" w:type="dxa"/>
            <w:vAlign w:val="center"/>
          </w:tcPr>
          <w:p w14:paraId="4F9D39ED">
            <w:pPr>
              <w:widowControl w:val="0"/>
              <w:jc w:val="center"/>
            </w:pPr>
            <w:r>
              <w:rPr>
                <w:rFonts w:ascii="Times New Roman" w:hAnsi="Times New Roman"/>
                <w:sz w:val="24"/>
              </w:rPr>
              <w:t>2</w:t>
            </w:r>
          </w:p>
        </w:tc>
        <w:tc>
          <w:tcPr>
            <w:tcW w:w="1839" w:type="dxa"/>
            <w:vAlign w:val="center"/>
          </w:tcPr>
          <w:p w14:paraId="74A53E8F">
            <w:pPr>
              <w:widowControl w:val="0"/>
              <w:jc w:val="center"/>
            </w:pPr>
            <w:r>
              <w:rPr>
                <w:rFonts w:ascii="Times New Roman" w:hAnsi="Times New Roman"/>
                <w:sz w:val="24"/>
              </w:rPr>
              <w:t>25,0</w:t>
            </w:r>
          </w:p>
        </w:tc>
      </w:tr>
    </w:tbl>
    <w:p w14:paraId="420ACCC2">
      <w:pPr>
        <w:spacing w:after="120" w:line="360" w:lineRule="auto"/>
        <w:jc w:val="both"/>
        <w:rPr>
          <w:rFonts w:hint="default"/>
          <w:lang w:val="ru-RU"/>
        </w:rPr>
      </w:pPr>
    </w:p>
    <w:p w14:paraId="4ABC9D0B">
      <w:pPr>
        <w:spacing w:after="120" w:line="360" w:lineRule="auto"/>
        <w:ind w:firstLine="700"/>
        <w:jc w:val="both"/>
      </w:pPr>
      <w:r>
        <w:rPr>
          <w:rFonts w:ascii="Times New Roman" w:hAnsi="Times New Roman"/>
          <w:sz w:val="28"/>
        </w:rPr>
        <w:t>Ответы сотрудников подтверждают вывод о том, что обучение в отделе не оформлено как система. Все 8 опрошенных указали, что утверждённой программы обучения нет. При этом 6 сотрудников из 8 сообщили, что не проходили вводное обучение при приёме на работу. Ещё 2 сотрудника отметили, что обучение было частичным и выражалось в объяснении отдельных задач, а не в последовательном освоении должности. Также все респонденты указали, что регулярная проверка знаний по законодательству и работе с электронными площадками не проводится.</w:t>
      </w:r>
    </w:p>
    <w:p w14:paraId="46471012">
      <w:pPr>
        <w:spacing w:after="120" w:line="360" w:lineRule="auto"/>
        <w:ind w:firstLine="700"/>
        <w:jc w:val="both"/>
        <w:rPr>
          <w:rFonts w:hint="default" w:ascii="Times New Roman" w:hAnsi="Times New Roman"/>
          <w:b w:val="0"/>
          <w:i w:val="0"/>
          <w:sz w:val="28"/>
          <w:lang w:val="ru-RU"/>
        </w:rPr>
      </w:pPr>
      <w:r>
        <w:rPr>
          <w:rFonts w:hint="default" w:ascii="Times New Roman" w:hAnsi="Times New Roman"/>
          <w:b w:val="0"/>
          <w:i w:val="0"/>
          <w:sz w:val="28"/>
          <w:lang w:val="ru-RU"/>
        </w:rPr>
        <w:t>Особое значение имеет оценка базы материалов. Ни один сотрудник не выбрал вариант, что в компании существует удобная и актуальная база шаблонов и инструкций. Большинство отметили наличие отдельных материалов, но подчеркнули их разрозненность. Это соответствует ранее выявленной проблеме: информация в отделе существует, но она не структурирована и не воспринимается работниками как надёжный инструмент.</w:t>
      </w:r>
    </w:p>
    <w:p w14:paraId="363D82DE">
      <w:pPr>
        <w:spacing w:after="120" w:line="360" w:lineRule="auto"/>
        <w:ind w:firstLine="700"/>
        <w:jc w:val="right"/>
        <w:rPr>
          <w:sz w:val="24"/>
          <w:szCs w:val="24"/>
        </w:rPr>
      </w:pPr>
      <w:r>
        <w:rPr>
          <w:rFonts w:ascii="Times New Roman" w:hAnsi="Times New Roman"/>
          <w:b w:val="0"/>
          <w:i w:val="0"/>
          <w:sz w:val="24"/>
          <w:szCs w:val="24"/>
        </w:rPr>
        <w:t>Таблица 3.5. Источники получения профессиональных знаний сотрудниками тендерного отдела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0533E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19619C8">
            <w:pPr>
              <w:widowControl w:val="0"/>
              <w:jc w:val="both"/>
              <w:rPr>
                <w:b w:val="0"/>
                <w:bCs/>
              </w:rPr>
            </w:pPr>
            <w:r>
              <w:rPr>
                <w:rFonts w:ascii="Times New Roman" w:hAnsi="Times New Roman"/>
                <w:b w:val="0"/>
                <w:bCs/>
                <w:sz w:val="24"/>
              </w:rPr>
              <w:t>Источник информации</w:t>
            </w:r>
          </w:p>
        </w:tc>
        <w:tc>
          <w:tcPr>
            <w:tcW w:w="3118" w:type="dxa"/>
          </w:tcPr>
          <w:p w14:paraId="653761BA">
            <w:pPr>
              <w:widowControl w:val="0"/>
              <w:jc w:val="both"/>
              <w:rPr>
                <w:b w:val="0"/>
                <w:bCs/>
              </w:rPr>
            </w:pPr>
            <w:r>
              <w:rPr>
                <w:rFonts w:ascii="Times New Roman" w:hAnsi="Times New Roman"/>
                <w:b w:val="0"/>
                <w:bCs/>
                <w:sz w:val="24"/>
              </w:rPr>
              <w:t>Количество сотрудников, отметивших источник</w:t>
            </w:r>
          </w:p>
        </w:tc>
        <w:tc>
          <w:tcPr>
            <w:tcW w:w="3118" w:type="dxa"/>
          </w:tcPr>
          <w:p w14:paraId="24B56EE5">
            <w:pPr>
              <w:widowControl w:val="0"/>
              <w:jc w:val="both"/>
              <w:rPr>
                <w:b w:val="0"/>
                <w:bCs/>
              </w:rPr>
            </w:pPr>
            <w:r>
              <w:rPr>
                <w:rFonts w:ascii="Times New Roman" w:hAnsi="Times New Roman"/>
                <w:b w:val="0"/>
                <w:bCs/>
                <w:sz w:val="24"/>
              </w:rPr>
              <w:t>Доля от численности отдела, %</w:t>
            </w:r>
          </w:p>
        </w:tc>
      </w:tr>
      <w:tr w14:paraId="10C0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FE109EB">
            <w:pPr>
              <w:widowControl w:val="0"/>
              <w:jc w:val="both"/>
            </w:pPr>
            <w:r>
              <w:rPr>
                <w:rFonts w:ascii="Times New Roman" w:hAnsi="Times New Roman"/>
                <w:sz w:val="24"/>
              </w:rPr>
              <w:t>Самостоятельный поиск информации в интернете и справочных системах</w:t>
            </w:r>
          </w:p>
        </w:tc>
        <w:tc>
          <w:tcPr>
            <w:tcW w:w="3118" w:type="dxa"/>
          </w:tcPr>
          <w:p w14:paraId="09798C97">
            <w:pPr>
              <w:widowControl w:val="0"/>
              <w:jc w:val="center"/>
            </w:pPr>
            <w:r>
              <w:rPr>
                <w:rFonts w:ascii="Times New Roman" w:hAnsi="Times New Roman"/>
                <w:sz w:val="24"/>
              </w:rPr>
              <w:t>7</w:t>
            </w:r>
          </w:p>
        </w:tc>
        <w:tc>
          <w:tcPr>
            <w:tcW w:w="3118" w:type="dxa"/>
          </w:tcPr>
          <w:p w14:paraId="08F87C31">
            <w:pPr>
              <w:widowControl w:val="0"/>
              <w:jc w:val="center"/>
            </w:pPr>
            <w:r>
              <w:rPr>
                <w:rFonts w:ascii="Times New Roman" w:hAnsi="Times New Roman"/>
                <w:sz w:val="24"/>
              </w:rPr>
              <w:t>87,5</w:t>
            </w:r>
          </w:p>
        </w:tc>
      </w:tr>
      <w:tr w14:paraId="6CA2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D63E522">
            <w:pPr>
              <w:widowControl w:val="0"/>
              <w:jc w:val="both"/>
            </w:pPr>
            <w:r>
              <w:rPr>
                <w:rFonts w:ascii="Times New Roman" w:hAnsi="Times New Roman"/>
                <w:sz w:val="24"/>
              </w:rPr>
              <w:t>Обращение к более опытным коллегам</w:t>
            </w:r>
          </w:p>
        </w:tc>
        <w:tc>
          <w:tcPr>
            <w:tcW w:w="3118" w:type="dxa"/>
          </w:tcPr>
          <w:p w14:paraId="0E2B0DB3">
            <w:pPr>
              <w:widowControl w:val="0"/>
              <w:jc w:val="center"/>
            </w:pPr>
            <w:r>
              <w:rPr>
                <w:rFonts w:ascii="Times New Roman" w:hAnsi="Times New Roman"/>
                <w:sz w:val="24"/>
              </w:rPr>
              <w:t>7</w:t>
            </w:r>
          </w:p>
        </w:tc>
        <w:tc>
          <w:tcPr>
            <w:tcW w:w="3118" w:type="dxa"/>
          </w:tcPr>
          <w:p w14:paraId="035D3F64">
            <w:pPr>
              <w:widowControl w:val="0"/>
              <w:jc w:val="center"/>
            </w:pPr>
            <w:r>
              <w:rPr>
                <w:rFonts w:ascii="Times New Roman" w:hAnsi="Times New Roman"/>
                <w:sz w:val="24"/>
              </w:rPr>
              <w:t>87,5</w:t>
            </w:r>
          </w:p>
        </w:tc>
      </w:tr>
      <w:tr w14:paraId="4D3F5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8D9DC3F">
            <w:pPr>
              <w:widowControl w:val="0"/>
              <w:jc w:val="both"/>
            </w:pPr>
            <w:r>
              <w:rPr>
                <w:rFonts w:ascii="Times New Roman" w:hAnsi="Times New Roman"/>
                <w:sz w:val="24"/>
              </w:rPr>
              <w:t>Устные пояснения руководителя отдела</w:t>
            </w:r>
          </w:p>
        </w:tc>
        <w:tc>
          <w:tcPr>
            <w:tcW w:w="3118" w:type="dxa"/>
          </w:tcPr>
          <w:p w14:paraId="399C283D">
            <w:pPr>
              <w:widowControl w:val="0"/>
              <w:jc w:val="center"/>
            </w:pPr>
            <w:r>
              <w:rPr>
                <w:rFonts w:ascii="Times New Roman" w:hAnsi="Times New Roman"/>
                <w:sz w:val="24"/>
              </w:rPr>
              <w:t>5</w:t>
            </w:r>
          </w:p>
        </w:tc>
        <w:tc>
          <w:tcPr>
            <w:tcW w:w="3118" w:type="dxa"/>
          </w:tcPr>
          <w:p w14:paraId="51017E04">
            <w:pPr>
              <w:widowControl w:val="0"/>
              <w:jc w:val="center"/>
            </w:pPr>
            <w:r>
              <w:rPr>
                <w:rFonts w:ascii="Times New Roman" w:hAnsi="Times New Roman"/>
                <w:sz w:val="24"/>
              </w:rPr>
              <w:t>62,5</w:t>
            </w:r>
          </w:p>
        </w:tc>
      </w:tr>
      <w:tr w14:paraId="79B20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48777E5C">
            <w:pPr>
              <w:widowControl w:val="0"/>
              <w:jc w:val="both"/>
            </w:pPr>
            <w:r>
              <w:rPr>
                <w:rFonts w:ascii="Times New Roman" w:hAnsi="Times New Roman"/>
                <w:sz w:val="24"/>
              </w:rPr>
              <w:t>Просмотр ранее поданных заявок</w:t>
            </w:r>
          </w:p>
        </w:tc>
        <w:tc>
          <w:tcPr>
            <w:tcW w:w="3118" w:type="dxa"/>
          </w:tcPr>
          <w:p w14:paraId="5E274DBB">
            <w:pPr>
              <w:widowControl w:val="0"/>
              <w:jc w:val="center"/>
            </w:pPr>
            <w:r>
              <w:rPr>
                <w:rFonts w:ascii="Times New Roman" w:hAnsi="Times New Roman"/>
                <w:sz w:val="24"/>
              </w:rPr>
              <w:t>6</w:t>
            </w:r>
          </w:p>
        </w:tc>
        <w:tc>
          <w:tcPr>
            <w:tcW w:w="3118" w:type="dxa"/>
          </w:tcPr>
          <w:p w14:paraId="5394AEFF">
            <w:pPr>
              <w:widowControl w:val="0"/>
              <w:jc w:val="center"/>
            </w:pPr>
            <w:r>
              <w:rPr>
                <w:rFonts w:ascii="Times New Roman" w:hAnsi="Times New Roman"/>
                <w:sz w:val="24"/>
              </w:rPr>
              <w:t>75,0</w:t>
            </w:r>
          </w:p>
        </w:tc>
      </w:tr>
      <w:tr w14:paraId="6004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651AC6A9">
            <w:pPr>
              <w:widowControl w:val="0"/>
              <w:jc w:val="both"/>
            </w:pPr>
            <w:r>
              <w:rPr>
                <w:rFonts w:ascii="Times New Roman" w:hAnsi="Times New Roman"/>
                <w:sz w:val="24"/>
              </w:rPr>
              <w:t>Записи вебинаров по 44-ФЗ/223-ФЗ</w:t>
            </w:r>
          </w:p>
        </w:tc>
        <w:tc>
          <w:tcPr>
            <w:tcW w:w="3118" w:type="dxa"/>
          </w:tcPr>
          <w:p w14:paraId="2F83FD26">
            <w:pPr>
              <w:widowControl w:val="0"/>
              <w:jc w:val="center"/>
            </w:pPr>
            <w:r>
              <w:rPr>
                <w:rFonts w:ascii="Times New Roman" w:hAnsi="Times New Roman"/>
                <w:sz w:val="24"/>
              </w:rPr>
              <w:t>4</w:t>
            </w:r>
          </w:p>
        </w:tc>
        <w:tc>
          <w:tcPr>
            <w:tcW w:w="3118" w:type="dxa"/>
          </w:tcPr>
          <w:p w14:paraId="51E600D5">
            <w:pPr>
              <w:widowControl w:val="0"/>
              <w:jc w:val="center"/>
            </w:pPr>
            <w:r>
              <w:rPr>
                <w:rFonts w:ascii="Times New Roman" w:hAnsi="Times New Roman"/>
                <w:sz w:val="24"/>
              </w:rPr>
              <w:t>50,0</w:t>
            </w:r>
          </w:p>
        </w:tc>
      </w:tr>
      <w:tr w14:paraId="1294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327DD2B">
            <w:pPr>
              <w:widowControl w:val="0"/>
              <w:jc w:val="both"/>
            </w:pPr>
            <w:r>
              <w:rPr>
                <w:rFonts w:ascii="Times New Roman" w:hAnsi="Times New Roman"/>
                <w:sz w:val="24"/>
              </w:rPr>
              <w:t>Внутренние инструкции компании</w:t>
            </w:r>
          </w:p>
        </w:tc>
        <w:tc>
          <w:tcPr>
            <w:tcW w:w="3118" w:type="dxa"/>
          </w:tcPr>
          <w:p w14:paraId="2D58E7E8">
            <w:pPr>
              <w:widowControl w:val="0"/>
              <w:jc w:val="center"/>
            </w:pPr>
            <w:r>
              <w:rPr>
                <w:rFonts w:ascii="Times New Roman" w:hAnsi="Times New Roman"/>
                <w:sz w:val="24"/>
              </w:rPr>
              <w:t>1</w:t>
            </w:r>
          </w:p>
        </w:tc>
        <w:tc>
          <w:tcPr>
            <w:tcW w:w="3118" w:type="dxa"/>
          </w:tcPr>
          <w:p w14:paraId="291F8464">
            <w:pPr>
              <w:widowControl w:val="0"/>
              <w:jc w:val="center"/>
            </w:pPr>
            <w:r>
              <w:rPr>
                <w:rFonts w:ascii="Times New Roman" w:hAnsi="Times New Roman"/>
                <w:sz w:val="24"/>
              </w:rPr>
              <w:t>12,5</w:t>
            </w:r>
          </w:p>
        </w:tc>
      </w:tr>
      <w:tr w14:paraId="71EBF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7AD0D6B">
            <w:pPr>
              <w:widowControl w:val="0"/>
              <w:jc w:val="both"/>
            </w:pPr>
            <w:r>
              <w:rPr>
                <w:rFonts w:ascii="Times New Roman" w:hAnsi="Times New Roman"/>
                <w:sz w:val="24"/>
              </w:rPr>
              <w:t>Единый обучающий курс компании</w:t>
            </w:r>
          </w:p>
        </w:tc>
        <w:tc>
          <w:tcPr>
            <w:tcW w:w="3118" w:type="dxa"/>
          </w:tcPr>
          <w:p w14:paraId="4F07DD65">
            <w:pPr>
              <w:widowControl w:val="0"/>
              <w:jc w:val="center"/>
            </w:pPr>
            <w:r>
              <w:rPr>
                <w:rFonts w:ascii="Times New Roman" w:hAnsi="Times New Roman"/>
                <w:sz w:val="24"/>
              </w:rPr>
              <w:t>0</w:t>
            </w:r>
          </w:p>
        </w:tc>
        <w:tc>
          <w:tcPr>
            <w:tcW w:w="3118" w:type="dxa"/>
          </w:tcPr>
          <w:p w14:paraId="52693347">
            <w:pPr>
              <w:widowControl w:val="0"/>
              <w:jc w:val="center"/>
            </w:pPr>
            <w:r>
              <w:rPr>
                <w:rFonts w:ascii="Times New Roman" w:hAnsi="Times New Roman"/>
                <w:sz w:val="24"/>
              </w:rPr>
              <w:t>0,0</w:t>
            </w:r>
          </w:p>
        </w:tc>
      </w:tr>
    </w:tbl>
    <w:p w14:paraId="459C0E44">
      <w:pPr>
        <w:spacing w:after="120" w:line="360" w:lineRule="auto"/>
        <w:jc w:val="both"/>
      </w:pPr>
    </w:p>
    <w:p w14:paraId="6902B2A1">
      <w:pPr>
        <w:spacing w:after="120" w:line="360" w:lineRule="auto"/>
        <w:ind w:firstLine="700"/>
        <w:jc w:val="both"/>
        <w:rPr>
          <w:rFonts w:ascii="Times New Roman" w:hAnsi="Times New Roman"/>
          <w:b w:val="0"/>
          <w:i w:val="0"/>
          <w:sz w:val="28"/>
        </w:rPr>
      </w:pPr>
      <w:r>
        <w:rPr>
          <w:rFonts w:ascii="Times New Roman" w:hAnsi="Times New Roman"/>
          <w:b w:val="0"/>
          <w:i w:val="0"/>
          <w:sz w:val="28"/>
          <w:lang w:val="ru-RU"/>
        </w:rPr>
        <w:t>Результаты</w:t>
      </w:r>
      <w:r>
        <w:rPr>
          <w:rFonts w:hint="default" w:ascii="Times New Roman" w:hAnsi="Times New Roman"/>
          <w:b w:val="0"/>
          <w:i w:val="0"/>
          <w:sz w:val="28"/>
          <w:lang w:val="ru-RU"/>
        </w:rPr>
        <w:t xml:space="preserve"> таблицы 3.5 показывают, что основными источниками знаний являются самостоятельный поиск информации и обращение к коллегам. Это означает, что обучение в отделе фактически встроено в текущую работу. </w:t>
      </w:r>
      <w:r>
        <w:rPr>
          <w:rFonts w:ascii="Times New Roman" w:hAnsi="Times New Roman"/>
          <w:b w:val="0"/>
          <w:i w:val="0"/>
          <w:sz w:val="28"/>
        </w:rPr>
        <w:t xml:space="preserve"> С одной стороны, сотрудники проявляют самостоятельность и используют профессиональные контакты внутри отдела. С другой стороны, такой способ получения знаний не гарантирует единообразия: разные специалисты могут получать разные ответы, использовать разные источники и по-разному трактовать требования закупочной документации. Отсутствие единого обучающего курса отметили все участники опроса.</w:t>
      </w:r>
    </w:p>
    <w:p w14:paraId="19108AFC">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Трудности, которые возникают  при подготовке заявок отражены в таблице 3.6.</w:t>
      </w:r>
    </w:p>
    <w:p w14:paraId="54ED461A">
      <w:pPr>
        <w:spacing w:after="120" w:line="360" w:lineRule="auto"/>
        <w:ind w:firstLine="700"/>
        <w:jc w:val="both"/>
        <w:rPr>
          <w:rFonts w:hint="default" w:ascii="Times New Roman" w:hAnsi="Times New Roman"/>
          <w:b w:val="0"/>
          <w:i w:val="0"/>
          <w:sz w:val="28"/>
          <w:lang w:val="ru-RU"/>
        </w:rPr>
      </w:pPr>
    </w:p>
    <w:p w14:paraId="054D67CE">
      <w:pPr>
        <w:spacing w:after="120" w:line="360" w:lineRule="auto"/>
        <w:ind w:firstLine="700"/>
        <w:jc w:val="right"/>
        <w:rPr>
          <w:sz w:val="24"/>
          <w:szCs w:val="24"/>
        </w:rPr>
      </w:pPr>
      <w:r>
        <w:rPr>
          <w:rFonts w:ascii="Times New Roman" w:hAnsi="Times New Roman"/>
          <w:b w:val="0"/>
          <w:i w:val="0"/>
          <w:sz w:val="24"/>
          <w:szCs w:val="24"/>
        </w:rPr>
        <w:t>Таблица 3.6. Трудности, с которыми сотрудники сталкиваются при подготовке заявок</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9"/>
        <w:gridCol w:w="2257"/>
        <w:gridCol w:w="2388"/>
      </w:tblGrid>
      <w:tr w14:paraId="1A594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F01A0B4">
            <w:pPr>
              <w:widowControl w:val="0"/>
              <w:jc w:val="center"/>
              <w:rPr>
                <w:b w:val="0"/>
                <w:bCs/>
              </w:rPr>
            </w:pPr>
            <w:r>
              <w:rPr>
                <w:rFonts w:ascii="Times New Roman" w:hAnsi="Times New Roman"/>
                <w:b w:val="0"/>
                <w:bCs/>
                <w:sz w:val="24"/>
              </w:rPr>
              <w:t>Трудность</w:t>
            </w:r>
          </w:p>
        </w:tc>
        <w:tc>
          <w:tcPr>
            <w:tcW w:w="2257" w:type="dxa"/>
          </w:tcPr>
          <w:p w14:paraId="6385A8FB">
            <w:pPr>
              <w:widowControl w:val="0"/>
              <w:jc w:val="center"/>
              <w:rPr>
                <w:b w:val="0"/>
                <w:bCs/>
              </w:rPr>
            </w:pPr>
            <w:r>
              <w:rPr>
                <w:rFonts w:ascii="Times New Roman" w:hAnsi="Times New Roman"/>
                <w:b w:val="0"/>
                <w:bCs/>
                <w:sz w:val="24"/>
              </w:rPr>
              <w:t>Количество ответов</w:t>
            </w:r>
          </w:p>
        </w:tc>
        <w:tc>
          <w:tcPr>
            <w:tcW w:w="2388" w:type="dxa"/>
          </w:tcPr>
          <w:p w14:paraId="5D5F7948">
            <w:pPr>
              <w:widowControl w:val="0"/>
              <w:jc w:val="center"/>
              <w:rPr>
                <w:b w:val="0"/>
                <w:bCs/>
              </w:rPr>
            </w:pPr>
            <w:r>
              <w:rPr>
                <w:rFonts w:ascii="Times New Roman" w:hAnsi="Times New Roman"/>
                <w:b w:val="0"/>
                <w:bCs/>
                <w:sz w:val="24"/>
              </w:rPr>
              <w:t>Доля, %</w:t>
            </w:r>
          </w:p>
        </w:tc>
      </w:tr>
      <w:tr w14:paraId="6381D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6D03CEF6">
            <w:pPr>
              <w:widowControl w:val="0"/>
              <w:jc w:val="both"/>
              <w:rPr>
                <w:b w:val="0"/>
                <w:bCs/>
              </w:rPr>
            </w:pPr>
            <w:r>
              <w:rPr>
                <w:rFonts w:ascii="Times New Roman" w:hAnsi="Times New Roman"/>
                <w:b w:val="0"/>
                <w:bCs/>
                <w:sz w:val="24"/>
              </w:rPr>
              <w:t>Сложность отслеживания изменений в 44-ФЗ/223-ФЗ</w:t>
            </w:r>
          </w:p>
        </w:tc>
        <w:tc>
          <w:tcPr>
            <w:tcW w:w="2257" w:type="dxa"/>
          </w:tcPr>
          <w:p w14:paraId="3C9DB36B">
            <w:pPr>
              <w:widowControl w:val="0"/>
              <w:jc w:val="center"/>
              <w:rPr>
                <w:b w:val="0"/>
                <w:bCs/>
              </w:rPr>
            </w:pPr>
            <w:r>
              <w:rPr>
                <w:rFonts w:ascii="Times New Roman" w:hAnsi="Times New Roman"/>
                <w:b w:val="0"/>
                <w:bCs/>
                <w:sz w:val="24"/>
              </w:rPr>
              <w:t>6</w:t>
            </w:r>
          </w:p>
        </w:tc>
        <w:tc>
          <w:tcPr>
            <w:tcW w:w="2388" w:type="dxa"/>
          </w:tcPr>
          <w:p w14:paraId="43FFBF36">
            <w:pPr>
              <w:widowControl w:val="0"/>
              <w:jc w:val="center"/>
              <w:rPr>
                <w:b w:val="0"/>
                <w:bCs/>
              </w:rPr>
            </w:pPr>
            <w:r>
              <w:rPr>
                <w:rFonts w:ascii="Times New Roman" w:hAnsi="Times New Roman"/>
                <w:b w:val="0"/>
                <w:bCs/>
                <w:sz w:val="24"/>
              </w:rPr>
              <w:t>75,0</w:t>
            </w:r>
          </w:p>
        </w:tc>
      </w:tr>
      <w:tr w14:paraId="2DDA1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1248C999">
            <w:pPr>
              <w:widowControl w:val="0"/>
              <w:jc w:val="both"/>
              <w:rPr>
                <w:b w:val="0"/>
                <w:bCs/>
              </w:rPr>
            </w:pPr>
            <w:r>
              <w:rPr>
                <w:rFonts w:ascii="Times New Roman" w:hAnsi="Times New Roman"/>
                <w:b w:val="0"/>
                <w:bCs/>
                <w:sz w:val="24"/>
              </w:rPr>
              <w:t>Неуверенность в актуальности используемых шаблонов</w:t>
            </w:r>
          </w:p>
        </w:tc>
        <w:tc>
          <w:tcPr>
            <w:tcW w:w="2257" w:type="dxa"/>
          </w:tcPr>
          <w:p w14:paraId="4C8F0D8C">
            <w:pPr>
              <w:widowControl w:val="0"/>
              <w:jc w:val="center"/>
              <w:rPr>
                <w:b w:val="0"/>
                <w:bCs/>
              </w:rPr>
            </w:pPr>
            <w:r>
              <w:rPr>
                <w:rFonts w:ascii="Times New Roman" w:hAnsi="Times New Roman"/>
                <w:b w:val="0"/>
                <w:bCs/>
                <w:sz w:val="24"/>
              </w:rPr>
              <w:t>7</w:t>
            </w:r>
          </w:p>
        </w:tc>
        <w:tc>
          <w:tcPr>
            <w:tcW w:w="2388" w:type="dxa"/>
          </w:tcPr>
          <w:p w14:paraId="47B52BB1">
            <w:pPr>
              <w:widowControl w:val="0"/>
              <w:jc w:val="center"/>
              <w:rPr>
                <w:b w:val="0"/>
                <w:bCs/>
              </w:rPr>
            </w:pPr>
            <w:r>
              <w:rPr>
                <w:rFonts w:ascii="Times New Roman" w:hAnsi="Times New Roman"/>
                <w:b w:val="0"/>
                <w:bCs/>
                <w:sz w:val="24"/>
              </w:rPr>
              <w:t>87,5</w:t>
            </w:r>
          </w:p>
        </w:tc>
      </w:tr>
      <w:tr w14:paraId="7F0C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78507ED8">
            <w:pPr>
              <w:widowControl w:val="0"/>
              <w:jc w:val="both"/>
              <w:rPr>
                <w:b w:val="0"/>
                <w:bCs/>
              </w:rPr>
            </w:pPr>
            <w:r>
              <w:rPr>
                <w:rFonts w:ascii="Times New Roman" w:hAnsi="Times New Roman"/>
                <w:b w:val="0"/>
                <w:bCs/>
                <w:sz w:val="24"/>
              </w:rPr>
              <w:t>Отсутствие единого чек-листа перед отправкой заявки</w:t>
            </w:r>
          </w:p>
        </w:tc>
        <w:tc>
          <w:tcPr>
            <w:tcW w:w="2257" w:type="dxa"/>
          </w:tcPr>
          <w:p w14:paraId="624CF970">
            <w:pPr>
              <w:widowControl w:val="0"/>
              <w:jc w:val="center"/>
              <w:rPr>
                <w:b w:val="0"/>
                <w:bCs/>
              </w:rPr>
            </w:pPr>
            <w:r>
              <w:rPr>
                <w:rFonts w:ascii="Times New Roman" w:hAnsi="Times New Roman"/>
                <w:b w:val="0"/>
                <w:bCs/>
                <w:sz w:val="24"/>
              </w:rPr>
              <w:t>7</w:t>
            </w:r>
          </w:p>
        </w:tc>
        <w:tc>
          <w:tcPr>
            <w:tcW w:w="2388" w:type="dxa"/>
          </w:tcPr>
          <w:p w14:paraId="1A5412D2">
            <w:pPr>
              <w:widowControl w:val="0"/>
              <w:jc w:val="center"/>
              <w:rPr>
                <w:b w:val="0"/>
                <w:bCs/>
              </w:rPr>
            </w:pPr>
            <w:r>
              <w:rPr>
                <w:rFonts w:ascii="Times New Roman" w:hAnsi="Times New Roman"/>
                <w:b w:val="0"/>
                <w:bCs/>
                <w:sz w:val="24"/>
              </w:rPr>
              <w:t>87,5</w:t>
            </w:r>
          </w:p>
        </w:tc>
      </w:tr>
      <w:tr w14:paraId="55B3E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3CD1D7A3">
            <w:pPr>
              <w:widowControl w:val="0"/>
              <w:jc w:val="both"/>
              <w:rPr>
                <w:b w:val="0"/>
                <w:bCs/>
              </w:rPr>
            </w:pPr>
            <w:r>
              <w:rPr>
                <w:rFonts w:ascii="Times New Roman" w:hAnsi="Times New Roman"/>
                <w:b w:val="0"/>
                <w:bCs/>
                <w:sz w:val="24"/>
              </w:rPr>
              <w:t>Разные требования электронных торговых площадок</w:t>
            </w:r>
          </w:p>
        </w:tc>
        <w:tc>
          <w:tcPr>
            <w:tcW w:w="2257" w:type="dxa"/>
          </w:tcPr>
          <w:p w14:paraId="4DB90DBF">
            <w:pPr>
              <w:widowControl w:val="0"/>
              <w:jc w:val="center"/>
              <w:rPr>
                <w:b w:val="0"/>
                <w:bCs/>
              </w:rPr>
            </w:pPr>
            <w:r>
              <w:rPr>
                <w:rFonts w:ascii="Times New Roman" w:hAnsi="Times New Roman"/>
                <w:b w:val="0"/>
                <w:bCs/>
                <w:sz w:val="24"/>
              </w:rPr>
              <w:t>5</w:t>
            </w:r>
          </w:p>
        </w:tc>
        <w:tc>
          <w:tcPr>
            <w:tcW w:w="2388" w:type="dxa"/>
          </w:tcPr>
          <w:p w14:paraId="1E3D440B">
            <w:pPr>
              <w:widowControl w:val="0"/>
              <w:jc w:val="center"/>
              <w:rPr>
                <w:b w:val="0"/>
                <w:bCs/>
              </w:rPr>
            </w:pPr>
            <w:r>
              <w:rPr>
                <w:rFonts w:ascii="Times New Roman" w:hAnsi="Times New Roman"/>
                <w:b w:val="0"/>
                <w:bCs/>
                <w:sz w:val="24"/>
              </w:rPr>
              <w:t>62,5</w:t>
            </w:r>
          </w:p>
        </w:tc>
      </w:tr>
      <w:tr w14:paraId="1523D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206A065D">
            <w:pPr>
              <w:widowControl w:val="0"/>
              <w:jc w:val="both"/>
              <w:rPr>
                <w:b w:val="0"/>
                <w:bCs/>
              </w:rPr>
            </w:pPr>
            <w:r>
              <w:rPr>
                <w:rFonts w:ascii="Times New Roman" w:hAnsi="Times New Roman"/>
                <w:b w:val="0"/>
                <w:bCs/>
                <w:sz w:val="24"/>
              </w:rPr>
              <w:t>Недостаток разбора реальных ошибок отдела</w:t>
            </w:r>
          </w:p>
        </w:tc>
        <w:tc>
          <w:tcPr>
            <w:tcW w:w="2257" w:type="dxa"/>
          </w:tcPr>
          <w:p w14:paraId="67F45973">
            <w:pPr>
              <w:widowControl w:val="0"/>
              <w:jc w:val="center"/>
              <w:rPr>
                <w:b w:val="0"/>
                <w:bCs/>
              </w:rPr>
            </w:pPr>
            <w:r>
              <w:rPr>
                <w:rFonts w:ascii="Times New Roman" w:hAnsi="Times New Roman"/>
                <w:b w:val="0"/>
                <w:bCs/>
                <w:sz w:val="24"/>
              </w:rPr>
              <w:t>6</w:t>
            </w:r>
          </w:p>
        </w:tc>
        <w:tc>
          <w:tcPr>
            <w:tcW w:w="2388" w:type="dxa"/>
          </w:tcPr>
          <w:p w14:paraId="1C9C8A71">
            <w:pPr>
              <w:widowControl w:val="0"/>
              <w:jc w:val="center"/>
              <w:rPr>
                <w:b w:val="0"/>
                <w:bCs/>
              </w:rPr>
            </w:pPr>
            <w:r>
              <w:rPr>
                <w:rFonts w:ascii="Times New Roman" w:hAnsi="Times New Roman"/>
                <w:b w:val="0"/>
                <w:bCs/>
                <w:sz w:val="24"/>
              </w:rPr>
              <w:t>75,0</w:t>
            </w:r>
          </w:p>
        </w:tc>
      </w:tr>
      <w:tr w14:paraId="1533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53978A28">
            <w:pPr>
              <w:widowControl w:val="0"/>
              <w:jc w:val="both"/>
              <w:rPr>
                <w:b w:val="0"/>
                <w:bCs/>
              </w:rPr>
            </w:pPr>
            <w:r>
              <w:rPr>
                <w:rFonts w:ascii="Times New Roman" w:hAnsi="Times New Roman"/>
                <w:b w:val="0"/>
                <w:bCs/>
                <w:sz w:val="24"/>
              </w:rPr>
              <w:t>Нехватка времени на самостоятельное изучение изменений</w:t>
            </w:r>
          </w:p>
        </w:tc>
        <w:tc>
          <w:tcPr>
            <w:tcW w:w="2257" w:type="dxa"/>
          </w:tcPr>
          <w:p w14:paraId="203EA1A3">
            <w:pPr>
              <w:widowControl w:val="0"/>
              <w:jc w:val="center"/>
              <w:rPr>
                <w:b w:val="0"/>
                <w:bCs/>
              </w:rPr>
            </w:pPr>
            <w:r>
              <w:rPr>
                <w:rFonts w:ascii="Times New Roman" w:hAnsi="Times New Roman"/>
                <w:b w:val="0"/>
                <w:bCs/>
                <w:sz w:val="24"/>
              </w:rPr>
              <w:t>5</w:t>
            </w:r>
          </w:p>
        </w:tc>
        <w:tc>
          <w:tcPr>
            <w:tcW w:w="2388" w:type="dxa"/>
          </w:tcPr>
          <w:p w14:paraId="2A770CDA">
            <w:pPr>
              <w:widowControl w:val="0"/>
              <w:jc w:val="center"/>
              <w:rPr>
                <w:b w:val="0"/>
                <w:bCs/>
              </w:rPr>
            </w:pPr>
            <w:r>
              <w:rPr>
                <w:rFonts w:ascii="Times New Roman" w:hAnsi="Times New Roman"/>
                <w:b w:val="0"/>
                <w:bCs/>
                <w:sz w:val="24"/>
              </w:rPr>
              <w:t>62,5</w:t>
            </w:r>
          </w:p>
        </w:tc>
      </w:tr>
      <w:tr w14:paraId="4123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09" w:type="dxa"/>
          </w:tcPr>
          <w:p w14:paraId="4221DD96">
            <w:pPr>
              <w:widowControl w:val="0"/>
              <w:jc w:val="both"/>
              <w:rPr>
                <w:b w:val="0"/>
                <w:bCs/>
              </w:rPr>
            </w:pPr>
            <w:r>
              <w:rPr>
                <w:rFonts w:ascii="Times New Roman" w:hAnsi="Times New Roman"/>
                <w:b w:val="0"/>
                <w:bCs/>
                <w:sz w:val="24"/>
              </w:rPr>
              <w:t>Сложности в расчетах НМЦК и итоговой цены</w:t>
            </w:r>
          </w:p>
        </w:tc>
        <w:tc>
          <w:tcPr>
            <w:tcW w:w="2257" w:type="dxa"/>
          </w:tcPr>
          <w:p w14:paraId="280079AF">
            <w:pPr>
              <w:widowControl w:val="0"/>
              <w:jc w:val="center"/>
              <w:rPr>
                <w:b w:val="0"/>
                <w:bCs/>
              </w:rPr>
            </w:pPr>
            <w:r>
              <w:rPr>
                <w:rFonts w:ascii="Times New Roman" w:hAnsi="Times New Roman"/>
                <w:b w:val="0"/>
                <w:bCs/>
                <w:sz w:val="24"/>
              </w:rPr>
              <w:t>3</w:t>
            </w:r>
          </w:p>
        </w:tc>
        <w:tc>
          <w:tcPr>
            <w:tcW w:w="2388" w:type="dxa"/>
          </w:tcPr>
          <w:p w14:paraId="4425FDEB">
            <w:pPr>
              <w:widowControl w:val="0"/>
              <w:jc w:val="center"/>
              <w:rPr>
                <w:b w:val="0"/>
                <w:bCs/>
              </w:rPr>
            </w:pPr>
            <w:r>
              <w:rPr>
                <w:rFonts w:ascii="Times New Roman" w:hAnsi="Times New Roman"/>
                <w:b w:val="0"/>
                <w:bCs/>
                <w:sz w:val="24"/>
              </w:rPr>
              <w:t>37,5</w:t>
            </w:r>
          </w:p>
        </w:tc>
      </w:tr>
    </w:tbl>
    <w:p w14:paraId="1DC26EB6">
      <w:pPr>
        <w:spacing w:after="120" w:line="360" w:lineRule="auto"/>
        <w:jc w:val="both"/>
      </w:pPr>
    </w:p>
    <w:p w14:paraId="1C900075">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Наиболее часто сотрудники отмечают неуверенность в актуальности шаблонов и отсутствие единого чек-листа перед отправкой (7 ответов из 8). Эти результаты напрямую связаны с выявленными причинами отклонения заявок. Если сотрудник не уверен, что форма документа является актуальной, то риск использования устаревшего шаблона возрастает. Если перед отправкой нет единой контрольной процедуры, увеличивается вероятность пропуска обязательного файла, неверного формата или технической ошибки на ЭТП.</w:t>
      </w:r>
    </w:p>
    <w:p w14:paraId="5CD95512">
      <w:pPr>
        <w:spacing w:after="120" w:line="360" w:lineRule="auto"/>
        <w:ind w:firstLine="700"/>
        <w:jc w:val="both"/>
      </w:pPr>
      <w:r>
        <w:rPr>
          <w:rFonts w:ascii="Times New Roman" w:hAnsi="Times New Roman"/>
          <w:sz w:val="28"/>
        </w:rPr>
        <w:t>Шесть сотрудников указали на сложность отслеживания изменений в 44-ФЗ/223-ФЗ и недостаток разбора реальных ошибок отдела. Это показывает, что проблема обучения воспринимается работниками как нехватка регулярной профессиональной обратной связи. Сотрудникам важно понимать, какие ошибки уже возникали в отделе, почему они произошли и как они связаны с требованиями заказчиков.</w:t>
      </w:r>
    </w:p>
    <w:p w14:paraId="744A11E1">
      <w:pPr>
        <w:spacing w:after="120" w:line="360" w:lineRule="auto"/>
        <w:ind w:firstLine="700"/>
        <w:jc w:val="both"/>
        <w:rPr>
          <w:rFonts w:hint="default" w:ascii="Times New Roman" w:hAnsi="Times New Roman"/>
          <w:b w:val="0"/>
          <w:i w:val="0"/>
          <w:sz w:val="28"/>
          <w:lang w:val="ru-RU"/>
        </w:rPr>
      </w:pPr>
      <w:r>
        <w:rPr>
          <w:rFonts w:ascii="Times New Roman" w:hAnsi="Times New Roman"/>
          <w:b w:val="0"/>
          <w:i w:val="0"/>
          <w:sz w:val="28"/>
          <w:lang w:val="ru-RU"/>
        </w:rPr>
        <w:t>Из</w:t>
      </w:r>
      <w:r>
        <w:rPr>
          <w:rFonts w:hint="default" w:ascii="Times New Roman" w:hAnsi="Times New Roman"/>
          <w:b w:val="0"/>
          <w:i w:val="0"/>
          <w:sz w:val="28"/>
          <w:lang w:val="ru-RU"/>
        </w:rPr>
        <w:t xml:space="preserve"> таблицы 3.7 видно, что сотрудники осознают связь между обучением и качеством подготовки заявок. Все 8 человек отметили актуальные изменения законодательства и типовые ошибки при подготовке заявок. Семь сотрудников выделили подготовку комплекта документов и внутренние стандарты оформления. Это означает, что потребность работников сосредоточена не в общем повышении квалификации, а в конкретных рабочих знаниях, которые ежедневно используются при анализе закупки и подаче заявки.</w:t>
      </w:r>
    </w:p>
    <w:p w14:paraId="4B30A6C1">
      <w:pPr>
        <w:spacing w:after="120" w:line="360" w:lineRule="auto"/>
        <w:ind w:firstLine="700"/>
        <w:jc w:val="both"/>
        <w:rPr>
          <w:rFonts w:hint="default" w:ascii="Times New Roman" w:hAnsi="Times New Roman"/>
          <w:b w:val="0"/>
          <w:i w:val="0"/>
          <w:sz w:val="28"/>
          <w:lang w:val="ru-RU"/>
        </w:rPr>
      </w:pPr>
    </w:p>
    <w:p w14:paraId="409E26B0">
      <w:pPr>
        <w:spacing w:after="120" w:line="360" w:lineRule="auto"/>
        <w:ind w:firstLine="700"/>
        <w:jc w:val="right"/>
        <w:rPr>
          <w:sz w:val="18"/>
          <w:szCs w:val="18"/>
        </w:rPr>
      </w:pPr>
      <w:r>
        <w:rPr>
          <w:rFonts w:ascii="Times New Roman" w:hAnsi="Times New Roman"/>
          <w:b w:val="0"/>
          <w:i w:val="0"/>
          <w:sz w:val="24"/>
          <w:szCs w:val="18"/>
        </w:rPr>
        <w:t>Таблица 3.7. Профессиональные темы, которые сотрудники считают наиболее значимыми для освоения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17"/>
        <w:gridCol w:w="2496"/>
        <w:gridCol w:w="2741"/>
      </w:tblGrid>
      <w:tr w14:paraId="7BEEE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00FA166C">
            <w:pPr>
              <w:widowControl w:val="0"/>
              <w:jc w:val="center"/>
              <w:rPr>
                <w:b w:val="0"/>
                <w:bCs/>
              </w:rPr>
            </w:pPr>
            <w:r>
              <w:rPr>
                <w:rFonts w:ascii="Times New Roman" w:hAnsi="Times New Roman"/>
                <w:b w:val="0"/>
                <w:bCs/>
                <w:sz w:val="24"/>
              </w:rPr>
              <w:t>Тема</w:t>
            </w:r>
          </w:p>
        </w:tc>
        <w:tc>
          <w:tcPr>
            <w:tcW w:w="2496" w:type="dxa"/>
          </w:tcPr>
          <w:p w14:paraId="28CFD599">
            <w:pPr>
              <w:widowControl w:val="0"/>
              <w:jc w:val="center"/>
              <w:rPr>
                <w:b w:val="0"/>
                <w:bCs/>
              </w:rPr>
            </w:pPr>
            <w:r>
              <w:rPr>
                <w:rFonts w:ascii="Times New Roman" w:hAnsi="Times New Roman"/>
                <w:b w:val="0"/>
                <w:bCs/>
                <w:sz w:val="24"/>
              </w:rPr>
              <w:t>Количество ответов</w:t>
            </w:r>
          </w:p>
        </w:tc>
        <w:tc>
          <w:tcPr>
            <w:tcW w:w="2741" w:type="dxa"/>
          </w:tcPr>
          <w:p w14:paraId="532C3F9A">
            <w:pPr>
              <w:widowControl w:val="0"/>
              <w:jc w:val="center"/>
              <w:rPr>
                <w:b w:val="0"/>
                <w:bCs/>
              </w:rPr>
            </w:pPr>
            <w:r>
              <w:rPr>
                <w:rFonts w:ascii="Times New Roman" w:hAnsi="Times New Roman"/>
                <w:b w:val="0"/>
                <w:bCs/>
                <w:sz w:val="24"/>
              </w:rPr>
              <w:t>Доля, %</w:t>
            </w:r>
          </w:p>
        </w:tc>
      </w:tr>
      <w:tr w14:paraId="2C964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840CEF">
            <w:pPr>
              <w:widowControl w:val="0"/>
              <w:jc w:val="both"/>
            </w:pPr>
            <w:r>
              <w:rPr>
                <w:rFonts w:ascii="Times New Roman" w:hAnsi="Times New Roman"/>
                <w:sz w:val="24"/>
              </w:rPr>
              <w:t>Актуальные изменения 44-ФЗ и 223-ФЗ</w:t>
            </w:r>
          </w:p>
        </w:tc>
        <w:tc>
          <w:tcPr>
            <w:tcW w:w="2496" w:type="dxa"/>
          </w:tcPr>
          <w:p w14:paraId="68AF3ADB">
            <w:pPr>
              <w:widowControl w:val="0"/>
              <w:jc w:val="center"/>
            </w:pPr>
            <w:r>
              <w:rPr>
                <w:rFonts w:ascii="Times New Roman" w:hAnsi="Times New Roman"/>
                <w:sz w:val="24"/>
              </w:rPr>
              <w:t>8</w:t>
            </w:r>
          </w:p>
        </w:tc>
        <w:tc>
          <w:tcPr>
            <w:tcW w:w="2741" w:type="dxa"/>
          </w:tcPr>
          <w:p w14:paraId="34455DFC">
            <w:pPr>
              <w:widowControl w:val="0"/>
              <w:jc w:val="center"/>
            </w:pPr>
            <w:r>
              <w:rPr>
                <w:rFonts w:ascii="Times New Roman" w:hAnsi="Times New Roman"/>
                <w:sz w:val="24"/>
              </w:rPr>
              <w:t>100,0</w:t>
            </w:r>
          </w:p>
        </w:tc>
      </w:tr>
      <w:tr w14:paraId="079F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C59C411">
            <w:pPr>
              <w:widowControl w:val="0"/>
              <w:jc w:val="both"/>
            </w:pPr>
            <w:r>
              <w:rPr>
                <w:rFonts w:ascii="Times New Roman" w:hAnsi="Times New Roman"/>
                <w:sz w:val="24"/>
              </w:rPr>
              <w:t>Типовые ошибки при подготовке заявок и причины отклонений</w:t>
            </w:r>
          </w:p>
        </w:tc>
        <w:tc>
          <w:tcPr>
            <w:tcW w:w="2496" w:type="dxa"/>
          </w:tcPr>
          <w:p w14:paraId="132BC371">
            <w:pPr>
              <w:widowControl w:val="0"/>
              <w:jc w:val="center"/>
            </w:pPr>
            <w:r>
              <w:rPr>
                <w:rFonts w:ascii="Times New Roman" w:hAnsi="Times New Roman"/>
                <w:sz w:val="24"/>
              </w:rPr>
              <w:t>8</w:t>
            </w:r>
          </w:p>
        </w:tc>
        <w:tc>
          <w:tcPr>
            <w:tcW w:w="2741" w:type="dxa"/>
          </w:tcPr>
          <w:p w14:paraId="558146AD">
            <w:pPr>
              <w:widowControl w:val="0"/>
              <w:jc w:val="center"/>
            </w:pPr>
            <w:r>
              <w:rPr>
                <w:rFonts w:ascii="Times New Roman" w:hAnsi="Times New Roman"/>
                <w:sz w:val="24"/>
              </w:rPr>
              <w:t>100,0</w:t>
            </w:r>
          </w:p>
        </w:tc>
      </w:tr>
      <w:tr w14:paraId="4991E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47F8FB5A">
            <w:pPr>
              <w:widowControl w:val="0"/>
              <w:jc w:val="both"/>
            </w:pPr>
            <w:r>
              <w:rPr>
                <w:rFonts w:ascii="Times New Roman" w:hAnsi="Times New Roman"/>
                <w:sz w:val="24"/>
              </w:rPr>
              <w:t>Работа с разными электронными торговыми площадками</w:t>
            </w:r>
          </w:p>
        </w:tc>
        <w:tc>
          <w:tcPr>
            <w:tcW w:w="2496" w:type="dxa"/>
          </w:tcPr>
          <w:p w14:paraId="2D3EB2FD">
            <w:pPr>
              <w:widowControl w:val="0"/>
              <w:jc w:val="center"/>
            </w:pPr>
            <w:r>
              <w:rPr>
                <w:rFonts w:ascii="Times New Roman" w:hAnsi="Times New Roman"/>
                <w:sz w:val="24"/>
              </w:rPr>
              <w:t>6</w:t>
            </w:r>
          </w:p>
        </w:tc>
        <w:tc>
          <w:tcPr>
            <w:tcW w:w="2741" w:type="dxa"/>
          </w:tcPr>
          <w:p w14:paraId="01EAC874">
            <w:pPr>
              <w:widowControl w:val="0"/>
              <w:jc w:val="center"/>
            </w:pPr>
            <w:r>
              <w:rPr>
                <w:rFonts w:ascii="Times New Roman" w:hAnsi="Times New Roman"/>
                <w:sz w:val="24"/>
              </w:rPr>
              <w:t>75,0</w:t>
            </w:r>
          </w:p>
        </w:tc>
      </w:tr>
      <w:tr w14:paraId="23913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33C5AFE8">
            <w:pPr>
              <w:widowControl w:val="0"/>
              <w:jc w:val="both"/>
            </w:pPr>
            <w:r>
              <w:rPr>
                <w:rFonts w:ascii="Times New Roman" w:hAnsi="Times New Roman"/>
                <w:sz w:val="24"/>
              </w:rPr>
              <w:t>Подготовка и проверка комплекта документов</w:t>
            </w:r>
          </w:p>
        </w:tc>
        <w:tc>
          <w:tcPr>
            <w:tcW w:w="2496" w:type="dxa"/>
          </w:tcPr>
          <w:p w14:paraId="1D0BB797">
            <w:pPr>
              <w:widowControl w:val="0"/>
              <w:jc w:val="center"/>
            </w:pPr>
            <w:r>
              <w:rPr>
                <w:rFonts w:ascii="Times New Roman" w:hAnsi="Times New Roman"/>
                <w:sz w:val="24"/>
              </w:rPr>
              <w:t>7</w:t>
            </w:r>
          </w:p>
        </w:tc>
        <w:tc>
          <w:tcPr>
            <w:tcW w:w="2741" w:type="dxa"/>
          </w:tcPr>
          <w:p w14:paraId="77CA2645">
            <w:pPr>
              <w:widowControl w:val="0"/>
              <w:jc w:val="center"/>
            </w:pPr>
            <w:r>
              <w:rPr>
                <w:rFonts w:ascii="Times New Roman" w:hAnsi="Times New Roman"/>
                <w:sz w:val="24"/>
              </w:rPr>
              <w:t>87,5</w:t>
            </w:r>
          </w:p>
        </w:tc>
      </w:tr>
      <w:tr w14:paraId="482C0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2FC9318A">
            <w:pPr>
              <w:widowControl w:val="0"/>
              <w:jc w:val="both"/>
            </w:pPr>
            <w:r>
              <w:rPr>
                <w:rFonts w:ascii="Times New Roman" w:hAnsi="Times New Roman"/>
                <w:sz w:val="24"/>
              </w:rPr>
              <w:t>Расчет НМЦК, цены контракта и учет НДС</w:t>
            </w:r>
          </w:p>
        </w:tc>
        <w:tc>
          <w:tcPr>
            <w:tcW w:w="2496" w:type="dxa"/>
          </w:tcPr>
          <w:p w14:paraId="4F8B11F3">
            <w:pPr>
              <w:widowControl w:val="0"/>
              <w:jc w:val="center"/>
            </w:pPr>
            <w:r>
              <w:rPr>
                <w:rFonts w:ascii="Times New Roman" w:hAnsi="Times New Roman"/>
                <w:sz w:val="24"/>
              </w:rPr>
              <w:t>5</w:t>
            </w:r>
          </w:p>
        </w:tc>
        <w:tc>
          <w:tcPr>
            <w:tcW w:w="2741" w:type="dxa"/>
          </w:tcPr>
          <w:p w14:paraId="38341A96">
            <w:pPr>
              <w:widowControl w:val="0"/>
              <w:jc w:val="center"/>
            </w:pPr>
            <w:r>
              <w:rPr>
                <w:rFonts w:ascii="Times New Roman" w:hAnsi="Times New Roman"/>
                <w:sz w:val="24"/>
              </w:rPr>
              <w:t>62,5</w:t>
            </w:r>
          </w:p>
        </w:tc>
      </w:tr>
      <w:tr w14:paraId="1B5FD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7154BD8D">
            <w:pPr>
              <w:widowControl w:val="0"/>
              <w:jc w:val="both"/>
            </w:pPr>
            <w:r>
              <w:rPr>
                <w:rFonts w:ascii="Times New Roman" w:hAnsi="Times New Roman"/>
                <w:sz w:val="24"/>
              </w:rPr>
              <w:t>Подтверждение опыта и квалификационных требований</w:t>
            </w:r>
          </w:p>
        </w:tc>
        <w:tc>
          <w:tcPr>
            <w:tcW w:w="2496" w:type="dxa"/>
          </w:tcPr>
          <w:p w14:paraId="14E73046">
            <w:pPr>
              <w:widowControl w:val="0"/>
              <w:jc w:val="center"/>
            </w:pPr>
            <w:r>
              <w:rPr>
                <w:rFonts w:ascii="Times New Roman" w:hAnsi="Times New Roman"/>
                <w:sz w:val="24"/>
              </w:rPr>
              <w:t>6</w:t>
            </w:r>
          </w:p>
        </w:tc>
        <w:tc>
          <w:tcPr>
            <w:tcW w:w="2741" w:type="dxa"/>
          </w:tcPr>
          <w:p w14:paraId="46F8DDBB">
            <w:pPr>
              <w:widowControl w:val="0"/>
              <w:jc w:val="center"/>
            </w:pPr>
            <w:r>
              <w:rPr>
                <w:rFonts w:ascii="Times New Roman" w:hAnsi="Times New Roman"/>
                <w:sz w:val="24"/>
              </w:rPr>
              <w:t>75,0</w:t>
            </w:r>
          </w:p>
        </w:tc>
      </w:tr>
      <w:tr w14:paraId="7B8E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17" w:type="dxa"/>
          </w:tcPr>
          <w:p w14:paraId="69DD7FBE">
            <w:pPr>
              <w:widowControl w:val="0"/>
              <w:jc w:val="both"/>
            </w:pPr>
            <w:r>
              <w:rPr>
                <w:rFonts w:ascii="Times New Roman" w:hAnsi="Times New Roman"/>
                <w:sz w:val="24"/>
              </w:rPr>
              <w:t>Внутренние стандарты оформления и хранения документов</w:t>
            </w:r>
          </w:p>
        </w:tc>
        <w:tc>
          <w:tcPr>
            <w:tcW w:w="2496" w:type="dxa"/>
          </w:tcPr>
          <w:p w14:paraId="0335FD8A">
            <w:pPr>
              <w:widowControl w:val="0"/>
              <w:jc w:val="center"/>
            </w:pPr>
            <w:r>
              <w:rPr>
                <w:rFonts w:ascii="Times New Roman" w:hAnsi="Times New Roman"/>
                <w:sz w:val="24"/>
              </w:rPr>
              <w:t>7</w:t>
            </w:r>
          </w:p>
        </w:tc>
        <w:tc>
          <w:tcPr>
            <w:tcW w:w="2741" w:type="dxa"/>
          </w:tcPr>
          <w:p w14:paraId="2146C40A">
            <w:pPr>
              <w:widowControl w:val="0"/>
              <w:jc w:val="center"/>
            </w:pPr>
            <w:r>
              <w:rPr>
                <w:rFonts w:ascii="Times New Roman" w:hAnsi="Times New Roman"/>
                <w:sz w:val="24"/>
              </w:rPr>
              <w:t>87,5</w:t>
            </w:r>
          </w:p>
        </w:tc>
      </w:tr>
    </w:tbl>
    <w:p w14:paraId="3680505C">
      <w:pPr>
        <w:spacing w:after="120" w:line="360" w:lineRule="auto"/>
        <w:ind w:firstLine="700"/>
        <w:jc w:val="both"/>
        <w:rPr>
          <w:rFonts w:hint="default" w:ascii="Times New Roman" w:hAnsi="Times New Roman"/>
          <w:b w:val="0"/>
          <w:i w:val="0"/>
          <w:sz w:val="28"/>
          <w:lang w:val="ru-RU"/>
        </w:rPr>
      </w:pPr>
    </w:p>
    <w:p w14:paraId="53B5E201">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Дополнительно сотрудникам было предложено оценить удовлетворённость существующим уровнем обучения по пятибалльной шкале, где 1 означает полную неудовлетворённость, а 5 — полную удовлетворённость (см.табл.3.8.). Средняя оценка составила 2,1 балла. Ни один сотрудник не поставил оценку 5, только один сотрудник поставил оценку 4, три сотрудника выбрали оценку 2 и два сотрудника — оценку 1. Такой результат отражает низкую субъективную удовлетворённость действующей системой подготовки и развития.</w:t>
      </w:r>
    </w:p>
    <w:p w14:paraId="0BB333EB">
      <w:pPr>
        <w:spacing w:after="120" w:line="360" w:lineRule="auto"/>
        <w:ind w:firstLine="700"/>
        <w:jc w:val="both"/>
        <w:rPr>
          <w:rFonts w:hint="default" w:ascii="Times New Roman" w:hAnsi="Times New Roman"/>
          <w:b w:val="0"/>
          <w:i w:val="0"/>
          <w:sz w:val="28"/>
          <w:lang w:val="ru-RU"/>
        </w:rPr>
      </w:pPr>
    </w:p>
    <w:p w14:paraId="7EAB294F">
      <w:pPr>
        <w:spacing w:after="120" w:line="360" w:lineRule="auto"/>
        <w:ind w:firstLine="700"/>
        <w:jc w:val="both"/>
        <w:rPr>
          <w:rFonts w:hint="default" w:ascii="Times New Roman" w:hAnsi="Times New Roman"/>
          <w:b w:val="0"/>
          <w:i w:val="0"/>
          <w:sz w:val="28"/>
          <w:lang w:val="ru-RU"/>
        </w:rPr>
      </w:pPr>
    </w:p>
    <w:p w14:paraId="0D6A92B2">
      <w:pPr>
        <w:spacing w:after="120" w:line="360" w:lineRule="auto"/>
        <w:ind w:firstLine="700"/>
        <w:jc w:val="right"/>
        <w:rPr>
          <w:sz w:val="18"/>
          <w:szCs w:val="18"/>
        </w:rPr>
      </w:pPr>
      <w:r>
        <w:rPr>
          <w:rFonts w:ascii="Times New Roman" w:hAnsi="Times New Roman"/>
          <w:b w:val="0"/>
          <w:i w:val="0"/>
          <w:sz w:val="24"/>
          <w:szCs w:val="18"/>
        </w:rPr>
        <w:t>Таблица 3.8. Оценка удовлетвор</w:t>
      </w:r>
      <w:r>
        <w:rPr>
          <w:rFonts w:ascii="Times New Roman" w:hAnsi="Times New Roman"/>
          <w:b w:val="0"/>
          <w:i w:val="0"/>
          <w:sz w:val="24"/>
          <w:szCs w:val="18"/>
          <w:lang w:val="ru-RU"/>
        </w:rPr>
        <w:t>ё</w:t>
      </w:r>
      <w:r>
        <w:rPr>
          <w:rFonts w:ascii="Times New Roman" w:hAnsi="Times New Roman"/>
          <w:b w:val="0"/>
          <w:i w:val="0"/>
          <w:sz w:val="24"/>
          <w:szCs w:val="18"/>
        </w:rPr>
        <w:t>нности сотрудников действующим порядком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8"/>
        <w:gridCol w:w="3118"/>
        <w:gridCol w:w="3118"/>
      </w:tblGrid>
      <w:tr w14:paraId="2D5E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D7ADA23">
            <w:pPr>
              <w:widowControl w:val="0"/>
              <w:jc w:val="both"/>
              <w:rPr>
                <w:b w:val="0"/>
                <w:bCs/>
              </w:rPr>
            </w:pPr>
            <w:r>
              <w:rPr>
                <w:rFonts w:ascii="Times New Roman" w:hAnsi="Times New Roman"/>
                <w:b w:val="0"/>
                <w:bCs/>
                <w:sz w:val="24"/>
              </w:rPr>
              <w:t>Оценка по пятибалльной шкале</w:t>
            </w:r>
          </w:p>
        </w:tc>
        <w:tc>
          <w:tcPr>
            <w:tcW w:w="3118" w:type="dxa"/>
          </w:tcPr>
          <w:p w14:paraId="38AA71DA">
            <w:pPr>
              <w:widowControl w:val="0"/>
              <w:jc w:val="both"/>
              <w:rPr>
                <w:b w:val="0"/>
                <w:bCs/>
              </w:rPr>
            </w:pPr>
            <w:r>
              <w:rPr>
                <w:rFonts w:ascii="Times New Roman" w:hAnsi="Times New Roman"/>
                <w:b w:val="0"/>
                <w:bCs/>
                <w:sz w:val="24"/>
              </w:rPr>
              <w:t>Количество сотрудников</w:t>
            </w:r>
          </w:p>
        </w:tc>
        <w:tc>
          <w:tcPr>
            <w:tcW w:w="3118" w:type="dxa"/>
          </w:tcPr>
          <w:p w14:paraId="23D3B43B">
            <w:pPr>
              <w:widowControl w:val="0"/>
              <w:jc w:val="both"/>
              <w:rPr>
                <w:b w:val="0"/>
                <w:bCs/>
              </w:rPr>
            </w:pPr>
            <w:r>
              <w:rPr>
                <w:rFonts w:ascii="Times New Roman" w:hAnsi="Times New Roman"/>
                <w:b w:val="0"/>
                <w:bCs/>
                <w:sz w:val="24"/>
              </w:rPr>
              <w:t>Доля, %</w:t>
            </w:r>
          </w:p>
        </w:tc>
      </w:tr>
      <w:tr w14:paraId="5A8BB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07EB599C">
            <w:pPr>
              <w:widowControl w:val="0"/>
              <w:jc w:val="both"/>
            </w:pPr>
            <w:r>
              <w:rPr>
                <w:rFonts w:ascii="Times New Roman" w:hAnsi="Times New Roman"/>
                <w:sz w:val="24"/>
              </w:rPr>
              <w:t>1</w:t>
            </w:r>
          </w:p>
        </w:tc>
        <w:tc>
          <w:tcPr>
            <w:tcW w:w="3118" w:type="dxa"/>
          </w:tcPr>
          <w:p w14:paraId="08E55DE2">
            <w:pPr>
              <w:widowControl w:val="0"/>
              <w:jc w:val="both"/>
            </w:pPr>
            <w:r>
              <w:rPr>
                <w:rFonts w:ascii="Times New Roman" w:hAnsi="Times New Roman"/>
                <w:sz w:val="24"/>
              </w:rPr>
              <w:t>2</w:t>
            </w:r>
          </w:p>
        </w:tc>
        <w:tc>
          <w:tcPr>
            <w:tcW w:w="3118" w:type="dxa"/>
          </w:tcPr>
          <w:p w14:paraId="661A71A4">
            <w:pPr>
              <w:widowControl w:val="0"/>
              <w:jc w:val="both"/>
            </w:pPr>
            <w:r>
              <w:rPr>
                <w:rFonts w:ascii="Times New Roman" w:hAnsi="Times New Roman"/>
                <w:sz w:val="24"/>
              </w:rPr>
              <w:t>25,0</w:t>
            </w:r>
          </w:p>
        </w:tc>
      </w:tr>
      <w:tr w14:paraId="17FA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B1067B5">
            <w:pPr>
              <w:widowControl w:val="0"/>
              <w:jc w:val="both"/>
            </w:pPr>
            <w:r>
              <w:rPr>
                <w:rFonts w:ascii="Times New Roman" w:hAnsi="Times New Roman"/>
                <w:sz w:val="24"/>
              </w:rPr>
              <w:t>2</w:t>
            </w:r>
          </w:p>
        </w:tc>
        <w:tc>
          <w:tcPr>
            <w:tcW w:w="3118" w:type="dxa"/>
          </w:tcPr>
          <w:p w14:paraId="391E6417">
            <w:pPr>
              <w:widowControl w:val="0"/>
              <w:jc w:val="both"/>
            </w:pPr>
            <w:r>
              <w:rPr>
                <w:rFonts w:ascii="Times New Roman" w:hAnsi="Times New Roman"/>
                <w:sz w:val="24"/>
              </w:rPr>
              <w:t>3</w:t>
            </w:r>
          </w:p>
        </w:tc>
        <w:tc>
          <w:tcPr>
            <w:tcW w:w="3118" w:type="dxa"/>
          </w:tcPr>
          <w:p w14:paraId="036F554C">
            <w:pPr>
              <w:widowControl w:val="0"/>
              <w:jc w:val="both"/>
            </w:pPr>
            <w:r>
              <w:rPr>
                <w:rFonts w:ascii="Times New Roman" w:hAnsi="Times New Roman"/>
                <w:sz w:val="24"/>
              </w:rPr>
              <w:t>37,5</w:t>
            </w:r>
          </w:p>
        </w:tc>
      </w:tr>
      <w:tr w14:paraId="35ED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2E4936EE">
            <w:pPr>
              <w:widowControl w:val="0"/>
              <w:jc w:val="both"/>
            </w:pPr>
            <w:r>
              <w:rPr>
                <w:rFonts w:ascii="Times New Roman" w:hAnsi="Times New Roman"/>
                <w:sz w:val="24"/>
              </w:rPr>
              <w:t>3</w:t>
            </w:r>
          </w:p>
        </w:tc>
        <w:tc>
          <w:tcPr>
            <w:tcW w:w="3118" w:type="dxa"/>
          </w:tcPr>
          <w:p w14:paraId="29D6C9D8">
            <w:pPr>
              <w:widowControl w:val="0"/>
              <w:jc w:val="both"/>
            </w:pPr>
            <w:r>
              <w:rPr>
                <w:rFonts w:ascii="Times New Roman" w:hAnsi="Times New Roman"/>
                <w:sz w:val="24"/>
              </w:rPr>
              <w:t>2</w:t>
            </w:r>
          </w:p>
        </w:tc>
        <w:tc>
          <w:tcPr>
            <w:tcW w:w="3118" w:type="dxa"/>
          </w:tcPr>
          <w:p w14:paraId="2DE5A7E9">
            <w:pPr>
              <w:widowControl w:val="0"/>
              <w:jc w:val="both"/>
            </w:pPr>
            <w:r>
              <w:rPr>
                <w:rFonts w:ascii="Times New Roman" w:hAnsi="Times New Roman"/>
                <w:sz w:val="24"/>
              </w:rPr>
              <w:t>25,0</w:t>
            </w:r>
          </w:p>
        </w:tc>
      </w:tr>
      <w:tr w14:paraId="153F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518F19B6">
            <w:pPr>
              <w:widowControl w:val="0"/>
              <w:jc w:val="both"/>
            </w:pPr>
            <w:r>
              <w:rPr>
                <w:rFonts w:ascii="Times New Roman" w:hAnsi="Times New Roman"/>
                <w:sz w:val="24"/>
              </w:rPr>
              <w:t>4</w:t>
            </w:r>
          </w:p>
        </w:tc>
        <w:tc>
          <w:tcPr>
            <w:tcW w:w="3118" w:type="dxa"/>
          </w:tcPr>
          <w:p w14:paraId="14486703">
            <w:pPr>
              <w:widowControl w:val="0"/>
              <w:jc w:val="both"/>
            </w:pPr>
            <w:r>
              <w:rPr>
                <w:rFonts w:ascii="Times New Roman" w:hAnsi="Times New Roman"/>
                <w:sz w:val="24"/>
              </w:rPr>
              <w:t>1</w:t>
            </w:r>
          </w:p>
        </w:tc>
        <w:tc>
          <w:tcPr>
            <w:tcW w:w="3118" w:type="dxa"/>
          </w:tcPr>
          <w:p w14:paraId="393D4A7D">
            <w:pPr>
              <w:widowControl w:val="0"/>
              <w:jc w:val="both"/>
            </w:pPr>
            <w:r>
              <w:rPr>
                <w:rFonts w:ascii="Times New Roman" w:hAnsi="Times New Roman"/>
                <w:sz w:val="24"/>
              </w:rPr>
              <w:t>12,5</w:t>
            </w:r>
          </w:p>
        </w:tc>
      </w:tr>
      <w:tr w14:paraId="139C4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776C16C">
            <w:pPr>
              <w:widowControl w:val="0"/>
              <w:jc w:val="both"/>
            </w:pPr>
            <w:r>
              <w:rPr>
                <w:rFonts w:ascii="Times New Roman" w:hAnsi="Times New Roman"/>
                <w:sz w:val="24"/>
              </w:rPr>
              <w:t>5</w:t>
            </w:r>
          </w:p>
        </w:tc>
        <w:tc>
          <w:tcPr>
            <w:tcW w:w="3118" w:type="dxa"/>
          </w:tcPr>
          <w:p w14:paraId="77FE4655">
            <w:pPr>
              <w:widowControl w:val="0"/>
              <w:jc w:val="both"/>
            </w:pPr>
            <w:r>
              <w:rPr>
                <w:rFonts w:ascii="Times New Roman" w:hAnsi="Times New Roman"/>
                <w:sz w:val="24"/>
              </w:rPr>
              <w:t>0</w:t>
            </w:r>
          </w:p>
        </w:tc>
        <w:tc>
          <w:tcPr>
            <w:tcW w:w="3118" w:type="dxa"/>
          </w:tcPr>
          <w:p w14:paraId="2FD584DE">
            <w:pPr>
              <w:widowControl w:val="0"/>
              <w:jc w:val="both"/>
            </w:pPr>
            <w:r>
              <w:rPr>
                <w:rFonts w:ascii="Times New Roman" w:hAnsi="Times New Roman"/>
                <w:sz w:val="24"/>
              </w:rPr>
              <w:t>0,0</w:t>
            </w:r>
          </w:p>
        </w:tc>
      </w:tr>
      <w:tr w14:paraId="1B2B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8" w:type="dxa"/>
          </w:tcPr>
          <w:p w14:paraId="1C58CA3C">
            <w:pPr>
              <w:widowControl w:val="0"/>
              <w:jc w:val="both"/>
            </w:pPr>
            <w:r>
              <w:rPr>
                <w:rFonts w:ascii="Times New Roman" w:hAnsi="Times New Roman"/>
                <w:sz w:val="24"/>
              </w:rPr>
              <w:t>Средняя оценка</w:t>
            </w:r>
          </w:p>
        </w:tc>
        <w:tc>
          <w:tcPr>
            <w:tcW w:w="3118" w:type="dxa"/>
          </w:tcPr>
          <w:p w14:paraId="4EB6C9DB">
            <w:pPr>
              <w:widowControl w:val="0"/>
              <w:jc w:val="both"/>
            </w:pPr>
            <w:r>
              <w:rPr>
                <w:rFonts w:ascii="Times New Roman" w:hAnsi="Times New Roman"/>
                <w:sz w:val="24"/>
              </w:rPr>
              <w:t>2,1</w:t>
            </w:r>
          </w:p>
        </w:tc>
        <w:tc>
          <w:tcPr>
            <w:tcW w:w="3118" w:type="dxa"/>
          </w:tcPr>
          <w:p w14:paraId="2E4CBDC4">
            <w:pPr>
              <w:widowControl w:val="0"/>
              <w:jc w:val="both"/>
            </w:pPr>
            <w:r>
              <w:rPr>
                <w:rFonts w:ascii="Times New Roman" w:hAnsi="Times New Roman"/>
                <w:sz w:val="24"/>
              </w:rPr>
              <w:t>-</w:t>
            </w:r>
          </w:p>
        </w:tc>
      </w:tr>
    </w:tbl>
    <w:p w14:paraId="1DD28AE1">
      <w:pPr>
        <w:spacing w:after="120" w:line="360" w:lineRule="auto"/>
        <w:jc w:val="both"/>
      </w:pPr>
    </w:p>
    <w:p w14:paraId="3F4D62F4">
      <w:pPr>
        <w:spacing w:after="120" w:line="360" w:lineRule="auto"/>
        <w:ind w:firstLine="700"/>
        <w:jc w:val="both"/>
        <w:rPr>
          <w:rFonts w:hint="default" w:ascii="Times New Roman" w:hAnsi="Times New Roman"/>
          <w:b w:val="0"/>
          <w:i w:val="0"/>
          <w:sz w:val="28"/>
          <w:lang w:val="ru-RU"/>
        </w:rPr>
      </w:pPr>
      <w:r>
        <w:rPr>
          <w:rFonts w:ascii="Times New Roman" w:hAnsi="Times New Roman"/>
          <w:sz w:val="28"/>
        </w:rPr>
        <w:t>Итоги опроса показывают, что сотрудники тендерного отдела не воспринимают действующий порядок как нормальный и достаточный. Важно, что эти оценки совпадают с объективными показателями деятельности отдела: доля отклонённых заявок остаётся устойчивой, а причины отклонений связаны с теми же зонами, которые сотрудники отмечают проблемными.</w:t>
      </w:r>
    </w:p>
    <w:p w14:paraId="0C5F1FE7">
      <w:pPr>
        <w:spacing w:after="120" w:line="360" w:lineRule="auto"/>
        <w:ind w:firstLine="700"/>
        <w:jc w:val="both"/>
      </w:pPr>
      <w:r>
        <w:rPr>
          <w:rFonts w:hint="default" w:ascii="Times New Roman" w:hAnsi="Times New Roman"/>
          <w:b w:val="0"/>
          <w:i w:val="0"/>
          <w:sz w:val="28"/>
          <w:lang w:val="ru-RU"/>
        </w:rPr>
        <w:t xml:space="preserve">Итак, опрос сотрудников подтвердил отсутствие целостной системы обучения и развития в ООО «Лайф Медиа». </w:t>
      </w:r>
      <w:r>
        <w:rPr>
          <w:rFonts w:ascii="Times New Roman" w:hAnsi="Times New Roman"/>
          <w:b w:val="0"/>
          <w:i w:val="0"/>
          <w:sz w:val="28"/>
        </w:rPr>
        <w:t xml:space="preserve"> Работники получают знания преимущественно самостоятельно или через коллег, не проходят единый адаптационный маршрут, не имеют устойчивого доступа к актуальной базе материалов и не участвуют в регулярной проверке знаний. Наиболее выраженные потребности сотрудников связаны с изменениями законодательства, типовыми ошибками, актуальными шаблонами, проверкой комплекта документов и особенностями электронных площадок. Следовательно, внутренняя оценка сотрудников совпадает с результатами анализа тендерных показателей и указывает на системный характер проблемы.</w:t>
      </w:r>
    </w:p>
    <w:p w14:paraId="2AC569CE">
      <w:pPr>
        <w:spacing w:after="120" w:line="360" w:lineRule="auto"/>
        <w:ind w:firstLine="700"/>
        <w:jc w:val="both"/>
        <w:rPr>
          <w:rFonts w:hint="default" w:ascii="Times New Roman" w:hAnsi="Times New Roman"/>
          <w:b w:val="0"/>
          <w:i w:val="0"/>
          <w:sz w:val="28"/>
          <w:lang w:val="ru-RU"/>
        </w:rPr>
      </w:pPr>
    </w:p>
    <w:p w14:paraId="58003C08">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20" w:firstLineChars="150"/>
        <w:jc w:val="both"/>
        <w:textAlignment w:val="auto"/>
        <w:rPr>
          <w:rFonts w:hint="default" w:ascii="Times New Roman" w:hAnsi="Times New Roman"/>
          <w:b w:val="0"/>
          <w:bCs w:val="0"/>
          <w:color w:val="auto"/>
          <w:sz w:val="28"/>
          <w:szCs w:val="28"/>
          <w:lang w:val="ru-RU"/>
        </w:rPr>
      </w:pPr>
    </w:p>
    <w:p w14:paraId="4C751561">
      <w:r>
        <w:br w:type="page"/>
      </w:r>
    </w:p>
    <w:p w14:paraId="436249D8">
      <w:pPr>
        <w:keepNext w:val="0"/>
        <w:keepLines w:val="0"/>
        <w:pageBreakBefore w:val="0"/>
        <w:numPr>
          <w:ilvl w:val="0"/>
          <w:numId w:val="0"/>
        </w:numPr>
        <w:kinsoku/>
        <w:wordWrap/>
        <w:overflowPunct/>
        <w:topLinePunct w:val="0"/>
        <w:autoSpaceDE/>
        <w:autoSpaceDN/>
        <w:bidi w:val="0"/>
        <w:adjustRightInd/>
        <w:snapToGrid/>
        <w:spacing w:line="360" w:lineRule="auto"/>
        <w:ind w:firstLine="351" w:firstLineChars="125"/>
        <w:jc w:val="both"/>
        <w:textAlignment w:val="auto"/>
        <w:rPr>
          <w:rFonts w:hint="default" w:ascii="Times New Roman" w:hAnsi="Times New Roman"/>
          <w:b/>
          <w:bCs/>
          <w:sz w:val="28"/>
          <w:szCs w:val="28"/>
          <w:vertAlign w:val="baseline"/>
          <w:lang w:val="ru-RU"/>
        </w:rPr>
      </w:pPr>
      <w:r>
        <w:rPr>
          <w:rFonts w:hint="default" w:ascii="Times New Roman" w:hAnsi="Times New Roman"/>
          <w:b/>
          <w:bCs/>
          <w:sz w:val="28"/>
          <w:szCs w:val="28"/>
          <w:vertAlign w:val="baseline"/>
          <w:lang w:val="ru-RU"/>
        </w:rPr>
        <w:t>Выводы по второй главе</w:t>
      </w:r>
    </w:p>
    <w:p w14:paraId="312B625C">
      <w:pPr>
        <w:spacing w:after="120" w:line="360" w:lineRule="auto"/>
        <w:ind w:firstLine="700"/>
      </w:pPr>
      <w:r>
        <w:rPr>
          <w:rFonts w:ascii="Times New Roman" w:hAnsi="Times New Roman"/>
          <w:sz w:val="28"/>
        </w:rPr>
        <w:t>Во второй главе был проведен анализ системы обучения и развития тендерных специалистов ООО «Лайф Медиа» с учетом организационно-экономических особенностей предприятия, структуры персонала, результатов закупочной деятельности и мнения сотрудников тендерного отдела. Анализ показал, что компания относится к малому бизнесу, работает преимущественно в удаленном формате и получает основную часть выручки за счет участия в государственных и корпоративных закупках. Следовательно, качество работы тендерного отдела является одним из ключевых факторов финансовой устойчивости предприятия.</w:t>
      </w:r>
    </w:p>
    <w:p w14:paraId="2942C421">
      <w:pPr>
        <w:spacing w:after="120" w:line="360" w:lineRule="auto"/>
        <w:ind w:firstLine="700"/>
      </w:pPr>
      <w:r>
        <w:rPr>
          <w:rFonts w:ascii="Times New Roman" w:hAnsi="Times New Roman"/>
          <w:sz w:val="28"/>
        </w:rPr>
        <w:t>Изучение организационной структуры показало, что тендерный отдел является центральным подразделением компании: в нем занято 8 специалистов из 17 сотрудников. При этом система управления персоналом носит распределенный характер: отдельной HR-службы нет, кадровые функции выполняют генеральный директор, руководитель тендерного отдела и бухгалтерия. Такая модель соответствует масштабу предприятия, однако ограничивает возможности системной адаптации, обучения и развития персонала. Особенно значимым является то, что 62,5% специалистов тендерного отдела работают в компании менее одного года, а опыт более двух лет имеют только 25% сотрудников. Это указывает на недостаток устойчивого профессионального ядра и повышает зависимость качества работы от передачи опыта внутри отдела.</w:t>
      </w:r>
    </w:p>
    <w:p w14:paraId="2E71C542">
      <w:pPr>
        <w:spacing w:after="120" w:line="360" w:lineRule="auto"/>
        <w:ind w:firstLine="700"/>
      </w:pPr>
      <w:r>
        <w:rPr>
          <w:rFonts w:ascii="Times New Roman" w:hAnsi="Times New Roman"/>
          <w:sz w:val="28"/>
        </w:rPr>
        <w:t>Анализ движения кадров выявил высокий уровень текучести: в 2024-2025 гг. коэффициент текучести в тендерном отделе составил 37,5%. При такой динамике компания вынуждена регулярно принимать новых сотрудников, но при этом не имеет формализованной программы адаптации. В результате новые работники осваивают обязанности через устные пояснения, самостоятельный поиск информации и помощь коллег. Такой подход позволяет решать текущие задачи, но не обеспечивает единых стандартов подготовки заявок и не снижает риск повторения ошибок.</w:t>
      </w:r>
    </w:p>
    <w:p w14:paraId="310EE5FA">
      <w:pPr>
        <w:spacing w:after="120" w:line="360" w:lineRule="auto"/>
        <w:ind w:firstLine="700"/>
      </w:pPr>
      <w:r>
        <w:rPr>
          <w:rFonts w:ascii="Times New Roman" w:hAnsi="Times New Roman"/>
          <w:sz w:val="28"/>
        </w:rPr>
        <w:t>Отдельное внимание было уделено мотивации и затратам на персонал. Установлено, что тендерные специалисты имеют наиболее высокий уровень выплат среди подразделений, а общие затраты на персонал составляют значительную долю выручки компании. Однако расходы на обучение остаются минимальными и составляют только 45 тыс. руб. в год. Эти средства используются эпизодически, главным образом на отдельные вебинары и записи по изменениям законодательства, поэтому не формируют полноценную систему развития компетенций. При этом действующая мотивация ориентирована преимущественно на результат, но не связывает премирование с обучением, наставничеством, обновлением базы знаний и качеством подготовки документов.</w:t>
      </w:r>
    </w:p>
    <w:p w14:paraId="320F3696">
      <w:pPr>
        <w:spacing w:after="120" w:line="360" w:lineRule="auto"/>
        <w:ind w:firstLine="700"/>
      </w:pPr>
      <w:r>
        <w:rPr>
          <w:rFonts w:ascii="Times New Roman" w:hAnsi="Times New Roman"/>
          <w:sz w:val="28"/>
        </w:rPr>
        <w:t>Оценка эффективности текущей системы обучения показала, что в ООО «Лайф Медиа» отсутствуют ключевые элементы управляемого образовательного процесса: программа адаптации, единая база актуальных шаблонов и инструкций, регулярная проверка знаний, системный разбор ошибок, формализованное наставничество и оценка влияния обучения на результаты закупочной деятельности. Это подтверждается не только анализом документов, но и результатами опроса сотрудников. Все 8 специалистов указали на отсутствие утвержденной программы обучения, большинство отметили разрозненность материалов, неуверенность в актуальности шаблонов и нехватку разбора реальных ошибок отдела.</w:t>
      </w:r>
    </w:p>
    <w:p w14:paraId="337BB718">
      <w:pPr>
        <w:spacing w:after="120" w:line="360" w:lineRule="auto"/>
        <w:ind w:firstLine="700"/>
      </w:pPr>
      <w:r>
        <w:rPr>
          <w:rFonts w:ascii="Times New Roman" w:hAnsi="Times New Roman"/>
          <w:sz w:val="28"/>
        </w:rPr>
        <w:t>Показатели тендерной деятельности также подтверждают наличие проблемы. За 2023-2025 гг. доля отклоненных заявок на этапе допуска сохраняется на уровне около 15%, а всего выявлено 77 случаев отклонений. Наиболее распространенными причинами стали технические ошибки при работе с ЭТП, ошибки, связанные с требованиями законодательства и документации, расчетные неточности и организационные нарушения при подготовке заявки. Значительная часть этих ошибок относится к предотвратимым, то есть может быть снижена за счет обучения, стандартизации процедур, актуализации шаблонов и введения контрольных чек-листов.</w:t>
      </w:r>
    </w:p>
    <w:p w14:paraId="571DDC00">
      <w:pPr>
        <w:spacing w:after="120" w:line="360" w:lineRule="auto"/>
        <w:ind w:firstLine="700"/>
      </w:pPr>
      <w:r>
        <w:rPr>
          <w:rFonts w:ascii="Times New Roman" w:hAnsi="Times New Roman"/>
          <w:sz w:val="28"/>
        </w:rPr>
        <w:t>Таким образом, по итогам второй главы можно сделать вывод, что проблема ООО «Лайф Медиа» заключается не в отсутствии отдельных обучающих действий, а в отсутствии целостной системы обучения и развития тендерных специалистов. Обучение в компании носит фрагментарный, реактивный и преимущественно неформальный характер. Оно не встроено в систему управления персоналом, не связано с мотивацией и не подкреплено регулярной оценкой результатов. Именно поэтому в третьей главе необходимо разработать комплекс практических мероприятий, направленных на создание единой системы обучения, снижение количества формальных ошибок, повышение качества подготовки заявок и рост эффективности участия компании в тендерах.</w:t>
      </w:r>
    </w:p>
    <w:p w14:paraId="6CD4D791">
      <w:pPr>
        <w:spacing w:after="120" w:line="360" w:lineRule="auto"/>
        <w:jc w:val="center"/>
      </w:pPr>
      <w:r>
        <w:rPr>
          <w:rFonts w:ascii="Times New Roman" w:hAnsi="Times New Roman"/>
          <w:b/>
          <w:sz w:val="28"/>
        </w:rPr>
        <w:t>ГЛАВА 3. СОВЕРШЕНСТВОВАНИЕ СИСТЕМЫ ОБУЧЕНИЯ И РАЗВИТИЯ ТЕНДЕРНЫХ СПЕЦИАЛИСТОВ ООО «ЛАЙФ МЕДИА»</w:t>
      </w:r>
    </w:p>
    <w:p w14:paraId="255DBD3B">
      <w:pPr>
        <w:spacing w:after="120" w:line="360" w:lineRule="auto"/>
        <w:jc w:val="center"/>
      </w:pPr>
      <w:r>
        <w:rPr>
          <w:rFonts w:ascii="Times New Roman" w:hAnsi="Times New Roman"/>
          <w:b/>
          <w:sz w:val="28"/>
        </w:rPr>
        <w:t>3.1. Общие рекомендации по развитию системы обучения и развития тендерных специалистов на основе отечественного и зарубежного опыта</w:t>
      </w:r>
    </w:p>
    <w:p w14:paraId="39A61ECA">
      <w:pPr>
        <w:spacing w:after="120" w:line="360" w:lineRule="auto"/>
        <w:ind w:firstLine="700"/>
      </w:pPr>
      <w:r>
        <w:rPr>
          <w:rFonts w:ascii="Times New Roman" w:hAnsi="Times New Roman"/>
          <w:b w:val="0"/>
          <w:sz w:val="28"/>
        </w:rPr>
        <w:t>Результаты второй главы показали, что ключевая проблема ООО «Лайф Медиа» заключается не в полном отсутствии отдельных обучающих действий, а в отсутствии целостной управляемой системы обучения и развития тендерных специалистов. В компании имеются отдельные вебинары, устные пояснения руководителя, обмен опытом между сотрудниками и самостоятельный поиск информации, однако эти элементы не связаны между собой единым циклом. В результате обучение не имеет четких целей, сроков, ответственных лиц, критериев проверки знаний и связи с показателями закупочной деятельности.</w:t>
      </w:r>
    </w:p>
    <w:p w14:paraId="4B9A3563">
      <w:pPr>
        <w:spacing w:after="120" w:line="360" w:lineRule="auto"/>
        <w:ind w:firstLine="700"/>
      </w:pPr>
      <w:r>
        <w:rPr>
          <w:rFonts w:ascii="Times New Roman" w:hAnsi="Times New Roman"/>
          <w:b w:val="0"/>
          <w:sz w:val="28"/>
        </w:rPr>
        <w:t>Логическая цепочка выявленной проблемы выглядит следующим образом: тендерный отдел обеспечивает основную долю выручки предприятия, но в нем сохраняется высокая текучесть кадров и значительная доля сотрудников со стажем менее одного года; при этом отсутствуют единая адаптационная программа, актуальная база шаблонов, регулярная проверка знаний и формализованный разбор ошибок. Следствием становится повторяемость однотипных нарушений при подготовке заявок. По данным второй главы, доля заявок, отклоненных на этапе допуска, держится на уровне 14,6-15,8%, а за 2023-2025 гг. выявлено 77 случаев отклонений, значительная часть которых относится к предотвратимым ошибкам.</w:t>
      </w:r>
    </w:p>
    <w:p w14:paraId="44889A0E">
      <w:pPr>
        <w:spacing w:after="120" w:line="360" w:lineRule="auto"/>
        <w:ind w:firstLine="700"/>
      </w:pPr>
      <w:r>
        <w:rPr>
          <w:rFonts w:ascii="Times New Roman" w:hAnsi="Times New Roman"/>
          <w:b w:val="0"/>
          <w:sz w:val="28"/>
        </w:rPr>
        <w:t>Следовательно, цель третьей главы состоит в разработке такой системы обучения, которая не будет существовать отдельно от работы тендерного отдела, а станет частью ежедневного процесса подготовки заявок. Рекомендации должны быть практически применимыми для малого предприятия, работающего в удаленном формате, не требовать создания отдельной HR-службы и опираться на уже имеющуюся цифровую инфраструктуру: Битрикс24, облачное хранилище, электронный документооборот и удаленные коммуникации.</w:t>
      </w:r>
    </w:p>
    <w:p w14:paraId="65BB29CC">
      <w:pPr>
        <w:spacing w:after="120" w:line="360" w:lineRule="auto"/>
        <w:ind w:firstLine="700"/>
      </w:pPr>
      <w:r>
        <w:rPr>
          <w:rFonts w:ascii="Times New Roman" w:hAnsi="Times New Roman"/>
          <w:b w:val="0"/>
          <w:sz w:val="28"/>
        </w:rPr>
        <w:t>В качестве методической основы предлагается использовать сочетание отечественного и зарубежного опыта. Отечественный опыт в сфере подготовки закупочных специалистов показывает значимость обучения по 44-ФЗ и 223-ФЗ, регулярного обновления знаний, практических кейсов и работы с электронными торговыми площадками. Зарубежный опыт корпоративного обучения, отраженный в моделях Киркпатрика и Филлипса, показывает необходимость оценивать обучение не только по факту прохождения курса, но и по изменению поведения сотрудников и влиянию на бизнес-показатели.</w:t>
      </w:r>
    </w:p>
    <w:p w14:paraId="69FE41BF">
      <w:pPr>
        <w:spacing w:after="120" w:line="360" w:lineRule="auto"/>
        <w:ind w:firstLine="700"/>
      </w:pPr>
      <w:r>
        <w:rPr>
          <w:rFonts w:ascii="Times New Roman" w:hAnsi="Times New Roman"/>
          <w:b w:val="0"/>
          <w:sz w:val="28"/>
        </w:rPr>
        <w:t>Для ООО «Лайф Медиа» целесообразно применять не дорогостоящую корпоративную академию в классическом понимании, а компактную внутреннюю систему «Тендерная академия Лайф Медиа». Под ней понимается совокупность регламентов, цифровой базы знаний, программы адаптации, внешнего повышения квалификации, наставничества, контрольных чек-листов и системы оценки эффективности. Такая модель соответствует масштабу компании, поскольку тендерный отдел состоит из 8 специалистов, а управленческие функции уже распределены между генеральным директором, руководителем тендерного отдела, бухгалтерией и юристом на аутсорсинге.</w:t>
      </w:r>
    </w:p>
    <w:p w14:paraId="40FC71B4">
      <w:pPr>
        <w:spacing w:after="120" w:line="360" w:lineRule="auto"/>
        <w:ind w:firstLine="700"/>
      </w:pPr>
      <w:r>
        <w:rPr>
          <w:rFonts w:ascii="Times New Roman" w:hAnsi="Times New Roman"/>
          <w:b w:val="0"/>
          <w:sz w:val="28"/>
        </w:rPr>
        <w:t>Первое направление рекомендаций — формирование единой базы знаний тендерного отдела. Она должна включать актуальные шаблоны деклараций, инструкции по работе с ЭТП, образцы успешных заявок, перечень типовых ошибок, чек-листы проверки документов, ссылки на нормативные изменения и краткие памятки по 44-ФЗ и 223-ФЗ. База знаний должна размещаться в уже используемой цифровой среде, чтобы сотрудникам не приходилось искать материалы в переписках, личных папках или старых задачах.</w:t>
      </w:r>
    </w:p>
    <w:p w14:paraId="1B9C0850">
      <w:pPr>
        <w:spacing w:after="120" w:line="360" w:lineRule="auto"/>
        <w:ind w:firstLine="700"/>
      </w:pPr>
      <w:r>
        <w:rPr>
          <w:rFonts w:ascii="Times New Roman" w:hAnsi="Times New Roman"/>
          <w:b w:val="0"/>
          <w:sz w:val="28"/>
        </w:rPr>
        <w:t>Второе направление — введение обязательной адаптационной траектории для новых тендерных специалистов. Сейчас новый сотрудник осваивает работу ситуативно. Предлагается закрепить двухнедельный адаптационный маршрут: изучение структуры компании, ознакомление с основными видами закупок, обучение работе с ЕИС и ЭТП, изучение шаблонов документов, выполнение учебного кейса и итоговая проверка руководителем отдела. Такой маршрут позволит снизить зависимость качества адаптации от занятости коллег и личной инициативы наставника.</w:t>
      </w:r>
    </w:p>
    <w:p w14:paraId="2454E535">
      <w:pPr>
        <w:spacing w:after="120" w:line="360" w:lineRule="auto"/>
        <w:ind w:firstLine="700"/>
      </w:pPr>
      <w:r>
        <w:rPr>
          <w:rFonts w:ascii="Times New Roman" w:hAnsi="Times New Roman"/>
          <w:b w:val="0"/>
          <w:sz w:val="28"/>
        </w:rPr>
        <w:t>Третье направление — регулярное внешнее обучение по 44-ФЗ и 223-ФЗ. Поскольку законодательство о закупках постоянно обновляется, полагаться только на самостоятельное изучение изменений недостаточно. Для всех 8 специалистов необходимо организовать повышение квалификации по двум блокам: закупки по 44-ФЗ и закупки по 223-ФЗ. Для руководителя отдела и двух наиболее опытных сотрудников дополнительно следует закрепить роль внутренних экспертов, которые после прохождения обучения будут проводить краткие внутренние разборы изменений для остальных сотрудников.</w:t>
      </w:r>
    </w:p>
    <w:p w14:paraId="18A500BF">
      <w:pPr>
        <w:spacing w:after="120" w:line="360" w:lineRule="auto"/>
        <w:ind w:firstLine="700"/>
      </w:pPr>
      <w:r>
        <w:rPr>
          <w:rFonts w:ascii="Times New Roman" w:hAnsi="Times New Roman"/>
          <w:b w:val="0"/>
          <w:sz w:val="28"/>
        </w:rPr>
        <w:t>Четвертое направление — внедрение контрольного алгоритма подготовки заявки. На практике отклонение заявки часто возникает из-за отсутствия финальной проверки: не тот формат файла, не полный комплект документов, устаревшая форма, ошибка в подписи или расчетах. Поэтому перед каждой отправкой заявки должен использоваться единый чек-лист, который фиксируется в задаче Битрикс24. Чек-лист не должен быть формальностью: без отметки о проверке комплектности, актуальности формы, подписи и расчетов заявка не должна отправляться.</w:t>
      </w:r>
    </w:p>
    <w:p w14:paraId="4F078224">
      <w:pPr>
        <w:spacing w:after="120" w:line="360" w:lineRule="auto"/>
        <w:ind w:firstLine="700"/>
      </w:pPr>
      <w:r>
        <w:rPr>
          <w:rFonts w:ascii="Times New Roman" w:hAnsi="Times New Roman"/>
          <w:b w:val="0"/>
          <w:sz w:val="28"/>
        </w:rPr>
        <w:t>Пятое направление — ежемесячный разбор ошибок. В компании уже есть фактические ошибки, но они обсуждаются устно и не превращаются в общий опыт. Предлагается ввести короткое ежемесячное онлайн-совещание длительностью 45-60 минут, на котором руководитель отдела разбирает все отклонения, замечания заказчиков, спорные ситуации и удачные решения. По итогам совещания в базе знаний должна появляться запись: причина ошибки, способ предотвращения, ответственный за обновление шаблона или чек-листа.</w:t>
      </w:r>
    </w:p>
    <w:p w14:paraId="71F9C42B">
      <w:pPr>
        <w:spacing w:after="120" w:line="360" w:lineRule="auto"/>
        <w:ind w:firstLine="700"/>
      </w:pPr>
      <w:r>
        <w:rPr>
          <w:rFonts w:ascii="Times New Roman" w:hAnsi="Times New Roman"/>
          <w:b w:val="0"/>
          <w:sz w:val="28"/>
        </w:rPr>
        <w:t>Шестое направление — связать обучение с мотивацией. Во второй главе было установлено, что материальная мотивация существует, но развитие компетенций не закреплено как ценность. Поэтому в KPI тендерного специалиста следует включить не только количество поданных заявок и побед, но и качество подготовки: отсутствие отклонений по формальным причинам, своевременное прохождение тестирования, участие в разборе ошибок и поддержание актуальности рабочих материалов. Это позволит сделать обучение частью результата, а не дополнительной нагрузкой.</w:t>
      </w:r>
    </w:p>
    <w:p w14:paraId="5EA17BA4">
      <w:pPr>
        <w:spacing w:after="120" w:line="360" w:lineRule="auto"/>
        <w:jc w:val="center"/>
      </w:pPr>
      <w:r>
        <w:rPr>
          <w:rFonts w:ascii="Times New Roman" w:hAnsi="Times New Roman"/>
          <w:b w:val="0"/>
          <w:sz w:val="28"/>
        </w:rPr>
        <w:t>Таблица 3.1. Связь проблем, выявленных во второй главе, с предлагаемыми направлениями совершенствования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2CC5D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64E3D43">
            <w:pPr>
              <w:widowControl w:val="0"/>
              <w:jc w:val="both"/>
            </w:pPr>
            <w:r>
              <w:rPr>
                <w:rFonts w:ascii="Times New Roman" w:hAnsi="Times New Roman"/>
                <w:b/>
                <w:sz w:val="22"/>
              </w:rPr>
              <w:t>Проблема по итогам анализа</w:t>
            </w:r>
          </w:p>
        </w:tc>
        <w:tc>
          <w:tcPr>
            <w:tcW w:w="2300" w:type="dxa"/>
          </w:tcPr>
          <w:p w14:paraId="54B3568F">
            <w:pPr>
              <w:widowControl w:val="0"/>
              <w:jc w:val="both"/>
            </w:pPr>
            <w:r>
              <w:rPr>
                <w:rFonts w:ascii="Times New Roman" w:hAnsi="Times New Roman"/>
                <w:b/>
                <w:sz w:val="22"/>
              </w:rPr>
              <w:t>Проявление в работе</w:t>
            </w:r>
          </w:p>
        </w:tc>
        <w:tc>
          <w:tcPr>
            <w:tcW w:w="2300" w:type="dxa"/>
          </w:tcPr>
          <w:p w14:paraId="2FF9C01E">
            <w:pPr>
              <w:widowControl w:val="0"/>
              <w:jc w:val="both"/>
            </w:pPr>
            <w:r>
              <w:rPr>
                <w:rFonts w:ascii="Times New Roman" w:hAnsi="Times New Roman"/>
                <w:b/>
                <w:sz w:val="22"/>
              </w:rPr>
              <w:t>Предлагаемое решение</w:t>
            </w:r>
          </w:p>
        </w:tc>
        <w:tc>
          <w:tcPr>
            <w:tcW w:w="2300" w:type="dxa"/>
          </w:tcPr>
          <w:p w14:paraId="33D1A924">
            <w:pPr>
              <w:widowControl w:val="0"/>
              <w:jc w:val="both"/>
            </w:pPr>
            <w:r>
              <w:rPr>
                <w:rFonts w:ascii="Times New Roman" w:hAnsi="Times New Roman"/>
                <w:b/>
                <w:sz w:val="22"/>
              </w:rPr>
              <w:t>Ожидаемый результат</w:t>
            </w:r>
          </w:p>
        </w:tc>
      </w:tr>
      <w:tr w14:paraId="5A9E8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4FAF541">
            <w:pPr>
              <w:widowControl w:val="0"/>
              <w:jc w:val="both"/>
            </w:pPr>
            <w:r>
              <w:rPr>
                <w:rFonts w:ascii="Times New Roman" w:hAnsi="Times New Roman"/>
                <w:b w:val="0"/>
                <w:sz w:val="22"/>
              </w:rPr>
              <w:t>Отсутствие программы адаптации</w:t>
            </w:r>
          </w:p>
        </w:tc>
        <w:tc>
          <w:tcPr>
            <w:tcW w:w="2300" w:type="dxa"/>
          </w:tcPr>
          <w:p w14:paraId="000188E1">
            <w:pPr>
              <w:widowControl w:val="0"/>
              <w:jc w:val="both"/>
            </w:pPr>
            <w:r>
              <w:rPr>
                <w:rFonts w:ascii="Times New Roman" w:hAnsi="Times New Roman"/>
                <w:b w:val="0"/>
                <w:sz w:val="22"/>
              </w:rPr>
              <w:t>Новички осваивают работу через устные пояснения</w:t>
            </w:r>
          </w:p>
        </w:tc>
        <w:tc>
          <w:tcPr>
            <w:tcW w:w="2300" w:type="dxa"/>
          </w:tcPr>
          <w:p w14:paraId="4A52501C">
            <w:pPr>
              <w:widowControl w:val="0"/>
              <w:jc w:val="both"/>
            </w:pPr>
            <w:r>
              <w:rPr>
                <w:rFonts w:ascii="Times New Roman" w:hAnsi="Times New Roman"/>
                <w:b w:val="0"/>
                <w:sz w:val="22"/>
              </w:rPr>
              <w:t>Двухнедельный адаптационный маршрут и наставник</w:t>
            </w:r>
          </w:p>
        </w:tc>
        <w:tc>
          <w:tcPr>
            <w:tcW w:w="2300" w:type="dxa"/>
          </w:tcPr>
          <w:p w14:paraId="203C35BB">
            <w:pPr>
              <w:widowControl w:val="0"/>
              <w:jc w:val="both"/>
            </w:pPr>
            <w:r>
              <w:rPr>
                <w:rFonts w:ascii="Times New Roman" w:hAnsi="Times New Roman"/>
                <w:b w:val="0"/>
                <w:sz w:val="22"/>
              </w:rPr>
              <w:t>Сокращение ошибок новых сотрудников</w:t>
            </w:r>
          </w:p>
        </w:tc>
      </w:tr>
      <w:tr w14:paraId="5A24A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24DC940">
            <w:pPr>
              <w:widowControl w:val="0"/>
              <w:jc w:val="both"/>
            </w:pPr>
            <w:r>
              <w:rPr>
                <w:rFonts w:ascii="Times New Roman" w:hAnsi="Times New Roman"/>
                <w:b w:val="0"/>
                <w:sz w:val="22"/>
              </w:rPr>
              <w:t>Разрозненные шаблоны и инструкции</w:t>
            </w:r>
          </w:p>
        </w:tc>
        <w:tc>
          <w:tcPr>
            <w:tcW w:w="2300" w:type="dxa"/>
          </w:tcPr>
          <w:p w14:paraId="29AC4062">
            <w:pPr>
              <w:widowControl w:val="0"/>
              <w:jc w:val="both"/>
            </w:pPr>
            <w:r>
              <w:rPr>
                <w:rFonts w:ascii="Times New Roman" w:hAnsi="Times New Roman"/>
                <w:b w:val="0"/>
                <w:sz w:val="22"/>
              </w:rPr>
              <w:t>Использование устаревших форм</w:t>
            </w:r>
          </w:p>
        </w:tc>
        <w:tc>
          <w:tcPr>
            <w:tcW w:w="2300" w:type="dxa"/>
          </w:tcPr>
          <w:p w14:paraId="222C57E5">
            <w:pPr>
              <w:widowControl w:val="0"/>
              <w:jc w:val="both"/>
            </w:pPr>
            <w:r>
              <w:rPr>
                <w:rFonts w:ascii="Times New Roman" w:hAnsi="Times New Roman"/>
                <w:b w:val="0"/>
                <w:sz w:val="22"/>
              </w:rPr>
              <w:t>Единая база знаний в Битрикс24/облаке</w:t>
            </w:r>
          </w:p>
        </w:tc>
        <w:tc>
          <w:tcPr>
            <w:tcW w:w="2300" w:type="dxa"/>
          </w:tcPr>
          <w:p w14:paraId="32F37F12">
            <w:pPr>
              <w:widowControl w:val="0"/>
              <w:jc w:val="both"/>
            </w:pPr>
            <w:r>
              <w:rPr>
                <w:rFonts w:ascii="Times New Roman" w:hAnsi="Times New Roman"/>
                <w:b w:val="0"/>
                <w:sz w:val="22"/>
              </w:rPr>
              <w:t>Единый источник актуальных материалов</w:t>
            </w:r>
          </w:p>
        </w:tc>
      </w:tr>
      <w:tr w14:paraId="6409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B2F1509">
            <w:pPr>
              <w:widowControl w:val="0"/>
              <w:jc w:val="both"/>
            </w:pPr>
            <w:r>
              <w:rPr>
                <w:rFonts w:ascii="Times New Roman" w:hAnsi="Times New Roman"/>
                <w:b w:val="0"/>
                <w:sz w:val="22"/>
              </w:rPr>
              <w:t>Нет регулярной проверки знаний</w:t>
            </w:r>
          </w:p>
        </w:tc>
        <w:tc>
          <w:tcPr>
            <w:tcW w:w="2300" w:type="dxa"/>
          </w:tcPr>
          <w:p w14:paraId="063FE291">
            <w:pPr>
              <w:widowControl w:val="0"/>
              <w:jc w:val="both"/>
            </w:pPr>
            <w:r>
              <w:rPr>
                <w:rFonts w:ascii="Times New Roman" w:hAnsi="Times New Roman"/>
                <w:b w:val="0"/>
                <w:sz w:val="22"/>
              </w:rPr>
              <w:t>Руководитель не видит пробелы в компетенциях</w:t>
            </w:r>
          </w:p>
        </w:tc>
        <w:tc>
          <w:tcPr>
            <w:tcW w:w="2300" w:type="dxa"/>
          </w:tcPr>
          <w:p w14:paraId="0FAB3680">
            <w:pPr>
              <w:widowControl w:val="0"/>
              <w:jc w:val="both"/>
            </w:pPr>
            <w:r>
              <w:rPr>
                <w:rFonts w:ascii="Times New Roman" w:hAnsi="Times New Roman"/>
                <w:b w:val="0"/>
                <w:sz w:val="22"/>
              </w:rPr>
              <w:t>Квартальное тестирование по 44-ФЗ, 223-ФЗ и ЭТП</w:t>
            </w:r>
          </w:p>
        </w:tc>
        <w:tc>
          <w:tcPr>
            <w:tcW w:w="2300" w:type="dxa"/>
          </w:tcPr>
          <w:p w14:paraId="33D6EBFB">
            <w:pPr>
              <w:widowControl w:val="0"/>
              <w:jc w:val="both"/>
            </w:pPr>
            <w:r>
              <w:rPr>
                <w:rFonts w:ascii="Times New Roman" w:hAnsi="Times New Roman"/>
                <w:b w:val="0"/>
                <w:sz w:val="22"/>
              </w:rPr>
              <w:t>Контроль уровня подготовки</w:t>
            </w:r>
          </w:p>
        </w:tc>
      </w:tr>
      <w:tr w14:paraId="1FADB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6D8CBFC">
            <w:pPr>
              <w:widowControl w:val="0"/>
              <w:jc w:val="both"/>
            </w:pPr>
            <w:r>
              <w:rPr>
                <w:rFonts w:ascii="Times New Roman" w:hAnsi="Times New Roman"/>
                <w:b w:val="0"/>
                <w:sz w:val="22"/>
              </w:rPr>
              <w:t>Ошибки разбираются устно</w:t>
            </w:r>
          </w:p>
        </w:tc>
        <w:tc>
          <w:tcPr>
            <w:tcW w:w="2300" w:type="dxa"/>
          </w:tcPr>
          <w:p w14:paraId="0AC0C96F">
            <w:pPr>
              <w:widowControl w:val="0"/>
              <w:jc w:val="both"/>
            </w:pPr>
            <w:r>
              <w:rPr>
                <w:rFonts w:ascii="Times New Roman" w:hAnsi="Times New Roman"/>
                <w:b w:val="0"/>
                <w:sz w:val="22"/>
              </w:rPr>
              <w:t>Одни и те же ошибки повторяются</w:t>
            </w:r>
          </w:p>
        </w:tc>
        <w:tc>
          <w:tcPr>
            <w:tcW w:w="2300" w:type="dxa"/>
          </w:tcPr>
          <w:p w14:paraId="1AB2C91A">
            <w:pPr>
              <w:widowControl w:val="0"/>
              <w:jc w:val="both"/>
            </w:pPr>
            <w:r>
              <w:rPr>
                <w:rFonts w:ascii="Times New Roman" w:hAnsi="Times New Roman"/>
                <w:b w:val="0"/>
                <w:sz w:val="22"/>
              </w:rPr>
              <w:t>Реестр ошибок и ежемесячные разборы</w:t>
            </w:r>
          </w:p>
        </w:tc>
        <w:tc>
          <w:tcPr>
            <w:tcW w:w="2300" w:type="dxa"/>
          </w:tcPr>
          <w:p w14:paraId="50478ABD">
            <w:pPr>
              <w:widowControl w:val="0"/>
              <w:jc w:val="both"/>
            </w:pPr>
            <w:r>
              <w:rPr>
                <w:rFonts w:ascii="Times New Roman" w:hAnsi="Times New Roman"/>
                <w:b w:val="0"/>
                <w:sz w:val="22"/>
              </w:rPr>
              <w:t>Накопление общего опыта отдела</w:t>
            </w:r>
          </w:p>
        </w:tc>
      </w:tr>
      <w:tr w14:paraId="6C79B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50A230B">
            <w:pPr>
              <w:widowControl w:val="0"/>
              <w:jc w:val="both"/>
            </w:pPr>
            <w:r>
              <w:rPr>
                <w:rFonts w:ascii="Times New Roman" w:hAnsi="Times New Roman"/>
                <w:b w:val="0"/>
                <w:sz w:val="22"/>
              </w:rPr>
              <w:t>Нет финального контроля заявки</w:t>
            </w:r>
          </w:p>
        </w:tc>
        <w:tc>
          <w:tcPr>
            <w:tcW w:w="2300" w:type="dxa"/>
          </w:tcPr>
          <w:p w14:paraId="53797726">
            <w:pPr>
              <w:widowControl w:val="0"/>
              <w:jc w:val="both"/>
            </w:pPr>
            <w:r>
              <w:rPr>
                <w:rFonts w:ascii="Times New Roman" w:hAnsi="Times New Roman"/>
                <w:b w:val="0"/>
                <w:sz w:val="22"/>
              </w:rPr>
              <w:t>Пропуск файлов, форматов, подписей</w:t>
            </w:r>
          </w:p>
        </w:tc>
        <w:tc>
          <w:tcPr>
            <w:tcW w:w="2300" w:type="dxa"/>
          </w:tcPr>
          <w:p w14:paraId="5742E79A">
            <w:pPr>
              <w:widowControl w:val="0"/>
              <w:jc w:val="both"/>
            </w:pPr>
            <w:r>
              <w:rPr>
                <w:rFonts w:ascii="Times New Roman" w:hAnsi="Times New Roman"/>
                <w:b w:val="0"/>
                <w:sz w:val="22"/>
              </w:rPr>
              <w:t>Чек-лист допуска заявки перед отправкой</w:t>
            </w:r>
          </w:p>
        </w:tc>
        <w:tc>
          <w:tcPr>
            <w:tcW w:w="2300" w:type="dxa"/>
          </w:tcPr>
          <w:p w14:paraId="6EE03BA8">
            <w:pPr>
              <w:widowControl w:val="0"/>
              <w:jc w:val="both"/>
            </w:pPr>
            <w:r>
              <w:rPr>
                <w:rFonts w:ascii="Times New Roman" w:hAnsi="Times New Roman"/>
                <w:b w:val="0"/>
                <w:sz w:val="22"/>
              </w:rPr>
              <w:t>Снижение доли отклонений</w:t>
            </w:r>
          </w:p>
        </w:tc>
      </w:tr>
      <w:tr w14:paraId="3763D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18BB549">
            <w:pPr>
              <w:widowControl w:val="0"/>
              <w:jc w:val="both"/>
            </w:pPr>
            <w:r>
              <w:rPr>
                <w:rFonts w:ascii="Times New Roman" w:hAnsi="Times New Roman"/>
                <w:b w:val="0"/>
                <w:sz w:val="22"/>
              </w:rPr>
              <w:t>Обучение не связано с мотивацией</w:t>
            </w:r>
          </w:p>
        </w:tc>
        <w:tc>
          <w:tcPr>
            <w:tcW w:w="2300" w:type="dxa"/>
          </w:tcPr>
          <w:p w14:paraId="5462A9CB">
            <w:pPr>
              <w:widowControl w:val="0"/>
              <w:jc w:val="both"/>
            </w:pPr>
            <w:r>
              <w:rPr>
                <w:rFonts w:ascii="Times New Roman" w:hAnsi="Times New Roman"/>
                <w:b w:val="0"/>
                <w:sz w:val="22"/>
              </w:rPr>
              <w:t>Сотрудники не заинтересованы в передаче опыта</w:t>
            </w:r>
          </w:p>
        </w:tc>
        <w:tc>
          <w:tcPr>
            <w:tcW w:w="2300" w:type="dxa"/>
          </w:tcPr>
          <w:p w14:paraId="195E69AA">
            <w:pPr>
              <w:widowControl w:val="0"/>
              <w:jc w:val="both"/>
            </w:pPr>
            <w:r>
              <w:rPr>
                <w:rFonts w:ascii="Times New Roman" w:hAnsi="Times New Roman"/>
                <w:b w:val="0"/>
                <w:sz w:val="22"/>
              </w:rPr>
              <w:t>KPI качества и наставничества</w:t>
            </w:r>
          </w:p>
        </w:tc>
        <w:tc>
          <w:tcPr>
            <w:tcW w:w="2300" w:type="dxa"/>
          </w:tcPr>
          <w:p w14:paraId="0C04F0C7">
            <w:pPr>
              <w:widowControl w:val="0"/>
              <w:jc w:val="both"/>
            </w:pPr>
            <w:r>
              <w:rPr>
                <w:rFonts w:ascii="Times New Roman" w:hAnsi="Times New Roman"/>
                <w:b w:val="0"/>
                <w:sz w:val="22"/>
              </w:rPr>
              <w:t>Закрепление развития как части результата</w:t>
            </w:r>
          </w:p>
        </w:tc>
      </w:tr>
    </w:tbl>
    <w:p w14:paraId="5A1CA569">
      <w:pPr>
        <w:spacing w:after="120" w:line="360" w:lineRule="auto"/>
        <w:ind w:firstLine="700"/>
      </w:pPr>
    </w:p>
    <w:p w14:paraId="4A05AD80">
      <w:pPr>
        <w:spacing w:after="120" w:line="360" w:lineRule="auto"/>
        <w:ind w:firstLine="700"/>
      </w:pPr>
      <w:r>
        <w:rPr>
          <w:rFonts w:ascii="Times New Roman" w:hAnsi="Times New Roman"/>
          <w:b w:val="0"/>
          <w:sz w:val="28"/>
        </w:rPr>
        <w:t>Предлагаемая система должна строиться по принципу «диагностика — обучение — применение — контроль — корректировка». На первом этапе выявляются пробелы в знаниях сотрудников и причины отклонений заявок. На втором этапе проводится обучение и актуализация материалов. На третьем этапе знания применяются при подготовке реальных заявок. На четвертом этапе результаты проверяются через показатели допуска, побед, ошибок и тестирования. На пятом этапе корректируются инструкции, чек-листы и содержание обучения.</w:t>
      </w:r>
    </w:p>
    <w:p w14:paraId="298AC80E">
      <w:pPr>
        <w:spacing w:after="120" w:line="360" w:lineRule="auto"/>
        <w:ind w:firstLine="700"/>
      </w:pPr>
      <w:r>
        <w:rPr>
          <w:rFonts w:ascii="Times New Roman" w:hAnsi="Times New Roman"/>
          <w:b w:val="0"/>
          <w:sz w:val="28"/>
        </w:rPr>
        <w:t>В отличие от разовых вебинаров, такая система создает замкнутый управленческий цикл. Если заявка отклонена из-за устаревшей формы, ошибка не просто обсуждается с конкретным сотрудником, а приводит к обновлению шаблона, включению случая в базу ошибок и добавлению контрольного пункта в чек-лист. Если сотрудник не проходит тестирование по изменениям 44-ФЗ, руководитель видит конкретную зону риска и назначает повторное изучение материала. Если новый работник допускает типовые ошибки в первый месяц, наставник корректирует адаптационный маршрут.</w:t>
      </w:r>
    </w:p>
    <w:p w14:paraId="54DA3428">
      <w:pPr>
        <w:spacing w:after="120" w:line="360" w:lineRule="auto"/>
        <w:ind w:firstLine="700"/>
      </w:pPr>
      <w:r>
        <w:rPr>
          <w:rFonts w:ascii="Times New Roman" w:hAnsi="Times New Roman"/>
          <w:b w:val="0"/>
          <w:sz w:val="28"/>
        </w:rPr>
        <w:t>Общий подход к совершенствованию представлен как система из пяти взаимосвязанных блоков: нормативно-методический блок, образовательный блок, технологический блок, организационный блок и оценочный блок. Нормативно-методический блок включает внутренние регламенты и шаблоны. Образовательный блок включает внешнее обучение и внутренние мини-модули. Технологический блок включает Битрикс24, LMS или раздел базы знаний, чек-листы и тесты. Организационный блок закрепляет ответственных лиц и календарь мероприятий. Оценочный блок связывает обучение с результатами тендерной деятельности.</w:t>
      </w:r>
    </w:p>
    <w:p w14:paraId="745CE28A">
      <w:pPr>
        <w:spacing w:after="120" w:line="360" w:lineRule="auto"/>
        <w:jc w:val="center"/>
      </w:pPr>
      <w:r>
        <w:rPr>
          <w:rFonts w:ascii="Times New Roman" w:hAnsi="Times New Roman"/>
          <w:b w:val="0"/>
          <w:sz w:val="28"/>
        </w:rPr>
        <w:t>Таблица 3.2. Структура предлагаемой системы «Тендерная академия Лайф Медиа»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66A8C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BA6F070">
            <w:pPr>
              <w:widowControl w:val="0"/>
              <w:jc w:val="both"/>
            </w:pPr>
            <w:r>
              <w:rPr>
                <w:rFonts w:ascii="Times New Roman" w:hAnsi="Times New Roman"/>
                <w:b/>
                <w:sz w:val="22"/>
              </w:rPr>
              <w:t>Блок системы</w:t>
            </w:r>
          </w:p>
        </w:tc>
        <w:tc>
          <w:tcPr>
            <w:tcW w:w="2300" w:type="dxa"/>
          </w:tcPr>
          <w:p w14:paraId="02EA81FD">
            <w:pPr>
              <w:widowControl w:val="0"/>
              <w:jc w:val="both"/>
            </w:pPr>
            <w:r>
              <w:rPr>
                <w:rFonts w:ascii="Times New Roman" w:hAnsi="Times New Roman"/>
                <w:b/>
                <w:sz w:val="22"/>
              </w:rPr>
              <w:t>Содержание</w:t>
            </w:r>
          </w:p>
        </w:tc>
        <w:tc>
          <w:tcPr>
            <w:tcW w:w="2300" w:type="dxa"/>
          </w:tcPr>
          <w:p w14:paraId="66408EA8">
            <w:pPr>
              <w:widowControl w:val="0"/>
              <w:jc w:val="both"/>
            </w:pPr>
            <w:r>
              <w:rPr>
                <w:rFonts w:ascii="Times New Roman" w:hAnsi="Times New Roman"/>
                <w:b/>
                <w:sz w:val="22"/>
              </w:rPr>
              <w:t>Ответственный</w:t>
            </w:r>
          </w:p>
        </w:tc>
        <w:tc>
          <w:tcPr>
            <w:tcW w:w="2300" w:type="dxa"/>
          </w:tcPr>
          <w:p w14:paraId="6356214C">
            <w:pPr>
              <w:widowControl w:val="0"/>
              <w:jc w:val="both"/>
            </w:pPr>
            <w:r>
              <w:rPr>
                <w:rFonts w:ascii="Times New Roman" w:hAnsi="Times New Roman"/>
                <w:b/>
                <w:sz w:val="22"/>
              </w:rPr>
              <w:t>Периодичность</w:t>
            </w:r>
          </w:p>
        </w:tc>
      </w:tr>
      <w:tr w14:paraId="19CE1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2FB41D8">
            <w:pPr>
              <w:widowControl w:val="0"/>
              <w:jc w:val="both"/>
            </w:pPr>
            <w:r>
              <w:rPr>
                <w:rFonts w:ascii="Times New Roman" w:hAnsi="Times New Roman"/>
                <w:b w:val="0"/>
                <w:sz w:val="22"/>
              </w:rPr>
              <w:t>Нормативно-методический</w:t>
            </w:r>
          </w:p>
        </w:tc>
        <w:tc>
          <w:tcPr>
            <w:tcW w:w="2300" w:type="dxa"/>
          </w:tcPr>
          <w:p w14:paraId="200C4441">
            <w:pPr>
              <w:widowControl w:val="0"/>
              <w:jc w:val="both"/>
            </w:pPr>
            <w:r>
              <w:rPr>
                <w:rFonts w:ascii="Times New Roman" w:hAnsi="Times New Roman"/>
                <w:b w:val="0"/>
                <w:sz w:val="22"/>
              </w:rPr>
              <w:t>Шаблоны, инструкции, чек-листы, реестр ошибок</w:t>
            </w:r>
          </w:p>
        </w:tc>
        <w:tc>
          <w:tcPr>
            <w:tcW w:w="2300" w:type="dxa"/>
          </w:tcPr>
          <w:p w14:paraId="14F5D8B5">
            <w:pPr>
              <w:widowControl w:val="0"/>
              <w:jc w:val="both"/>
            </w:pPr>
            <w:r>
              <w:rPr>
                <w:rFonts w:ascii="Times New Roman" w:hAnsi="Times New Roman"/>
                <w:b w:val="0"/>
                <w:sz w:val="22"/>
              </w:rPr>
              <w:t>Руководитель тендерного отдела, юрист</w:t>
            </w:r>
          </w:p>
        </w:tc>
        <w:tc>
          <w:tcPr>
            <w:tcW w:w="2300" w:type="dxa"/>
          </w:tcPr>
          <w:p w14:paraId="593CC4DE">
            <w:pPr>
              <w:widowControl w:val="0"/>
              <w:jc w:val="both"/>
            </w:pPr>
            <w:r>
              <w:rPr>
                <w:rFonts w:ascii="Times New Roman" w:hAnsi="Times New Roman"/>
                <w:b w:val="0"/>
                <w:sz w:val="22"/>
              </w:rPr>
              <w:t>Обновление при изменениях законодательства и ежемесячно</w:t>
            </w:r>
          </w:p>
        </w:tc>
      </w:tr>
      <w:tr w14:paraId="1DA60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237915">
            <w:pPr>
              <w:widowControl w:val="0"/>
              <w:jc w:val="both"/>
            </w:pPr>
            <w:r>
              <w:rPr>
                <w:rFonts w:ascii="Times New Roman" w:hAnsi="Times New Roman"/>
                <w:b w:val="0"/>
                <w:sz w:val="22"/>
              </w:rPr>
              <w:t>Образовательный</w:t>
            </w:r>
          </w:p>
        </w:tc>
        <w:tc>
          <w:tcPr>
            <w:tcW w:w="2300" w:type="dxa"/>
          </w:tcPr>
          <w:p w14:paraId="674B0131">
            <w:pPr>
              <w:widowControl w:val="0"/>
              <w:jc w:val="both"/>
            </w:pPr>
            <w:r>
              <w:rPr>
                <w:rFonts w:ascii="Times New Roman" w:hAnsi="Times New Roman"/>
                <w:b w:val="0"/>
                <w:sz w:val="22"/>
              </w:rPr>
              <w:t>Курсы 44-ФЗ/223-ФЗ, внутренние мини-занятия, кейсы</w:t>
            </w:r>
          </w:p>
        </w:tc>
        <w:tc>
          <w:tcPr>
            <w:tcW w:w="2300" w:type="dxa"/>
          </w:tcPr>
          <w:p w14:paraId="0803FB28">
            <w:pPr>
              <w:widowControl w:val="0"/>
              <w:jc w:val="both"/>
            </w:pPr>
            <w:r>
              <w:rPr>
                <w:rFonts w:ascii="Times New Roman" w:hAnsi="Times New Roman"/>
                <w:b w:val="0"/>
                <w:sz w:val="22"/>
              </w:rPr>
              <w:t>Руководитель отдела, наставники</w:t>
            </w:r>
          </w:p>
        </w:tc>
        <w:tc>
          <w:tcPr>
            <w:tcW w:w="2300" w:type="dxa"/>
          </w:tcPr>
          <w:p w14:paraId="5B092132">
            <w:pPr>
              <w:widowControl w:val="0"/>
              <w:jc w:val="both"/>
            </w:pPr>
            <w:r>
              <w:rPr>
                <w:rFonts w:ascii="Times New Roman" w:hAnsi="Times New Roman"/>
                <w:b w:val="0"/>
                <w:sz w:val="22"/>
              </w:rPr>
              <w:t>Внешнее обучение ежегодно, внутреннее — ежемесячно</w:t>
            </w:r>
          </w:p>
        </w:tc>
      </w:tr>
      <w:tr w14:paraId="2C6B3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7689105">
            <w:pPr>
              <w:widowControl w:val="0"/>
              <w:jc w:val="both"/>
            </w:pPr>
            <w:r>
              <w:rPr>
                <w:rFonts w:ascii="Times New Roman" w:hAnsi="Times New Roman"/>
                <w:b w:val="0"/>
                <w:sz w:val="22"/>
              </w:rPr>
              <w:t>Технологический</w:t>
            </w:r>
          </w:p>
        </w:tc>
        <w:tc>
          <w:tcPr>
            <w:tcW w:w="2300" w:type="dxa"/>
          </w:tcPr>
          <w:p w14:paraId="016341E0">
            <w:pPr>
              <w:widowControl w:val="0"/>
              <w:jc w:val="both"/>
            </w:pPr>
            <w:r>
              <w:rPr>
                <w:rFonts w:ascii="Times New Roman" w:hAnsi="Times New Roman"/>
                <w:b w:val="0"/>
                <w:sz w:val="22"/>
              </w:rPr>
              <w:t>База знаний, тестирование, задачи контроля заявок</w:t>
            </w:r>
          </w:p>
        </w:tc>
        <w:tc>
          <w:tcPr>
            <w:tcW w:w="2300" w:type="dxa"/>
          </w:tcPr>
          <w:p w14:paraId="4913EA83">
            <w:pPr>
              <w:widowControl w:val="0"/>
              <w:jc w:val="both"/>
            </w:pPr>
            <w:r>
              <w:rPr>
                <w:rFonts w:ascii="Times New Roman" w:hAnsi="Times New Roman"/>
                <w:b w:val="0"/>
                <w:sz w:val="22"/>
              </w:rPr>
              <w:t>Системный администратор, руководитель отдела</w:t>
            </w:r>
          </w:p>
        </w:tc>
        <w:tc>
          <w:tcPr>
            <w:tcW w:w="2300" w:type="dxa"/>
          </w:tcPr>
          <w:p w14:paraId="793069D8">
            <w:pPr>
              <w:widowControl w:val="0"/>
              <w:jc w:val="both"/>
            </w:pPr>
            <w:r>
              <w:rPr>
                <w:rFonts w:ascii="Times New Roman" w:hAnsi="Times New Roman"/>
                <w:b w:val="0"/>
                <w:sz w:val="22"/>
              </w:rPr>
              <w:t>Постоянно</w:t>
            </w:r>
          </w:p>
        </w:tc>
      </w:tr>
      <w:tr w14:paraId="34D4F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FFD8CE4">
            <w:pPr>
              <w:widowControl w:val="0"/>
              <w:jc w:val="both"/>
            </w:pPr>
            <w:r>
              <w:rPr>
                <w:rFonts w:ascii="Times New Roman" w:hAnsi="Times New Roman"/>
                <w:b w:val="0"/>
                <w:sz w:val="22"/>
              </w:rPr>
              <w:t>Организационный</w:t>
            </w:r>
          </w:p>
        </w:tc>
        <w:tc>
          <w:tcPr>
            <w:tcW w:w="2300" w:type="dxa"/>
          </w:tcPr>
          <w:p w14:paraId="402FA081">
            <w:pPr>
              <w:widowControl w:val="0"/>
              <w:jc w:val="both"/>
            </w:pPr>
            <w:r>
              <w:rPr>
                <w:rFonts w:ascii="Times New Roman" w:hAnsi="Times New Roman"/>
                <w:b w:val="0"/>
                <w:sz w:val="22"/>
              </w:rPr>
              <w:t>Адаптация новичков, наставничество, календарь обучения</w:t>
            </w:r>
          </w:p>
        </w:tc>
        <w:tc>
          <w:tcPr>
            <w:tcW w:w="2300" w:type="dxa"/>
          </w:tcPr>
          <w:p w14:paraId="5A0A5525">
            <w:pPr>
              <w:widowControl w:val="0"/>
              <w:jc w:val="both"/>
            </w:pPr>
            <w:r>
              <w:rPr>
                <w:rFonts w:ascii="Times New Roman" w:hAnsi="Times New Roman"/>
                <w:b w:val="0"/>
                <w:sz w:val="22"/>
              </w:rPr>
              <w:t>Генеральный директор, руководитель отдела</w:t>
            </w:r>
          </w:p>
        </w:tc>
        <w:tc>
          <w:tcPr>
            <w:tcW w:w="2300" w:type="dxa"/>
          </w:tcPr>
          <w:p w14:paraId="149DBDD6">
            <w:pPr>
              <w:widowControl w:val="0"/>
              <w:jc w:val="both"/>
            </w:pPr>
            <w:r>
              <w:rPr>
                <w:rFonts w:ascii="Times New Roman" w:hAnsi="Times New Roman"/>
                <w:b w:val="0"/>
                <w:sz w:val="22"/>
              </w:rPr>
              <w:t>При приеме сотрудника и ежеквартально</w:t>
            </w:r>
          </w:p>
        </w:tc>
      </w:tr>
      <w:tr w14:paraId="78566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5309224">
            <w:pPr>
              <w:widowControl w:val="0"/>
              <w:jc w:val="both"/>
            </w:pPr>
            <w:r>
              <w:rPr>
                <w:rFonts w:ascii="Times New Roman" w:hAnsi="Times New Roman"/>
                <w:b w:val="0"/>
                <w:sz w:val="22"/>
              </w:rPr>
              <w:t>Оценочный</w:t>
            </w:r>
          </w:p>
        </w:tc>
        <w:tc>
          <w:tcPr>
            <w:tcW w:w="2300" w:type="dxa"/>
          </w:tcPr>
          <w:p w14:paraId="16595B5F">
            <w:pPr>
              <w:widowControl w:val="0"/>
              <w:jc w:val="both"/>
            </w:pPr>
            <w:r>
              <w:rPr>
                <w:rFonts w:ascii="Times New Roman" w:hAnsi="Times New Roman"/>
                <w:b w:val="0"/>
                <w:sz w:val="22"/>
              </w:rPr>
              <w:t>KPI обучения, допуск заявок, доля ошибок, удовлетворенность</w:t>
            </w:r>
          </w:p>
        </w:tc>
        <w:tc>
          <w:tcPr>
            <w:tcW w:w="2300" w:type="dxa"/>
          </w:tcPr>
          <w:p w14:paraId="1768A446">
            <w:pPr>
              <w:widowControl w:val="0"/>
              <w:jc w:val="both"/>
            </w:pPr>
            <w:r>
              <w:rPr>
                <w:rFonts w:ascii="Times New Roman" w:hAnsi="Times New Roman"/>
                <w:b w:val="0"/>
                <w:sz w:val="22"/>
              </w:rPr>
              <w:t>Руководитель отдела, бухгалтерия</w:t>
            </w:r>
          </w:p>
        </w:tc>
        <w:tc>
          <w:tcPr>
            <w:tcW w:w="2300" w:type="dxa"/>
          </w:tcPr>
          <w:p w14:paraId="19792930">
            <w:pPr>
              <w:widowControl w:val="0"/>
              <w:jc w:val="both"/>
            </w:pPr>
            <w:r>
              <w:rPr>
                <w:rFonts w:ascii="Times New Roman" w:hAnsi="Times New Roman"/>
                <w:b w:val="0"/>
                <w:sz w:val="22"/>
              </w:rPr>
              <w:t>Ежемесячно и ежеквартально</w:t>
            </w:r>
          </w:p>
        </w:tc>
      </w:tr>
    </w:tbl>
    <w:p w14:paraId="7AB9D16B">
      <w:pPr>
        <w:spacing w:after="120" w:line="360" w:lineRule="auto"/>
        <w:ind w:firstLine="700"/>
      </w:pPr>
    </w:p>
    <w:p w14:paraId="10F90F52">
      <w:pPr>
        <w:spacing w:after="120" w:line="360" w:lineRule="auto"/>
        <w:ind w:firstLine="700"/>
      </w:pPr>
      <w:r>
        <w:rPr>
          <w:rFonts w:ascii="Times New Roman" w:hAnsi="Times New Roman"/>
          <w:b w:val="0"/>
          <w:sz w:val="28"/>
        </w:rPr>
        <w:t>Таким образом, общие рекомендации направлены не на увеличение количества формальных учебных мероприятий, а на перестройку логики работы отдела. Обучение должно перестать быть эпизодическим действием и стать частью операционного процесса. Для ООО «Лайф Медиа» это особенно важно, поскольку компания работает удаленно, имеет небольшой штат и не может компенсировать ошибки большим количеством сотрудников или отдельным учебным подразделением.</w:t>
      </w:r>
    </w:p>
    <w:p w14:paraId="3A1FBE58">
      <w:pPr>
        <w:spacing w:after="120" w:line="360" w:lineRule="auto"/>
        <w:ind w:firstLine="700"/>
      </w:pPr>
      <w:r>
        <w:rPr>
          <w:rFonts w:ascii="Times New Roman" w:hAnsi="Times New Roman"/>
          <w:b w:val="0"/>
          <w:sz w:val="28"/>
        </w:rPr>
        <w:t>Предлагаемая модель опирается на существующий отечественный опыт профессионального обучения в сфере закупок, использование онлайн-курсов и цифровых платформ, а также на зарубежные подходы к оценке обучения через бизнес-результаты. Практическая ценность модели состоит в том, что она адаптирована к текущему состоянию компании: не требует существенного расширения штата, использует уже имеющуюся цифровую инфраструктуру и направлена на конкретные проблемы, выявленные во второй главе.</w:t>
      </w:r>
    </w:p>
    <w:p w14:paraId="7C83FF81">
      <w:pPr>
        <w:spacing w:after="120" w:line="360" w:lineRule="auto"/>
        <w:jc w:val="center"/>
      </w:pPr>
      <w:r>
        <w:rPr>
          <w:rFonts w:ascii="Times New Roman" w:hAnsi="Times New Roman"/>
          <w:b/>
          <w:sz w:val="28"/>
        </w:rPr>
        <w:t>3.2. Технико-экономическое обоснование предлагаемых решений и технология их внедрения</w:t>
      </w:r>
    </w:p>
    <w:p w14:paraId="56A7785E">
      <w:pPr>
        <w:spacing w:after="120" w:line="360" w:lineRule="auto"/>
        <w:ind w:firstLine="700"/>
      </w:pPr>
      <w:r>
        <w:rPr>
          <w:rFonts w:ascii="Times New Roman" w:hAnsi="Times New Roman"/>
          <w:b w:val="0"/>
          <w:sz w:val="28"/>
        </w:rPr>
        <w:t>Технико-экономическое обоснование предлагаемых решений включает описание сущности изменений, состав мероприятий, кадровое и техническое обеспечение, организационно-экономический механизм внедрения и адаптацию решений к действующей системе управления ООО «Лайф Медиа». При разработке учитывается, что предприятие относится к малому бизнесу, работает преимущественно удаленно и уже использует Битрикс24, электронный документооборот, облачное хранение документов и видеосвязь.</w:t>
      </w:r>
    </w:p>
    <w:p w14:paraId="406108E3">
      <w:pPr>
        <w:spacing w:after="120" w:line="360" w:lineRule="auto"/>
        <w:ind w:firstLine="700"/>
      </w:pPr>
      <w:r>
        <w:rPr>
          <w:rFonts w:ascii="Times New Roman" w:hAnsi="Times New Roman"/>
          <w:b w:val="0"/>
          <w:sz w:val="28"/>
        </w:rPr>
        <w:t>Сущность предлагаемых изменений состоит в создании управляемой системы обучения без формирования отдельной HR-службы. Управление системой возлагается на руководителя тендерного отдела, методическую поддержку осуществляет юрист на аутсорсинге, техническую настройку выполняет системный администратор, а контроль экономических показателей обеспечивает бухгалтерия совместно с генеральным директором. Такой подход позволяет встроить обучение в существующую структуру управления и избежать избыточных управленческих расходов.</w:t>
      </w:r>
    </w:p>
    <w:p w14:paraId="169B2E7C">
      <w:pPr>
        <w:spacing w:after="120" w:line="360" w:lineRule="auto"/>
        <w:ind w:firstLine="700"/>
      </w:pPr>
      <w:r>
        <w:rPr>
          <w:rFonts w:ascii="Times New Roman" w:hAnsi="Times New Roman"/>
          <w:b w:val="0"/>
          <w:sz w:val="28"/>
        </w:rPr>
        <w:t>Практический пакет мероприятий включает семь элементов: внедрение базы знаний, разработку адаптационного маршрута, внешнее обучение по 44-ФЗ и 223-ФЗ, создание чек-листа проверки заявки, введение реестра ошибок, назначение наставников и внедрение системы оценки эффективности обучения. Эти мероприятия взаимосвязаны. Например, внешнее обучение дает актуальные знания, база знаний закрепляет их в виде инструкций, чек-лист переводит знания в операционную процедуру, а реестр ошибок показывает, какие темы требуют повторного обучения.</w:t>
      </w:r>
    </w:p>
    <w:p w14:paraId="69F1551F">
      <w:pPr>
        <w:spacing w:after="120" w:line="360" w:lineRule="auto"/>
        <w:ind w:firstLine="700"/>
      </w:pPr>
      <w:r>
        <w:rPr>
          <w:rFonts w:ascii="Times New Roman" w:hAnsi="Times New Roman"/>
          <w:b w:val="0"/>
          <w:sz w:val="28"/>
        </w:rPr>
        <w:t>Первым мероприятием является формирование базы знаний тендерного отдела. База должна включать разделы: «Нормативные изменения», «Шаблоны документов», «ЭТП и ЕИС», «Типовые ошибки», «Расчеты НМЦК и цены», «Успешные заявки», «Чек-листы». Для малого предприятия рационально не приобретать отдельную дорогостоящую систему документооборота, а использовать Битрикс24 и облачное хранилище, поскольку эти инструменты уже применяются в компании.</w:t>
      </w:r>
    </w:p>
    <w:p w14:paraId="40E2730F">
      <w:pPr>
        <w:spacing w:after="120" w:line="360" w:lineRule="auto"/>
        <w:ind w:firstLine="700"/>
      </w:pPr>
      <w:r>
        <w:rPr>
          <w:rFonts w:ascii="Times New Roman" w:hAnsi="Times New Roman"/>
          <w:b w:val="0"/>
          <w:sz w:val="28"/>
        </w:rPr>
        <w:t>Вторым мероприятием является разработка адаптационного маршрута для новых сотрудников. Маршрут рассчитан на 10 рабочих дней и делится на четыре этапа: организационное введение, изучение нормативной базы, отработка документов и контрольный кейс. В конце адаптации сотрудник должен самостоятельно разобрать учебную закупку, определить комплект документов, заполнить шаблоны, проверить требования заказчика и пройти тест.</w:t>
      </w:r>
    </w:p>
    <w:p w14:paraId="487F311F">
      <w:pPr>
        <w:spacing w:after="120" w:line="360" w:lineRule="auto"/>
        <w:ind w:firstLine="700"/>
      </w:pPr>
      <w:r>
        <w:rPr>
          <w:rFonts w:ascii="Times New Roman" w:hAnsi="Times New Roman"/>
          <w:b w:val="0"/>
          <w:sz w:val="28"/>
        </w:rPr>
        <w:t>Третьим мероприятием является внешнее обучение сотрудников. Для базового уровня предлагается направить всех 8 тендерных специалистов на программы повышения квалификации по 44-ФЗ и 223-ФЗ. В расчетах используются открытые рыночные цены Контур.Школы: курс по 44-ФЗ стоимостью 18 000 руб. и курс по 223-ФЗ стоимостью 16 000 руб. на одного слушателя [45]. Такое обучение закрывает потребности, которые сотрудники сами обозначили в опросе: изменения законодательства, типовые ошибки и особенности электронных площадок.</w:t>
      </w:r>
    </w:p>
    <w:p w14:paraId="16A1B2D3">
      <w:pPr>
        <w:spacing w:after="120" w:line="360" w:lineRule="auto"/>
        <w:ind w:firstLine="700"/>
      </w:pPr>
      <w:r>
        <w:rPr>
          <w:rFonts w:ascii="Times New Roman" w:hAnsi="Times New Roman"/>
          <w:b w:val="0"/>
          <w:sz w:val="28"/>
        </w:rPr>
        <w:t>Четвертым мероприятием является внедрение чек-листа проверки заявки. Чек-лист должен применяться перед отправкой каждой заявки и включать не менее шести блоков: требования заказчика, комплект документов, актуальность форм, корректность расчетов, формат файлов, электронная подпись. В Битрикс24 чек-лист может быть создан как шаблон задачи, без которого заявка не переводится в статус «готова к отправке».</w:t>
      </w:r>
    </w:p>
    <w:p w14:paraId="765C5A0C">
      <w:pPr>
        <w:spacing w:after="120" w:line="360" w:lineRule="auto"/>
        <w:ind w:firstLine="700"/>
      </w:pPr>
      <w:r>
        <w:rPr>
          <w:rFonts w:ascii="Times New Roman" w:hAnsi="Times New Roman"/>
          <w:b w:val="0"/>
          <w:sz w:val="28"/>
        </w:rPr>
        <w:t>Пятым мероприятием является создание реестра ошибок. Реестр представляет собой таблицу, где фиксируются дата, номер закупки, сотрудник, тип ошибки, причина, последствия, корректирующее действие и дата обновления шаблона или инструкции. Такой реестр необходим не для наказания сотрудников, а для накопления знаний и выявления повторяющихся проблем.</w:t>
      </w:r>
    </w:p>
    <w:p w14:paraId="722725C6">
      <w:pPr>
        <w:spacing w:after="120" w:line="360" w:lineRule="auto"/>
        <w:ind w:firstLine="700"/>
      </w:pPr>
      <w:r>
        <w:rPr>
          <w:rFonts w:ascii="Times New Roman" w:hAnsi="Times New Roman"/>
          <w:b w:val="0"/>
          <w:sz w:val="28"/>
        </w:rPr>
        <w:t>Шестым мероприятием является наставничество. В отделе следует назначить двух наставников из числа наиболее опытных специалистов. За каждым новым сотрудником закрепляется наставник на первый месяц работы. Наставник помогает разобраться с внутренними стандартами, проверяет первые заявки, объясняет типовые ошибки и участвует в оценке готовности сотрудника к самостоятельной работе.</w:t>
      </w:r>
    </w:p>
    <w:p w14:paraId="7FA0B387">
      <w:pPr>
        <w:spacing w:after="120" w:line="360" w:lineRule="auto"/>
        <w:ind w:firstLine="700"/>
      </w:pPr>
      <w:r>
        <w:rPr>
          <w:rFonts w:ascii="Times New Roman" w:hAnsi="Times New Roman"/>
          <w:b w:val="0"/>
          <w:sz w:val="28"/>
        </w:rPr>
        <w:t>Седьмым мероприятием является внедрение оценки эффективности обучения. Оценка должна включать входное и итоговое тестирование, анализ динамики отклоненных заявок, сравнение конверсии из заявки в победу, оценку удовлетворенности сотрудников обучением и оценку руководителя отдела. Такой подход соответствует логике моделей Киркпатрика и Филлипса, рассмотренных в первой главе.</w:t>
      </w:r>
    </w:p>
    <w:p w14:paraId="31E0907F">
      <w:pPr>
        <w:spacing w:after="120" w:line="360" w:lineRule="auto"/>
        <w:jc w:val="center"/>
      </w:pPr>
      <w:r>
        <w:rPr>
          <w:rFonts w:ascii="Times New Roman" w:hAnsi="Times New Roman"/>
          <w:b w:val="0"/>
          <w:sz w:val="28"/>
        </w:rPr>
        <w:t>Таблица 3.3. Содержание предлагаемых мероприятий по совершенствованию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B596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90E2CD">
            <w:pPr>
              <w:widowControl w:val="0"/>
              <w:jc w:val="both"/>
            </w:pPr>
            <w:r>
              <w:rPr>
                <w:rFonts w:ascii="Times New Roman" w:hAnsi="Times New Roman"/>
                <w:b/>
                <w:sz w:val="22"/>
              </w:rPr>
              <w:t>Мероприятие</w:t>
            </w:r>
          </w:p>
        </w:tc>
        <w:tc>
          <w:tcPr>
            <w:tcW w:w="2300" w:type="dxa"/>
          </w:tcPr>
          <w:p w14:paraId="49D30A09">
            <w:pPr>
              <w:widowControl w:val="0"/>
              <w:jc w:val="both"/>
            </w:pPr>
            <w:r>
              <w:rPr>
                <w:rFonts w:ascii="Times New Roman" w:hAnsi="Times New Roman"/>
                <w:b/>
                <w:sz w:val="22"/>
              </w:rPr>
              <w:t>Содержание</w:t>
            </w:r>
          </w:p>
        </w:tc>
        <w:tc>
          <w:tcPr>
            <w:tcW w:w="2300" w:type="dxa"/>
          </w:tcPr>
          <w:p w14:paraId="14C73BFF">
            <w:pPr>
              <w:widowControl w:val="0"/>
              <w:jc w:val="both"/>
            </w:pPr>
            <w:r>
              <w:rPr>
                <w:rFonts w:ascii="Times New Roman" w:hAnsi="Times New Roman"/>
                <w:b/>
                <w:sz w:val="22"/>
              </w:rPr>
              <w:t>Проблема, которую решает</w:t>
            </w:r>
          </w:p>
        </w:tc>
        <w:tc>
          <w:tcPr>
            <w:tcW w:w="2300" w:type="dxa"/>
          </w:tcPr>
          <w:p w14:paraId="68A7977B">
            <w:pPr>
              <w:widowControl w:val="0"/>
              <w:jc w:val="both"/>
            </w:pPr>
            <w:r>
              <w:rPr>
                <w:rFonts w:ascii="Times New Roman" w:hAnsi="Times New Roman"/>
                <w:b/>
                <w:sz w:val="22"/>
              </w:rPr>
              <w:t>Результат</w:t>
            </w:r>
          </w:p>
        </w:tc>
      </w:tr>
      <w:tr w14:paraId="79369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CCF70DB">
            <w:pPr>
              <w:widowControl w:val="0"/>
              <w:jc w:val="both"/>
            </w:pPr>
            <w:r>
              <w:rPr>
                <w:rFonts w:ascii="Times New Roman" w:hAnsi="Times New Roman"/>
                <w:b w:val="0"/>
                <w:sz w:val="22"/>
              </w:rPr>
              <w:t>База знаний</w:t>
            </w:r>
          </w:p>
        </w:tc>
        <w:tc>
          <w:tcPr>
            <w:tcW w:w="2300" w:type="dxa"/>
          </w:tcPr>
          <w:p w14:paraId="63C78E41">
            <w:pPr>
              <w:widowControl w:val="0"/>
              <w:jc w:val="both"/>
            </w:pPr>
            <w:r>
              <w:rPr>
                <w:rFonts w:ascii="Times New Roman" w:hAnsi="Times New Roman"/>
                <w:b w:val="0"/>
                <w:sz w:val="22"/>
              </w:rPr>
              <w:t>Шаблоны, инструкции, изменения законодательства, кейсы</w:t>
            </w:r>
          </w:p>
        </w:tc>
        <w:tc>
          <w:tcPr>
            <w:tcW w:w="2300" w:type="dxa"/>
          </w:tcPr>
          <w:p w14:paraId="686B7562">
            <w:pPr>
              <w:widowControl w:val="0"/>
              <w:jc w:val="both"/>
            </w:pPr>
            <w:r>
              <w:rPr>
                <w:rFonts w:ascii="Times New Roman" w:hAnsi="Times New Roman"/>
                <w:b w:val="0"/>
                <w:sz w:val="22"/>
              </w:rPr>
              <w:t>Разрозненность материалов</w:t>
            </w:r>
          </w:p>
        </w:tc>
        <w:tc>
          <w:tcPr>
            <w:tcW w:w="2300" w:type="dxa"/>
          </w:tcPr>
          <w:p w14:paraId="77C0FBDE">
            <w:pPr>
              <w:widowControl w:val="0"/>
              <w:jc w:val="both"/>
            </w:pPr>
            <w:r>
              <w:rPr>
                <w:rFonts w:ascii="Times New Roman" w:hAnsi="Times New Roman"/>
                <w:b w:val="0"/>
                <w:sz w:val="22"/>
              </w:rPr>
              <w:t>Единый источник актуальной информации</w:t>
            </w:r>
          </w:p>
        </w:tc>
      </w:tr>
      <w:tr w14:paraId="6EC33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1A2FD65">
            <w:pPr>
              <w:widowControl w:val="0"/>
              <w:jc w:val="both"/>
            </w:pPr>
            <w:r>
              <w:rPr>
                <w:rFonts w:ascii="Times New Roman" w:hAnsi="Times New Roman"/>
                <w:b w:val="0"/>
                <w:sz w:val="22"/>
              </w:rPr>
              <w:t>Адаптационный маршрут</w:t>
            </w:r>
          </w:p>
        </w:tc>
        <w:tc>
          <w:tcPr>
            <w:tcW w:w="2300" w:type="dxa"/>
          </w:tcPr>
          <w:p w14:paraId="23D8F45C">
            <w:pPr>
              <w:widowControl w:val="0"/>
              <w:jc w:val="both"/>
            </w:pPr>
            <w:r>
              <w:rPr>
                <w:rFonts w:ascii="Times New Roman" w:hAnsi="Times New Roman"/>
                <w:b w:val="0"/>
                <w:sz w:val="22"/>
              </w:rPr>
              <w:t>10-дневная программа ввода в должность</w:t>
            </w:r>
          </w:p>
        </w:tc>
        <w:tc>
          <w:tcPr>
            <w:tcW w:w="2300" w:type="dxa"/>
          </w:tcPr>
          <w:p w14:paraId="57F89BC0">
            <w:pPr>
              <w:widowControl w:val="0"/>
              <w:jc w:val="both"/>
            </w:pPr>
            <w:r>
              <w:rPr>
                <w:rFonts w:ascii="Times New Roman" w:hAnsi="Times New Roman"/>
                <w:b w:val="0"/>
                <w:sz w:val="22"/>
              </w:rPr>
              <w:t>Отсутствие системной адаптации</w:t>
            </w:r>
          </w:p>
        </w:tc>
        <w:tc>
          <w:tcPr>
            <w:tcW w:w="2300" w:type="dxa"/>
          </w:tcPr>
          <w:p w14:paraId="50BC91B0">
            <w:pPr>
              <w:widowControl w:val="0"/>
              <w:jc w:val="both"/>
            </w:pPr>
            <w:r>
              <w:rPr>
                <w:rFonts w:ascii="Times New Roman" w:hAnsi="Times New Roman"/>
                <w:b w:val="0"/>
                <w:sz w:val="22"/>
              </w:rPr>
              <w:t>Быстрое включение новичка в работу</w:t>
            </w:r>
          </w:p>
        </w:tc>
      </w:tr>
      <w:tr w14:paraId="601F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B210DD">
            <w:pPr>
              <w:widowControl w:val="0"/>
              <w:jc w:val="both"/>
            </w:pPr>
            <w:r>
              <w:rPr>
                <w:rFonts w:ascii="Times New Roman" w:hAnsi="Times New Roman"/>
                <w:b w:val="0"/>
                <w:sz w:val="22"/>
              </w:rPr>
              <w:t>Внешнее обучение</w:t>
            </w:r>
          </w:p>
        </w:tc>
        <w:tc>
          <w:tcPr>
            <w:tcW w:w="2300" w:type="dxa"/>
          </w:tcPr>
          <w:p w14:paraId="2E12CAB6">
            <w:pPr>
              <w:widowControl w:val="0"/>
              <w:jc w:val="both"/>
            </w:pPr>
            <w:r>
              <w:rPr>
                <w:rFonts w:ascii="Times New Roman" w:hAnsi="Times New Roman"/>
                <w:b w:val="0"/>
                <w:sz w:val="22"/>
              </w:rPr>
              <w:t>Курсы 44-ФЗ и 223-ФЗ для 8 сотрудников</w:t>
            </w:r>
          </w:p>
        </w:tc>
        <w:tc>
          <w:tcPr>
            <w:tcW w:w="2300" w:type="dxa"/>
          </w:tcPr>
          <w:p w14:paraId="4B920269">
            <w:pPr>
              <w:widowControl w:val="0"/>
              <w:jc w:val="both"/>
            </w:pPr>
            <w:r>
              <w:rPr>
                <w:rFonts w:ascii="Times New Roman" w:hAnsi="Times New Roman"/>
                <w:b w:val="0"/>
                <w:sz w:val="22"/>
              </w:rPr>
              <w:t>Пробелы в нормативных знаниях</w:t>
            </w:r>
          </w:p>
        </w:tc>
        <w:tc>
          <w:tcPr>
            <w:tcW w:w="2300" w:type="dxa"/>
          </w:tcPr>
          <w:p w14:paraId="21E26A36">
            <w:pPr>
              <w:widowControl w:val="0"/>
              <w:jc w:val="both"/>
            </w:pPr>
            <w:r>
              <w:rPr>
                <w:rFonts w:ascii="Times New Roman" w:hAnsi="Times New Roman"/>
                <w:b w:val="0"/>
                <w:sz w:val="22"/>
              </w:rPr>
              <w:t>Актуализация профессиональных компетенций</w:t>
            </w:r>
          </w:p>
        </w:tc>
      </w:tr>
      <w:tr w14:paraId="74BE4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5D389A9">
            <w:pPr>
              <w:widowControl w:val="0"/>
              <w:jc w:val="both"/>
            </w:pPr>
            <w:r>
              <w:rPr>
                <w:rFonts w:ascii="Times New Roman" w:hAnsi="Times New Roman"/>
                <w:b w:val="0"/>
                <w:sz w:val="22"/>
              </w:rPr>
              <w:t>Чек-лист заявки</w:t>
            </w:r>
          </w:p>
        </w:tc>
        <w:tc>
          <w:tcPr>
            <w:tcW w:w="2300" w:type="dxa"/>
          </w:tcPr>
          <w:p w14:paraId="4882B943">
            <w:pPr>
              <w:widowControl w:val="0"/>
              <w:jc w:val="both"/>
            </w:pPr>
            <w:r>
              <w:rPr>
                <w:rFonts w:ascii="Times New Roman" w:hAnsi="Times New Roman"/>
                <w:b w:val="0"/>
                <w:sz w:val="22"/>
              </w:rPr>
              <w:t>Контроль комплектности, формата, подписи и расчетов</w:t>
            </w:r>
          </w:p>
        </w:tc>
        <w:tc>
          <w:tcPr>
            <w:tcW w:w="2300" w:type="dxa"/>
          </w:tcPr>
          <w:p w14:paraId="587FBA0C">
            <w:pPr>
              <w:widowControl w:val="0"/>
              <w:jc w:val="both"/>
            </w:pPr>
            <w:r>
              <w:rPr>
                <w:rFonts w:ascii="Times New Roman" w:hAnsi="Times New Roman"/>
                <w:b w:val="0"/>
                <w:sz w:val="22"/>
              </w:rPr>
              <w:t>Формальные ошибки</w:t>
            </w:r>
          </w:p>
        </w:tc>
        <w:tc>
          <w:tcPr>
            <w:tcW w:w="2300" w:type="dxa"/>
          </w:tcPr>
          <w:p w14:paraId="56ED30FC">
            <w:pPr>
              <w:widowControl w:val="0"/>
              <w:jc w:val="both"/>
            </w:pPr>
            <w:r>
              <w:rPr>
                <w:rFonts w:ascii="Times New Roman" w:hAnsi="Times New Roman"/>
                <w:b w:val="0"/>
                <w:sz w:val="22"/>
              </w:rPr>
              <w:t>Снижение отклонений на этапе допуска</w:t>
            </w:r>
          </w:p>
        </w:tc>
      </w:tr>
      <w:tr w14:paraId="21DBF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0A9D22E">
            <w:pPr>
              <w:widowControl w:val="0"/>
              <w:jc w:val="both"/>
            </w:pPr>
            <w:r>
              <w:rPr>
                <w:rFonts w:ascii="Times New Roman" w:hAnsi="Times New Roman"/>
                <w:b w:val="0"/>
                <w:sz w:val="22"/>
              </w:rPr>
              <w:t>Реестр ошибок</w:t>
            </w:r>
          </w:p>
        </w:tc>
        <w:tc>
          <w:tcPr>
            <w:tcW w:w="2300" w:type="dxa"/>
          </w:tcPr>
          <w:p w14:paraId="1FD56EAB">
            <w:pPr>
              <w:widowControl w:val="0"/>
              <w:jc w:val="both"/>
            </w:pPr>
            <w:r>
              <w:rPr>
                <w:rFonts w:ascii="Times New Roman" w:hAnsi="Times New Roman"/>
                <w:b w:val="0"/>
                <w:sz w:val="22"/>
              </w:rPr>
              <w:t>Фиксация причин отклонений и корректирующих действий</w:t>
            </w:r>
          </w:p>
        </w:tc>
        <w:tc>
          <w:tcPr>
            <w:tcW w:w="2300" w:type="dxa"/>
          </w:tcPr>
          <w:p w14:paraId="6AFD44B0">
            <w:pPr>
              <w:widowControl w:val="0"/>
              <w:jc w:val="both"/>
            </w:pPr>
            <w:r>
              <w:rPr>
                <w:rFonts w:ascii="Times New Roman" w:hAnsi="Times New Roman"/>
                <w:b w:val="0"/>
                <w:sz w:val="22"/>
              </w:rPr>
              <w:t>Повторяемость ошибок</w:t>
            </w:r>
          </w:p>
        </w:tc>
        <w:tc>
          <w:tcPr>
            <w:tcW w:w="2300" w:type="dxa"/>
          </w:tcPr>
          <w:p w14:paraId="7FCC8638">
            <w:pPr>
              <w:widowControl w:val="0"/>
              <w:jc w:val="both"/>
            </w:pPr>
            <w:r>
              <w:rPr>
                <w:rFonts w:ascii="Times New Roman" w:hAnsi="Times New Roman"/>
                <w:b w:val="0"/>
                <w:sz w:val="22"/>
              </w:rPr>
              <w:t>Накопление организационного знания</w:t>
            </w:r>
          </w:p>
        </w:tc>
      </w:tr>
      <w:tr w14:paraId="1CC4B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9D7B376">
            <w:pPr>
              <w:widowControl w:val="0"/>
              <w:jc w:val="both"/>
            </w:pPr>
            <w:r>
              <w:rPr>
                <w:rFonts w:ascii="Times New Roman" w:hAnsi="Times New Roman"/>
                <w:b w:val="0"/>
                <w:sz w:val="22"/>
              </w:rPr>
              <w:t>Наставничество</w:t>
            </w:r>
          </w:p>
        </w:tc>
        <w:tc>
          <w:tcPr>
            <w:tcW w:w="2300" w:type="dxa"/>
          </w:tcPr>
          <w:p w14:paraId="110B14CA">
            <w:pPr>
              <w:widowControl w:val="0"/>
              <w:jc w:val="both"/>
            </w:pPr>
            <w:r>
              <w:rPr>
                <w:rFonts w:ascii="Times New Roman" w:hAnsi="Times New Roman"/>
                <w:b w:val="0"/>
                <w:sz w:val="22"/>
              </w:rPr>
              <w:t>2 наставника, сопровождение новичков</w:t>
            </w:r>
          </w:p>
        </w:tc>
        <w:tc>
          <w:tcPr>
            <w:tcW w:w="2300" w:type="dxa"/>
          </w:tcPr>
          <w:p w14:paraId="031C7F39">
            <w:pPr>
              <w:widowControl w:val="0"/>
              <w:jc w:val="both"/>
            </w:pPr>
            <w:r>
              <w:rPr>
                <w:rFonts w:ascii="Times New Roman" w:hAnsi="Times New Roman"/>
                <w:b w:val="0"/>
                <w:sz w:val="22"/>
              </w:rPr>
              <w:t>Потеря опыта при текучести</w:t>
            </w:r>
          </w:p>
        </w:tc>
        <w:tc>
          <w:tcPr>
            <w:tcW w:w="2300" w:type="dxa"/>
          </w:tcPr>
          <w:p w14:paraId="4121BDA9">
            <w:pPr>
              <w:widowControl w:val="0"/>
              <w:jc w:val="both"/>
            </w:pPr>
            <w:r>
              <w:rPr>
                <w:rFonts w:ascii="Times New Roman" w:hAnsi="Times New Roman"/>
                <w:b w:val="0"/>
                <w:sz w:val="22"/>
              </w:rPr>
              <w:t>Передача практических знаний</w:t>
            </w:r>
          </w:p>
        </w:tc>
      </w:tr>
      <w:tr w14:paraId="7487F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576CC71">
            <w:pPr>
              <w:widowControl w:val="0"/>
              <w:jc w:val="both"/>
            </w:pPr>
            <w:r>
              <w:rPr>
                <w:rFonts w:ascii="Times New Roman" w:hAnsi="Times New Roman"/>
                <w:b w:val="0"/>
                <w:sz w:val="22"/>
              </w:rPr>
              <w:t>Оценка эффективности</w:t>
            </w:r>
          </w:p>
        </w:tc>
        <w:tc>
          <w:tcPr>
            <w:tcW w:w="2300" w:type="dxa"/>
          </w:tcPr>
          <w:p w14:paraId="139F7936">
            <w:pPr>
              <w:widowControl w:val="0"/>
              <w:jc w:val="both"/>
            </w:pPr>
            <w:r>
              <w:rPr>
                <w:rFonts w:ascii="Times New Roman" w:hAnsi="Times New Roman"/>
                <w:b w:val="0"/>
                <w:sz w:val="22"/>
              </w:rPr>
              <w:t>Тесты, KPI, анализ заявок, ROI</w:t>
            </w:r>
          </w:p>
        </w:tc>
        <w:tc>
          <w:tcPr>
            <w:tcW w:w="2300" w:type="dxa"/>
          </w:tcPr>
          <w:p w14:paraId="1AE22F2D">
            <w:pPr>
              <w:widowControl w:val="0"/>
              <w:jc w:val="both"/>
            </w:pPr>
            <w:r>
              <w:rPr>
                <w:rFonts w:ascii="Times New Roman" w:hAnsi="Times New Roman"/>
                <w:b w:val="0"/>
                <w:sz w:val="22"/>
              </w:rPr>
              <w:t>Нет контроля результата обучения</w:t>
            </w:r>
          </w:p>
        </w:tc>
        <w:tc>
          <w:tcPr>
            <w:tcW w:w="2300" w:type="dxa"/>
          </w:tcPr>
          <w:p w14:paraId="78F681A6">
            <w:pPr>
              <w:widowControl w:val="0"/>
              <w:jc w:val="both"/>
            </w:pPr>
            <w:r>
              <w:rPr>
                <w:rFonts w:ascii="Times New Roman" w:hAnsi="Times New Roman"/>
                <w:b w:val="0"/>
                <w:sz w:val="22"/>
              </w:rPr>
              <w:t>Измеримая связь обучения с результатами</w:t>
            </w:r>
          </w:p>
        </w:tc>
      </w:tr>
    </w:tbl>
    <w:p w14:paraId="6BBB2178">
      <w:pPr>
        <w:spacing w:after="120" w:line="360" w:lineRule="auto"/>
        <w:ind w:firstLine="700"/>
      </w:pPr>
    </w:p>
    <w:p w14:paraId="70D14567">
      <w:pPr>
        <w:spacing w:after="120" w:line="360" w:lineRule="auto"/>
        <w:ind w:firstLine="700"/>
      </w:pPr>
      <w:r>
        <w:rPr>
          <w:rFonts w:ascii="Times New Roman" w:hAnsi="Times New Roman"/>
          <w:b w:val="0"/>
          <w:sz w:val="28"/>
        </w:rPr>
        <w:t>Методические рекомендации по осуществлению управленческих процедур состоят в закреплении конкретного алгоритма. Генеральный директор утверждает положение о системе обучения тендерного отдела и бюджет. Руководитель отдела формирует календарь обучения, назначает наставников, утверждает чек-листы и контролирует базу знаний. Юрист отслеживает изменения законодательства и участвует в обновлении шаблонов. Системный администратор настраивает разделы в Битрикс24, права доступа и шаблоны задач. Бухгалтерия фиксирует затраты и помогает рассчитывать экономический эффект.</w:t>
      </w:r>
    </w:p>
    <w:p w14:paraId="01DF4541">
      <w:pPr>
        <w:spacing w:after="120" w:line="360" w:lineRule="auto"/>
        <w:ind w:firstLine="700"/>
      </w:pPr>
      <w:r>
        <w:rPr>
          <w:rFonts w:ascii="Times New Roman" w:hAnsi="Times New Roman"/>
          <w:b w:val="0"/>
          <w:sz w:val="28"/>
        </w:rPr>
        <w:t>Для адаптации решения к действующей системе управления важно не создавать параллельный контур документооборота. Все действия должны быть встроены в уже используемые процессы. Если заявка готовится в задаче Битрикс24, то чек-лист проверки должен находиться в этой же задаче. Если шаблон документа обновлен, ссылка на него должна заменяться в базе знаний, а не рассылаться отдельным сообщением в чате. Если ошибка выявлена, она фиксируется в реестре и обсуждается на ежемесячном разборе.</w:t>
      </w:r>
    </w:p>
    <w:p w14:paraId="2989D432">
      <w:pPr>
        <w:spacing w:after="120" w:line="360" w:lineRule="auto"/>
        <w:ind w:firstLine="700"/>
      </w:pPr>
      <w:r>
        <w:rPr>
          <w:rFonts w:ascii="Times New Roman" w:hAnsi="Times New Roman"/>
          <w:b w:val="0"/>
          <w:sz w:val="28"/>
        </w:rPr>
        <w:t>Кадровое обеспечение проекта не требует найма нового специалиста. Основные роли распределяются между действующими работниками. Руководитель тендерного отдела выступает владельцем процесса. Два опытных специалиста выполняют функции наставников. Юрист на аутсорсинге участвует в проверке нормативных изменений. Системный администратор настраивает цифровые инструменты. Генеральный директор утверждает бюджет и контролирует достижение целевых показателей.</w:t>
      </w:r>
    </w:p>
    <w:p w14:paraId="0C820F6D">
      <w:pPr>
        <w:spacing w:after="120" w:line="360" w:lineRule="auto"/>
        <w:ind w:firstLine="700"/>
      </w:pPr>
      <w:r>
        <w:rPr>
          <w:rFonts w:ascii="Times New Roman" w:hAnsi="Times New Roman"/>
          <w:b w:val="0"/>
          <w:sz w:val="28"/>
        </w:rPr>
        <w:t>Техническое обеспечение строится на трех инструментах: Битрикс24, LMS-платформа или раздел электронного обучения, а также справочно-правовые и нормативные источники. По данным открытых тарифов, iSpring Learn начинается от 214 руб. за пользователя в месяц [46]. Для ООО «Лайф Медиа» с учетом 17 пользователей годовая стоимость составит 43 656 руб. При необходимости компания может использовать Битрикс24 Стандарт, стоимость которого составляет 6 990 руб. в месяц при помесячной оплате или 4 893 руб. в месяц при годовой оплате [47]. Так как Битрикс24 уже используется, в расчет включается не новая подписка, а настройка базы знаний и бизнес-процессов.</w:t>
      </w:r>
    </w:p>
    <w:p w14:paraId="22848E9F">
      <w:pPr>
        <w:spacing w:after="120" w:line="360" w:lineRule="auto"/>
        <w:ind w:firstLine="700"/>
      </w:pPr>
      <w:r>
        <w:rPr>
          <w:rFonts w:ascii="Times New Roman" w:hAnsi="Times New Roman"/>
          <w:b w:val="0"/>
          <w:sz w:val="28"/>
        </w:rPr>
        <w:t>Организационно-экономическое обеспечение включает бюджет на внешние курсы, настройку цифровой среды, лицензии, мотивацию наставников и резерв на обновление материалов. При этом предлагаемый проект не требует крупных капитальных вложений, строительства учебного центра или приобретения оборудования. Он относится к организационно-цифровым мероприятиям, поэтому может быть реализован в течение трех месяцев.</w:t>
      </w:r>
    </w:p>
    <w:p w14:paraId="4398B105">
      <w:pPr>
        <w:spacing w:after="120" w:line="360" w:lineRule="auto"/>
        <w:jc w:val="center"/>
      </w:pPr>
      <w:r>
        <w:rPr>
          <w:rFonts w:ascii="Times New Roman" w:hAnsi="Times New Roman"/>
          <w:b w:val="0"/>
          <w:sz w:val="28"/>
        </w:rPr>
        <w:t>Таблица 3.4. План внедрения системы обучения и развития тендерных специалистов</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5017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22FADFB">
            <w:pPr>
              <w:widowControl w:val="0"/>
              <w:jc w:val="both"/>
            </w:pPr>
            <w:r>
              <w:rPr>
                <w:rFonts w:ascii="Times New Roman" w:hAnsi="Times New Roman"/>
                <w:b/>
                <w:sz w:val="22"/>
              </w:rPr>
              <w:t>Этап</w:t>
            </w:r>
          </w:p>
        </w:tc>
        <w:tc>
          <w:tcPr>
            <w:tcW w:w="2300" w:type="dxa"/>
          </w:tcPr>
          <w:p w14:paraId="0CEB6D02">
            <w:pPr>
              <w:widowControl w:val="0"/>
              <w:jc w:val="both"/>
            </w:pPr>
            <w:r>
              <w:rPr>
                <w:rFonts w:ascii="Times New Roman" w:hAnsi="Times New Roman"/>
                <w:b/>
                <w:sz w:val="22"/>
              </w:rPr>
              <w:t>Срок</w:t>
            </w:r>
          </w:p>
        </w:tc>
        <w:tc>
          <w:tcPr>
            <w:tcW w:w="2300" w:type="dxa"/>
          </w:tcPr>
          <w:p w14:paraId="2F5FCBCC">
            <w:pPr>
              <w:widowControl w:val="0"/>
              <w:jc w:val="both"/>
            </w:pPr>
            <w:r>
              <w:rPr>
                <w:rFonts w:ascii="Times New Roman" w:hAnsi="Times New Roman"/>
                <w:b/>
                <w:sz w:val="22"/>
              </w:rPr>
              <w:t>Основные действия</w:t>
            </w:r>
          </w:p>
        </w:tc>
        <w:tc>
          <w:tcPr>
            <w:tcW w:w="2300" w:type="dxa"/>
          </w:tcPr>
          <w:p w14:paraId="40B9CA53">
            <w:pPr>
              <w:widowControl w:val="0"/>
              <w:jc w:val="both"/>
            </w:pPr>
            <w:r>
              <w:rPr>
                <w:rFonts w:ascii="Times New Roman" w:hAnsi="Times New Roman"/>
                <w:b/>
                <w:sz w:val="22"/>
              </w:rPr>
              <w:t>Ответственные</w:t>
            </w:r>
          </w:p>
        </w:tc>
      </w:tr>
      <w:tr w14:paraId="1214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1D836D7">
            <w:pPr>
              <w:widowControl w:val="0"/>
              <w:jc w:val="both"/>
            </w:pPr>
            <w:r>
              <w:rPr>
                <w:rFonts w:ascii="Times New Roman" w:hAnsi="Times New Roman"/>
                <w:b w:val="0"/>
                <w:sz w:val="22"/>
              </w:rPr>
              <w:t>1. Подготовка</w:t>
            </w:r>
          </w:p>
        </w:tc>
        <w:tc>
          <w:tcPr>
            <w:tcW w:w="2300" w:type="dxa"/>
          </w:tcPr>
          <w:p w14:paraId="3C0D5ACC">
            <w:pPr>
              <w:widowControl w:val="0"/>
              <w:jc w:val="both"/>
            </w:pPr>
            <w:r>
              <w:rPr>
                <w:rFonts w:ascii="Times New Roman" w:hAnsi="Times New Roman"/>
                <w:b w:val="0"/>
                <w:sz w:val="22"/>
              </w:rPr>
              <w:t>1-2 неделя</w:t>
            </w:r>
          </w:p>
        </w:tc>
        <w:tc>
          <w:tcPr>
            <w:tcW w:w="2300" w:type="dxa"/>
          </w:tcPr>
          <w:p w14:paraId="1D96DA7C">
            <w:pPr>
              <w:widowControl w:val="0"/>
              <w:jc w:val="both"/>
            </w:pPr>
            <w:r>
              <w:rPr>
                <w:rFonts w:ascii="Times New Roman" w:hAnsi="Times New Roman"/>
                <w:b w:val="0"/>
                <w:sz w:val="22"/>
              </w:rPr>
              <w:t>Утверждение бюджета, назначение ответственных, аудит шаблонов</w:t>
            </w:r>
          </w:p>
        </w:tc>
        <w:tc>
          <w:tcPr>
            <w:tcW w:w="2300" w:type="dxa"/>
          </w:tcPr>
          <w:p w14:paraId="6C9DBE24">
            <w:pPr>
              <w:widowControl w:val="0"/>
              <w:jc w:val="both"/>
            </w:pPr>
            <w:r>
              <w:rPr>
                <w:rFonts w:ascii="Times New Roman" w:hAnsi="Times New Roman"/>
                <w:b w:val="0"/>
                <w:sz w:val="22"/>
              </w:rPr>
              <w:t>Генеральный директор, руководитель отдела</w:t>
            </w:r>
          </w:p>
        </w:tc>
      </w:tr>
      <w:tr w14:paraId="4929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D7C0359">
            <w:pPr>
              <w:widowControl w:val="0"/>
              <w:jc w:val="both"/>
            </w:pPr>
            <w:r>
              <w:rPr>
                <w:rFonts w:ascii="Times New Roman" w:hAnsi="Times New Roman"/>
                <w:b w:val="0"/>
                <w:sz w:val="22"/>
              </w:rPr>
              <w:t>2. Настройка базы знаний</w:t>
            </w:r>
          </w:p>
        </w:tc>
        <w:tc>
          <w:tcPr>
            <w:tcW w:w="2300" w:type="dxa"/>
          </w:tcPr>
          <w:p w14:paraId="37D3465C">
            <w:pPr>
              <w:widowControl w:val="0"/>
              <w:jc w:val="both"/>
            </w:pPr>
            <w:r>
              <w:rPr>
                <w:rFonts w:ascii="Times New Roman" w:hAnsi="Times New Roman"/>
                <w:b w:val="0"/>
                <w:sz w:val="22"/>
              </w:rPr>
              <w:t>3-4 неделя</w:t>
            </w:r>
          </w:p>
        </w:tc>
        <w:tc>
          <w:tcPr>
            <w:tcW w:w="2300" w:type="dxa"/>
          </w:tcPr>
          <w:p w14:paraId="524BD1BD">
            <w:pPr>
              <w:widowControl w:val="0"/>
              <w:jc w:val="both"/>
            </w:pPr>
            <w:r>
              <w:rPr>
                <w:rFonts w:ascii="Times New Roman" w:hAnsi="Times New Roman"/>
                <w:b w:val="0"/>
                <w:sz w:val="22"/>
              </w:rPr>
              <w:t>Создание разделов, перенос актуальных документов, права доступа</w:t>
            </w:r>
          </w:p>
        </w:tc>
        <w:tc>
          <w:tcPr>
            <w:tcW w:w="2300" w:type="dxa"/>
          </w:tcPr>
          <w:p w14:paraId="04A35E9F">
            <w:pPr>
              <w:widowControl w:val="0"/>
              <w:jc w:val="both"/>
            </w:pPr>
            <w:r>
              <w:rPr>
                <w:rFonts w:ascii="Times New Roman" w:hAnsi="Times New Roman"/>
                <w:b w:val="0"/>
                <w:sz w:val="22"/>
              </w:rPr>
              <w:t>Системный администратор, руководитель отдела</w:t>
            </w:r>
          </w:p>
        </w:tc>
      </w:tr>
      <w:tr w14:paraId="1E81D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F916767">
            <w:pPr>
              <w:widowControl w:val="0"/>
              <w:jc w:val="both"/>
            </w:pPr>
            <w:r>
              <w:rPr>
                <w:rFonts w:ascii="Times New Roman" w:hAnsi="Times New Roman"/>
                <w:b w:val="0"/>
                <w:sz w:val="22"/>
              </w:rPr>
              <w:t>3. Разработка процедур</w:t>
            </w:r>
          </w:p>
        </w:tc>
        <w:tc>
          <w:tcPr>
            <w:tcW w:w="2300" w:type="dxa"/>
          </w:tcPr>
          <w:p w14:paraId="43623642">
            <w:pPr>
              <w:widowControl w:val="0"/>
              <w:jc w:val="both"/>
            </w:pPr>
            <w:r>
              <w:rPr>
                <w:rFonts w:ascii="Times New Roman" w:hAnsi="Times New Roman"/>
                <w:b w:val="0"/>
                <w:sz w:val="22"/>
              </w:rPr>
              <w:t>5-6 неделя</w:t>
            </w:r>
          </w:p>
        </w:tc>
        <w:tc>
          <w:tcPr>
            <w:tcW w:w="2300" w:type="dxa"/>
          </w:tcPr>
          <w:p w14:paraId="3E477CC8">
            <w:pPr>
              <w:widowControl w:val="0"/>
              <w:jc w:val="both"/>
            </w:pPr>
            <w:r>
              <w:rPr>
                <w:rFonts w:ascii="Times New Roman" w:hAnsi="Times New Roman"/>
                <w:b w:val="0"/>
                <w:sz w:val="22"/>
              </w:rPr>
              <w:t>Чек-лист заявки, реестр ошибок, адаптационный маршрут</w:t>
            </w:r>
          </w:p>
        </w:tc>
        <w:tc>
          <w:tcPr>
            <w:tcW w:w="2300" w:type="dxa"/>
          </w:tcPr>
          <w:p w14:paraId="1A9B9E5E">
            <w:pPr>
              <w:widowControl w:val="0"/>
              <w:jc w:val="both"/>
            </w:pPr>
            <w:r>
              <w:rPr>
                <w:rFonts w:ascii="Times New Roman" w:hAnsi="Times New Roman"/>
                <w:b w:val="0"/>
                <w:sz w:val="22"/>
              </w:rPr>
              <w:t>Руководитель отдела, юрист</w:t>
            </w:r>
          </w:p>
        </w:tc>
      </w:tr>
      <w:tr w14:paraId="1092C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C58E53">
            <w:pPr>
              <w:widowControl w:val="0"/>
              <w:jc w:val="both"/>
            </w:pPr>
            <w:r>
              <w:rPr>
                <w:rFonts w:ascii="Times New Roman" w:hAnsi="Times New Roman"/>
                <w:b w:val="0"/>
                <w:sz w:val="22"/>
              </w:rPr>
              <w:t>4. Внешнее обучение</w:t>
            </w:r>
          </w:p>
        </w:tc>
        <w:tc>
          <w:tcPr>
            <w:tcW w:w="2300" w:type="dxa"/>
          </w:tcPr>
          <w:p w14:paraId="6991343D">
            <w:pPr>
              <w:widowControl w:val="0"/>
              <w:jc w:val="both"/>
            </w:pPr>
            <w:r>
              <w:rPr>
                <w:rFonts w:ascii="Times New Roman" w:hAnsi="Times New Roman"/>
                <w:b w:val="0"/>
                <w:sz w:val="22"/>
              </w:rPr>
              <w:t>7-10 неделя</w:t>
            </w:r>
          </w:p>
        </w:tc>
        <w:tc>
          <w:tcPr>
            <w:tcW w:w="2300" w:type="dxa"/>
          </w:tcPr>
          <w:p w14:paraId="0234834D">
            <w:pPr>
              <w:widowControl w:val="0"/>
              <w:jc w:val="both"/>
            </w:pPr>
            <w:r>
              <w:rPr>
                <w:rFonts w:ascii="Times New Roman" w:hAnsi="Times New Roman"/>
                <w:b w:val="0"/>
                <w:sz w:val="22"/>
              </w:rPr>
              <w:t>Курсы 44-ФЗ и 223-ФЗ, промежуточное тестирование</w:t>
            </w:r>
          </w:p>
        </w:tc>
        <w:tc>
          <w:tcPr>
            <w:tcW w:w="2300" w:type="dxa"/>
          </w:tcPr>
          <w:p w14:paraId="65B78412">
            <w:pPr>
              <w:widowControl w:val="0"/>
              <w:jc w:val="both"/>
            </w:pPr>
            <w:r>
              <w:rPr>
                <w:rFonts w:ascii="Times New Roman" w:hAnsi="Times New Roman"/>
                <w:b w:val="0"/>
                <w:sz w:val="22"/>
              </w:rPr>
              <w:t>Все специалисты отдела</w:t>
            </w:r>
          </w:p>
        </w:tc>
      </w:tr>
      <w:tr w14:paraId="2020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6FD540B">
            <w:pPr>
              <w:widowControl w:val="0"/>
              <w:jc w:val="both"/>
            </w:pPr>
            <w:r>
              <w:rPr>
                <w:rFonts w:ascii="Times New Roman" w:hAnsi="Times New Roman"/>
                <w:b w:val="0"/>
                <w:sz w:val="22"/>
              </w:rPr>
              <w:t>5. Запуск наставничества</w:t>
            </w:r>
          </w:p>
        </w:tc>
        <w:tc>
          <w:tcPr>
            <w:tcW w:w="2300" w:type="dxa"/>
          </w:tcPr>
          <w:p w14:paraId="010DC266">
            <w:pPr>
              <w:widowControl w:val="0"/>
              <w:jc w:val="both"/>
            </w:pPr>
            <w:r>
              <w:rPr>
                <w:rFonts w:ascii="Times New Roman" w:hAnsi="Times New Roman"/>
                <w:b w:val="0"/>
                <w:sz w:val="22"/>
              </w:rPr>
              <w:t>7-12 неделя</w:t>
            </w:r>
          </w:p>
        </w:tc>
        <w:tc>
          <w:tcPr>
            <w:tcW w:w="2300" w:type="dxa"/>
          </w:tcPr>
          <w:p w14:paraId="3A89EF7E">
            <w:pPr>
              <w:widowControl w:val="0"/>
              <w:jc w:val="both"/>
            </w:pPr>
            <w:r>
              <w:rPr>
                <w:rFonts w:ascii="Times New Roman" w:hAnsi="Times New Roman"/>
                <w:b w:val="0"/>
                <w:sz w:val="22"/>
              </w:rPr>
              <w:t>Назначение наставников, сопровождение новичков, проверка кейсов</w:t>
            </w:r>
          </w:p>
        </w:tc>
        <w:tc>
          <w:tcPr>
            <w:tcW w:w="2300" w:type="dxa"/>
          </w:tcPr>
          <w:p w14:paraId="45ECB441">
            <w:pPr>
              <w:widowControl w:val="0"/>
              <w:jc w:val="both"/>
            </w:pPr>
            <w:r>
              <w:rPr>
                <w:rFonts w:ascii="Times New Roman" w:hAnsi="Times New Roman"/>
                <w:b w:val="0"/>
                <w:sz w:val="22"/>
              </w:rPr>
              <w:t>Руководитель отдела, наставники</w:t>
            </w:r>
          </w:p>
        </w:tc>
      </w:tr>
      <w:tr w14:paraId="79A14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BB8930D">
            <w:pPr>
              <w:widowControl w:val="0"/>
              <w:jc w:val="both"/>
            </w:pPr>
            <w:r>
              <w:rPr>
                <w:rFonts w:ascii="Times New Roman" w:hAnsi="Times New Roman"/>
                <w:b w:val="0"/>
                <w:sz w:val="22"/>
              </w:rPr>
              <w:t>6. Пилотное применение</w:t>
            </w:r>
          </w:p>
        </w:tc>
        <w:tc>
          <w:tcPr>
            <w:tcW w:w="2300" w:type="dxa"/>
          </w:tcPr>
          <w:p w14:paraId="54B91C3B">
            <w:pPr>
              <w:widowControl w:val="0"/>
              <w:jc w:val="both"/>
            </w:pPr>
            <w:r>
              <w:rPr>
                <w:rFonts w:ascii="Times New Roman" w:hAnsi="Times New Roman"/>
                <w:b w:val="0"/>
                <w:sz w:val="22"/>
              </w:rPr>
              <w:t>11-12 неделя</w:t>
            </w:r>
          </w:p>
        </w:tc>
        <w:tc>
          <w:tcPr>
            <w:tcW w:w="2300" w:type="dxa"/>
          </w:tcPr>
          <w:p w14:paraId="6B9AE92C">
            <w:pPr>
              <w:widowControl w:val="0"/>
              <w:jc w:val="both"/>
            </w:pPr>
            <w:r>
              <w:rPr>
                <w:rFonts w:ascii="Times New Roman" w:hAnsi="Times New Roman"/>
                <w:b w:val="0"/>
                <w:sz w:val="22"/>
              </w:rPr>
              <w:t>Использование чек-листов на реальных заявках, фиксация ошибок</w:t>
            </w:r>
          </w:p>
        </w:tc>
        <w:tc>
          <w:tcPr>
            <w:tcW w:w="2300" w:type="dxa"/>
          </w:tcPr>
          <w:p w14:paraId="460A3DB5">
            <w:pPr>
              <w:widowControl w:val="0"/>
              <w:jc w:val="both"/>
            </w:pPr>
            <w:r>
              <w:rPr>
                <w:rFonts w:ascii="Times New Roman" w:hAnsi="Times New Roman"/>
                <w:b w:val="0"/>
                <w:sz w:val="22"/>
              </w:rPr>
              <w:t>Тендерный отдел</w:t>
            </w:r>
          </w:p>
        </w:tc>
      </w:tr>
      <w:tr w14:paraId="7506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16E9243">
            <w:pPr>
              <w:widowControl w:val="0"/>
              <w:jc w:val="both"/>
            </w:pPr>
            <w:r>
              <w:rPr>
                <w:rFonts w:ascii="Times New Roman" w:hAnsi="Times New Roman"/>
                <w:b w:val="0"/>
                <w:sz w:val="22"/>
              </w:rPr>
              <w:t>7. Оценка результатов</w:t>
            </w:r>
          </w:p>
        </w:tc>
        <w:tc>
          <w:tcPr>
            <w:tcW w:w="2300" w:type="dxa"/>
          </w:tcPr>
          <w:p w14:paraId="41709935">
            <w:pPr>
              <w:widowControl w:val="0"/>
              <w:jc w:val="both"/>
            </w:pPr>
            <w:r>
              <w:rPr>
                <w:rFonts w:ascii="Times New Roman" w:hAnsi="Times New Roman"/>
                <w:b w:val="0"/>
                <w:sz w:val="22"/>
              </w:rPr>
              <w:t>Конец 3 месяца</w:t>
            </w:r>
          </w:p>
        </w:tc>
        <w:tc>
          <w:tcPr>
            <w:tcW w:w="2300" w:type="dxa"/>
          </w:tcPr>
          <w:p w14:paraId="7E450206">
            <w:pPr>
              <w:widowControl w:val="0"/>
              <w:jc w:val="both"/>
            </w:pPr>
            <w:r>
              <w:rPr>
                <w:rFonts w:ascii="Times New Roman" w:hAnsi="Times New Roman"/>
                <w:b w:val="0"/>
                <w:sz w:val="22"/>
              </w:rPr>
              <w:t>Тестирование, анализ первых показателей, корректировка материалов</w:t>
            </w:r>
          </w:p>
        </w:tc>
        <w:tc>
          <w:tcPr>
            <w:tcW w:w="2300" w:type="dxa"/>
          </w:tcPr>
          <w:p w14:paraId="7660D378">
            <w:pPr>
              <w:widowControl w:val="0"/>
              <w:jc w:val="both"/>
            </w:pPr>
            <w:r>
              <w:rPr>
                <w:rFonts w:ascii="Times New Roman" w:hAnsi="Times New Roman"/>
                <w:b w:val="0"/>
                <w:sz w:val="22"/>
              </w:rPr>
              <w:t>Руководитель отдела, бухгалтерия</w:t>
            </w:r>
          </w:p>
        </w:tc>
      </w:tr>
    </w:tbl>
    <w:p w14:paraId="48B22D5E">
      <w:pPr>
        <w:spacing w:after="120" w:line="360" w:lineRule="auto"/>
        <w:ind w:firstLine="700"/>
      </w:pPr>
    </w:p>
    <w:p w14:paraId="574AA3D4">
      <w:pPr>
        <w:spacing w:after="120" w:line="360" w:lineRule="auto"/>
        <w:jc w:val="center"/>
      </w:pPr>
      <w:r>
        <w:rPr>
          <w:rFonts w:ascii="Times New Roman" w:hAnsi="Times New Roman"/>
          <w:b w:val="0"/>
          <w:sz w:val="28"/>
        </w:rPr>
        <w:t>Таблица 3.5. Бюджет внедрения предлагаемых мероприятий</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148C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B70F29F">
            <w:pPr>
              <w:widowControl w:val="0"/>
              <w:jc w:val="both"/>
            </w:pPr>
            <w:r>
              <w:rPr>
                <w:rFonts w:ascii="Times New Roman" w:hAnsi="Times New Roman"/>
                <w:b/>
                <w:sz w:val="22"/>
              </w:rPr>
              <w:t>Статья затрат</w:t>
            </w:r>
          </w:p>
        </w:tc>
        <w:tc>
          <w:tcPr>
            <w:tcW w:w="2300" w:type="dxa"/>
          </w:tcPr>
          <w:p w14:paraId="5753E656">
            <w:pPr>
              <w:widowControl w:val="0"/>
              <w:jc w:val="both"/>
            </w:pPr>
            <w:r>
              <w:rPr>
                <w:rFonts w:ascii="Times New Roman" w:hAnsi="Times New Roman"/>
                <w:b/>
                <w:sz w:val="22"/>
              </w:rPr>
              <w:t>Расчет</w:t>
            </w:r>
          </w:p>
        </w:tc>
        <w:tc>
          <w:tcPr>
            <w:tcW w:w="2300" w:type="dxa"/>
          </w:tcPr>
          <w:p w14:paraId="019B0533">
            <w:pPr>
              <w:widowControl w:val="0"/>
              <w:jc w:val="both"/>
            </w:pPr>
            <w:r>
              <w:rPr>
                <w:rFonts w:ascii="Times New Roman" w:hAnsi="Times New Roman"/>
                <w:b/>
                <w:sz w:val="22"/>
              </w:rPr>
              <w:t>Сумма, руб.</w:t>
            </w:r>
          </w:p>
        </w:tc>
        <w:tc>
          <w:tcPr>
            <w:tcW w:w="2300" w:type="dxa"/>
          </w:tcPr>
          <w:p w14:paraId="78485F38">
            <w:pPr>
              <w:widowControl w:val="0"/>
              <w:jc w:val="both"/>
            </w:pPr>
            <w:r>
              <w:rPr>
                <w:rFonts w:ascii="Times New Roman" w:hAnsi="Times New Roman"/>
                <w:b/>
                <w:sz w:val="22"/>
              </w:rPr>
              <w:t>Источник стоимости</w:t>
            </w:r>
          </w:p>
        </w:tc>
      </w:tr>
      <w:tr w14:paraId="3614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8605F1D">
            <w:pPr>
              <w:widowControl w:val="0"/>
              <w:jc w:val="both"/>
            </w:pPr>
            <w:r>
              <w:rPr>
                <w:rFonts w:ascii="Times New Roman" w:hAnsi="Times New Roman"/>
                <w:b w:val="0"/>
                <w:sz w:val="22"/>
              </w:rPr>
              <w:t>Курс повышения квалификации по 44-ФЗ</w:t>
            </w:r>
          </w:p>
        </w:tc>
        <w:tc>
          <w:tcPr>
            <w:tcW w:w="2300" w:type="dxa"/>
          </w:tcPr>
          <w:p w14:paraId="6D7072E5">
            <w:pPr>
              <w:widowControl w:val="0"/>
              <w:jc w:val="both"/>
            </w:pPr>
            <w:r>
              <w:rPr>
                <w:rFonts w:ascii="Times New Roman" w:hAnsi="Times New Roman"/>
                <w:b w:val="0"/>
                <w:sz w:val="22"/>
              </w:rPr>
              <w:t>18 000 руб. × 8 сотрудников</w:t>
            </w:r>
          </w:p>
        </w:tc>
        <w:tc>
          <w:tcPr>
            <w:tcW w:w="2300" w:type="dxa"/>
          </w:tcPr>
          <w:p w14:paraId="53DC7033">
            <w:pPr>
              <w:widowControl w:val="0"/>
              <w:jc w:val="both"/>
            </w:pPr>
            <w:r>
              <w:rPr>
                <w:rFonts w:ascii="Times New Roman" w:hAnsi="Times New Roman"/>
                <w:b w:val="0"/>
                <w:sz w:val="22"/>
              </w:rPr>
              <w:t>144 000</w:t>
            </w:r>
          </w:p>
        </w:tc>
        <w:tc>
          <w:tcPr>
            <w:tcW w:w="2300" w:type="dxa"/>
          </w:tcPr>
          <w:p w14:paraId="3C3230B1">
            <w:pPr>
              <w:widowControl w:val="0"/>
              <w:jc w:val="both"/>
            </w:pPr>
            <w:r>
              <w:rPr>
                <w:rFonts w:ascii="Times New Roman" w:hAnsi="Times New Roman"/>
                <w:b w:val="0"/>
                <w:sz w:val="22"/>
              </w:rPr>
              <w:t>Контур.Школа [45]</w:t>
            </w:r>
          </w:p>
        </w:tc>
      </w:tr>
      <w:tr w14:paraId="70D3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7914B6F">
            <w:pPr>
              <w:widowControl w:val="0"/>
              <w:jc w:val="both"/>
            </w:pPr>
            <w:r>
              <w:rPr>
                <w:rFonts w:ascii="Times New Roman" w:hAnsi="Times New Roman"/>
                <w:b w:val="0"/>
                <w:sz w:val="22"/>
              </w:rPr>
              <w:t>Курс повышения квалификации по 223-ФЗ</w:t>
            </w:r>
          </w:p>
        </w:tc>
        <w:tc>
          <w:tcPr>
            <w:tcW w:w="2300" w:type="dxa"/>
          </w:tcPr>
          <w:p w14:paraId="231B96DF">
            <w:pPr>
              <w:widowControl w:val="0"/>
              <w:jc w:val="both"/>
            </w:pPr>
            <w:r>
              <w:rPr>
                <w:rFonts w:ascii="Times New Roman" w:hAnsi="Times New Roman"/>
                <w:b w:val="0"/>
                <w:sz w:val="22"/>
              </w:rPr>
              <w:t>16 000 руб. × 8 сотрудников</w:t>
            </w:r>
          </w:p>
        </w:tc>
        <w:tc>
          <w:tcPr>
            <w:tcW w:w="2300" w:type="dxa"/>
          </w:tcPr>
          <w:p w14:paraId="49B79116">
            <w:pPr>
              <w:widowControl w:val="0"/>
              <w:jc w:val="both"/>
            </w:pPr>
            <w:r>
              <w:rPr>
                <w:rFonts w:ascii="Times New Roman" w:hAnsi="Times New Roman"/>
                <w:b w:val="0"/>
                <w:sz w:val="22"/>
              </w:rPr>
              <w:t>128 000</w:t>
            </w:r>
          </w:p>
        </w:tc>
        <w:tc>
          <w:tcPr>
            <w:tcW w:w="2300" w:type="dxa"/>
          </w:tcPr>
          <w:p w14:paraId="44E434D9">
            <w:pPr>
              <w:widowControl w:val="0"/>
              <w:jc w:val="both"/>
            </w:pPr>
            <w:r>
              <w:rPr>
                <w:rFonts w:ascii="Times New Roman" w:hAnsi="Times New Roman"/>
                <w:b w:val="0"/>
                <w:sz w:val="22"/>
              </w:rPr>
              <w:t>Контур.Школа [45]</w:t>
            </w:r>
          </w:p>
        </w:tc>
      </w:tr>
      <w:tr w14:paraId="4E41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87C3C2B">
            <w:pPr>
              <w:widowControl w:val="0"/>
              <w:jc w:val="both"/>
            </w:pPr>
            <w:r>
              <w:rPr>
                <w:rFonts w:ascii="Times New Roman" w:hAnsi="Times New Roman"/>
                <w:b w:val="0"/>
                <w:sz w:val="22"/>
              </w:rPr>
              <w:t>LMS iSpring Learn</w:t>
            </w:r>
          </w:p>
        </w:tc>
        <w:tc>
          <w:tcPr>
            <w:tcW w:w="2300" w:type="dxa"/>
          </w:tcPr>
          <w:p w14:paraId="3EEAAA05">
            <w:pPr>
              <w:widowControl w:val="0"/>
              <w:jc w:val="both"/>
            </w:pPr>
            <w:r>
              <w:rPr>
                <w:rFonts w:ascii="Times New Roman" w:hAnsi="Times New Roman"/>
                <w:b w:val="0"/>
                <w:sz w:val="22"/>
              </w:rPr>
              <w:t>214 руб. × 17 пользователей × 12 мес.</w:t>
            </w:r>
          </w:p>
        </w:tc>
        <w:tc>
          <w:tcPr>
            <w:tcW w:w="2300" w:type="dxa"/>
          </w:tcPr>
          <w:p w14:paraId="5A438159">
            <w:pPr>
              <w:widowControl w:val="0"/>
              <w:jc w:val="both"/>
            </w:pPr>
            <w:r>
              <w:rPr>
                <w:rFonts w:ascii="Times New Roman" w:hAnsi="Times New Roman"/>
                <w:b w:val="0"/>
                <w:sz w:val="22"/>
              </w:rPr>
              <w:t>43 656</w:t>
            </w:r>
          </w:p>
        </w:tc>
        <w:tc>
          <w:tcPr>
            <w:tcW w:w="2300" w:type="dxa"/>
          </w:tcPr>
          <w:p w14:paraId="2FE40AEE">
            <w:pPr>
              <w:widowControl w:val="0"/>
              <w:jc w:val="both"/>
            </w:pPr>
            <w:r>
              <w:rPr>
                <w:rFonts w:ascii="Times New Roman" w:hAnsi="Times New Roman"/>
                <w:b w:val="0"/>
                <w:sz w:val="22"/>
              </w:rPr>
              <w:t>iSpring Learn [46]</w:t>
            </w:r>
          </w:p>
        </w:tc>
      </w:tr>
      <w:tr w14:paraId="5963D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AF566EE">
            <w:pPr>
              <w:widowControl w:val="0"/>
              <w:jc w:val="both"/>
            </w:pPr>
            <w:r>
              <w:rPr>
                <w:rFonts w:ascii="Times New Roman" w:hAnsi="Times New Roman"/>
                <w:b w:val="0"/>
                <w:sz w:val="22"/>
              </w:rPr>
              <w:t>Настройка Битрикс24 и базы знаний</w:t>
            </w:r>
          </w:p>
        </w:tc>
        <w:tc>
          <w:tcPr>
            <w:tcW w:w="2300" w:type="dxa"/>
          </w:tcPr>
          <w:p w14:paraId="16573A06">
            <w:pPr>
              <w:widowControl w:val="0"/>
              <w:jc w:val="both"/>
            </w:pPr>
            <w:r>
              <w:rPr>
                <w:rFonts w:ascii="Times New Roman" w:hAnsi="Times New Roman"/>
                <w:b w:val="0"/>
                <w:sz w:val="22"/>
              </w:rPr>
              <w:t>Средний пакет настройки для малого бизнеса</w:t>
            </w:r>
          </w:p>
        </w:tc>
        <w:tc>
          <w:tcPr>
            <w:tcW w:w="2300" w:type="dxa"/>
          </w:tcPr>
          <w:p w14:paraId="2C512895">
            <w:pPr>
              <w:widowControl w:val="0"/>
              <w:jc w:val="both"/>
            </w:pPr>
            <w:r>
              <w:rPr>
                <w:rFonts w:ascii="Times New Roman" w:hAnsi="Times New Roman"/>
                <w:b w:val="0"/>
                <w:sz w:val="22"/>
              </w:rPr>
              <w:t>60 000</w:t>
            </w:r>
          </w:p>
        </w:tc>
        <w:tc>
          <w:tcPr>
            <w:tcW w:w="2300" w:type="dxa"/>
          </w:tcPr>
          <w:p w14:paraId="4CFFC606">
            <w:pPr>
              <w:widowControl w:val="0"/>
              <w:jc w:val="both"/>
            </w:pPr>
            <w:r>
              <w:rPr>
                <w:rFonts w:ascii="Times New Roman" w:hAnsi="Times New Roman"/>
                <w:b w:val="0"/>
                <w:sz w:val="22"/>
              </w:rPr>
              <w:t>Рыночный диапазон 35 000-80 000 руб. [48]</w:t>
            </w:r>
          </w:p>
        </w:tc>
      </w:tr>
      <w:tr w14:paraId="19E2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839E3C0">
            <w:pPr>
              <w:widowControl w:val="0"/>
              <w:jc w:val="both"/>
            </w:pPr>
            <w:r>
              <w:rPr>
                <w:rFonts w:ascii="Times New Roman" w:hAnsi="Times New Roman"/>
                <w:b w:val="0"/>
                <w:sz w:val="22"/>
              </w:rPr>
              <w:t>КриптоПро CSP для учебных рабочих мест</w:t>
            </w:r>
          </w:p>
        </w:tc>
        <w:tc>
          <w:tcPr>
            <w:tcW w:w="2300" w:type="dxa"/>
          </w:tcPr>
          <w:p w14:paraId="7966D33F">
            <w:pPr>
              <w:widowControl w:val="0"/>
              <w:jc w:val="both"/>
            </w:pPr>
            <w:r>
              <w:rPr>
                <w:rFonts w:ascii="Times New Roman" w:hAnsi="Times New Roman"/>
                <w:b w:val="0"/>
                <w:sz w:val="22"/>
              </w:rPr>
              <w:t>1 850 руб. × 8 лицензий</w:t>
            </w:r>
          </w:p>
        </w:tc>
        <w:tc>
          <w:tcPr>
            <w:tcW w:w="2300" w:type="dxa"/>
          </w:tcPr>
          <w:p w14:paraId="5E76DDF5">
            <w:pPr>
              <w:widowControl w:val="0"/>
              <w:jc w:val="both"/>
            </w:pPr>
            <w:r>
              <w:rPr>
                <w:rFonts w:ascii="Times New Roman" w:hAnsi="Times New Roman"/>
                <w:b w:val="0"/>
                <w:sz w:val="22"/>
              </w:rPr>
              <w:t>14 800</w:t>
            </w:r>
          </w:p>
        </w:tc>
        <w:tc>
          <w:tcPr>
            <w:tcW w:w="2300" w:type="dxa"/>
          </w:tcPr>
          <w:p w14:paraId="6D7F3C4D">
            <w:pPr>
              <w:widowControl w:val="0"/>
              <w:jc w:val="both"/>
            </w:pPr>
            <w:r>
              <w:rPr>
                <w:rFonts w:ascii="Times New Roman" w:hAnsi="Times New Roman"/>
                <w:b w:val="0"/>
                <w:sz w:val="22"/>
              </w:rPr>
              <w:t>Прайс КриптоПро [49]</w:t>
            </w:r>
          </w:p>
        </w:tc>
      </w:tr>
      <w:tr w14:paraId="61F67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ED06D2">
            <w:pPr>
              <w:widowControl w:val="0"/>
              <w:jc w:val="both"/>
            </w:pPr>
            <w:r>
              <w:rPr>
                <w:rFonts w:ascii="Times New Roman" w:hAnsi="Times New Roman"/>
                <w:b w:val="0"/>
                <w:sz w:val="22"/>
              </w:rPr>
              <w:t>Премия наставникам</w:t>
            </w:r>
          </w:p>
        </w:tc>
        <w:tc>
          <w:tcPr>
            <w:tcW w:w="2300" w:type="dxa"/>
          </w:tcPr>
          <w:p w14:paraId="4ED85A7C">
            <w:pPr>
              <w:widowControl w:val="0"/>
              <w:jc w:val="both"/>
            </w:pPr>
            <w:r>
              <w:rPr>
                <w:rFonts w:ascii="Times New Roman" w:hAnsi="Times New Roman"/>
                <w:b w:val="0"/>
                <w:sz w:val="22"/>
              </w:rPr>
              <w:t>5 000 руб. × 2 наставника × 6 мес.</w:t>
            </w:r>
          </w:p>
        </w:tc>
        <w:tc>
          <w:tcPr>
            <w:tcW w:w="2300" w:type="dxa"/>
          </w:tcPr>
          <w:p w14:paraId="5D2FD051">
            <w:pPr>
              <w:widowControl w:val="0"/>
              <w:jc w:val="both"/>
            </w:pPr>
            <w:r>
              <w:rPr>
                <w:rFonts w:ascii="Times New Roman" w:hAnsi="Times New Roman"/>
                <w:b w:val="0"/>
                <w:sz w:val="22"/>
              </w:rPr>
              <w:t>60 000</w:t>
            </w:r>
          </w:p>
        </w:tc>
        <w:tc>
          <w:tcPr>
            <w:tcW w:w="2300" w:type="dxa"/>
          </w:tcPr>
          <w:p w14:paraId="6FA0FDCC">
            <w:pPr>
              <w:widowControl w:val="0"/>
              <w:jc w:val="both"/>
            </w:pPr>
            <w:r>
              <w:rPr>
                <w:rFonts w:ascii="Times New Roman" w:hAnsi="Times New Roman"/>
                <w:b w:val="0"/>
                <w:sz w:val="22"/>
              </w:rPr>
              <w:t>Внутреннее положение о премировании</w:t>
            </w:r>
          </w:p>
        </w:tc>
      </w:tr>
      <w:tr w14:paraId="6F55F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E535A52">
            <w:pPr>
              <w:widowControl w:val="0"/>
              <w:jc w:val="both"/>
            </w:pPr>
            <w:r>
              <w:rPr>
                <w:rFonts w:ascii="Times New Roman" w:hAnsi="Times New Roman"/>
                <w:b w:val="0"/>
                <w:sz w:val="22"/>
              </w:rPr>
              <w:t>Резерв на обновление материалов</w:t>
            </w:r>
          </w:p>
        </w:tc>
        <w:tc>
          <w:tcPr>
            <w:tcW w:w="2300" w:type="dxa"/>
          </w:tcPr>
          <w:p w14:paraId="4BF2D400">
            <w:pPr>
              <w:widowControl w:val="0"/>
              <w:jc w:val="both"/>
            </w:pPr>
            <w:r>
              <w:rPr>
                <w:rFonts w:ascii="Times New Roman" w:hAnsi="Times New Roman"/>
                <w:b w:val="0"/>
                <w:sz w:val="22"/>
              </w:rPr>
              <w:t>Около 5% от прямых затрат</w:t>
            </w:r>
          </w:p>
        </w:tc>
        <w:tc>
          <w:tcPr>
            <w:tcW w:w="2300" w:type="dxa"/>
          </w:tcPr>
          <w:p w14:paraId="30A46A72">
            <w:pPr>
              <w:widowControl w:val="0"/>
              <w:jc w:val="both"/>
            </w:pPr>
            <w:r>
              <w:rPr>
                <w:rFonts w:ascii="Times New Roman" w:hAnsi="Times New Roman"/>
                <w:b w:val="0"/>
                <w:sz w:val="22"/>
              </w:rPr>
              <w:t>24 000</w:t>
            </w:r>
          </w:p>
        </w:tc>
        <w:tc>
          <w:tcPr>
            <w:tcW w:w="2300" w:type="dxa"/>
          </w:tcPr>
          <w:p w14:paraId="709D3381">
            <w:pPr>
              <w:widowControl w:val="0"/>
              <w:jc w:val="both"/>
            </w:pPr>
            <w:r>
              <w:rPr>
                <w:rFonts w:ascii="Times New Roman" w:hAnsi="Times New Roman"/>
                <w:b w:val="0"/>
                <w:sz w:val="22"/>
              </w:rPr>
              <w:t>Расчет автора</w:t>
            </w:r>
          </w:p>
        </w:tc>
      </w:tr>
      <w:tr w14:paraId="22C62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8111E63">
            <w:pPr>
              <w:widowControl w:val="0"/>
              <w:jc w:val="both"/>
            </w:pPr>
            <w:r>
              <w:rPr>
                <w:rFonts w:ascii="Times New Roman" w:hAnsi="Times New Roman"/>
                <w:b w:val="0"/>
                <w:sz w:val="22"/>
              </w:rPr>
              <w:t>Итого первоначальные затраты</w:t>
            </w:r>
          </w:p>
        </w:tc>
        <w:tc>
          <w:tcPr>
            <w:tcW w:w="2300" w:type="dxa"/>
          </w:tcPr>
          <w:p w14:paraId="146833D5">
            <w:pPr>
              <w:widowControl w:val="0"/>
              <w:jc w:val="both"/>
            </w:pPr>
            <w:r>
              <w:rPr>
                <w:rFonts w:ascii="Times New Roman" w:hAnsi="Times New Roman"/>
                <w:b w:val="0"/>
                <w:sz w:val="22"/>
              </w:rPr>
              <w:t>-</w:t>
            </w:r>
          </w:p>
        </w:tc>
        <w:tc>
          <w:tcPr>
            <w:tcW w:w="2300" w:type="dxa"/>
          </w:tcPr>
          <w:p w14:paraId="7675FBCF">
            <w:pPr>
              <w:widowControl w:val="0"/>
              <w:jc w:val="both"/>
            </w:pPr>
            <w:r>
              <w:rPr>
                <w:rFonts w:ascii="Times New Roman" w:hAnsi="Times New Roman"/>
                <w:b w:val="0"/>
                <w:sz w:val="22"/>
              </w:rPr>
              <w:t>474 456</w:t>
            </w:r>
          </w:p>
        </w:tc>
        <w:tc>
          <w:tcPr>
            <w:tcW w:w="2300" w:type="dxa"/>
          </w:tcPr>
          <w:p w14:paraId="2DB62323">
            <w:pPr>
              <w:widowControl w:val="0"/>
              <w:jc w:val="both"/>
            </w:pPr>
            <w:r>
              <w:rPr>
                <w:rFonts w:ascii="Times New Roman" w:hAnsi="Times New Roman"/>
                <w:b w:val="0"/>
                <w:sz w:val="22"/>
              </w:rPr>
              <w:t>-</w:t>
            </w:r>
          </w:p>
        </w:tc>
      </w:tr>
    </w:tbl>
    <w:p w14:paraId="30591444">
      <w:pPr>
        <w:spacing w:after="120" w:line="360" w:lineRule="auto"/>
        <w:ind w:firstLine="700"/>
      </w:pPr>
    </w:p>
    <w:p w14:paraId="4E4809B6">
      <w:pPr>
        <w:spacing w:after="120" w:line="360" w:lineRule="auto"/>
        <w:ind w:firstLine="700"/>
      </w:pPr>
      <w:r>
        <w:rPr>
          <w:rFonts w:ascii="Times New Roman" w:hAnsi="Times New Roman"/>
          <w:b w:val="0"/>
          <w:sz w:val="28"/>
        </w:rPr>
        <w:t>В расчет бюджета не включается стоимость подписки Битрикс24 как новая статья, поскольку система уже используется компанией. Если бы организация приобретала тариф заново, ориентиром мог бы выступать тариф «Стандарт» стоимостью 6 990 руб. в месяц или 4 893 руб. в месяц при оплате за год [47]. Однако для рассматриваемого проекта релевантной является именно настройка базы знаний и шаблонов процессов.</w:t>
      </w:r>
    </w:p>
    <w:p w14:paraId="762B2284">
      <w:pPr>
        <w:spacing w:after="120" w:line="360" w:lineRule="auto"/>
        <w:ind w:firstLine="700"/>
      </w:pPr>
      <w:r>
        <w:rPr>
          <w:rFonts w:ascii="Times New Roman" w:hAnsi="Times New Roman"/>
          <w:b w:val="0"/>
          <w:sz w:val="28"/>
        </w:rPr>
        <w:t>По сравнению с текущими затратами на обучение в размере 45 тыс. руб. в год предлагаемый бюджет значительно выше. Однако такое увеличение обосновано тем, что текущие расходы носят формальный характер и не создают устойчивой системы. Новые затраты направлены не только на покупку курсов, но и на создание внутренней инфраструктуры, которая будет использоваться повторно. После первого года расходы снизятся, так как база знаний, чек-листы, реестр ошибок и адаптационный маршрут уже будут созданы.</w:t>
      </w:r>
    </w:p>
    <w:p w14:paraId="2C232AA9">
      <w:pPr>
        <w:spacing w:after="120" w:line="360" w:lineRule="auto"/>
        <w:ind w:firstLine="700"/>
      </w:pPr>
      <w:r>
        <w:rPr>
          <w:rFonts w:ascii="Times New Roman" w:hAnsi="Times New Roman"/>
          <w:b w:val="0"/>
          <w:sz w:val="28"/>
        </w:rPr>
        <w:t>Операционные расходы второго и третьего года будут состоять из продления LMS, премий наставникам, обновления материалов и выборочного обучения по изменениям законодательства. В расчетах принимается, что ежегодные поддерживающие расходы составят 154 тыс. руб.: 43,7 тыс. руб. на LMS, 60 тыс. руб. на наставников и около 50 тыс. руб. на обновление материалов и краткие внешние вебинары.</w:t>
      </w:r>
    </w:p>
    <w:p w14:paraId="025415AC">
      <w:pPr>
        <w:spacing w:after="120" w:line="360" w:lineRule="auto"/>
        <w:jc w:val="center"/>
      </w:pPr>
      <w:r>
        <w:rPr>
          <w:rFonts w:ascii="Times New Roman" w:hAnsi="Times New Roman"/>
          <w:b w:val="0"/>
          <w:sz w:val="28"/>
        </w:rPr>
        <w:t>Таблица 3.6. Матрица компетенций тендерного специалиста после внедрения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B3BC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36607F3">
            <w:pPr>
              <w:widowControl w:val="0"/>
              <w:jc w:val="both"/>
            </w:pPr>
            <w:r>
              <w:rPr>
                <w:rFonts w:ascii="Times New Roman" w:hAnsi="Times New Roman"/>
                <w:b/>
                <w:sz w:val="22"/>
              </w:rPr>
              <w:t>Компетенция</w:t>
            </w:r>
          </w:p>
        </w:tc>
        <w:tc>
          <w:tcPr>
            <w:tcW w:w="2300" w:type="dxa"/>
          </w:tcPr>
          <w:p w14:paraId="64EEFE50">
            <w:pPr>
              <w:widowControl w:val="0"/>
              <w:jc w:val="both"/>
            </w:pPr>
            <w:r>
              <w:rPr>
                <w:rFonts w:ascii="Times New Roman" w:hAnsi="Times New Roman"/>
                <w:b/>
                <w:sz w:val="22"/>
              </w:rPr>
              <w:t>Содержание</w:t>
            </w:r>
          </w:p>
        </w:tc>
        <w:tc>
          <w:tcPr>
            <w:tcW w:w="2300" w:type="dxa"/>
          </w:tcPr>
          <w:p w14:paraId="0FE3343D">
            <w:pPr>
              <w:widowControl w:val="0"/>
              <w:jc w:val="both"/>
            </w:pPr>
            <w:r>
              <w:rPr>
                <w:rFonts w:ascii="Times New Roman" w:hAnsi="Times New Roman"/>
                <w:b/>
                <w:sz w:val="22"/>
              </w:rPr>
              <w:t>Способ формирования</w:t>
            </w:r>
          </w:p>
        </w:tc>
        <w:tc>
          <w:tcPr>
            <w:tcW w:w="2300" w:type="dxa"/>
          </w:tcPr>
          <w:p w14:paraId="2C8B2C0F">
            <w:pPr>
              <w:widowControl w:val="0"/>
              <w:jc w:val="both"/>
            </w:pPr>
            <w:r>
              <w:rPr>
                <w:rFonts w:ascii="Times New Roman" w:hAnsi="Times New Roman"/>
                <w:b/>
                <w:sz w:val="22"/>
              </w:rPr>
              <w:t>Способ контроля</w:t>
            </w:r>
          </w:p>
        </w:tc>
      </w:tr>
      <w:tr w14:paraId="3EDB8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C61B85C">
            <w:pPr>
              <w:widowControl w:val="0"/>
              <w:jc w:val="both"/>
            </w:pPr>
            <w:r>
              <w:rPr>
                <w:rFonts w:ascii="Times New Roman" w:hAnsi="Times New Roman"/>
                <w:b w:val="0"/>
                <w:sz w:val="22"/>
              </w:rPr>
              <w:t>Нормативная</w:t>
            </w:r>
          </w:p>
        </w:tc>
        <w:tc>
          <w:tcPr>
            <w:tcW w:w="2300" w:type="dxa"/>
          </w:tcPr>
          <w:p w14:paraId="7F79479A">
            <w:pPr>
              <w:widowControl w:val="0"/>
              <w:jc w:val="both"/>
            </w:pPr>
            <w:r>
              <w:rPr>
                <w:rFonts w:ascii="Times New Roman" w:hAnsi="Times New Roman"/>
                <w:b w:val="0"/>
                <w:sz w:val="22"/>
              </w:rPr>
              <w:t>Знание 44-ФЗ, 223-ФЗ, требований заказчиков</w:t>
            </w:r>
          </w:p>
        </w:tc>
        <w:tc>
          <w:tcPr>
            <w:tcW w:w="2300" w:type="dxa"/>
          </w:tcPr>
          <w:p w14:paraId="1EEECDE1">
            <w:pPr>
              <w:widowControl w:val="0"/>
              <w:jc w:val="both"/>
            </w:pPr>
            <w:r>
              <w:rPr>
                <w:rFonts w:ascii="Times New Roman" w:hAnsi="Times New Roman"/>
                <w:b w:val="0"/>
                <w:sz w:val="22"/>
              </w:rPr>
              <w:t>Внешние курсы, ежемесячные обзоры изменений</w:t>
            </w:r>
          </w:p>
        </w:tc>
        <w:tc>
          <w:tcPr>
            <w:tcW w:w="2300" w:type="dxa"/>
          </w:tcPr>
          <w:p w14:paraId="45569CE3">
            <w:pPr>
              <w:widowControl w:val="0"/>
              <w:jc w:val="both"/>
            </w:pPr>
            <w:r>
              <w:rPr>
                <w:rFonts w:ascii="Times New Roman" w:hAnsi="Times New Roman"/>
                <w:b w:val="0"/>
                <w:sz w:val="22"/>
              </w:rPr>
              <w:t>Тестирование, разбор ошибок</w:t>
            </w:r>
          </w:p>
        </w:tc>
      </w:tr>
      <w:tr w14:paraId="644B2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AC46363">
            <w:pPr>
              <w:widowControl w:val="0"/>
              <w:jc w:val="both"/>
            </w:pPr>
            <w:r>
              <w:rPr>
                <w:rFonts w:ascii="Times New Roman" w:hAnsi="Times New Roman"/>
                <w:b w:val="0"/>
                <w:sz w:val="22"/>
              </w:rPr>
              <w:t>Документационная</w:t>
            </w:r>
          </w:p>
        </w:tc>
        <w:tc>
          <w:tcPr>
            <w:tcW w:w="2300" w:type="dxa"/>
          </w:tcPr>
          <w:p w14:paraId="69380D4A">
            <w:pPr>
              <w:widowControl w:val="0"/>
              <w:jc w:val="both"/>
            </w:pPr>
            <w:r>
              <w:rPr>
                <w:rFonts w:ascii="Times New Roman" w:hAnsi="Times New Roman"/>
                <w:b w:val="0"/>
                <w:sz w:val="22"/>
              </w:rPr>
              <w:t>Подготовка полного комплекта заявки</w:t>
            </w:r>
          </w:p>
        </w:tc>
        <w:tc>
          <w:tcPr>
            <w:tcW w:w="2300" w:type="dxa"/>
          </w:tcPr>
          <w:p w14:paraId="2C72E9BB">
            <w:pPr>
              <w:widowControl w:val="0"/>
              <w:jc w:val="both"/>
            </w:pPr>
            <w:r>
              <w:rPr>
                <w:rFonts w:ascii="Times New Roman" w:hAnsi="Times New Roman"/>
                <w:b w:val="0"/>
                <w:sz w:val="22"/>
              </w:rPr>
              <w:t>Шаблоны, база знаний, чек-лист</w:t>
            </w:r>
          </w:p>
        </w:tc>
        <w:tc>
          <w:tcPr>
            <w:tcW w:w="2300" w:type="dxa"/>
          </w:tcPr>
          <w:p w14:paraId="59376634">
            <w:pPr>
              <w:widowControl w:val="0"/>
              <w:jc w:val="both"/>
            </w:pPr>
            <w:r>
              <w:rPr>
                <w:rFonts w:ascii="Times New Roman" w:hAnsi="Times New Roman"/>
                <w:b w:val="0"/>
                <w:sz w:val="22"/>
              </w:rPr>
              <w:t>Контроль допуска заявки</w:t>
            </w:r>
          </w:p>
        </w:tc>
      </w:tr>
      <w:tr w14:paraId="5F19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0159B67">
            <w:pPr>
              <w:widowControl w:val="0"/>
              <w:jc w:val="both"/>
            </w:pPr>
            <w:r>
              <w:rPr>
                <w:rFonts w:ascii="Times New Roman" w:hAnsi="Times New Roman"/>
                <w:b w:val="0"/>
                <w:sz w:val="22"/>
              </w:rPr>
              <w:t>Цифровая</w:t>
            </w:r>
          </w:p>
        </w:tc>
        <w:tc>
          <w:tcPr>
            <w:tcW w:w="2300" w:type="dxa"/>
          </w:tcPr>
          <w:p w14:paraId="27CCE7C3">
            <w:pPr>
              <w:widowControl w:val="0"/>
              <w:jc w:val="both"/>
            </w:pPr>
            <w:r>
              <w:rPr>
                <w:rFonts w:ascii="Times New Roman" w:hAnsi="Times New Roman"/>
                <w:b w:val="0"/>
                <w:sz w:val="22"/>
              </w:rPr>
              <w:t>Работа с ЕИС, ЭТП, УКЭП, форматами файлов</w:t>
            </w:r>
          </w:p>
        </w:tc>
        <w:tc>
          <w:tcPr>
            <w:tcW w:w="2300" w:type="dxa"/>
          </w:tcPr>
          <w:p w14:paraId="10FBB782">
            <w:pPr>
              <w:widowControl w:val="0"/>
              <w:jc w:val="both"/>
            </w:pPr>
            <w:r>
              <w:rPr>
                <w:rFonts w:ascii="Times New Roman" w:hAnsi="Times New Roman"/>
                <w:b w:val="0"/>
                <w:sz w:val="22"/>
              </w:rPr>
              <w:t>Практикум, наставничество</w:t>
            </w:r>
          </w:p>
        </w:tc>
        <w:tc>
          <w:tcPr>
            <w:tcW w:w="2300" w:type="dxa"/>
          </w:tcPr>
          <w:p w14:paraId="3009D06F">
            <w:pPr>
              <w:widowControl w:val="0"/>
              <w:jc w:val="both"/>
            </w:pPr>
            <w:r>
              <w:rPr>
                <w:rFonts w:ascii="Times New Roman" w:hAnsi="Times New Roman"/>
                <w:b w:val="0"/>
                <w:sz w:val="22"/>
              </w:rPr>
              <w:t>Учебный кейс, контрольная заявка</w:t>
            </w:r>
          </w:p>
        </w:tc>
      </w:tr>
      <w:tr w14:paraId="5E74B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B3DAC96">
            <w:pPr>
              <w:widowControl w:val="0"/>
              <w:jc w:val="both"/>
            </w:pPr>
            <w:r>
              <w:rPr>
                <w:rFonts w:ascii="Times New Roman" w:hAnsi="Times New Roman"/>
                <w:b w:val="0"/>
                <w:sz w:val="22"/>
              </w:rPr>
              <w:t>Экономическая</w:t>
            </w:r>
          </w:p>
        </w:tc>
        <w:tc>
          <w:tcPr>
            <w:tcW w:w="2300" w:type="dxa"/>
          </w:tcPr>
          <w:p w14:paraId="5A4B34D6">
            <w:pPr>
              <w:widowControl w:val="0"/>
              <w:jc w:val="both"/>
            </w:pPr>
            <w:r>
              <w:rPr>
                <w:rFonts w:ascii="Times New Roman" w:hAnsi="Times New Roman"/>
                <w:b w:val="0"/>
                <w:sz w:val="22"/>
              </w:rPr>
              <w:t>Расчет цены, НМЦК, маржи, НДС</w:t>
            </w:r>
          </w:p>
        </w:tc>
        <w:tc>
          <w:tcPr>
            <w:tcW w:w="2300" w:type="dxa"/>
          </w:tcPr>
          <w:p w14:paraId="399B1202">
            <w:pPr>
              <w:widowControl w:val="0"/>
              <w:jc w:val="both"/>
            </w:pPr>
            <w:r>
              <w:rPr>
                <w:rFonts w:ascii="Times New Roman" w:hAnsi="Times New Roman"/>
                <w:b w:val="0"/>
                <w:sz w:val="22"/>
              </w:rPr>
              <w:t>Кейсы и проверочные задания</w:t>
            </w:r>
          </w:p>
        </w:tc>
        <w:tc>
          <w:tcPr>
            <w:tcW w:w="2300" w:type="dxa"/>
          </w:tcPr>
          <w:p w14:paraId="3DFA66A7">
            <w:pPr>
              <w:widowControl w:val="0"/>
              <w:jc w:val="both"/>
            </w:pPr>
            <w:r>
              <w:rPr>
                <w:rFonts w:ascii="Times New Roman" w:hAnsi="Times New Roman"/>
                <w:b w:val="0"/>
                <w:sz w:val="22"/>
              </w:rPr>
              <w:t>Проверка расчетов руководителем</w:t>
            </w:r>
          </w:p>
        </w:tc>
      </w:tr>
      <w:tr w14:paraId="655F2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E55B7B2">
            <w:pPr>
              <w:widowControl w:val="0"/>
              <w:jc w:val="both"/>
            </w:pPr>
            <w:r>
              <w:rPr>
                <w:rFonts w:ascii="Times New Roman" w:hAnsi="Times New Roman"/>
                <w:b w:val="0"/>
                <w:sz w:val="22"/>
              </w:rPr>
              <w:t>Аналитическая</w:t>
            </w:r>
          </w:p>
        </w:tc>
        <w:tc>
          <w:tcPr>
            <w:tcW w:w="2300" w:type="dxa"/>
          </w:tcPr>
          <w:p w14:paraId="08159A1A">
            <w:pPr>
              <w:widowControl w:val="0"/>
              <w:jc w:val="both"/>
            </w:pPr>
            <w:r>
              <w:rPr>
                <w:rFonts w:ascii="Times New Roman" w:hAnsi="Times New Roman"/>
                <w:b w:val="0"/>
                <w:sz w:val="22"/>
              </w:rPr>
              <w:t>Выбор перспективных закупок и оценка рисков</w:t>
            </w:r>
          </w:p>
        </w:tc>
        <w:tc>
          <w:tcPr>
            <w:tcW w:w="2300" w:type="dxa"/>
          </w:tcPr>
          <w:p w14:paraId="3ABA71BD">
            <w:pPr>
              <w:widowControl w:val="0"/>
              <w:jc w:val="both"/>
            </w:pPr>
            <w:r>
              <w:rPr>
                <w:rFonts w:ascii="Times New Roman" w:hAnsi="Times New Roman"/>
                <w:b w:val="0"/>
                <w:sz w:val="22"/>
              </w:rPr>
              <w:t>Разбор успешных и проигранных заявок</w:t>
            </w:r>
          </w:p>
        </w:tc>
        <w:tc>
          <w:tcPr>
            <w:tcW w:w="2300" w:type="dxa"/>
          </w:tcPr>
          <w:p w14:paraId="2D9DD800">
            <w:pPr>
              <w:widowControl w:val="0"/>
              <w:jc w:val="both"/>
            </w:pPr>
            <w:r>
              <w:rPr>
                <w:rFonts w:ascii="Times New Roman" w:hAnsi="Times New Roman"/>
                <w:b w:val="0"/>
                <w:sz w:val="22"/>
              </w:rPr>
              <w:t>Динамика конверсии</w:t>
            </w:r>
          </w:p>
        </w:tc>
      </w:tr>
      <w:tr w14:paraId="410EA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6243E50">
            <w:pPr>
              <w:widowControl w:val="0"/>
              <w:jc w:val="both"/>
            </w:pPr>
            <w:r>
              <w:rPr>
                <w:rFonts w:ascii="Times New Roman" w:hAnsi="Times New Roman"/>
                <w:b w:val="0"/>
                <w:sz w:val="22"/>
              </w:rPr>
              <w:t>Коммуникационная</w:t>
            </w:r>
          </w:p>
        </w:tc>
        <w:tc>
          <w:tcPr>
            <w:tcW w:w="2300" w:type="dxa"/>
          </w:tcPr>
          <w:p w14:paraId="3F91512D">
            <w:pPr>
              <w:widowControl w:val="0"/>
              <w:jc w:val="both"/>
            </w:pPr>
            <w:r>
              <w:rPr>
                <w:rFonts w:ascii="Times New Roman" w:hAnsi="Times New Roman"/>
                <w:b w:val="0"/>
                <w:sz w:val="22"/>
              </w:rPr>
              <w:t>Взаимодействие с юристом, логистикой, бухгалтерией</w:t>
            </w:r>
          </w:p>
        </w:tc>
        <w:tc>
          <w:tcPr>
            <w:tcW w:w="2300" w:type="dxa"/>
          </w:tcPr>
          <w:p w14:paraId="30E90454">
            <w:pPr>
              <w:widowControl w:val="0"/>
              <w:jc w:val="both"/>
            </w:pPr>
            <w:r>
              <w:rPr>
                <w:rFonts w:ascii="Times New Roman" w:hAnsi="Times New Roman"/>
                <w:b w:val="0"/>
                <w:sz w:val="22"/>
              </w:rPr>
              <w:t>Регламент задач и совещания</w:t>
            </w:r>
          </w:p>
        </w:tc>
        <w:tc>
          <w:tcPr>
            <w:tcW w:w="2300" w:type="dxa"/>
          </w:tcPr>
          <w:p w14:paraId="439CB977">
            <w:pPr>
              <w:widowControl w:val="0"/>
              <w:jc w:val="both"/>
            </w:pPr>
            <w:r>
              <w:rPr>
                <w:rFonts w:ascii="Times New Roman" w:hAnsi="Times New Roman"/>
                <w:b w:val="0"/>
                <w:sz w:val="22"/>
              </w:rPr>
              <w:t>Сроки согласования заявки</w:t>
            </w:r>
          </w:p>
        </w:tc>
      </w:tr>
    </w:tbl>
    <w:p w14:paraId="425B1EC6">
      <w:pPr>
        <w:spacing w:after="120" w:line="360" w:lineRule="auto"/>
        <w:ind w:firstLine="700"/>
      </w:pPr>
    </w:p>
    <w:p w14:paraId="6D179AA1">
      <w:pPr>
        <w:spacing w:after="120" w:line="360" w:lineRule="auto"/>
        <w:ind w:firstLine="700"/>
      </w:pPr>
      <w:r>
        <w:rPr>
          <w:rFonts w:ascii="Times New Roman" w:hAnsi="Times New Roman"/>
          <w:b w:val="0"/>
          <w:sz w:val="28"/>
        </w:rPr>
        <w:t>Технология внедрения предполагает, что каждое мероприятие имеет измеримый результат. Для базы знаний таким результатом является наличие утвержденных разделов и ответственных за их обновление. Для адаптационного маршрута — наличие программы и итогового кейса. Для внешнего обучения — удостоверения о повышении квалификации и результаты тестирования. Для чек-листа — доля заявок, прошедших финальный контроль. Для реестра ошибок — количество зафиксированных и закрытых корректирующих действий.</w:t>
      </w:r>
    </w:p>
    <w:p w14:paraId="78A78872">
      <w:pPr>
        <w:spacing w:after="120" w:line="360" w:lineRule="auto"/>
        <w:ind w:firstLine="700"/>
      </w:pPr>
      <w:r>
        <w:rPr>
          <w:rFonts w:ascii="Times New Roman" w:hAnsi="Times New Roman"/>
          <w:b w:val="0"/>
          <w:sz w:val="28"/>
        </w:rPr>
        <w:t>Механизм адаптации предлагаемых решений к действующей системе управления основан на минимальном изменении организационной структуры. Генеральный директор не создает новое подразделение, а утверждает внутренний регламент. Руководитель тендерного отдела не получает новую должность, но становится владельцем процесса обучения. Наставники не освобождаются от основной работы, но получают небольшую премию за сопровождение новичков и передачу опыта. Юрист не становится штатным HR-методистом, но участвует в проверке нормативных материалов.</w:t>
      </w:r>
    </w:p>
    <w:p w14:paraId="1F22C595">
      <w:pPr>
        <w:spacing w:after="120" w:line="360" w:lineRule="auto"/>
        <w:ind w:firstLine="700"/>
      </w:pPr>
      <w:r>
        <w:rPr>
          <w:rFonts w:ascii="Times New Roman" w:hAnsi="Times New Roman"/>
          <w:b w:val="0"/>
          <w:sz w:val="28"/>
        </w:rPr>
        <w:t>Важным элементом является порядок обновления базы знаний. Раз в месяц руководитель отдела проверяет реестр ошибок и определяет, какие инструкции требуют корректировки. При изменении законодательства юрист готовит краткую справку, руководитель отдела переводит ее в практическую памятку, а системный администратор размещает ее в нужном разделе. После этого сотрудники проходят короткий тест или подтверждают ознакомление в Битрикс24.</w:t>
      </w:r>
    </w:p>
    <w:p w14:paraId="53FBCFEA">
      <w:pPr>
        <w:spacing w:after="120" w:line="360" w:lineRule="auto"/>
        <w:ind w:firstLine="700"/>
      </w:pPr>
      <w:r>
        <w:rPr>
          <w:rFonts w:ascii="Times New Roman" w:hAnsi="Times New Roman"/>
          <w:b w:val="0"/>
          <w:sz w:val="28"/>
        </w:rPr>
        <w:t>Алгоритм подготовки заявки после внедрения системы включает восемь шагов: выбор закупки, проверка требований заказчика, расчет экономической целесообразности, формирование комплекта документов, проверка актуальности шаблонов, контроль расчетов, проверка формата файлов и электронной подписи, финальное подтверждение чек-листа. Данный алгоритм должен быть одинаковым для всех сотрудников, что снижает зависимость качества от индивидуального стиля работы.</w:t>
      </w:r>
    </w:p>
    <w:p w14:paraId="3F234C75">
      <w:pPr>
        <w:spacing w:after="120" w:line="360" w:lineRule="auto"/>
        <w:jc w:val="center"/>
      </w:pPr>
      <w:r>
        <w:rPr>
          <w:rFonts w:ascii="Times New Roman" w:hAnsi="Times New Roman"/>
          <w:b w:val="0"/>
          <w:sz w:val="28"/>
        </w:rPr>
        <w:t>Таблица 3.7. Алгоритм подготовки заявки после внедрения мероприятий</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531B1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029892AE">
            <w:pPr>
              <w:widowControl w:val="0"/>
              <w:jc w:val="both"/>
            </w:pPr>
            <w:r>
              <w:rPr>
                <w:rFonts w:ascii="Times New Roman" w:hAnsi="Times New Roman"/>
                <w:b/>
                <w:sz w:val="22"/>
              </w:rPr>
              <w:t>Шаг</w:t>
            </w:r>
          </w:p>
        </w:tc>
        <w:tc>
          <w:tcPr>
            <w:tcW w:w="2300" w:type="dxa"/>
          </w:tcPr>
          <w:p w14:paraId="6D94EE99">
            <w:pPr>
              <w:widowControl w:val="0"/>
              <w:jc w:val="both"/>
            </w:pPr>
            <w:r>
              <w:rPr>
                <w:rFonts w:ascii="Times New Roman" w:hAnsi="Times New Roman"/>
                <w:b/>
                <w:sz w:val="22"/>
              </w:rPr>
              <w:t>Действие</w:t>
            </w:r>
          </w:p>
        </w:tc>
        <w:tc>
          <w:tcPr>
            <w:tcW w:w="2300" w:type="dxa"/>
          </w:tcPr>
          <w:p w14:paraId="4AA3B866">
            <w:pPr>
              <w:widowControl w:val="0"/>
              <w:jc w:val="both"/>
            </w:pPr>
            <w:r>
              <w:rPr>
                <w:rFonts w:ascii="Times New Roman" w:hAnsi="Times New Roman"/>
                <w:b/>
                <w:sz w:val="22"/>
              </w:rPr>
              <w:t>Контрольная точка</w:t>
            </w:r>
          </w:p>
        </w:tc>
        <w:tc>
          <w:tcPr>
            <w:tcW w:w="2300" w:type="dxa"/>
          </w:tcPr>
          <w:p w14:paraId="2267DFE0">
            <w:pPr>
              <w:widowControl w:val="0"/>
              <w:jc w:val="both"/>
            </w:pPr>
            <w:r>
              <w:rPr>
                <w:rFonts w:ascii="Times New Roman" w:hAnsi="Times New Roman"/>
                <w:b/>
                <w:sz w:val="22"/>
              </w:rPr>
              <w:t>Ответственный</w:t>
            </w:r>
          </w:p>
        </w:tc>
      </w:tr>
      <w:tr w14:paraId="432D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49E8029">
            <w:pPr>
              <w:widowControl w:val="0"/>
              <w:jc w:val="both"/>
            </w:pPr>
            <w:r>
              <w:rPr>
                <w:rFonts w:ascii="Times New Roman" w:hAnsi="Times New Roman"/>
                <w:b w:val="0"/>
                <w:sz w:val="22"/>
              </w:rPr>
              <w:t>1</w:t>
            </w:r>
          </w:p>
        </w:tc>
        <w:tc>
          <w:tcPr>
            <w:tcW w:w="2300" w:type="dxa"/>
          </w:tcPr>
          <w:p w14:paraId="455CE4D0">
            <w:pPr>
              <w:widowControl w:val="0"/>
              <w:jc w:val="both"/>
            </w:pPr>
            <w:r>
              <w:rPr>
                <w:rFonts w:ascii="Times New Roman" w:hAnsi="Times New Roman"/>
                <w:b w:val="0"/>
                <w:sz w:val="22"/>
              </w:rPr>
              <w:t>Выбор закупки и первичный анализ</w:t>
            </w:r>
          </w:p>
        </w:tc>
        <w:tc>
          <w:tcPr>
            <w:tcW w:w="2300" w:type="dxa"/>
          </w:tcPr>
          <w:p w14:paraId="3AE884F6">
            <w:pPr>
              <w:widowControl w:val="0"/>
              <w:jc w:val="both"/>
            </w:pPr>
            <w:r>
              <w:rPr>
                <w:rFonts w:ascii="Times New Roman" w:hAnsi="Times New Roman"/>
                <w:b w:val="0"/>
                <w:sz w:val="22"/>
              </w:rPr>
              <w:t>Соответствие профилю компании</w:t>
            </w:r>
          </w:p>
        </w:tc>
        <w:tc>
          <w:tcPr>
            <w:tcW w:w="2300" w:type="dxa"/>
          </w:tcPr>
          <w:p w14:paraId="13931584">
            <w:pPr>
              <w:widowControl w:val="0"/>
              <w:jc w:val="both"/>
            </w:pPr>
            <w:r>
              <w:rPr>
                <w:rFonts w:ascii="Times New Roman" w:hAnsi="Times New Roman"/>
                <w:b w:val="0"/>
                <w:sz w:val="22"/>
              </w:rPr>
              <w:t>Тендерный специалист</w:t>
            </w:r>
          </w:p>
        </w:tc>
      </w:tr>
      <w:tr w14:paraId="294E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A5EAC9B">
            <w:pPr>
              <w:widowControl w:val="0"/>
              <w:jc w:val="both"/>
            </w:pPr>
            <w:r>
              <w:rPr>
                <w:rFonts w:ascii="Times New Roman" w:hAnsi="Times New Roman"/>
                <w:b w:val="0"/>
                <w:sz w:val="22"/>
              </w:rPr>
              <w:t>2</w:t>
            </w:r>
          </w:p>
        </w:tc>
        <w:tc>
          <w:tcPr>
            <w:tcW w:w="2300" w:type="dxa"/>
          </w:tcPr>
          <w:p w14:paraId="6300BF91">
            <w:pPr>
              <w:widowControl w:val="0"/>
              <w:jc w:val="both"/>
            </w:pPr>
            <w:r>
              <w:rPr>
                <w:rFonts w:ascii="Times New Roman" w:hAnsi="Times New Roman"/>
                <w:b w:val="0"/>
                <w:sz w:val="22"/>
              </w:rPr>
              <w:t>Проверка требований заказчика</w:t>
            </w:r>
          </w:p>
        </w:tc>
        <w:tc>
          <w:tcPr>
            <w:tcW w:w="2300" w:type="dxa"/>
          </w:tcPr>
          <w:p w14:paraId="67C040B2">
            <w:pPr>
              <w:widowControl w:val="0"/>
              <w:jc w:val="both"/>
            </w:pPr>
            <w:r>
              <w:rPr>
                <w:rFonts w:ascii="Times New Roman" w:hAnsi="Times New Roman"/>
                <w:b w:val="0"/>
                <w:sz w:val="22"/>
              </w:rPr>
              <w:t>Отсутствие невыполнимых условий</w:t>
            </w:r>
          </w:p>
        </w:tc>
        <w:tc>
          <w:tcPr>
            <w:tcW w:w="2300" w:type="dxa"/>
          </w:tcPr>
          <w:p w14:paraId="365D8101">
            <w:pPr>
              <w:widowControl w:val="0"/>
              <w:jc w:val="both"/>
            </w:pPr>
            <w:r>
              <w:rPr>
                <w:rFonts w:ascii="Times New Roman" w:hAnsi="Times New Roman"/>
                <w:b w:val="0"/>
                <w:sz w:val="22"/>
              </w:rPr>
              <w:t>Тендерный специалист</w:t>
            </w:r>
          </w:p>
        </w:tc>
      </w:tr>
      <w:tr w14:paraId="66031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69C5A1E">
            <w:pPr>
              <w:widowControl w:val="0"/>
              <w:jc w:val="both"/>
            </w:pPr>
            <w:r>
              <w:rPr>
                <w:rFonts w:ascii="Times New Roman" w:hAnsi="Times New Roman"/>
                <w:b w:val="0"/>
                <w:sz w:val="22"/>
              </w:rPr>
              <w:t>3</w:t>
            </w:r>
          </w:p>
        </w:tc>
        <w:tc>
          <w:tcPr>
            <w:tcW w:w="2300" w:type="dxa"/>
          </w:tcPr>
          <w:p w14:paraId="57B71CFE">
            <w:pPr>
              <w:widowControl w:val="0"/>
              <w:jc w:val="both"/>
            </w:pPr>
            <w:r>
              <w:rPr>
                <w:rFonts w:ascii="Times New Roman" w:hAnsi="Times New Roman"/>
                <w:b w:val="0"/>
                <w:sz w:val="22"/>
              </w:rPr>
              <w:t>Расчет цены и маржи</w:t>
            </w:r>
          </w:p>
        </w:tc>
        <w:tc>
          <w:tcPr>
            <w:tcW w:w="2300" w:type="dxa"/>
          </w:tcPr>
          <w:p w14:paraId="518E5461">
            <w:pPr>
              <w:widowControl w:val="0"/>
              <w:jc w:val="both"/>
            </w:pPr>
            <w:r>
              <w:rPr>
                <w:rFonts w:ascii="Times New Roman" w:hAnsi="Times New Roman"/>
                <w:b w:val="0"/>
                <w:sz w:val="22"/>
              </w:rPr>
              <w:t>Маржа не ниже установленного порога</w:t>
            </w:r>
          </w:p>
        </w:tc>
        <w:tc>
          <w:tcPr>
            <w:tcW w:w="2300" w:type="dxa"/>
          </w:tcPr>
          <w:p w14:paraId="1865C426">
            <w:pPr>
              <w:widowControl w:val="0"/>
              <w:jc w:val="both"/>
            </w:pPr>
            <w:r>
              <w:rPr>
                <w:rFonts w:ascii="Times New Roman" w:hAnsi="Times New Roman"/>
                <w:b w:val="0"/>
                <w:sz w:val="22"/>
              </w:rPr>
              <w:t>Тендерный специалист, руководитель</w:t>
            </w:r>
          </w:p>
        </w:tc>
      </w:tr>
      <w:tr w14:paraId="542D5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54A2631">
            <w:pPr>
              <w:widowControl w:val="0"/>
              <w:jc w:val="both"/>
            </w:pPr>
            <w:r>
              <w:rPr>
                <w:rFonts w:ascii="Times New Roman" w:hAnsi="Times New Roman"/>
                <w:b w:val="0"/>
                <w:sz w:val="22"/>
              </w:rPr>
              <w:t>4</w:t>
            </w:r>
          </w:p>
        </w:tc>
        <w:tc>
          <w:tcPr>
            <w:tcW w:w="2300" w:type="dxa"/>
          </w:tcPr>
          <w:p w14:paraId="6D57F3F2">
            <w:pPr>
              <w:widowControl w:val="0"/>
              <w:jc w:val="both"/>
            </w:pPr>
            <w:r>
              <w:rPr>
                <w:rFonts w:ascii="Times New Roman" w:hAnsi="Times New Roman"/>
                <w:b w:val="0"/>
                <w:sz w:val="22"/>
              </w:rPr>
              <w:t>Формирование документов</w:t>
            </w:r>
          </w:p>
        </w:tc>
        <w:tc>
          <w:tcPr>
            <w:tcW w:w="2300" w:type="dxa"/>
          </w:tcPr>
          <w:p w14:paraId="6BE9EEBF">
            <w:pPr>
              <w:widowControl w:val="0"/>
              <w:jc w:val="both"/>
            </w:pPr>
            <w:r>
              <w:rPr>
                <w:rFonts w:ascii="Times New Roman" w:hAnsi="Times New Roman"/>
                <w:b w:val="0"/>
                <w:sz w:val="22"/>
              </w:rPr>
              <w:t>Полный комплект по извещению</w:t>
            </w:r>
          </w:p>
        </w:tc>
        <w:tc>
          <w:tcPr>
            <w:tcW w:w="2300" w:type="dxa"/>
          </w:tcPr>
          <w:p w14:paraId="6CAEA340">
            <w:pPr>
              <w:widowControl w:val="0"/>
              <w:jc w:val="both"/>
            </w:pPr>
            <w:r>
              <w:rPr>
                <w:rFonts w:ascii="Times New Roman" w:hAnsi="Times New Roman"/>
                <w:b w:val="0"/>
                <w:sz w:val="22"/>
              </w:rPr>
              <w:t>Тендерный специалист</w:t>
            </w:r>
          </w:p>
        </w:tc>
      </w:tr>
      <w:tr w14:paraId="0C2E2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3AEAA1AD">
            <w:pPr>
              <w:widowControl w:val="0"/>
              <w:jc w:val="both"/>
            </w:pPr>
            <w:r>
              <w:rPr>
                <w:rFonts w:ascii="Times New Roman" w:hAnsi="Times New Roman"/>
                <w:b w:val="0"/>
                <w:sz w:val="22"/>
              </w:rPr>
              <w:t>5</w:t>
            </w:r>
          </w:p>
        </w:tc>
        <w:tc>
          <w:tcPr>
            <w:tcW w:w="2300" w:type="dxa"/>
          </w:tcPr>
          <w:p w14:paraId="7F6424A3">
            <w:pPr>
              <w:widowControl w:val="0"/>
              <w:jc w:val="both"/>
            </w:pPr>
            <w:r>
              <w:rPr>
                <w:rFonts w:ascii="Times New Roman" w:hAnsi="Times New Roman"/>
                <w:b w:val="0"/>
                <w:sz w:val="22"/>
              </w:rPr>
              <w:t>Проверка шаблонов</w:t>
            </w:r>
          </w:p>
        </w:tc>
        <w:tc>
          <w:tcPr>
            <w:tcW w:w="2300" w:type="dxa"/>
          </w:tcPr>
          <w:p w14:paraId="0F437437">
            <w:pPr>
              <w:widowControl w:val="0"/>
              <w:jc w:val="both"/>
            </w:pPr>
            <w:r>
              <w:rPr>
                <w:rFonts w:ascii="Times New Roman" w:hAnsi="Times New Roman"/>
                <w:b w:val="0"/>
                <w:sz w:val="22"/>
              </w:rPr>
              <w:t>Использованы актуальные формы</w:t>
            </w:r>
          </w:p>
        </w:tc>
        <w:tc>
          <w:tcPr>
            <w:tcW w:w="2300" w:type="dxa"/>
          </w:tcPr>
          <w:p w14:paraId="280EEDD1">
            <w:pPr>
              <w:widowControl w:val="0"/>
              <w:jc w:val="both"/>
            </w:pPr>
            <w:r>
              <w:rPr>
                <w:rFonts w:ascii="Times New Roman" w:hAnsi="Times New Roman"/>
                <w:b w:val="0"/>
                <w:sz w:val="22"/>
              </w:rPr>
              <w:t>Тендерный специалист</w:t>
            </w:r>
          </w:p>
        </w:tc>
      </w:tr>
      <w:tr w14:paraId="2C012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47EAEEB">
            <w:pPr>
              <w:widowControl w:val="0"/>
              <w:jc w:val="both"/>
            </w:pPr>
            <w:r>
              <w:rPr>
                <w:rFonts w:ascii="Times New Roman" w:hAnsi="Times New Roman"/>
                <w:b w:val="0"/>
                <w:sz w:val="22"/>
              </w:rPr>
              <w:t>6</w:t>
            </w:r>
          </w:p>
        </w:tc>
        <w:tc>
          <w:tcPr>
            <w:tcW w:w="2300" w:type="dxa"/>
          </w:tcPr>
          <w:p w14:paraId="4622AEE6">
            <w:pPr>
              <w:widowControl w:val="0"/>
              <w:jc w:val="both"/>
            </w:pPr>
            <w:r>
              <w:rPr>
                <w:rFonts w:ascii="Times New Roman" w:hAnsi="Times New Roman"/>
                <w:b w:val="0"/>
                <w:sz w:val="22"/>
              </w:rPr>
              <w:t>Проверка расчетов</w:t>
            </w:r>
          </w:p>
        </w:tc>
        <w:tc>
          <w:tcPr>
            <w:tcW w:w="2300" w:type="dxa"/>
          </w:tcPr>
          <w:p w14:paraId="6BAC9A6C">
            <w:pPr>
              <w:widowControl w:val="0"/>
              <w:jc w:val="both"/>
            </w:pPr>
            <w:r>
              <w:rPr>
                <w:rFonts w:ascii="Times New Roman" w:hAnsi="Times New Roman"/>
                <w:b w:val="0"/>
                <w:sz w:val="22"/>
              </w:rPr>
              <w:t>Нет арифметических расхождений</w:t>
            </w:r>
          </w:p>
        </w:tc>
        <w:tc>
          <w:tcPr>
            <w:tcW w:w="2300" w:type="dxa"/>
          </w:tcPr>
          <w:p w14:paraId="1541615C">
            <w:pPr>
              <w:widowControl w:val="0"/>
              <w:jc w:val="both"/>
            </w:pPr>
            <w:r>
              <w:rPr>
                <w:rFonts w:ascii="Times New Roman" w:hAnsi="Times New Roman"/>
                <w:b w:val="0"/>
                <w:sz w:val="22"/>
              </w:rPr>
              <w:t>Руководитель или наставник</w:t>
            </w:r>
          </w:p>
        </w:tc>
      </w:tr>
      <w:tr w14:paraId="3F7ED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CB45684">
            <w:pPr>
              <w:widowControl w:val="0"/>
              <w:jc w:val="both"/>
            </w:pPr>
            <w:r>
              <w:rPr>
                <w:rFonts w:ascii="Times New Roman" w:hAnsi="Times New Roman"/>
                <w:b w:val="0"/>
                <w:sz w:val="22"/>
              </w:rPr>
              <w:t>7</w:t>
            </w:r>
          </w:p>
        </w:tc>
        <w:tc>
          <w:tcPr>
            <w:tcW w:w="2300" w:type="dxa"/>
          </w:tcPr>
          <w:p w14:paraId="71EB736C">
            <w:pPr>
              <w:widowControl w:val="0"/>
              <w:jc w:val="both"/>
            </w:pPr>
            <w:r>
              <w:rPr>
                <w:rFonts w:ascii="Times New Roman" w:hAnsi="Times New Roman"/>
                <w:b w:val="0"/>
                <w:sz w:val="22"/>
              </w:rPr>
              <w:t>Проверка ЭТП и подписи</w:t>
            </w:r>
          </w:p>
        </w:tc>
        <w:tc>
          <w:tcPr>
            <w:tcW w:w="2300" w:type="dxa"/>
          </w:tcPr>
          <w:p w14:paraId="01A15555">
            <w:pPr>
              <w:widowControl w:val="0"/>
              <w:jc w:val="both"/>
            </w:pPr>
            <w:r>
              <w:rPr>
                <w:rFonts w:ascii="Times New Roman" w:hAnsi="Times New Roman"/>
                <w:b w:val="0"/>
                <w:sz w:val="22"/>
              </w:rPr>
              <w:t>Верный формат файлов и УКЭП</w:t>
            </w:r>
          </w:p>
        </w:tc>
        <w:tc>
          <w:tcPr>
            <w:tcW w:w="2300" w:type="dxa"/>
          </w:tcPr>
          <w:p w14:paraId="7C0C9AAB">
            <w:pPr>
              <w:widowControl w:val="0"/>
              <w:jc w:val="both"/>
            </w:pPr>
            <w:r>
              <w:rPr>
                <w:rFonts w:ascii="Times New Roman" w:hAnsi="Times New Roman"/>
                <w:b w:val="0"/>
                <w:sz w:val="22"/>
              </w:rPr>
              <w:t>Тендерный специалист</w:t>
            </w:r>
          </w:p>
        </w:tc>
      </w:tr>
      <w:tr w14:paraId="323F2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29DD2F0">
            <w:pPr>
              <w:widowControl w:val="0"/>
              <w:jc w:val="both"/>
            </w:pPr>
            <w:r>
              <w:rPr>
                <w:rFonts w:ascii="Times New Roman" w:hAnsi="Times New Roman"/>
                <w:b w:val="0"/>
                <w:sz w:val="22"/>
              </w:rPr>
              <w:t>8</w:t>
            </w:r>
          </w:p>
        </w:tc>
        <w:tc>
          <w:tcPr>
            <w:tcW w:w="2300" w:type="dxa"/>
          </w:tcPr>
          <w:p w14:paraId="37063B99">
            <w:pPr>
              <w:widowControl w:val="0"/>
              <w:jc w:val="both"/>
            </w:pPr>
            <w:r>
              <w:rPr>
                <w:rFonts w:ascii="Times New Roman" w:hAnsi="Times New Roman"/>
                <w:b w:val="0"/>
                <w:sz w:val="22"/>
              </w:rPr>
              <w:t>Финальный чек-лист</w:t>
            </w:r>
          </w:p>
        </w:tc>
        <w:tc>
          <w:tcPr>
            <w:tcW w:w="2300" w:type="dxa"/>
          </w:tcPr>
          <w:p w14:paraId="5D8B5CD9">
            <w:pPr>
              <w:widowControl w:val="0"/>
              <w:jc w:val="both"/>
            </w:pPr>
            <w:r>
              <w:rPr>
                <w:rFonts w:ascii="Times New Roman" w:hAnsi="Times New Roman"/>
                <w:b w:val="0"/>
                <w:sz w:val="22"/>
              </w:rPr>
              <w:t>Все пункты отмечены в Битрикс24</w:t>
            </w:r>
          </w:p>
        </w:tc>
        <w:tc>
          <w:tcPr>
            <w:tcW w:w="2300" w:type="dxa"/>
          </w:tcPr>
          <w:p w14:paraId="4B2FF1CA">
            <w:pPr>
              <w:widowControl w:val="0"/>
              <w:jc w:val="both"/>
            </w:pPr>
            <w:r>
              <w:rPr>
                <w:rFonts w:ascii="Times New Roman" w:hAnsi="Times New Roman"/>
                <w:b w:val="0"/>
                <w:sz w:val="22"/>
              </w:rPr>
              <w:t>Руководитель отдела</w:t>
            </w:r>
          </w:p>
        </w:tc>
      </w:tr>
    </w:tbl>
    <w:p w14:paraId="192C518D">
      <w:pPr>
        <w:spacing w:after="120" w:line="360" w:lineRule="auto"/>
        <w:ind w:firstLine="700"/>
      </w:pPr>
    </w:p>
    <w:p w14:paraId="669E6E97">
      <w:pPr>
        <w:spacing w:after="120" w:line="360" w:lineRule="auto"/>
        <w:ind w:firstLine="700"/>
      </w:pPr>
      <w:r>
        <w:rPr>
          <w:rFonts w:ascii="Times New Roman" w:hAnsi="Times New Roman"/>
          <w:b w:val="0"/>
          <w:sz w:val="28"/>
        </w:rPr>
        <w:t>Практическое внедрение предложений должно начинаться с пилотного режима. В течение первого месяца чек-лист и реестр ошибок применяются только к наиболее значимым заявкам, чтобы выявить неудобные пункты и скорректировать форму. Со второго месяца чек-лист становится обязательным для всех заявок. С третьего месяца данные по ошибкам и допуску заявок включаются в ежемесячный отчет руководителя отдела.</w:t>
      </w:r>
    </w:p>
    <w:p w14:paraId="5C4BA7D8">
      <w:pPr>
        <w:spacing w:after="120" w:line="360" w:lineRule="auto"/>
        <w:ind w:firstLine="700"/>
      </w:pPr>
      <w:r>
        <w:rPr>
          <w:rFonts w:ascii="Times New Roman" w:hAnsi="Times New Roman"/>
          <w:b w:val="0"/>
          <w:sz w:val="28"/>
        </w:rPr>
        <w:t>Отдельное внимание следует уделить сопротивлению сотрудников. Новые процедуры могут восприниматься как дополнительная бюрократия. Поэтому при запуске необходимо объяснить, что чек-лист и реестр ошибок вводятся не для усиления контроля ради контроля, а для снижения повторяемости ошибок, защиты сотрудников от случайных пропусков и повышения доли выигранных тендеров. Это особенно важно в удаленном формате, где значительная часть коммуникации происходит письменно и риск недопонимания выше.</w:t>
      </w:r>
    </w:p>
    <w:p w14:paraId="4142E33C">
      <w:pPr>
        <w:spacing w:after="120" w:line="360" w:lineRule="auto"/>
        <w:ind w:firstLine="700"/>
      </w:pPr>
      <w:r>
        <w:rPr>
          <w:rFonts w:ascii="Times New Roman" w:hAnsi="Times New Roman"/>
          <w:b w:val="0"/>
          <w:sz w:val="28"/>
        </w:rPr>
        <w:t>Таким образом, технико-экономическое обоснование показывает, что предлагаемые решения являются реалистичными для ООО «Лайф Медиа». Они не требуют крупного инвестиционного проекта, используют существующую инфраструктуру, распределяют ответственность между действующими участниками управления и имеют измеримые показатели результата. Основной объем затрат приходится на первый год внедрения, после чего система переходит в режим поддержания и регулярного обновления.</w:t>
      </w:r>
    </w:p>
    <w:p w14:paraId="1C430728">
      <w:pPr>
        <w:spacing w:after="120" w:line="360" w:lineRule="auto"/>
        <w:jc w:val="center"/>
      </w:pPr>
      <w:r>
        <w:rPr>
          <w:rFonts w:ascii="Times New Roman" w:hAnsi="Times New Roman"/>
          <w:b/>
          <w:sz w:val="28"/>
        </w:rPr>
        <w:t>3.3. Оценка экономической эффективности разработанных рекомендаций</w:t>
      </w:r>
    </w:p>
    <w:p w14:paraId="239B76A6">
      <w:pPr>
        <w:spacing w:after="120" w:line="360" w:lineRule="auto"/>
        <w:ind w:firstLine="700"/>
      </w:pPr>
      <w:r>
        <w:rPr>
          <w:rFonts w:ascii="Times New Roman" w:hAnsi="Times New Roman"/>
          <w:b w:val="0"/>
          <w:sz w:val="28"/>
        </w:rPr>
        <w:t>Оценка экономической эффективности необходима для подтверждения того, что предложенные мероприятия являются не только организационно полезными, но и финансово обоснованными. Для ООО «Лайф Медиа» эффект от совершенствования обучения должен проявляться в трех направлениях: рост числа допущенных заявок, увеличение количества выигранных контрактов и снижение внутренних потерь, связанных с ошибками и текучестью персонала.</w:t>
      </w:r>
    </w:p>
    <w:p w14:paraId="2B5AE6BA">
      <w:pPr>
        <w:spacing w:after="120" w:line="360" w:lineRule="auto"/>
        <w:ind w:firstLine="700"/>
      </w:pPr>
      <w:r>
        <w:rPr>
          <w:rFonts w:ascii="Times New Roman" w:hAnsi="Times New Roman"/>
          <w:b w:val="0"/>
          <w:sz w:val="28"/>
        </w:rPr>
        <w:t>В качестве исходной базы используются данные второй главы. В 2025 году компания подала 152 заявки, из которых 128 были признаны соответствующими, 24 отклонены на этапе допуска, выиграно 35 контрактов. Доля отклоненных заявок составила 15,8%, конверсия из заявки в победу — 23,0%, выручка от тендерной деятельности — 30,84 млн руб. Средняя цена одного выигранного контракта составила 881 тыс. руб.</w:t>
      </w:r>
    </w:p>
    <w:p w14:paraId="4D1BA621">
      <w:pPr>
        <w:spacing w:after="120" w:line="360" w:lineRule="auto"/>
        <w:ind w:firstLine="700"/>
      </w:pPr>
      <w:r>
        <w:rPr>
          <w:rFonts w:ascii="Times New Roman" w:hAnsi="Times New Roman"/>
          <w:b w:val="0"/>
          <w:sz w:val="28"/>
        </w:rPr>
        <w:t>Предлагаемые мероприятия направлены прежде всего на управляемые причины отклонений: технические ошибки, устаревшие формы, неполный комплект документов, ошибки в расчетах и отсутствие финальной проверки. Поэтому целевым показателем первого года является снижение доли отклоненных заявок с 15,8% до 10,0%. Такой показатель является реалистичным, поскольку не предполагает полного устранения всех ошибок и учитывает влияние внешних факторов.</w:t>
      </w:r>
    </w:p>
    <w:p w14:paraId="674682B8">
      <w:pPr>
        <w:spacing w:after="120" w:line="360" w:lineRule="auto"/>
        <w:ind w:firstLine="700"/>
      </w:pPr>
      <w:r>
        <w:rPr>
          <w:rFonts w:ascii="Times New Roman" w:hAnsi="Times New Roman"/>
          <w:b w:val="0"/>
          <w:sz w:val="28"/>
        </w:rPr>
        <w:t>Второй целевой показатель — рост конверсии из заявки в победу с 23,0% до 25,0% в первый год и до 26,0% во второй год. Рост конверсии обусловлен не только снижением формальных отклонений, но и более качественным анализом закупок, расчетом маржи, актуализацией знаний и повышением дисциплины подготовки заявок.</w:t>
      </w:r>
    </w:p>
    <w:p w14:paraId="4FABD40B">
      <w:pPr>
        <w:spacing w:after="120" w:line="360" w:lineRule="auto"/>
        <w:jc w:val="center"/>
      </w:pPr>
      <w:r>
        <w:rPr>
          <w:rFonts w:ascii="Times New Roman" w:hAnsi="Times New Roman"/>
          <w:b w:val="0"/>
          <w:sz w:val="28"/>
        </w:rPr>
        <w:t>Таблица 3.8. Исходные и целевые показатели тендерной деятельности</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FA03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67F1AE82">
            <w:pPr>
              <w:widowControl w:val="0"/>
              <w:jc w:val="both"/>
            </w:pPr>
            <w:r>
              <w:rPr>
                <w:rFonts w:ascii="Times New Roman" w:hAnsi="Times New Roman"/>
                <w:b/>
                <w:sz w:val="22"/>
              </w:rPr>
              <w:t>Показатель</w:t>
            </w:r>
          </w:p>
        </w:tc>
        <w:tc>
          <w:tcPr>
            <w:tcW w:w="2300" w:type="dxa"/>
          </w:tcPr>
          <w:p w14:paraId="6F84E7EF">
            <w:pPr>
              <w:widowControl w:val="0"/>
              <w:jc w:val="both"/>
            </w:pPr>
            <w:r>
              <w:rPr>
                <w:rFonts w:ascii="Times New Roman" w:hAnsi="Times New Roman"/>
                <w:b/>
                <w:sz w:val="22"/>
              </w:rPr>
              <w:t>2025 факт</w:t>
            </w:r>
          </w:p>
        </w:tc>
        <w:tc>
          <w:tcPr>
            <w:tcW w:w="2300" w:type="dxa"/>
          </w:tcPr>
          <w:p w14:paraId="378D6E28">
            <w:pPr>
              <w:widowControl w:val="0"/>
              <w:jc w:val="both"/>
            </w:pPr>
            <w:r>
              <w:rPr>
                <w:rFonts w:ascii="Times New Roman" w:hAnsi="Times New Roman"/>
                <w:b/>
                <w:sz w:val="22"/>
              </w:rPr>
              <w:t>1 год после внедрения</w:t>
            </w:r>
          </w:p>
        </w:tc>
        <w:tc>
          <w:tcPr>
            <w:tcW w:w="2300" w:type="dxa"/>
          </w:tcPr>
          <w:p w14:paraId="1A6B49A8">
            <w:pPr>
              <w:widowControl w:val="0"/>
              <w:jc w:val="both"/>
            </w:pPr>
            <w:r>
              <w:rPr>
                <w:rFonts w:ascii="Times New Roman" w:hAnsi="Times New Roman"/>
                <w:b/>
                <w:sz w:val="22"/>
              </w:rPr>
              <w:t>2-3 год после внедрения</w:t>
            </w:r>
          </w:p>
        </w:tc>
      </w:tr>
      <w:tr w14:paraId="1267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EFC8D3">
            <w:pPr>
              <w:widowControl w:val="0"/>
              <w:jc w:val="both"/>
            </w:pPr>
            <w:r>
              <w:rPr>
                <w:rFonts w:ascii="Times New Roman" w:hAnsi="Times New Roman"/>
                <w:b w:val="0"/>
                <w:sz w:val="22"/>
              </w:rPr>
              <w:t>Количество поданных заявок</w:t>
            </w:r>
          </w:p>
        </w:tc>
        <w:tc>
          <w:tcPr>
            <w:tcW w:w="2300" w:type="dxa"/>
          </w:tcPr>
          <w:p w14:paraId="387EEB2E">
            <w:pPr>
              <w:widowControl w:val="0"/>
              <w:jc w:val="both"/>
            </w:pPr>
            <w:r>
              <w:rPr>
                <w:rFonts w:ascii="Times New Roman" w:hAnsi="Times New Roman"/>
                <w:b w:val="0"/>
                <w:sz w:val="22"/>
              </w:rPr>
              <w:t>152</w:t>
            </w:r>
          </w:p>
        </w:tc>
        <w:tc>
          <w:tcPr>
            <w:tcW w:w="2300" w:type="dxa"/>
          </w:tcPr>
          <w:p w14:paraId="6CD7C642">
            <w:pPr>
              <w:widowControl w:val="0"/>
              <w:jc w:val="both"/>
            </w:pPr>
            <w:r>
              <w:rPr>
                <w:rFonts w:ascii="Times New Roman" w:hAnsi="Times New Roman"/>
                <w:b w:val="0"/>
                <w:sz w:val="22"/>
              </w:rPr>
              <w:t>152</w:t>
            </w:r>
          </w:p>
        </w:tc>
        <w:tc>
          <w:tcPr>
            <w:tcW w:w="2300" w:type="dxa"/>
          </w:tcPr>
          <w:p w14:paraId="47BD7D4D">
            <w:pPr>
              <w:widowControl w:val="0"/>
              <w:jc w:val="both"/>
            </w:pPr>
            <w:r>
              <w:rPr>
                <w:rFonts w:ascii="Times New Roman" w:hAnsi="Times New Roman"/>
                <w:b w:val="0"/>
                <w:sz w:val="22"/>
              </w:rPr>
              <w:t>152</w:t>
            </w:r>
          </w:p>
        </w:tc>
      </w:tr>
      <w:tr w14:paraId="08201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1A69139F">
            <w:pPr>
              <w:widowControl w:val="0"/>
              <w:jc w:val="both"/>
            </w:pPr>
            <w:r>
              <w:rPr>
                <w:rFonts w:ascii="Times New Roman" w:hAnsi="Times New Roman"/>
                <w:b w:val="0"/>
                <w:sz w:val="22"/>
              </w:rPr>
              <w:t>Доля отклоненных заявок</w:t>
            </w:r>
          </w:p>
        </w:tc>
        <w:tc>
          <w:tcPr>
            <w:tcW w:w="2300" w:type="dxa"/>
          </w:tcPr>
          <w:p w14:paraId="0F7085CF">
            <w:pPr>
              <w:widowControl w:val="0"/>
              <w:jc w:val="both"/>
            </w:pPr>
            <w:r>
              <w:rPr>
                <w:rFonts w:ascii="Times New Roman" w:hAnsi="Times New Roman"/>
                <w:b w:val="0"/>
                <w:sz w:val="22"/>
              </w:rPr>
              <w:t>15,8%</w:t>
            </w:r>
          </w:p>
        </w:tc>
        <w:tc>
          <w:tcPr>
            <w:tcW w:w="2300" w:type="dxa"/>
          </w:tcPr>
          <w:p w14:paraId="7342A92E">
            <w:pPr>
              <w:widowControl w:val="0"/>
              <w:jc w:val="both"/>
            </w:pPr>
            <w:r>
              <w:rPr>
                <w:rFonts w:ascii="Times New Roman" w:hAnsi="Times New Roman"/>
                <w:b w:val="0"/>
                <w:sz w:val="22"/>
              </w:rPr>
              <w:t>10,0%</w:t>
            </w:r>
          </w:p>
        </w:tc>
        <w:tc>
          <w:tcPr>
            <w:tcW w:w="2300" w:type="dxa"/>
          </w:tcPr>
          <w:p w14:paraId="42BFAC90">
            <w:pPr>
              <w:widowControl w:val="0"/>
              <w:jc w:val="both"/>
            </w:pPr>
            <w:r>
              <w:rPr>
                <w:rFonts w:ascii="Times New Roman" w:hAnsi="Times New Roman"/>
                <w:b w:val="0"/>
                <w:sz w:val="22"/>
              </w:rPr>
              <w:t>9,0%</w:t>
            </w:r>
          </w:p>
        </w:tc>
      </w:tr>
      <w:tr w14:paraId="1DE40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025B41CD">
            <w:pPr>
              <w:widowControl w:val="0"/>
              <w:jc w:val="both"/>
            </w:pPr>
            <w:r>
              <w:rPr>
                <w:rFonts w:ascii="Times New Roman" w:hAnsi="Times New Roman"/>
                <w:b w:val="0"/>
                <w:sz w:val="22"/>
              </w:rPr>
              <w:t>Количество отклоненных заявок</w:t>
            </w:r>
          </w:p>
        </w:tc>
        <w:tc>
          <w:tcPr>
            <w:tcW w:w="2300" w:type="dxa"/>
          </w:tcPr>
          <w:p w14:paraId="5762FA8B">
            <w:pPr>
              <w:widowControl w:val="0"/>
              <w:jc w:val="both"/>
            </w:pPr>
            <w:r>
              <w:rPr>
                <w:rFonts w:ascii="Times New Roman" w:hAnsi="Times New Roman"/>
                <w:b w:val="0"/>
                <w:sz w:val="22"/>
              </w:rPr>
              <w:t>24</w:t>
            </w:r>
          </w:p>
        </w:tc>
        <w:tc>
          <w:tcPr>
            <w:tcW w:w="2300" w:type="dxa"/>
          </w:tcPr>
          <w:p w14:paraId="723C2626">
            <w:pPr>
              <w:widowControl w:val="0"/>
              <w:jc w:val="both"/>
            </w:pPr>
            <w:r>
              <w:rPr>
                <w:rFonts w:ascii="Times New Roman" w:hAnsi="Times New Roman"/>
                <w:b w:val="0"/>
                <w:sz w:val="22"/>
              </w:rPr>
              <w:t>15</w:t>
            </w:r>
          </w:p>
        </w:tc>
        <w:tc>
          <w:tcPr>
            <w:tcW w:w="2300" w:type="dxa"/>
          </w:tcPr>
          <w:p w14:paraId="775A587A">
            <w:pPr>
              <w:widowControl w:val="0"/>
              <w:jc w:val="both"/>
            </w:pPr>
            <w:r>
              <w:rPr>
                <w:rFonts w:ascii="Times New Roman" w:hAnsi="Times New Roman"/>
                <w:b w:val="0"/>
                <w:sz w:val="22"/>
              </w:rPr>
              <w:t>14</w:t>
            </w:r>
          </w:p>
        </w:tc>
      </w:tr>
      <w:tr w14:paraId="504A6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785A628">
            <w:pPr>
              <w:widowControl w:val="0"/>
              <w:jc w:val="both"/>
            </w:pPr>
            <w:r>
              <w:rPr>
                <w:rFonts w:ascii="Times New Roman" w:hAnsi="Times New Roman"/>
                <w:b w:val="0"/>
                <w:sz w:val="22"/>
              </w:rPr>
              <w:t>Количество выигранных контрактов</w:t>
            </w:r>
          </w:p>
        </w:tc>
        <w:tc>
          <w:tcPr>
            <w:tcW w:w="2300" w:type="dxa"/>
          </w:tcPr>
          <w:p w14:paraId="65A3852E">
            <w:pPr>
              <w:widowControl w:val="0"/>
              <w:jc w:val="both"/>
            </w:pPr>
            <w:r>
              <w:rPr>
                <w:rFonts w:ascii="Times New Roman" w:hAnsi="Times New Roman"/>
                <w:b w:val="0"/>
                <w:sz w:val="22"/>
              </w:rPr>
              <w:t>35</w:t>
            </w:r>
          </w:p>
        </w:tc>
        <w:tc>
          <w:tcPr>
            <w:tcW w:w="2300" w:type="dxa"/>
          </w:tcPr>
          <w:p w14:paraId="7CA3B917">
            <w:pPr>
              <w:widowControl w:val="0"/>
              <w:jc w:val="both"/>
            </w:pPr>
            <w:r>
              <w:rPr>
                <w:rFonts w:ascii="Times New Roman" w:hAnsi="Times New Roman"/>
                <w:b w:val="0"/>
                <w:sz w:val="22"/>
              </w:rPr>
              <w:t>38</w:t>
            </w:r>
          </w:p>
        </w:tc>
        <w:tc>
          <w:tcPr>
            <w:tcW w:w="2300" w:type="dxa"/>
          </w:tcPr>
          <w:p w14:paraId="0ECED46B">
            <w:pPr>
              <w:widowControl w:val="0"/>
              <w:jc w:val="both"/>
            </w:pPr>
            <w:r>
              <w:rPr>
                <w:rFonts w:ascii="Times New Roman" w:hAnsi="Times New Roman"/>
                <w:b w:val="0"/>
                <w:sz w:val="22"/>
              </w:rPr>
              <w:t>39</w:t>
            </w:r>
          </w:p>
        </w:tc>
      </w:tr>
      <w:tr w14:paraId="3B3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45A6257">
            <w:pPr>
              <w:widowControl w:val="0"/>
              <w:jc w:val="both"/>
            </w:pPr>
            <w:r>
              <w:rPr>
                <w:rFonts w:ascii="Times New Roman" w:hAnsi="Times New Roman"/>
                <w:b w:val="0"/>
                <w:sz w:val="22"/>
              </w:rPr>
              <w:t>Конверсия из заявки в победу</w:t>
            </w:r>
          </w:p>
        </w:tc>
        <w:tc>
          <w:tcPr>
            <w:tcW w:w="2300" w:type="dxa"/>
          </w:tcPr>
          <w:p w14:paraId="76DDA05D">
            <w:pPr>
              <w:widowControl w:val="0"/>
              <w:jc w:val="both"/>
            </w:pPr>
            <w:r>
              <w:rPr>
                <w:rFonts w:ascii="Times New Roman" w:hAnsi="Times New Roman"/>
                <w:b w:val="0"/>
                <w:sz w:val="22"/>
              </w:rPr>
              <w:t>23,0%</w:t>
            </w:r>
          </w:p>
        </w:tc>
        <w:tc>
          <w:tcPr>
            <w:tcW w:w="2300" w:type="dxa"/>
          </w:tcPr>
          <w:p w14:paraId="0A39349D">
            <w:pPr>
              <w:widowControl w:val="0"/>
              <w:jc w:val="both"/>
            </w:pPr>
            <w:r>
              <w:rPr>
                <w:rFonts w:ascii="Times New Roman" w:hAnsi="Times New Roman"/>
                <w:b w:val="0"/>
                <w:sz w:val="22"/>
              </w:rPr>
              <w:t>25,0%</w:t>
            </w:r>
          </w:p>
        </w:tc>
        <w:tc>
          <w:tcPr>
            <w:tcW w:w="2300" w:type="dxa"/>
          </w:tcPr>
          <w:p w14:paraId="1E51E555">
            <w:pPr>
              <w:widowControl w:val="0"/>
              <w:jc w:val="both"/>
            </w:pPr>
            <w:r>
              <w:rPr>
                <w:rFonts w:ascii="Times New Roman" w:hAnsi="Times New Roman"/>
                <w:b w:val="0"/>
                <w:sz w:val="22"/>
              </w:rPr>
              <w:t>25,7%</w:t>
            </w:r>
          </w:p>
        </w:tc>
      </w:tr>
      <w:tr w14:paraId="4A1D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28825EA">
            <w:pPr>
              <w:widowControl w:val="0"/>
              <w:jc w:val="both"/>
            </w:pPr>
            <w:r>
              <w:rPr>
                <w:rFonts w:ascii="Times New Roman" w:hAnsi="Times New Roman"/>
                <w:b w:val="0"/>
                <w:sz w:val="22"/>
              </w:rPr>
              <w:t>Средняя цена контракта, тыс. руб.</w:t>
            </w:r>
          </w:p>
        </w:tc>
        <w:tc>
          <w:tcPr>
            <w:tcW w:w="2300" w:type="dxa"/>
          </w:tcPr>
          <w:p w14:paraId="7A61BF22">
            <w:pPr>
              <w:widowControl w:val="0"/>
              <w:jc w:val="both"/>
            </w:pPr>
            <w:r>
              <w:rPr>
                <w:rFonts w:ascii="Times New Roman" w:hAnsi="Times New Roman"/>
                <w:b w:val="0"/>
                <w:sz w:val="22"/>
              </w:rPr>
              <w:t>881</w:t>
            </w:r>
          </w:p>
        </w:tc>
        <w:tc>
          <w:tcPr>
            <w:tcW w:w="2300" w:type="dxa"/>
          </w:tcPr>
          <w:p w14:paraId="0BC4F336">
            <w:pPr>
              <w:widowControl w:val="0"/>
              <w:jc w:val="both"/>
            </w:pPr>
            <w:r>
              <w:rPr>
                <w:rFonts w:ascii="Times New Roman" w:hAnsi="Times New Roman"/>
                <w:b w:val="0"/>
                <w:sz w:val="22"/>
              </w:rPr>
              <w:t>881</w:t>
            </w:r>
          </w:p>
        </w:tc>
        <w:tc>
          <w:tcPr>
            <w:tcW w:w="2300" w:type="dxa"/>
          </w:tcPr>
          <w:p w14:paraId="0D5D38B5">
            <w:pPr>
              <w:widowControl w:val="0"/>
              <w:jc w:val="both"/>
            </w:pPr>
            <w:r>
              <w:rPr>
                <w:rFonts w:ascii="Times New Roman" w:hAnsi="Times New Roman"/>
                <w:b w:val="0"/>
                <w:sz w:val="22"/>
              </w:rPr>
              <w:t>881</w:t>
            </w:r>
          </w:p>
        </w:tc>
      </w:tr>
    </w:tbl>
    <w:p w14:paraId="59FE3FD4">
      <w:pPr>
        <w:spacing w:after="120" w:line="360" w:lineRule="auto"/>
        <w:ind w:firstLine="700"/>
      </w:pPr>
    </w:p>
    <w:p w14:paraId="3C540B11">
      <w:pPr>
        <w:spacing w:after="120" w:line="360" w:lineRule="auto"/>
        <w:ind w:firstLine="700"/>
      </w:pPr>
      <w:r>
        <w:rPr>
          <w:rFonts w:ascii="Times New Roman" w:hAnsi="Times New Roman"/>
          <w:b w:val="0"/>
          <w:sz w:val="28"/>
        </w:rPr>
        <w:t>Экономический эффект рассчитывается по трем направлениям. Первое направление — дополнительный маржинальный доход от роста количества выигранных контрактов. В расчетах принимается средняя цена контракта 881 тыс. руб. и средняя маржинальность 12%. Такой уровень соответствует бизнес-модели компании, где при выборе закупок ориентиром является маржа не ниже 10-15%.</w:t>
      </w:r>
    </w:p>
    <w:p w14:paraId="72D0F394">
      <w:pPr>
        <w:spacing w:after="120" w:line="360" w:lineRule="auto"/>
        <w:ind w:firstLine="700"/>
      </w:pPr>
      <w:r>
        <w:rPr>
          <w:rFonts w:ascii="Times New Roman" w:hAnsi="Times New Roman"/>
          <w:b w:val="0"/>
          <w:sz w:val="28"/>
        </w:rPr>
        <w:t>В первый год ожидается прирост на 3 выигранных контракта: с 35 до 38. Дополнительная выручка составит 2 643 тыс. руб. (881 тыс. руб. × 3 контракта). При маржинальности 12% дополнительный маржинальный доход составит 317,2 тыс. руб. Во второй и третий годы ожидается закрепление эффекта на уровне 4 дополнительных контрактов по сравнению с базовым уровнем, что дает 3 524 тыс. руб. дополнительной выручки и 422,9 тыс. руб. маржинального дохода ежегодно.</w:t>
      </w:r>
    </w:p>
    <w:p w14:paraId="4394E329">
      <w:pPr>
        <w:spacing w:after="120" w:line="360" w:lineRule="auto"/>
        <w:ind w:firstLine="700"/>
      </w:pPr>
      <w:r>
        <w:rPr>
          <w:rFonts w:ascii="Times New Roman" w:hAnsi="Times New Roman"/>
          <w:b w:val="0"/>
          <w:sz w:val="28"/>
        </w:rPr>
        <w:t>Второе направление эффекта — экономия рабочего времени за счет снижения количества отклоненных заявок. Подготовка одной заявки, которая затем отклоняется по формальным причинам, означает потерю рабочего времени тендерного специалиста. Для расчета принимается, что на подготовку одной заявки затрачивается в среднем 8 часов. Среднемесячная выплата тендерного специалиста составляет 63 175 руб., при норме 168 часов в месяц стоимость одного часа равна 376 руб. Снижение отклоненных заявок на 9 единиц дает экономию 27,1 тыс. руб. в год (9 × 8 × 376).</w:t>
      </w:r>
    </w:p>
    <w:p w14:paraId="55A9E431">
      <w:pPr>
        <w:spacing w:after="120" w:line="360" w:lineRule="auto"/>
        <w:ind w:firstLine="700"/>
      </w:pPr>
      <w:r>
        <w:rPr>
          <w:rFonts w:ascii="Times New Roman" w:hAnsi="Times New Roman"/>
          <w:b w:val="0"/>
          <w:sz w:val="28"/>
        </w:rPr>
        <w:t>Третье направление эффекта — снижение затрат на текучесть персонала. Во второй главе указано, что в 2025 году на подбор персонала было направлено 170 тыс. руб., при этом из тендерного отдела выбыло 3 сотрудника. Средняя стоимость замещения одного сотрудника составляет около 56,7 тыс. руб. Если внедрение адаптации и наставничества позволит сократить выбытие хотя бы на одного сотрудника в год, экономия составит 56,7 тыс. руб.</w:t>
      </w:r>
    </w:p>
    <w:p w14:paraId="5994132E">
      <w:pPr>
        <w:spacing w:after="120" w:line="360" w:lineRule="auto"/>
        <w:jc w:val="center"/>
      </w:pPr>
      <w:r>
        <w:rPr>
          <w:rFonts w:ascii="Times New Roman" w:hAnsi="Times New Roman"/>
          <w:b w:val="0"/>
          <w:sz w:val="28"/>
        </w:rPr>
        <w:t>Таблица 3.9. Расчет годового экономического эффекта</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61345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300" w:type="dxa"/>
          </w:tcPr>
          <w:p w14:paraId="435E249C">
            <w:pPr>
              <w:widowControl w:val="0"/>
              <w:jc w:val="both"/>
            </w:pPr>
            <w:r>
              <w:rPr>
                <w:rFonts w:ascii="Times New Roman" w:hAnsi="Times New Roman"/>
                <w:b/>
                <w:sz w:val="22"/>
              </w:rPr>
              <w:t>Направление эффекта</w:t>
            </w:r>
          </w:p>
        </w:tc>
        <w:tc>
          <w:tcPr>
            <w:tcW w:w="2300" w:type="dxa"/>
          </w:tcPr>
          <w:p w14:paraId="5F18665B">
            <w:pPr>
              <w:widowControl w:val="0"/>
              <w:jc w:val="both"/>
            </w:pPr>
            <w:r>
              <w:rPr>
                <w:rFonts w:ascii="Times New Roman" w:hAnsi="Times New Roman"/>
                <w:b/>
                <w:sz w:val="22"/>
              </w:rPr>
              <w:t>Формула расчета</w:t>
            </w:r>
          </w:p>
        </w:tc>
        <w:tc>
          <w:tcPr>
            <w:tcW w:w="2300" w:type="dxa"/>
          </w:tcPr>
          <w:p w14:paraId="54E41D2E">
            <w:pPr>
              <w:widowControl w:val="0"/>
              <w:jc w:val="both"/>
            </w:pPr>
            <w:r>
              <w:rPr>
                <w:rFonts w:ascii="Times New Roman" w:hAnsi="Times New Roman"/>
                <w:b/>
                <w:sz w:val="22"/>
              </w:rPr>
              <w:t>1 год, тыс. руб.</w:t>
            </w:r>
          </w:p>
        </w:tc>
        <w:tc>
          <w:tcPr>
            <w:tcW w:w="2300" w:type="dxa"/>
          </w:tcPr>
          <w:p w14:paraId="3E2ECDCE">
            <w:pPr>
              <w:widowControl w:val="0"/>
              <w:jc w:val="both"/>
            </w:pPr>
            <w:r>
              <w:rPr>
                <w:rFonts w:ascii="Times New Roman" w:hAnsi="Times New Roman"/>
                <w:b/>
                <w:sz w:val="22"/>
              </w:rPr>
              <w:t>2-3 год, тыс. руб.</w:t>
            </w:r>
          </w:p>
        </w:tc>
      </w:tr>
      <w:tr w14:paraId="101DC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FAC5E6C">
            <w:pPr>
              <w:widowControl w:val="0"/>
              <w:jc w:val="both"/>
            </w:pPr>
            <w:r>
              <w:rPr>
                <w:rFonts w:ascii="Times New Roman" w:hAnsi="Times New Roman"/>
                <w:b w:val="0"/>
                <w:sz w:val="22"/>
              </w:rPr>
              <w:t>Дополнительный маржинальный доход</w:t>
            </w:r>
          </w:p>
        </w:tc>
        <w:tc>
          <w:tcPr>
            <w:tcW w:w="2300" w:type="dxa"/>
          </w:tcPr>
          <w:p w14:paraId="6E5DC3E3">
            <w:pPr>
              <w:widowControl w:val="0"/>
              <w:jc w:val="both"/>
            </w:pPr>
            <w:r>
              <w:rPr>
                <w:rFonts w:ascii="Times New Roman" w:hAnsi="Times New Roman"/>
                <w:b w:val="0"/>
                <w:sz w:val="22"/>
              </w:rPr>
              <w:t>Доп. контракты × 881 тыс. руб. × 12%</w:t>
            </w:r>
          </w:p>
        </w:tc>
        <w:tc>
          <w:tcPr>
            <w:tcW w:w="2300" w:type="dxa"/>
          </w:tcPr>
          <w:p w14:paraId="2C407DBD">
            <w:pPr>
              <w:widowControl w:val="0"/>
              <w:jc w:val="both"/>
            </w:pPr>
            <w:r>
              <w:rPr>
                <w:rFonts w:ascii="Times New Roman" w:hAnsi="Times New Roman"/>
                <w:b w:val="0"/>
                <w:sz w:val="22"/>
              </w:rPr>
              <w:t>317,2</w:t>
            </w:r>
          </w:p>
        </w:tc>
        <w:tc>
          <w:tcPr>
            <w:tcW w:w="2300" w:type="dxa"/>
          </w:tcPr>
          <w:p w14:paraId="1A85F841">
            <w:pPr>
              <w:widowControl w:val="0"/>
              <w:jc w:val="both"/>
            </w:pPr>
            <w:r>
              <w:rPr>
                <w:rFonts w:ascii="Times New Roman" w:hAnsi="Times New Roman"/>
                <w:b w:val="0"/>
                <w:sz w:val="22"/>
              </w:rPr>
              <w:t>422,9</w:t>
            </w:r>
          </w:p>
        </w:tc>
      </w:tr>
      <w:tr w14:paraId="799F8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EB4DA1D">
            <w:pPr>
              <w:widowControl w:val="0"/>
              <w:jc w:val="both"/>
            </w:pPr>
            <w:r>
              <w:rPr>
                <w:rFonts w:ascii="Times New Roman" w:hAnsi="Times New Roman"/>
                <w:b w:val="0"/>
                <w:sz w:val="22"/>
              </w:rPr>
              <w:t>Экономия времени на отклоненных заявках</w:t>
            </w:r>
          </w:p>
        </w:tc>
        <w:tc>
          <w:tcPr>
            <w:tcW w:w="2300" w:type="dxa"/>
          </w:tcPr>
          <w:p w14:paraId="6D19BECC">
            <w:pPr>
              <w:widowControl w:val="0"/>
              <w:jc w:val="both"/>
            </w:pPr>
            <w:r>
              <w:rPr>
                <w:rFonts w:ascii="Times New Roman" w:hAnsi="Times New Roman"/>
                <w:b w:val="0"/>
                <w:sz w:val="22"/>
              </w:rPr>
              <w:t>Снижение отклонений × 8 ч × 376 руб.</w:t>
            </w:r>
          </w:p>
        </w:tc>
        <w:tc>
          <w:tcPr>
            <w:tcW w:w="2300" w:type="dxa"/>
          </w:tcPr>
          <w:p w14:paraId="418CA3D6">
            <w:pPr>
              <w:widowControl w:val="0"/>
              <w:jc w:val="both"/>
            </w:pPr>
            <w:r>
              <w:rPr>
                <w:rFonts w:ascii="Times New Roman" w:hAnsi="Times New Roman"/>
                <w:b w:val="0"/>
                <w:sz w:val="22"/>
              </w:rPr>
              <w:t>27,1</w:t>
            </w:r>
          </w:p>
        </w:tc>
        <w:tc>
          <w:tcPr>
            <w:tcW w:w="2300" w:type="dxa"/>
          </w:tcPr>
          <w:p w14:paraId="57840A11">
            <w:pPr>
              <w:widowControl w:val="0"/>
              <w:jc w:val="both"/>
            </w:pPr>
            <w:r>
              <w:rPr>
                <w:rFonts w:ascii="Times New Roman" w:hAnsi="Times New Roman"/>
                <w:b w:val="0"/>
                <w:sz w:val="22"/>
              </w:rPr>
              <w:t>30,1</w:t>
            </w:r>
          </w:p>
        </w:tc>
      </w:tr>
      <w:tr w14:paraId="20FB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F40DEC8">
            <w:pPr>
              <w:widowControl w:val="0"/>
              <w:jc w:val="both"/>
            </w:pPr>
            <w:r>
              <w:rPr>
                <w:rFonts w:ascii="Times New Roman" w:hAnsi="Times New Roman"/>
                <w:b w:val="0"/>
                <w:sz w:val="22"/>
              </w:rPr>
              <w:t>Экономия на снижении текучести</w:t>
            </w:r>
          </w:p>
        </w:tc>
        <w:tc>
          <w:tcPr>
            <w:tcW w:w="2300" w:type="dxa"/>
          </w:tcPr>
          <w:p w14:paraId="1B7F9B6C">
            <w:pPr>
              <w:widowControl w:val="0"/>
              <w:jc w:val="both"/>
            </w:pPr>
            <w:r>
              <w:rPr>
                <w:rFonts w:ascii="Times New Roman" w:hAnsi="Times New Roman"/>
                <w:b w:val="0"/>
                <w:sz w:val="22"/>
              </w:rPr>
              <w:t>1 сотрудник × 56,7 тыс. руб.</w:t>
            </w:r>
          </w:p>
        </w:tc>
        <w:tc>
          <w:tcPr>
            <w:tcW w:w="2300" w:type="dxa"/>
          </w:tcPr>
          <w:p w14:paraId="36CA032E">
            <w:pPr>
              <w:widowControl w:val="0"/>
              <w:jc w:val="both"/>
            </w:pPr>
            <w:r>
              <w:rPr>
                <w:rFonts w:ascii="Times New Roman" w:hAnsi="Times New Roman"/>
                <w:b w:val="0"/>
                <w:sz w:val="22"/>
              </w:rPr>
              <w:t>56,7</w:t>
            </w:r>
          </w:p>
        </w:tc>
        <w:tc>
          <w:tcPr>
            <w:tcW w:w="2300" w:type="dxa"/>
          </w:tcPr>
          <w:p w14:paraId="56FF23A2">
            <w:pPr>
              <w:widowControl w:val="0"/>
              <w:jc w:val="both"/>
            </w:pPr>
            <w:r>
              <w:rPr>
                <w:rFonts w:ascii="Times New Roman" w:hAnsi="Times New Roman"/>
                <w:b w:val="0"/>
                <w:sz w:val="22"/>
              </w:rPr>
              <w:t>56,7</w:t>
            </w:r>
          </w:p>
        </w:tc>
      </w:tr>
      <w:tr w14:paraId="21B7B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BDE7A23">
            <w:pPr>
              <w:widowControl w:val="0"/>
              <w:jc w:val="both"/>
            </w:pPr>
            <w:r>
              <w:rPr>
                <w:rFonts w:ascii="Times New Roman" w:hAnsi="Times New Roman"/>
                <w:b w:val="0"/>
                <w:sz w:val="22"/>
              </w:rPr>
              <w:t>Итого валовой эффект</w:t>
            </w:r>
          </w:p>
        </w:tc>
        <w:tc>
          <w:tcPr>
            <w:tcW w:w="2300" w:type="dxa"/>
          </w:tcPr>
          <w:p w14:paraId="6F053CC7">
            <w:pPr>
              <w:widowControl w:val="0"/>
              <w:jc w:val="both"/>
            </w:pPr>
            <w:r>
              <w:rPr>
                <w:rFonts w:ascii="Times New Roman" w:hAnsi="Times New Roman"/>
                <w:b w:val="0"/>
                <w:sz w:val="22"/>
              </w:rPr>
              <w:t>-</w:t>
            </w:r>
          </w:p>
        </w:tc>
        <w:tc>
          <w:tcPr>
            <w:tcW w:w="2300" w:type="dxa"/>
          </w:tcPr>
          <w:p w14:paraId="702662B7">
            <w:pPr>
              <w:widowControl w:val="0"/>
              <w:jc w:val="both"/>
            </w:pPr>
            <w:r>
              <w:rPr>
                <w:rFonts w:ascii="Times New Roman" w:hAnsi="Times New Roman"/>
                <w:b w:val="0"/>
                <w:sz w:val="22"/>
              </w:rPr>
              <w:t>401,0</w:t>
            </w:r>
          </w:p>
        </w:tc>
        <w:tc>
          <w:tcPr>
            <w:tcW w:w="2300" w:type="dxa"/>
          </w:tcPr>
          <w:p w14:paraId="0A492682">
            <w:pPr>
              <w:widowControl w:val="0"/>
              <w:jc w:val="both"/>
            </w:pPr>
            <w:r>
              <w:rPr>
                <w:rFonts w:ascii="Times New Roman" w:hAnsi="Times New Roman"/>
                <w:b w:val="0"/>
                <w:sz w:val="22"/>
              </w:rPr>
              <w:t>509,7</w:t>
            </w:r>
          </w:p>
        </w:tc>
      </w:tr>
    </w:tbl>
    <w:p w14:paraId="63EA8D10">
      <w:pPr>
        <w:spacing w:after="120" w:line="360" w:lineRule="auto"/>
        <w:ind w:firstLine="700"/>
      </w:pPr>
    </w:p>
    <w:p w14:paraId="58E88072">
      <w:pPr>
        <w:spacing w:after="120" w:line="360" w:lineRule="auto"/>
        <w:ind w:firstLine="700"/>
      </w:pPr>
      <w:r>
        <w:rPr>
          <w:rFonts w:ascii="Times New Roman" w:hAnsi="Times New Roman"/>
          <w:b w:val="0"/>
          <w:sz w:val="28"/>
        </w:rPr>
        <w:t>Первоначальные затраты на внедрение составляют 474,456 тыс. руб. Поддерживающие ежегодные расходы после первого года составляют 154 тыс. руб. Следовательно, в первый год проект почти выходит на операционную окупаемость, но полный финансовый эффект проявляется на горизонте двух-трех лет, поскольку часть затрат первого года носит разовый характер.</w:t>
      </w:r>
    </w:p>
    <w:p w14:paraId="75EB3699">
      <w:pPr>
        <w:spacing w:after="120" w:line="360" w:lineRule="auto"/>
        <w:ind w:firstLine="700"/>
      </w:pPr>
      <w:r>
        <w:rPr>
          <w:rFonts w:ascii="Times New Roman" w:hAnsi="Times New Roman"/>
          <w:b w:val="0"/>
          <w:sz w:val="28"/>
        </w:rPr>
        <w:t>Для оценки эффективности используются показатели: чистый экономический эффект, ROI, срок окупаемости и дисконтированный доход. Поскольку мероприятия не требуют привлечения внешнего инвестора и финансируются за счет собственных средств компании, расчет дисконтированного дохода проводится для оценки управленческой целесообразности проекта. В качестве ставки дисконтирования используется ключевая ставка Банка России 14,5% годовых на апрель 2026 года [50].</w:t>
      </w:r>
    </w:p>
    <w:p w14:paraId="21B362D9">
      <w:pPr>
        <w:spacing w:after="120" w:line="360" w:lineRule="auto"/>
        <w:jc w:val="center"/>
      </w:pPr>
      <w:r>
        <w:rPr>
          <w:rFonts w:ascii="Times New Roman" w:hAnsi="Times New Roman"/>
          <w:b w:val="0"/>
          <w:sz w:val="28"/>
        </w:rPr>
        <w:t>Таблица 3.10. Денежные потоки проекта совершенствования системы обучения</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0"/>
        <w:gridCol w:w="2300"/>
        <w:gridCol w:w="2300"/>
        <w:gridCol w:w="2300"/>
      </w:tblGrid>
      <w:tr w14:paraId="0DFAC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6243BF1">
            <w:pPr>
              <w:widowControl w:val="0"/>
              <w:jc w:val="both"/>
            </w:pPr>
            <w:r>
              <w:rPr>
                <w:rFonts w:ascii="Times New Roman" w:hAnsi="Times New Roman"/>
                <w:b/>
                <w:sz w:val="22"/>
              </w:rPr>
              <w:t>Показатель</w:t>
            </w:r>
          </w:p>
        </w:tc>
        <w:tc>
          <w:tcPr>
            <w:tcW w:w="2300" w:type="dxa"/>
          </w:tcPr>
          <w:p w14:paraId="73B36FC8">
            <w:pPr>
              <w:widowControl w:val="0"/>
              <w:jc w:val="both"/>
            </w:pPr>
            <w:r>
              <w:rPr>
                <w:rFonts w:ascii="Times New Roman" w:hAnsi="Times New Roman"/>
                <w:b/>
                <w:sz w:val="22"/>
              </w:rPr>
              <w:t>1 год</w:t>
            </w:r>
          </w:p>
        </w:tc>
        <w:tc>
          <w:tcPr>
            <w:tcW w:w="2300" w:type="dxa"/>
          </w:tcPr>
          <w:p w14:paraId="0882E204">
            <w:pPr>
              <w:widowControl w:val="0"/>
              <w:jc w:val="both"/>
            </w:pPr>
            <w:r>
              <w:rPr>
                <w:rFonts w:ascii="Times New Roman" w:hAnsi="Times New Roman"/>
                <w:b/>
                <w:sz w:val="22"/>
              </w:rPr>
              <w:t>2 год</w:t>
            </w:r>
          </w:p>
        </w:tc>
        <w:tc>
          <w:tcPr>
            <w:tcW w:w="2300" w:type="dxa"/>
          </w:tcPr>
          <w:p w14:paraId="3A8B8A17">
            <w:pPr>
              <w:widowControl w:val="0"/>
              <w:jc w:val="both"/>
            </w:pPr>
            <w:r>
              <w:rPr>
                <w:rFonts w:ascii="Times New Roman" w:hAnsi="Times New Roman"/>
                <w:b/>
                <w:sz w:val="22"/>
              </w:rPr>
              <w:t>3 год</w:t>
            </w:r>
          </w:p>
        </w:tc>
      </w:tr>
      <w:tr w14:paraId="7BD17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568B7624">
            <w:pPr>
              <w:widowControl w:val="0"/>
              <w:jc w:val="both"/>
            </w:pPr>
            <w:r>
              <w:rPr>
                <w:rFonts w:ascii="Times New Roman" w:hAnsi="Times New Roman"/>
                <w:b w:val="0"/>
                <w:sz w:val="22"/>
              </w:rPr>
              <w:t>Валовой экономический эффект, тыс. руб.</w:t>
            </w:r>
          </w:p>
        </w:tc>
        <w:tc>
          <w:tcPr>
            <w:tcW w:w="2300" w:type="dxa"/>
          </w:tcPr>
          <w:p w14:paraId="0313FA05">
            <w:pPr>
              <w:widowControl w:val="0"/>
              <w:jc w:val="both"/>
            </w:pPr>
            <w:r>
              <w:rPr>
                <w:rFonts w:ascii="Times New Roman" w:hAnsi="Times New Roman"/>
                <w:b w:val="0"/>
                <w:sz w:val="22"/>
              </w:rPr>
              <w:t>401,0</w:t>
            </w:r>
          </w:p>
        </w:tc>
        <w:tc>
          <w:tcPr>
            <w:tcW w:w="2300" w:type="dxa"/>
          </w:tcPr>
          <w:p w14:paraId="56323B02">
            <w:pPr>
              <w:widowControl w:val="0"/>
              <w:jc w:val="both"/>
            </w:pPr>
            <w:r>
              <w:rPr>
                <w:rFonts w:ascii="Times New Roman" w:hAnsi="Times New Roman"/>
                <w:b w:val="0"/>
                <w:sz w:val="22"/>
              </w:rPr>
              <w:t>509,7</w:t>
            </w:r>
          </w:p>
        </w:tc>
        <w:tc>
          <w:tcPr>
            <w:tcW w:w="2300" w:type="dxa"/>
          </w:tcPr>
          <w:p w14:paraId="4730E922">
            <w:pPr>
              <w:widowControl w:val="0"/>
              <w:jc w:val="both"/>
            </w:pPr>
            <w:r>
              <w:rPr>
                <w:rFonts w:ascii="Times New Roman" w:hAnsi="Times New Roman"/>
                <w:b w:val="0"/>
                <w:sz w:val="22"/>
              </w:rPr>
              <w:t>509,7</w:t>
            </w:r>
          </w:p>
        </w:tc>
      </w:tr>
      <w:tr w14:paraId="78D82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7EED76EF">
            <w:pPr>
              <w:widowControl w:val="0"/>
              <w:jc w:val="both"/>
            </w:pPr>
            <w:r>
              <w:rPr>
                <w:rFonts w:ascii="Times New Roman" w:hAnsi="Times New Roman"/>
                <w:b w:val="0"/>
                <w:sz w:val="22"/>
              </w:rPr>
              <w:t>Затраты, тыс. руб.</w:t>
            </w:r>
          </w:p>
        </w:tc>
        <w:tc>
          <w:tcPr>
            <w:tcW w:w="2300" w:type="dxa"/>
          </w:tcPr>
          <w:p w14:paraId="3E78BE82">
            <w:pPr>
              <w:widowControl w:val="0"/>
              <w:jc w:val="both"/>
            </w:pPr>
            <w:r>
              <w:rPr>
                <w:rFonts w:ascii="Times New Roman" w:hAnsi="Times New Roman"/>
                <w:b w:val="0"/>
                <w:sz w:val="22"/>
              </w:rPr>
              <w:t>474,5</w:t>
            </w:r>
          </w:p>
        </w:tc>
        <w:tc>
          <w:tcPr>
            <w:tcW w:w="2300" w:type="dxa"/>
          </w:tcPr>
          <w:p w14:paraId="2409B6BC">
            <w:pPr>
              <w:widowControl w:val="0"/>
              <w:jc w:val="both"/>
            </w:pPr>
            <w:r>
              <w:rPr>
                <w:rFonts w:ascii="Times New Roman" w:hAnsi="Times New Roman"/>
                <w:b w:val="0"/>
                <w:sz w:val="22"/>
              </w:rPr>
              <w:t>154,0</w:t>
            </w:r>
          </w:p>
        </w:tc>
        <w:tc>
          <w:tcPr>
            <w:tcW w:w="2300" w:type="dxa"/>
          </w:tcPr>
          <w:p w14:paraId="17AF83A3">
            <w:pPr>
              <w:widowControl w:val="0"/>
              <w:jc w:val="both"/>
            </w:pPr>
            <w:r>
              <w:rPr>
                <w:rFonts w:ascii="Times New Roman" w:hAnsi="Times New Roman"/>
                <w:b w:val="0"/>
                <w:sz w:val="22"/>
              </w:rPr>
              <w:t>154,0</w:t>
            </w:r>
          </w:p>
        </w:tc>
      </w:tr>
      <w:tr w14:paraId="09AB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672AC989">
            <w:pPr>
              <w:widowControl w:val="0"/>
              <w:jc w:val="both"/>
            </w:pPr>
            <w:r>
              <w:rPr>
                <w:rFonts w:ascii="Times New Roman" w:hAnsi="Times New Roman"/>
                <w:b w:val="0"/>
                <w:sz w:val="22"/>
              </w:rPr>
              <w:t>Чистый денежный поток, тыс. руб.</w:t>
            </w:r>
          </w:p>
        </w:tc>
        <w:tc>
          <w:tcPr>
            <w:tcW w:w="2300" w:type="dxa"/>
          </w:tcPr>
          <w:p w14:paraId="54A35502">
            <w:pPr>
              <w:widowControl w:val="0"/>
              <w:jc w:val="both"/>
            </w:pPr>
            <w:r>
              <w:rPr>
                <w:rFonts w:ascii="Times New Roman" w:hAnsi="Times New Roman"/>
                <w:b w:val="0"/>
                <w:sz w:val="22"/>
              </w:rPr>
              <w:t>-73,5</w:t>
            </w:r>
          </w:p>
        </w:tc>
        <w:tc>
          <w:tcPr>
            <w:tcW w:w="2300" w:type="dxa"/>
          </w:tcPr>
          <w:p w14:paraId="4285AD08">
            <w:pPr>
              <w:widowControl w:val="0"/>
              <w:jc w:val="both"/>
            </w:pPr>
            <w:r>
              <w:rPr>
                <w:rFonts w:ascii="Times New Roman" w:hAnsi="Times New Roman"/>
                <w:b w:val="0"/>
                <w:sz w:val="22"/>
              </w:rPr>
              <w:t>355,7</w:t>
            </w:r>
          </w:p>
        </w:tc>
        <w:tc>
          <w:tcPr>
            <w:tcW w:w="2300" w:type="dxa"/>
          </w:tcPr>
          <w:p w14:paraId="2AD4E4E4">
            <w:pPr>
              <w:widowControl w:val="0"/>
              <w:jc w:val="both"/>
            </w:pPr>
            <w:r>
              <w:rPr>
                <w:rFonts w:ascii="Times New Roman" w:hAnsi="Times New Roman"/>
                <w:b w:val="0"/>
                <w:sz w:val="22"/>
              </w:rPr>
              <w:t>355,7</w:t>
            </w:r>
          </w:p>
        </w:tc>
      </w:tr>
      <w:tr w14:paraId="5E83F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296B73C7">
            <w:pPr>
              <w:widowControl w:val="0"/>
              <w:jc w:val="both"/>
            </w:pPr>
            <w:r>
              <w:rPr>
                <w:rFonts w:ascii="Times New Roman" w:hAnsi="Times New Roman"/>
                <w:b w:val="0"/>
                <w:sz w:val="22"/>
              </w:rPr>
              <w:t>Коэффициент дисконтирования при 14,5%</w:t>
            </w:r>
          </w:p>
        </w:tc>
        <w:tc>
          <w:tcPr>
            <w:tcW w:w="2300" w:type="dxa"/>
          </w:tcPr>
          <w:p w14:paraId="5D58BD7C">
            <w:pPr>
              <w:widowControl w:val="0"/>
              <w:jc w:val="both"/>
            </w:pPr>
            <w:r>
              <w:rPr>
                <w:rFonts w:ascii="Times New Roman" w:hAnsi="Times New Roman"/>
                <w:b w:val="0"/>
                <w:sz w:val="22"/>
              </w:rPr>
              <w:t>0,873</w:t>
            </w:r>
          </w:p>
        </w:tc>
        <w:tc>
          <w:tcPr>
            <w:tcW w:w="2300" w:type="dxa"/>
          </w:tcPr>
          <w:p w14:paraId="4134ED68">
            <w:pPr>
              <w:widowControl w:val="0"/>
              <w:jc w:val="both"/>
            </w:pPr>
            <w:r>
              <w:rPr>
                <w:rFonts w:ascii="Times New Roman" w:hAnsi="Times New Roman"/>
                <w:b w:val="0"/>
                <w:sz w:val="22"/>
              </w:rPr>
              <w:t>0,762</w:t>
            </w:r>
          </w:p>
        </w:tc>
        <w:tc>
          <w:tcPr>
            <w:tcW w:w="2300" w:type="dxa"/>
          </w:tcPr>
          <w:p w14:paraId="5102B5C7">
            <w:pPr>
              <w:widowControl w:val="0"/>
              <w:jc w:val="both"/>
            </w:pPr>
            <w:r>
              <w:rPr>
                <w:rFonts w:ascii="Times New Roman" w:hAnsi="Times New Roman"/>
                <w:b w:val="0"/>
                <w:sz w:val="22"/>
              </w:rPr>
              <w:t>0,665</w:t>
            </w:r>
          </w:p>
        </w:tc>
      </w:tr>
      <w:tr w14:paraId="4EA98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0" w:type="dxa"/>
          </w:tcPr>
          <w:p w14:paraId="4053553F">
            <w:pPr>
              <w:widowControl w:val="0"/>
              <w:jc w:val="both"/>
            </w:pPr>
            <w:r>
              <w:rPr>
                <w:rFonts w:ascii="Times New Roman" w:hAnsi="Times New Roman"/>
                <w:b w:val="0"/>
                <w:sz w:val="22"/>
              </w:rPr>
              <w:t>Дисконтированный поток, тыс. руб.</w:t>
            </w:r>
          </w:p>
        </w:tc>
        <w:tc>
          <w:tcPr>
            <w:tcW w:w="2300" w:type="dxa"/>
          </w:tcPr>
          <w:p w14:paraId="6AAAEFA1">
            <w:pPr>
              <w:widowControl w:val="0"/>
              <w:jc w:val="both"/>
            </w:pPr>
            <w:r>
              <w:rPr>
                <w:rFonts w:ascii="Times New Roman" w:hAnsi="Times New Roman"/>
                <w:b w:val="0"/>
                <w:sz w:val="22"/>
              </w:rPr>
              <w:t>-64,2</w:t>
            </w:r>
          </w:p>
        </w:tc>
        <w:tc>
          <w:tcPr>
            <w:tcW w:w="2300" w:type="dxa"/>
          </w:tcPr>
          <w:p w14:paraId="7253D83A">
            <w:pPr>
              <w:widowControl w:val="0"/>
              <w:jc w:val="both"/>
            </w:pPr>
            <w:r>
              <w:rPr>
                <w:rFonts w:ascii="Times New Roman" w:hAnsi="Times New Roman"/>
                <w:b w:val="0"/>
                <w:sz w:val="22"/>
              </w:rPr>
              <w:t>271,0</w:t>
            </w:r>
          </w:p>
        </w:tc>
        <w:tc>
          <w:tcPr>
            <w:tcW w:w="2300" w:type="dxa"/>
          </w:tcPr>
          <w:p w14:paraId="227A4FE6">
            <w:pPr>
              <w:widowControl w:val="0"/>
              <w:jc w:val="both"/>
            </w:pPr>
            <w:r>
              <w:rPr>
                <w:rFonts w:ascii="Times New Roman" w:hAnsi="Times New Roman"/>
                <w:b w:val="0"/>
                <w:sz w:val="22"/>
              </w:rPr>
              <w:t>236,5</w:t>
            </w:r>
          </w:p>
        </w:tc>
      </w:tr>
    </w:tbl>
    <w:p w14:paraId="39DB7AD8">
      <w:pPr>
        <w:spacing w:after="120" w:line="360" w:lineRule="auto"/>
        <w:ind w:firstLine="700"/>
      </w:pPr>
    </w:p>
    <w:p w14:paraId="04EE5C2F">
      <w:pPr>
        <w:spacing w:after="120" w:line="360" w:lineRule="auto"/>
        <w:ind w:firstLine="700"/>
      </w:pPr>
      <w:r>
        <w:rPr>
          <w:rFonts w:ascii="Times New Roman" w:hAnsi="Times New Roman"/>
          <w:b w:val="0"/>
          <w:sz w:val="28"/>
        </w:rPr>
        <w:t>Чистый дисконтированный доход за три года составит: NPV = -64,2 + 271,0 + 236,5 = 443,3 тыс. руб. Положительное значение NPV означает, что проект создает экономическую ценность для компании даже с учетом стоимости денег во времени. При этом проект не требует привлечения заемного капитала или инвестора, так как первоначальная сумма затрат составляет менее 0,4% от годовой выручки компании и около 3,1% от годовых затрат на персонал.</w:t>
      </w:r>
    </w:p>
    <w:p w14:paraId="70FAAC4B">
      <w:pPr>
        <w:spacing w:after="120" w:line="360" w:lineRule="auto"/>
        <w:ind w:firstLine="700"/>
      </w:pPr>
      <w:r>
        <w:rPr>
          <w:rFonts w:ascii="Times New Roman" w:hAnsi="Times New Roman"/>
          <w:b w:val="0"/>
          <w:sz w:val="28"/>
        </w:rPr>
        <w:t>Показатель ROI за трехлетний период рассчитывается как отношение суммарного чистого эффекта к суммарным затратам. Валовой эффект за три года составит 1 420,4 тыс. руб. Затраты за три года составят 782,5 тыс. руб. Чистый эффект равен 637,9 тыс. руб. ROI = 637,9 / 782,5 × 100% = 81,5%. Это означает, что каждый рубль, направленный на совершенствование системы обучения, возвращает вложенную сумму и дополнительно формирует около 0,82 руб. чистого эффекта за трехлетний период.</w:t>
      </w:r>
    </w:p>
    <w:p w14:paraId="075CF95E">
      <w:pPr>
        <w:spacing w:after="120" w:line="360" w:lineRule="auto"/>
        <w:ind w:firstLine="700"/>
      </w:pPr>
      <w:r>
        <w:rPr>
          <w:rFonts w:ascii="Times New Roman" w:hAnsi="Times New Roman"/>
          <w:b w:val="0"/>
          <w:sz w:val="28"/>
        </w:rPr>
        <w:t>Срок окупаемости определяется накопленным денежным потоком. После первого года накопленный поток отрицательный и составляет -73,5 тыс. руб. Во втором году проект приносит 355,7 тыс. руб. чистого эффекта, поэтому окупаемость наступает в начале второго года. Точный срок окупаемости: 1 год + 73,5 / 355,7 = 1,21 года. Следовательно, проект окупается примерно за 1 год и 3 месяца.</w:t>
      </w:r>
    </w:p>
    <w:p w14:paraId="5178B793">
      <w:pPr>
        <w:spacing w:after="120" w:line="360" w:lineRule="auto"/>
        <w:jc w:val="center"/>
      </w:pPr>
      <w:r>
        <w:rPr>
          <w:rFonts w:ascii="Times New Roman" w:hAnsi="Times New Roman"/>
          <w:b w:val="0"/>
          <w:sz w:val="28"/>
        </w:rPr>
        <w:t>Таблица 3.11. Итоговые показатели экономической эффективности</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7"/>
        <w:gridCol w:w="3067"/>
        <w:gridCol w:w="3067"/>
      </w:tblGrid>
      <w:tr w14:paraId="3AE23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63058089">
            <w:pPr>
              <w:widowControl w:val="0"/>
              <w:jc w:val="both"/>
            </w:pPr>
            <w:r>
              <w:rPr>
                <w:rFonts w:ascii="Times New Roman" w:hAnsi="Times New Roman"/>
                <w:b/>
                <w:sz w:val="22"/>
              </w:rPr>
              <w:t>Показатель</w:t>
            </w:r>
          </w:p>
        </w:tc>
        <w:tc>
          <w:tcPr>
            <w:tcW w:w="3067" w:type="dxa"/>
          </w:tcPr>
          <w:p w14:paraId="1794888E">
            <w:pPr>
              <w:widowControl w:val="0"/>
              <w:jc w:val="both"/>
            </w:pPr>
            <w:r>
              <w:rPr>
                <w:rFonts w:ascii="Times New Roman" w:hAnsi="Times New Roman"/>
                <w:b/>
                <w:sz w:val="22"/>
              </w:rPr>
              <w:t>Значение</w:t>
            </w:r>
          </w:p>
        </w:tc>
        <w:tc>
          <w:tcPr>
            <w:tcW w:w="3067" w:type="dxa"/>
          </w:tcPr>
          <w:p w14:paraId="12C7404C">
            <w:pPr>
              <w:widowControl w:val="0"/>
              <w:jc w:val="both"/>
            </w:pPr>
            <w:r>
              <w:rPr>
                <w:rFonts w:ascii="Times New Roman" w:hAnsi="Times New Roman"/>
                <w:b/>
                <w:sz w:val="22"/>
              </w:rPr>
              <w:t>Интерпретация</w:t>
            </w:r>
          </w:p>
        </w:tc>
      </w:tr>
      <w:tr w14:paraId="06B6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43BF5A88">
            <w:pPr>
              <w:widowControl w:val="0"/>
              <w:jc w:val="both"/>
            </w:pPr>
            <w:r>
              <w:rPr>
                <w:rFonts w:ascii="Times New Roman" w:hAnsi="Times New Roman"/>
                <w:b w:val="0"/>
                <w:sz w:val="22"/>
              </w:rPr>
              <w:t>Первоначальные затраты</w:t>
            </w:r>
          </w:p>
        </w:tc>
        <w:tc>
          <w:tcPr>
            <w:tcW w:w="3067" w:type="dxa"/>
          </w:tcPr>
          <w:p w14:paraId="7FA5C5F5">
            <w:pPr>
              <w:widowControl w:val="0"/>
              <w:jc w:val="both"/>
            </w:pPr>
            <w:r>
              <w:rPr>
                <w:rFonts w:ascii="Times New Roman" w:hAnsi="Times New Roman"/>
                <w:b w:val="0"/>
                <w:sz w:val="22"/>
              </w:rPr>
              <w:t>474,5 тыс. руб.</w:t>
            </w:r>
          </w:p>
        </w:tc>
        <w:tc>
          <w:tcPr>
            <w:tcW w:w="3067" w:type="dxa"/>
          </w:tcPr>
          <w:p w14:paraId="79458D62">
            <w:pPr>
              <w:widowControl w:val="0"/>
              <w:jc w:val="both"/>
            </w:pPr>
            <w:r>
              <w:rPr>
                <w:rFonts w:ascii="Times New Roman" w:hAnsi="Times New Roman"/>
                <w:b w:val="0"/>
                <w:sz w:val="22"/>
              </w:rPr>
              <w:t>Разовые и годовые затраты первого года</w:t>
            </w:r>
          </w:p>
        </w:tc>
      </w:tr>
      <w:tr w14:paraId="1AFA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5A003513">
            <w:pPr>
              <w:widowControl w:val="0"/>
              <w:jc w:val="both"/>
            </w:pPr>
            <w:r>
              <w:rPr>
                <w:rFonts w:ascii="Times New Roman" w:hAnsi="Times New Roman"/>
                <w:b w:val="0"/>
                <w:sz w:val="22"/>
              </w:rPr>
              <w:t>Суммарные затраты за 3 года</w:t>
            </w:r>
          </w:p>
        </w:tc>
        <w:tc>
          <w:tcPr>
            <w:tcW w:w="3067" w:type="dxa"/>
          </w:tcPr>
          <w:p w14:paraId="069A2B85">
            <w:pPr>
              <w:widowControl w:val="0"/>
              <w:jc w:val="both"/>
            </w:pPr>
            <w:r>
              <w:rPr>
                <w:rFonts w:ascii="Times New Roman" w:hAnsi="Times New Roman"/>
                <w:b w:val="0"/>
                <w:sz w:val="22"/>
              </w:rPr>
              <w:t>782,5 тыс. руб.</w:t>
            </w:r>
          </w:p>
        </w:tc>
        <w:tc>
          <w:tcPr>
            <w:tcW w:w="3067" w:type="dxa"/>
          </w:tcPr>
          <w:p w14:paraId="5DDA0979">
            <w:pPr>
              <w:widowControl w:val="0"/>
              <w:jc w:val="both"/>
            </w:pPr>
            <w:r>
              <w:rPr>
                <w:rFonts w:ascii="Times New Roman" w:hAnsi="Times New Roman"/>
                <w:b w:val="0"/>
                <w:sz w:val="22"/>
              </w:rPr>
              <w:t>С учетом поддерживающих расходов</w:t>
            </w:r>
          </w:p>
        </w:tc>
      </w:tr>
      <w:tr w14:paraId="7E97F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6886D0B5">
            <w:pPr>
              <w:widowControl w:val="0"/>
              <w:jc w:val="both"/>
            </w:pPr>
            <w:r>
              <w:rPr>
                <w:rFonts w:ascii="Times New Roman" w:hAnsi="Times New Roman"/>
                <w:b w:val="0"/>
                <w:sz w:val="22"/>
              </w:rPr>
              <w:t>Суммарный валовой эффект за 3 года</w:t>
            </w:r>
          </w:p>
        </w:tc>
        <w:tc>
          <w:tcPr>
            <w:tcW w:w="3067" w:type="dxa"/>
          </w:tcPr>
          <w:p w14:paraId="5F33B374">
            <w:pPr>
              <w:widowControl w:val="0"/>
              <w:jc w:val="both"/>
            </w:pPr>
            <w:r>
              <w:rPr>
                <w:rFonts w:ascii="Times New Roman" w:hAnsi="Times New Roman"/>
                <w:b w:val="0"/>
                <w:sz w:val="22"/>
              </w:rPr>
              <w:t>1 420,4 тыс. руб.</w:t>
            </w:r>
          </w:p>
        </w:tc>
        <w:tc>
          <w:tcPr>
            <w:tcW w:w="3067" w:type="dxa"/>
          </w:tcPr>
          <w:p w14:paraId="59F86A05">
            <w:pPr>
              <w:widowControl w:val="0"/>
              <w:jc w:val="both"/>
            </w:pPr>
            <w:r>
              <w:rPr>
                <w:rFonts w:ascii="Times New Roman" w:hAnsi="Times New Roman"/>
                <w:b w:val="0"/>
                <w:sz w:val="22"/>
              </w:rPr>
              <w:t>Дополнительный доход и экономия</w:t>
            </w:r>
          </w:p>
        </w:tc>
      </w:tr>
      <w:tr w14:paraId="3DE36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07C316EE">
            <w:pPr>
              <w:widowControl w:val="0"/>
              <w:jc w:val="both"/>
            </w:pPr>
            <w:r>
              <w:rPr>
                <w:rFonts w:ascii="Times New Roman" w:hAnsi="Times New Roman"/>
                <w:b w:val="0"/>
                <w:sz w:val="22"/>
              </w:rPr>
              <w:t>Чистый эффект за 3 года</w:t>
            </w:r>
          </w:p>
        </w:tc>
        <w:tc>
          <w:tcPr>
            <w:tcW w:w="3067" w:type="dxa"/>
          </w:tcPr>
          <w:p w14:paraId="7928BDA1">
            <w:pPr>
              <w:widowControl w:val="0"/>
              <w:jc w:val="both"/>
            </w:pPr>
            <w:r>
              <w:rPr>
                <w:rFonts w:ascii="Times New Roman" w:hAnsi="Times New Roman"/>
                <w:b w:val="0"/>
                <w:sz w:val="22"/>
              </w:rPr>
              <w:t>637,9 тыс. руб.</w:t>
            </w:r>
          </w:p>
        </w:tc>
        <w:tc>
          <w:tcPr>
            <w:tcW w:w="3067" w:type="dxa"/>
          </w:tcPr>
          <w:p w14:paraId="5E19F25B">
            <w:pPr>
              <w:widowControl w:val="0"/>
              <w:jc w:val="both"/>
            </w:pPr>
            <w:r>
              <w:rPr>
                <w:rFonts w:ascii="Times New Roman" w:hAnsi="Times New Roman"/>
                <w:b w:val="0"/>
                <w:sz w:val="22"/>
              </w:rPr>
              <w:t>Разница между эффектом и затратами</w:t>
            </w:r>
          </w:p>
        </w:tc>
      </w:tr>
      <w:tr w14:paraId="1491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2C3661F5">
            <w:pPr>
              <w:widowControl w:val="0"/>
              <w:jc w:val="both"/>
            </w:pPr>
            <w:r>
              <w:rPr>
                <w:rFonts w:ascii="Times New Roman" w:hAnsi="Times New Roman"/>
                <w:b w:val="0"/>
                <w:sz w:val="22"/>
              </w:rPr>
              <w:t>NPV</w:t>
            </w:r>
          </w:p>
        </w:tc>
        <w:tc>
          <w:tcPr>
            <w:tcW w:w="3067" w:type="dxa"/>
          </w:tcPr>
          <w:p w14:paraId="542CF7B8">
            <w:pPr>
              <w:widowControl w:val="0"/>
              <w:jc w:val="both"/>
            </w:pPr>
            <w:r>
              <w:rPr>
                <w:rFonts w:ascii="Times New Roman" w:hAnsi="Times New Roman"/>
                <w:b w:val="0"/>
                <w:sz w:val="22"/>
              </w:rPr>
              <w:t>443,3 тыс. руб.</w:t>
            </w:r>
          </w:p>
        </w:tc>
        <w:tc>
          <w:tcPr>
            <w:tcW w:w="3067" w:type="dxa"/>
          </w:tcPr>
          <w:p w14:paraId="20C353FE">
            <w:pPr>
              <w:widowControl w:val="0"/>
              <w:jc w:val="both"/>
            </w:pPr>
            <w:r>
              <w:rPr>
                <w:rFonts w:ascii="Times New Roman" w:hAnsi="Times New Roman"/>
                <w:b w:val="0"/>
                <w:sz w:val="22"/>
              </w:rPr>
              <w:t>Положительный дисконтированный доход</w:t>
            </w:r>
          </w:p>
        </w:tc>
      </w:tr>
      <w:tr w14:paraId="48061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573AB9FD">
            <w:pPr>
              <w:widowControl w:val="0"/>
              <w:jc w:val="both"/>
            </w:pPr>
            <w:r>
              <w:rPr>
                <w:rFonts w:ascii="Times New Roman" w:hAnsi="Times New Roman"/>
                <w:b w:val="0"/>
                <w:sz w:val="22"/>
              </w:rPr>
              <w:t>ROI</w:t>
            </w:r>
          </w:p>
        </w:tc>
        <w:tc>
          <w:tcPr>
            <w:tcW w:w="3067" w:type="dxa"/>
          </w:tcPr>
          <w:p w14:paraId="6C8A71F4">
            <w:pPr>
              <w:widowControl w:val="0"/>
              <w:jc w:val="both"/>
            </w:pPr>
            <w:r>
              <w:rPr>
                <w:rFonts w:ascii="Times New Roman" w:hAnsi="Times New Roman"/>
                <w:b w:val="0"/>
                <w:sz w:val="22"/>
              </w:rPr>
              <w:t>81,5%</w:t>
            </w:r>
          </w:p>
        </w:tc>
        <w:tc>
          <w:tcPr>
            <w:tcW w:w="3067" w:type="dxa"/>
          </w:tcPr>
          <w:p w14:paraId="20A697AF">
            <w:pPr>
              <w:widowControl w:val="0"/>
              <w:jc w:val="both"/>
            </w:pPr>
            <w:r>
              <w:rPr>
                <w:rFonts w:ascii="Times New Roman" w:hAnsi="Times New Roman"/>
                <w:b w:val="0"/>
                <w:sz w:val="22"/>
              </w:rPr>
              <w:t>Проект экономически эффективен</w:t>
            </w:r>
          </w:p>
        </w:tc>
      </w:tr>
      <w:tr w14:paraId="1FDF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7" w:type="dxa"/>
          </w:tcPr>
          <w:p w14:paraId="20D9A165">
            <w:pPr>
              <w:widowControl w:val="0"/>
              <w:jc w:val="both"/>
            </w:pPr>
            <w:r>
              <w:rPr>
                <w:rFonts w:ascii="Times New Roman" w:hAnsi="Times New Roman"/>
                <w:b w:val="0"/>
                <w:sz w:val="22"/>
              </w:rPr>
              <w:t>Срок окупаемости</w:t>
            </w:r>
          </w:p>
        </w:tc>
        <w:tc>
          <w:tcPr>
            <w:tcW w:w="3067" w:type="dxa"/>
          </w:tcPr>
          <w:p w14:paraId="182E8D55">
            <w:pPr>
              <w:widowControl w:val="0"/>
              <w:jc w:val="both"/>
            </w:pPr>
            <w:r>
              <w:rPr>
                <w:rFonts w:ascii="Times New Roman" w:hAnsi="Times New Roman"/>
                <w:b w:val="0"/>
                <w:sz w:val="22"/>
              </w:rPr>
              <w:t>1,21 года</w:t>
            </w:r>
          </w:p>
        </w:tc>
        <w:tc>
          <w:tcPr>
            <w:tcW w:w="3067" w:type="dxa"/>
          </w:tcPr>
          <w:p w14:paraId="382E9325">
            <w:pPr>
              <w:widowControl w:val="0"/>
              <w:jc w:val="both"/>
            </w:pPr>
            <w:r>
              <w:rPr>
                <w:rFonts w:ascii="Times New Roman" w:hAnsi="Times New Roman"/>
                <w:b w:val="0"/>
                <w:sz w:val="22"/>
              </w:rPr>
              <w:t>Окупаемость в начале второго года</w:t>
            </w:r>
          </w:p>
        </w:tc>
      </w:tr>
    </w:tbl>
    <w:p w14:paraId="3E96E1B0">
      <w:pPr>
        <w:spacing w:after="120" w:line="360" w:lineRule="auto"/>
        <w:ind w:firstLine="700"/>
      </w:pPr>
    </w:p>
    <w:p w14:paraId="41C74E23">
      <w:pPr>
        <w:spacing w:after="120" w:line="360" w:lineRule="auto"/>
        <w:ind w:firstLine="700"/>
      </w:pPr>
      <w:r>
        <w:rPr>
          <w:rFonts w:ascii="Times New Roman" w:hAnsi="Times New Roman"/>
          <w:b w:val="0"/>
          <w:sz w:val="28"/>
        </w:rPr>
        <w:t>Помимо прямого экономического эффекта проект имеет социально-организационный результат. Сотрудники получают понятный маршрут развития, доступ к актуальным материалам и поддержку наставников. Руководитель отдела получает инструмент контроля качества подготовки заявок. Компания снижает зависимость от отдельных опытных сотрудников, поскольку знания фиксируются в базе и становятся доступными всему отделу. Это особенно важно при удаленном формате работы и высокой текучести.</w:t>
      </w:r>
    </w:p>
    <w:p w14:paraId="062307C1">
      <w:pPr>
        <w:spacing w:after="120" w:line="360" w:lineRule="auto"/>
        <w:ind w:firstLine="700"/>
      </w:pPr>
      <w:r>
        <w:rPr>
          <w:rFonts w:ascii="Times New Roman" w:hAnsi="Times New Roman"/>
          <w:b w:val="0"/>
          <w:sz w:val="28"/>
        </w:rPr>
        <w:t>Для проверки устойчивости расчетов целесообразно рассмотреть консервативный сценарий. Если дополнительное количество выигранных контрактов составит не 3-4, а только 2 контракта в год, валовой эффект снизится. Однако даже в этом случае компания получит снижение отклонений, экономию времени, сокращение текучести и повышение управляемости процесса. При этом значительная часть инфраструктуры создается один раз и может использоваться в последующие периоды без повторения первоначальных затрат.</w:t>
      </w:r>
    </w:p>
    <w:p w14:paraId="3D5FFEA8">
      <w:pPr>
        <w:spacing w:after="120" w:line="360" w:lineRule="auto"/>
        <w:ind w:firstLine="700"/>
      </w:pPr>
      <w:r>
        <w:rPr>
          <w:rFonts w:ascii="Times New Roman" w:hAnsi="Times New Roman"/>
          <w:b w:val="0"/>
          <w:sz w:val="28"/>
        </w:rPr>
        <w:t>Основные риски проекта связаны с формальным использованием чек-листов, сопротивлением сотрудников, несвоевременным обновлением базы знаний и недостаточным контролем со стороны руководителя. Для снижения рисков необходимо закрепить ответственность за каждый элемент системы, включить показатели качества в KPI и проводить ежемесячный управленческий контроль. Если база знаний не обновляется, она быстро теряет ценность; если чек-лист заполняется формально, он не снижает ошибки; если результаты обучения не анализируются, система снова становится набором разовых мероприятий.</w:t>
      </w:r>
    </w:p>
    <w:p w14:paraId="45C1FFFA">
      <w:pPr>
        <w:spacing w:after="120" w:line="360" w:lineRule="auto"/>
        <w:ind w:firstLine="700"/>
      </w:pPr>
      <w:r>
        <w:rPr>
          <w:rFonts w:ascii="Times New Roman" w:hAnsi="Times New Roman"/>
          <w:b w:val="0"/>
          <w:sz w:val="28"/>
        </w:rPr>
        <w:t>Таким образом, экономическая оценка подтверждает целесообразность внедрения предложенных мероприятий. Проект требует умеренных затрат, соответствует масштабу ООО «Лайф Медиа», не нуждается в привлечении инвесторского капитала и имеет положительный дисконтированный доход. Наиболее значимый эффект достигается за счет роста качества заявок, снижения формальных отклонений, увеличения числа выигранных контрактов и закрепления знаний внутри отдела.</w:t>
      </w:r>
    </w:p>
    <w:p w14:paraId="19560678">
      <w:pPr>
        <w:spacing w:after="120" w:line="360" w:lineRule="auto"/>
        <w:jc w:val="center"/>
      </w:pPr>
      <w:r>
        <w:rPr>
          <w:rFonts w:ascii="Times New Roman" w:hAnsi="Times New Roman"/>
          <w:b/>
          <w:sz w:val="28"/>
        </w:rPr>
        <w:t>Выводы по третьей главе</w:t>
      </w:r>
    </w:p>
    <w:p w14:paraId="5D382A0F">
      <w:pPr>
        <w:spacing w:after="120" w:line="360" w:lineRule="auto"/>
        <w:ind w:firstLine="700"/>
      </w:pPr>
      <w:r>
        <w:rPr>
          <w:rFonts w:ascii="Times New Roman" w:hAnsi="Times New Roman"/>
          <w:b w:val="0"/>
          <w:sz w:val="28"/>
        </w:rPr>
        <w:t>В третьей главе разработан комплекс рекомендаций по совершенствованию системы обучения и развития тендерных специалистов ООО «Лайф Медиа». Рекомендации основаны на результатах второй главы, где были выявлены отсутствие системной адаптации, разрозненность материалов, отсутствие регулярной проверки знаний, повторяемость ошибок и слабая связь обучения с мотивацией.</w:t>
      </w:r>
    </w:p>
    <w:p w14:paraId="53A8AE6E">
      <w:pPr>
        <w:spacing w:after="120" w:line="360" w:lineRule="auto"/>
        <w:ind w:firstLine="700"/>
      </w:pPr>
      <w:r>
        <w:rPr>
          <w:rFonts w:ascii="Times New Roman" w:hAnsi="Times New Roman"/>
          <w:b w:val="0"/>
          <w:sz w:val="28"/>
        </w:rPr>
        <w:t>Предложена модель «Тендерная академия Лайф Медиа», включающая базу знаний, адаптационный маршрут, внешнее обучение по 44-ФЗ и 223-ФЗ, чек-лист подготовки заявки, реестр ошибок, наставничество и систему оценки эффективности. Данная модель адаптирована к масштабу компании и удаленному формату работы, поэтому не требует создания отдельной HR-службы.</w:t>
      </w:r>
    </w:p>
    <w:p w14:paraId="3C48BEC4">
      <w:pPr>
        <w:spacing w:after="120" w:line="360" w:lineRule="auto"/>
        <w:ind w:firstLine="700"/>
      </w:pPr>
      <w:r>
        <w:rPr>
          <w:rFonts w:ascii="Times New Roman" w:hAnsi="Times New Roman"/>
          <w:b w:val="0"/>
          <w:sz w:val="28"/>
        </w:rPr>
        <w:t>Технико-экономическое обоснование показало, что первоначальные затраты на внедрение составляют 474,456 тыс. руб. Основные расходы связаны с внешним обучением сотрудников, настройкой базы знаний, LMS, лицензиями и премиями наставникам. После первого года ежегодные поддерживающие расходы снижаются до 154 тыс. руб.</w:t>
      </w:r>
    </w:p>
    <w:p w14:paraId="6F31E26B">
      <w:pPr>
        <w:spacing w:after="120" w:line="360" w:lineRule="auto"/>
        <w:ind w:firstLine="700"/>
      </w:pPr>
      <w:r>
        <w:rPr>
          <w:rFonts w:ascii="Times New Roman" w:hAnsi="Times New Roman"/>
          <w:b w:val="0"/>
          <w:sz w:val="28"/>
        </w:rPr>
        <w:t>Экономическая оценка показала, что проект способен снизить долю отклоненных заявок, увеличить количество выигранных контрактов и сократить потери рабочего времени. За трехлетний период чистый эффект составит 637,9 тыс. руб., NPV — 443,3 тыс. руб., ROI — 81,5%, срок окупаемости — около 1,21 года. Следовательно, предложенные мероприятия являются организационно и экономически обоснованными.</w:t>
      </w:r>
    </w:p>
    <w:p w14:paraId="14C3BBD8">
      <w:pPr>
        <w:spacing w:after="120" w:line="360" w:lineRule="auto"/>
        <w:jc w:val="center"/>
        <w:rPr>
          <w:rFonts w:ascii="Times New Roman" w:hAnsi="Times New Roman"/>
          <w:b/>
          <w:sz w:val="28"/>
        </w:rPr>
      </w:pPr>
    </w:p>
    <w:p w14:paraId="52A88279">
      <w:pPr>
        <w:spacing w:after="120" w:line="360" w:lineRule="auto"/>
        <w:jc w:val="center"/>
        <w:rPr>
          <w:rFonts w:ascii="Times New Roman" w:hAnsi="Times New Roman"/>
          <w:b/>
          <w:sz w:val="28"/>
        </w:rPr>
      </w:pPr>
    </w:p>
    <w:p w14:paraId="5CA01E78">
      <w:pPr>
        <w:spacing w:after="120" w:line="360" w:lineRule="auto"/>
        <w:jc w:val="center"/>
        <w:rPr>
          <w:rFonts w:ascii="Times New Roman" w:hAnsi="Times New Roman"/>
          <w:b/>
          <w:sz w:val="28"/>
        </w:rPr>
      </w:pPr>
    </w:p>
    <w:p w14:paraId="7D3276CD">
      <w:pPr>
        <w:spacing w:after="120" w:line="360" w:lineRule="auto"/>
        <w:jc w:val="center"/>
        <w:rPr>
          <w:rFonts w:ascii="Times New Roman" w:hAnsi="Times New Roman"/>
          <w:b/>
          <w:sz w:val="28"/>
        </w:rPr>
      </w:pPr>
    </w:p>
    <w:p w14:paraId="4A385C7E">
      <w:pPr>
        <w:spacing w:after="120" w:line="360" w:lineRule="auto"/>
        <w:jc w:val="center"/>
        <w:rPr>
          <w:rFonts w:ascii="Times New Roman" w:hAnsi="Times New Roman"/>
          <w:b/>
          <w:sz w:val="28"/>
        </w:rPr>
      </w:pPr>
    </w:p>
    <w:p>
      <w:pPr>
        <w:spacing w:line="360" w:lineRule="auto" w:after="120"/>
        <w:jc w:val="center"/>
      </w:pPr>
      <w:r>
        <w:rPr>
          <w:rFonts w:ascii="Times New Roman" w:hAnsi="Times New Roman"/>
          <w:b/>
          <w:sz w:val="28"/>
        </w:rPr>
        <w:t>ЗАКЛЮЧЕНИЕ</w:t>
      </w:r>
    </w:p>
    <w:p>
      <w:pPr>
        <w:spacing w:line="360" w:lineRule="auto" w:after="120"/>
        <w:ind w:firstLine="700"/>
      </w:pPr>
      <w:r>
        <w:rPr>
          <w:rFonts w:ascii="Times New Roman" w:hAnsi="Times New Roman"/>
          <w:b w:val="0"/>
          <w:sz w:val="28"/>
        </w:rPr>
        <w:t>Выпускная квалификационная работа была посвящена решению актуальной для ООО «Лайф Медиа» проблемы — совершенствованию системы обучения и развития тендерных специалистов. Проведенное исследование показало, что для предприятия, значительная часть выручки которого формируется за счет участия в государственных и корпоративных закупках, профессиональная подготовка сотрудников тендерного отдела является не вспомогательной кадровой функцией, а фактором финансовой устойчивости и конкурентоспособности. Ошибки при подготовке заявок, несвоевременное обновление знаний и отсутствие единых стандартов работы приводят к отклонениям на этапе допуска и снижению эффективности закупочной деятельности.</w:t>
      </w:r>
    </w:p>
    <w:p>
      <w:pPr>
        <w:spacing w:line="360" w:lineRule="auto" w:after="120"/>
        <w:ind w:firstLine="700"/>
      </w:pPr>
      <w:r>
        <w:rPr>
          <w:rFonts w:ascii="Times New Roman" w:hAnsi="Times New Roman"/>
          <w:b w:val="0"/>
          <w:sz w:val="28"/>
        </w:rPr>
        <w:t>Цель работы, связанная с разработкой и экономическим обоснованием рекомендаций по совершенствованию системы обучения и развития тендерных специалистов ООО «Лайф Медиа», достигнута. В ходе исследования были последовательно изучены теоретические основы обучения персонала, проанализировано состояние системы обучения в компании, выявлены ключевые проблемы, предложены практические мероприятия и рассчитана их экономическая эффективность. Полученные результаты позволяют рассматривать обучение не как разовые затраты, а как управляемый процесс, влияющий на качество заявок, снижение ошибок и рост финансовых результатов.</w:t>
      </w:r>
    </w:p>
    <w:p>
      <w:pPr>
        <w:spacing w:line="360" w:lineRule="auto" w:after="120"/>
        <w:ind w:firstLine="700"/>
      </w:pPr>
      <w:r>
        <w:rPr>
          <w:rFonts w:ascii="Times New Roman" w:hAnsi="Times New Roman"/>
          <w:b w:val="0"/>
          <w:sz w:val="28"/>
        </w:rPr>
        <w:t>Основные практические результаты исследования соответствуют поставленным во введении задачам и могут быть представлены следующим образом:</w:t>
      </w:r>
    </w:p>
    <w:p>
      <w:pPr>
        <w:spacing w:line="360" w:lineRule="auto" w:after="120"/>
        <w:ind w:firstLine="700"/>
      </w:pPr>
      <w:r>
        <w:rPr>
          <w:rFonts w:ascii="Times New Roman" w:hAnsi="Times New Roman"/>
          <w:b w:val="0"/>
          <w:sz w:val="28"/>
        </w:rPr>
        <w:t>1. В рамках первой задачи были рассмотрены теоретические основы обучения и развития персонала. Установлено, что современное обучение работников является частью системы управления организацией и должно быть связано с целями бизнеса, оценкой результатов, мотивацией и развитием компетенций. Для тендерных специалистов это особенно важно, поскольку их деятельность требует постоянного обновления знаний в области законодательства, электронных площадок, документационного сопровождения и экономического анализа закупок.</w:t>
      </w:r>
    </w:p>
    <w:p>
      <w:pPr>
        <w:spacing w:line="360" w:lineRule="auto" w:after="120"/>
        <w:ind w:firstLine="700"/>
      </w:pPr>
      <w:r>
        <w:rPr>
          <w:rFonts w:ascii="Times New Roman" w:hAnsi="Times New Roman"/>
          <w:b w:val="0"/>
          <w:sz w:val="28"/>
        </w:rPr>
        <w:t>2. В рамках второй задачи изучены современные подходы к развитию профессиональных компетенций специалистов в сфере закупок. Было выявлено, что наиболее результативными являются практико-ориентированные форматы: кейсы, тренажеры электронных площадок, разбор ошибок, наставничество, цифровые базы знаний и LMS-инструменты. Также установлено, что оценка эффективности обучения должна включать не только факт прохождения курса, но и изменение поведения сотрудника, снижение числа ошибок и влияние на бизнес-показатели.</w:t>
      </w:r>
    </w:p>
    <w:p>
      <w:pPr>
        <w:spacing w:line="360" w:lineRule="auto" w:after="120"/>
        <w:ind w:firstLine="700"/>
      </w:pPr>
      <w:r>
        <w:rPr>
          <w:rFonts w:ascii="Times New Roman" w:hAnsi="Times New Roman"/>
          <w:b w:val="0"/>
          <w:sz w:val="28"/>
        </w:rPr>
        <w:t>3. В рамках третьей задачи дана характеристика ООО «Лайф Медиа» и его закупочной деятельности. Компания является малым предприятием, специализирующимся на оптовых поставках техники и оборудования и активно участвующим в B2B- и B2G-закупках. Анализ показал, что тендерный отдел является ключевым подразделением, обеспечивающим основную часть тендерной выручки, поэтому качество его работы напрямую связано с финансовыми результатами организации.</w:t>
      </w:r>
    </w:p>
    <w:p>
      <w:pPr>
        <w:spacing w:line="360" w:lineRule="auto" w:after="120"/>
        <w:ind w:firstLine="700"/>
      </w:pPr>
      <w:r>
        <w:rPr>
          <w:rFonts w:ascii="Times New Roman" w:hAnsi="Times New Roman"/>
          <w:b w:val="0"/>
          <w:sz w:val="28"/>
        </w:rPr>
        <w:t>4. В рамках четвертой задачи проанализирована действующая система управления персоналом и обучения тендерных специалистов. Выявлено, что в компании отсутствует самостоятельная HR-служба, а кадровые функции распределены между генеральным директором, руководителем тендерного отдела и бухгалтерией. При этом система обучения носит фрагментарный характер: нет формализованной программы адаптации, единой базы актуальных шаблонов, регулярной проверки знаний, реестра ошибок и закрепленного наставничества. Это приводит к зависимости результата от индивидуального опыта сотрудников.</w:t>
      </w:r>
    </w:p>
    <w:p>
      <w:pPr>
        <w:spacing w:line="360" w:lineRule="auto" w:after="120"/>
        <w:ind w:firstLine="700"/>
      </w:pPr>
      <w:r>
        <w:rPr>
          <w:rFonts w:ascii="Times New Roman" w:hAnsi="Times New Roman"/>
          <w:b w:val="0"/>
          <w:sz w:val="28"/>
        </w:rPr>
        <w:t>5. В рамках пятой задачи проведена оценка эффективности текущей системы обучения. Анализ тендерных показателей показал, что доля отклоненных заявок на этапе допуска сохраняется примерно на уровне 15%, а за 2023-2025 гг. выявлено 77 случаев отклонений. Результаты анкетирования сотрудников подтвердили наличие проблемы: все 8 специалистов указали на отсутствие утвержденной программы обучения, большинство отметили разрозненность материалов, неуверенность в актуальности шаблонов и потребность в разборе типовых ошибок. Это позволило установить причинно-следственную связь между отсутствием системы обучения и повторяемостью предотвратимых ошибок.</w:t>
      </w:r>
    </w:p>
    <w:p>
      <w:pPr>
        <w:spacing w:line="360" w:lineRule="auto" w:after="120"/>
        <w:ind w:firstLine="700"/>
      </w:pPr>
      <w:r>
        <w:rPr>
          <w:rFonts w:ascii="Times New Roman" w:hAnsi="Times New Roman"/>
          <w:b w:val="0"/>
          <w:sz w:val="28"/>
        </w:rPr>
        <w:t>6. В рамках шестой задачи разработан комплекс мероприятий по совершенствованию системы обучения и развития тендерных специалистов. Автором предложена модель «Тендерная академия Лайф Медиа», включающая базу знаний, адаптационный маршрут для новых сотрудников, внешнее обучение по 44-ФЗ и 223-ФЗ, чек-лист подготовки заявки, реестр ошибок, наставничество, регулярное тестирование и связь обучения с KPI. Практическая значимость данной модели состоит в том, что она не требует создания отдельной HR-службы и может быть встроена в уже действующую цифровую инфраструктуру компании.</w:t>
      </w:r>
    </w:p>
    <w:p>
      <w:pPr>
        <w:spacing w:line="360" w:lineRule="auto" w:after="120"/>
        <w:ind w:firstLine="700"/>
      </w:pPr>
      <w:r>
        <w:rPr>
          <w:rFonts w:ascii="Times New Roman" w:hAnsi="Times New Roman"/>
          <w:b w:val="0"/>
          <w:sz w:val="28"/>
        </w:rPr>
        <w:t>7. В рамках седьмой задачи рассчитана экономическая эффективность предложенных мероприятий. Первоначальные затраты на внедрение составляют 474,456 тыс. руб., а ежегодные поддерживающие расходы после первого года — около 154 тыс. руб. Ожидаемый эффект формируется за счет роста числа выигранных контрактов, снижения количества отклоненных заявок, экономии рабочего времени и сокращения затрат, связанных с текучестью персонала. За трехлетний период чистый эффект составит 637,9 тыс. руб., NPV — 443,3 тыс. руб., ROI — 81,5%, срок окупаемости — около 1,21 года.</w:t>
      </w:r>
    </w:p>
    <w:p>
      <w:pPr>
        <w:spacing w:line="360" w:lineRule="auto" w:after="120"/>
        <w:ind w:firstLine="700"/>
      </w:pPr>
      <w:r>
        <w:rPr>
          <w:rFonts w:ascii="Times New Roman" w:hAnsi="Times New Roman"/>
          <w:b w:val="0"/>
          <w:sz w:val="28"/>
        </w:rPr>
        <w:t>Итоговый синтез результатов исследования заключается в том, что проблема ООО «Лайф Медиа» носит не только кадровый, но и организационно-экономический характер. Недостатки обучения проявляются через конкретные бизнес-показатели: отклоненные заявки, повторяющиеся ошибки, потерю рабочего времени и недополученную выручку. Поэтому предложенные мероприятия направлены не на формальное увеличение числа учебных мероприятий, а на создание управляемого цикла «диагностика — обучение — применение — контроль — корректировка».</w:t>
      </w:r>
    </w:p>
    <w:p>
      <w:pPr>
        <w:spacing w:line="360" w:lineRule="auto" w:after="120"/>
        <w:ind w:firstLine="700"/>
      </w:pPr>
      <w:r>
        <w:rPr>
          <w:rFonts w:ascii="Times New Roman" w:hAnsi="Times New Roman"/>
          <w:b w:val="0"/>
          <w:sz w:val="28"/>
        </w:rPr>
        <w:t>Теоретическая значимость работы состоит в систематизации подходов к обучению тендерных специалистов и адаптации моделей оценки эффективности обучения к закупочной деятельности малого предприятия. Практическая значимость заключается в разработке конкретного набора управленческих инструментов, которые могут быть внедрены в ООО «Лайф Медиа»: база знаний, чек-листы, реестр ошибок, наставничество, адаптационный маршрут и система показателей эффективности.</w:t>
      </w:r>
    </w:p>
    <w:p>
      <w:pPr>
        <w:spacing w:line="360" w:lineRule="auto" w:after="120"/>
        <w:ind w:firstLine="700"/>
      </w:pPr>
      <w:r>
        <w:rPr>
          <w:rFonts w:ascii="Times New Roman" w:hAnsi="Times New Roman"/>
          <w:b w:val="0"/>
          <w:sz w:val="28"/>
        </w:rPr>
        <w:t>Перспективы внедрения предложенных мероприятий являются положительными, поскольку проект соответствует масштабу предприятия, не требует привлечения инвесторского капитала и использует уже имеющиеся организационные и цифровые ресурсы. Наиболее важным условием успешной реализации является регулярное обновление базы знаний, участие руководителя тендерного отдела в контроле качества заявок и закрепление показателей обучения в системе мотивации. При соблюдении этих условий разработанная система позволит снизить количество формальных ошибок, повысить управляемость тендерной деятельности и укрепить конкурентные позиции ООО «Лайф Медиа».</w:t>
      </w:r>
    </w:p>
    <w:p>
      <w:pPr>
        <w:spacing w:line="360" w:lineRule="auto" w:after="120"/>
        <w:ind w:firstLine="700"/>
      </w:pPr>
      <w:r>
        <w:rPr>
          <w:rFonts w:ascii="Times New Roman" w:hAnsi="Times New Roman"/>
          <w:b w:val="0"/>
          <w:sz w:val="28"/>
        </w:rPr>
        <w:t>Таким образом, выполненная ВКР имеет прикладной характер и может быть использована как основа для практического совершенствования системы обучения и развития тендерных специалистов в ООО «Лайф Медиа». Предложенные решения экономически обоснованы, организационно реализуемы и направлены на достижение конкретного результата — повышение качества подготовки тендерных заявок и эффективности закупочной деятельности предприятия.</w:t>
      </w:r>
    </w:p>
    <w:p>
      <w:pPr>
        <w:spacing w:line="360" w:lineRule="auto" w:after="120"/>
        <w:jc w:val="center"/>
      </w:pPr>
      <w:r>
        <w:rPr>
          <w:rFonts w:ascii="Times New Roman" w:hAnsi="Times New Roman"/>
          <w:b/>
          <w:sz w:val="28"/>
        </w:rPr>
        <w:t>СПИСОК ИСПОЛЬЗОВАННЫХ ИСТОЧНИКОВ</w:t>
      </w:r>
    </w:p>
    <w:p>
      <w:pPr>
        <w:spacing w:line="360" w:lineRule="auto" w:after="120"/>
      </w:pPr>
      <w:r>
        <w:rPr>
          <w:rFonts w:ascii="Times New Roman" w:hAnsi="Times New Roman"/>
          <w:b/>
          <w:sz w:val="28"/>
        </w:rPr>
        <w:t>I. Нормативные правовые документы</w:t>
      </w:r>
    </w:p>
    <w:p>
      <w:pPr>
        <w:spacing w:line="360" w:lineRule="auto" w:after="120"/>
      </w:pPr>
      <w:r>
        <w:rPr>
          <w:rFonts w:ascii="Times New Roman" w:hAnsi="Times New Roman"/>
          <w:b w:val="0"/>
          <w:sz w:val="28"/>
        </w:rPr>
        <w:t>1. О закупках товаров, работ, услуг отдельными видами юридических лиц : Федеральный закон от 18 июля 2011 г. № 223-ФЗ : ред. от 26 дек. 2024 г. // Собрание законодательства Российской Федерации. — 2011. — № 30, ч. 1. — Ст. 4571.</w:t>
      </w:r>
    </w:p>
    <w:p>
      <w:pPr>
        <w:spacing w:line="360" w:lineRule="auto" w:after="120"/>
      </w:pPr>
      <w:r>
        <w:rPr>
          <w:rFonts w:ascii="Times New Roman" w:hAnsi="Times New Roman"/>
          <w:b w:val="0"/>
          <w:sz w:val="28"/>
        </w:rPr>
        <w:t>2. О контрактной системе в сфере закупок товаров, работ, услуг для обеспечения государственных и муниципальных нужд : Федеральный закон от 5 апр. 2013 г. № 44-ФЗ : ред. от 26 дек. 2024 г. // Собрание законодательства Российской Федерации. — 2013. — № 14. — Ст. 1652.</w:t>
      </w:r>
    </w:p>
    <w:p>
      <w:pPr>
        <w:spacing w:line="360" w:lineRule="auto" w:after="120"/>
      </w:pPr>
      <w:r>
        <w:rPr>
          <w:rFonts w:ascii="Times New Roman" w:hAnsi="Times New Roman"/>
          <w:b w:val="0"/>
          <w:sz w:val="28"/>
        </w:rPr>
        <w:t>3. Трудовой кодекс Российской Федерации : Федеральный закон от 30 дек. 2001 г. № 197-ФЗ : ред. от 14 февр. 2024 г. // Собрание законодательства Российской Федерации. — 2002. — № 1, ч. 1. — Ст. 3.</w:t>
      </w:r>
    </w:p>
    <w:p>
      <w:pPr>
        <w:spacing w:line="360" w:lineRule="auto" w:after="120"/>
      </w:pPr>
      <w:r>
        <w:rPr>
          <w:rFonts w:ascii="Times New Roman" w:hAnsi="Times New Roman"/>
          <w:b/>
          <w:sz w:val="28"/>
        </w:rPr>
        <w:t>II. Научная и учебная литература</w:t>
      </w:r>
    </w:p>
    <w:p>
      <w:pPr>
        <w:spacing w:line="360" w:lineRule="auto" w:after="120"/>
      </w:pPr>
      <w:r>
        <w:rPr>
          <w:rFonts w:ascii="Times New Roman" w:hAnsi="Times New Roman"/>
          <w:b w:val="0"/>
          <w:sz w:val="28"/>
        </w:rPr>
        <w:t>4. Ансофф, И. Стратегический менеджмент : классическое издание / И. Ансофф ; пер. с англ. О. Литун. — Москва : Питер, 2009. — 342 с. — ISBN 978-5-388-00077-4.</w:t>
      </w:r>
    </w:p>
    <w:p>
      <w:pPr>
        <w:spacing w:line="360" w:lineRule="auto" w:after="120"/>
      </w:pPr>
      <w:r>
        <w:rPr>
          <w:rFonts w:ascii="Times New Roman" w:hAnsi="Times New Roman"/>
          <w:b w:val="0"/>
          <w:sz w:val="28"/>
        </w:rPr>
        <w:t>5. Армстронг, М. Практика управления человеческими ресурсами / М. Армстронг ; пер. с англ. под ред. С. К. Мордовина. — Санкт-Петербург : Питер, 2019. — 831 с.</w:t>
      </w:r>
    </w:p>
    <w:p>
      <w:pPr>
        <w:spacing w:line="360" w:lineRule="auto" w:after="120"/>
      </w:pPr>
      <w:r>
        <w:rPr>
          <w:rFonts w:ascii="Times New Roman" w:hAnsi="Times New Roman"/>
          <w:b w:val="0"/>
          <w:sz w:val="28"/>
        </w:rPr>
        <w:t>6. Егоршин, А. П. Управление персоналом : учебник / А. П. Егоршин. — 14-е изд., перераб. и доп. — Нижний Новгород : НИМБ, 2022. — 640 с.</w:t>
      </w:r>
    </w:p>
    <w:p>
      <w:pPr>
        <w:spacing w:line="360" w:lineRule="auto" w:after="120"/>
      </w:pPr>
      <w:r>
        <w:rPr>
          <w:rFonts w:ascii="Times New Roman" w:hAnsi="Times New Roman"/>
          <w:b w:val="0"/>
          <w:sz w:val="28"/>
        </w:rPr>
        <w:t>7. Захаров, Д. К. Организация обучения и повышения квалификации персонала : учебное пособие / Д. К. Захаров. — Москва : Дашков и К°, 2020. — 304 с.</w:t>
      </w:r>
    </w:p>
    <w:p>
      <w:pPr>
        <w:spacing w:line="360" w:lineRule="auto" w:after="120"/>
      </w:pPr>
      <w:r>
        <w:rPr>
          <w:rFonts w:ascii="Times New Roman" w:hAnsi="Times New Roman"/>
          <w:b w:val="0"/>
          <w:sz w:val="28"/>
        </w:rPr>
        <w:t>8. Магура, М. И. Обучение персонала как конкурентное преимущество / М. И. Магура, М. Б. Курбатова. — Москва : Управление персоналом, 2004. — 216 с. — ISBN 5-95630-022-1.</w:t>
      </w:r>
    </w:p>
    <w:p>
      <w:pPr>
        <w:spacing w:line="360" w:lineRule="auto" w:after="120"/>
      </w:pPr>
      <w:r>
        <w:rPr>
          <w:rFonts w:ascii="Times New Roman" w:hAnsi="Times New Roman"/>
          <w:b w:val="0"/>
          <w:sz w:val="28"/>
        </w:rPr>
        <w:t>9. Маслов, Е. В. Управление персоналом : учебник и практикум / Е. В. Маслов. — 3-е изд., перераб. и доп. — Москва : Юрайт, 2022. — 456 с.</w:t>
      </w:r>
    </w:p>
    <w:p>
      <w:pPr>
        <w:spacing w:line="360" w:lineRule="auto" w:after="120"/>
      </w:pPr>
      <w:r>
        <w:rPr>
          <w:rFonts w:ascii="Times New Roman" w:hAnsi="Times New Roman"/>
          <w:b w:val="0"/>
          <w:sz w:val="28"/>
        </w:rPr>
        <w:t>10. Пугачев, В. П. Управление персоналом организации : практикум : учебник для вузов / В. П. Пугачев. — 2-е изд., испр. и доп. — Москва : Юрайт, 2026. — 280 с. — ISBN 978-5-534-08906-6.</w:t>
      </w:r>
    </w:p>
    <w:p>
      <w:pPr>
        <w:spacing w:line="360" w:lineRule="auto" w:after="120"/>
      </w:pPr>
      <w:r>
        <w:rPr>
          <w:rFonts w:ascii="Times New Roman" w:hAnsi="Times New Roman"/>
          <w:b w:val="0"/>
          <w:sz w:val="28"/>
        </w:rPr>
        <w:t>11. Развитие персонала : учебное пособие / под ред. И. В. Ивановой. — Москва : Кнорус, 2023. — 256 с.</w:t>
      </w:r>
    </w:p>
    <w:p>
      <w:pPr>
        <w:spacing w:line="360" w:lineRule="auto" w:after="120"/>
      </w:pPr>
      <w:r>
        <w:rPr>
          <w:rFonts w:ascii="Times New Roman" w:hAnsi="Times New Roman"/>
          <w:b w:val="0"/>
          <w:sz w:val="28"/>
        </w:rPr>
        <w:t>12. Управление персоналом : учебник и практикум для среднего профессионального образования / под общ. ред. О. А. Лапшовой. — Москва : Юрайт, 2026. — 406 с. — ISBN 978-5-534-01928-5.</w:t>
      </w:r>
    </w:p>
    <w:p>
      <w:pPr>
        <w:spacing w:line="360" w:lineRule="auto" w:after="120"/>
      </w:pPr>
      <w:r>
        <w:rPr>
          <w:rFonts w:ascii="Times New Roman" w:hAnsi="Times New Roman"/>
          <w:b/>
          <w:sz w:val="28"/>
        </w:rPr>
        <w:t>III. Периодические издания</w:t>
      </w:r>
    </w:p>
    <w:p>
      <w:pPr>
        <w:spacing w:line="360" w:lineRule="auto" w:after="120"/>
      </w:pPr>
      <w:r>
        <w:rPr>
          <w:rFonts w:ascii="Times New Roman" w:hAnsi="Times New Roman"/>
          <w:b w:val="0"/>
          <w:sz w:val="28"/>
        </w:rPr>
        <w:t>13. Борзенкова, О. О. Систематизация подходов к повышению эффективности цифровых технологий в корпоративном обучении относительно поколений персонала / О. О. Борзенкова // Инновации. Наука. Образование. — 2022. — № 53. — С. 1409–1413.</w:t>
      </w:r>
    </w:p>
    <w:p>
      <w:pPr>
        <w:spacing w:line="360" w:lineRule="auto" w:after="120"/>
      </w:pPr>
      <w:r>
        <w:rPr>
          <w:rFonts w:ascii="Times New Roman" w:hAnsi="Times New Roman"/>
          <w:b w:val="0"/>
          <w:sz w:val="28"/>
        </w:rPr>
        <w:t>14. Верна, В. В. Развитие цифровых технологий в корпоративном обучении персонала: перспективы использования образовательных экосистем / В. В. Верна, А. В. Сорока // Век качества. — 2022. — № 1. — С. 238–252.</w:t>
      </w:r>
    </w:p>
    <w:p>
      <w:pPr>
        <w:spacing w:line="360" w:lineRule="auto" w:after="120"/>
      </w:pPr>
      <w:r>
        <w:rPr>
          <w:rFonts w:ascii="Times New Roman" w:hAnsi="Times New Roman"/>
          <w:b w:val="0"/>
          <w:sz w:val="28"/>
        </w:rPr>
        <w:t>15. Гайфуллина, М. М. Формирование стратегии эффективного управления человеческими ресурсами нефтяной компании / М. М. Гайфуллина, Г. З. Низамова, В. М. Маков // Нефтяное хозяйство. — 2019. — № 4. — С. 8–11.</w:t>
      </w:r>
    </w:p>
    <w:p>
      <w:pPr>
        <w:spacing w:line="360" w:lineRule="auto" w:after="120"/>
      </w:pPr>
      <w:r>
        <w:rPr>
          <w:rFonts w:ascii="Times New Roman" w:hAnsi="Times New Roman"/>
          <w:b w:val="0"/>
          <w:sz w:val="28"/>
        </w:rPr>
        <w:t>16. Галимзянов, И. В. Наставничество как метод обучения и развития персонала / И. В. Галимзянов, Л. А. Гилимханова // Актуальные вопросы современной науки и образования : сб. ст. VII Междунар. науч.-практ. конф. — Пенза : Наука и Просвещение, 2021. — С. 39–41.</w:t>
      </w:r>
    </w:p>
    <w:p>
      <w:pPr>
        <w:spacing w:line="360" w:lineRule="auto" w:after="120"/>
      </w:pPr>
      <w:r>
        <w:rPr>
          <w:rFonts w:ascii="Times New Roman" w:hAnsi="Times New Roman"/>
          <w:b w:val="0"/>
          <w:sz w:val="28"/>
        </w:rPr>
        <w:t>17. Гладилина, И. П. Повышение квалификации специалистов в сфере закупок на основе геймификации / И. П. Гладилина, Ю. А. Молоканова // Профессиональное образование в современном мире. — 2024. — Т. 14, № 3. — С. 112–119.</w:t>
      </w:r>
    </w:p>
    <w:p>
      <w:pPr>
        <w:spacing w:line="360" w:lineRule="auto" w:after="120"/>
      </w:pPr>
      <w:r>
        <w:rPr>
          <w:rFonts w:ascii="Times New Roman" w:hAnsi="Times New Roman"/>
          <w:b w:val="0"/>
          <w:sz w:val="28"/>
        </w:rPr>
        <w:t>18. Кауфман, Н. Ю. Взаимодействие HR Tech и обучения персонала / Н. Ю. Кауфман, С. Ю. Зеленцова // Вестник университета. — 2022. — № 6. — С. 23–30.</w:t>
      </w:r>
    </w:p>
    <w:p>
      <w:pPr>
        <w:spacing w:line="360" w:lineRule="auto" w:after="120"/>
      </w:pPr>
      <w:r>
        <w:rPr>
          <w:rFonts w:ascii="Times New Roman" w:hAnsi="Times New Roman"/>
          <w:b w:val="0"/>
          <w:sz w:val="28"/>
        </w:rPr>
        <w:t>19. Кирищиева, И. Р. Современная система профессионального развития персонала в таможенных органах / И. Р. Кирищиева, Д. А. Молокотина // Молодой ученый. — 2020. — № 15 (305). — С. 319–321.</w:t>
      </w:r>
    </w:p>
    <w:p>
      <w:pPr>
        <w:spacing w:line="360" w:lineRule="auto" w:after="120"/>
      </w:pPr>
      <w:r>
        <w:rPr>
          <w:rFonts w:ascii="Times New Roman" w:hAnsi="Times New Roman"/>
          <w:b w:val="0"/>
          <w:sz w:val="28"/>
        </w:rPr>
        <w:t>20. Куликова, А. А. Особенности внутрифирменного обучения персонала в условиях цифровой экономики / А. А. Куликова // Юность науки : сб. студ. науч. ст. — Москва : РГГУ, 2021. — С. 100–107.</w:t>
      </w:r>
    </w:p>
    <w:p>
      <w:pPr>
        <w:spacing w:line="360" w:lineRule="auto" w:after="120"/>
      </w:pPr>
      <w:r>
        <w:rPr>
          <w:rFonts w:ascii="Times New Roman" w:hAnsi="Times New Roman"/>
          <w:b w:val="0"/>
          <w:sz w:val="28"/>
        </w:rPr>
        <w:t>21. Ладыкова, О. В. Концептуальные подходы к развитию профессиональной компетентности у сотрудников организации с использованием инновационных форм обучения / О. В. Ладыкова, Е. В. Сидорина, М. А. Сарычева // Проблемы современного педагогического образования. — 2018. — № 61-1. — С. 372–376.</w:t>
      </w:r>
    </w:p>
    <w:p>
      <w:pPr>
        <w:spacing w:line="360" w:lineRule="auto" w:after="120"/>
      </w:pPr>
      <w:r>
        <w:rPr>
          <w:rFonts w:ascii="Times New Roman" w:hAnsi="Times New Roman"/>
          <w:b w:val="0"/>
          <w:sz w:val="28"/>
        </w:rPr>
        <w:t>22. Николаева, А. Г. Development of Procurement Performance Indicators for Industrial Enterprises of the Russian Federation / А. Г. Николаева // Вестник Магнитогорского государственного технического университета им. Г. И. Носова. — 2019. — № 4. — С. 106–112.</w:t>
      </w:r>
    </w:p>
    <w:p>
      <w:pPr>
        <w:spacing w:line="360" w:lineRule="auto" w:after="120"/>
      </w:pPr>
      <w:r>
        <w:rPr>
          <w:rFonts w:ascii="Times New Roman" w:hAnsi="Times New Roman"/>
          <w:b w:val="0"/>
          <w:sz w:val="28"/>
        </w:rPr>
        <w:t>23. Попов, А. А. Сравнительная характеристика моделей оценки эффективности в обучении персонала организации / А. А. Попов, С. М. Мальцева // Вестник Международного института рынка. — 2022. — № 2. — С. 44–47.</w:t>
      </w:r>
    </w:p>
    <w:p>
      <w:pPr>
        <w:spacing w:line="360" w:lineRule="auto" w:after="120"/>
      </w:pPr>
      <w:r>
        <w:rPr>
          <w:rFonts w:ascii="Times New Roman" w:hAnsi="Times New Roman"/>
          <w:b w:val="0"/>
          <w:sz w:val="28"/>
        </w:rPr>
        <w:t>24. Тонких, Н. В. Пандемия как драйвер цифровых форматов обучения и развития персонала: кейс крупной российской IT-компании / Н. В. Тонких, Д. А. Бахур // Вестник Омского университета. Серия: Экономика. — 2022. — Т. 20, № 2. — С. 84–94.</w:t>
      </w:r>
    </w:p>
    <w:p>
      <w:pPr>
        <w:spacing w:line="360" w:lineRule="auto" w:after="120"/>
      </w:pPr>
      <w:r>
        <w:rPr>
          <w:rFonts w:ascii="Times New Roman" w:hAnsi="Times New Roman"/>
          <w:b/>
          <w:sz w:val="28"/>
        </w:rPr>
        <w:t>IV. Иностранные издания</w:t>
      </w:r>
    </w:p>
    <w:p>
      <w:pPr>
        <w:spacing w:line="360" w:lineRule="auto" w:after="120"/>
      </w:pPr>
      <w:r>
        <w:rPr>
          <w:rFonts w:ascii="Times New Roman" w:hAnsi="Times New Roman"/>
          <w:b w:val="0"/>
          <w:sz w:val="28"/>
        </w:rPr>
        <w:t>25. Gertler, P. J. Impact Evaluation in Practice / P. J. Gertler, S. Martinez, P. Premand, L. B. Rawlings, C. M. J. Vermeersch. — 3rd ed. — Washington : World Bank ; Inter-American Development Bank, 2024. — 398 p.</w:t>
      </w:r>
    </w:p>
    <w:p>
      <w:pPr>
        <w:spacing w:line="360" w:lineRule="auto" w:after="120"/>
      </w:pPr>
      <w:r>
        <w:rPr>
          <w:rFonts w:ascii="Times New Roman" w:hAnsi="Times New Roman"/>
          <w:b w:val="0"/>
          <w:sz w:val="28"/>
        </w:rPr>
        <w:t>26. Kelman, S. Procurement and Public Management: The Fear of Discretion and the Quality of Government Performance / S. Kelman. — 2nd ed. — Washington : AEI Press, 2022. — 240 p.</w:t>
      </w:r>
    </w:p>
    <w:p>
      <w:pPr>
        <w:spacing w:line="360" w:lineRule="auto" w:after="120"/>
      </w:pPr>
      <w:r>
        <w:rPr>
          <w:rFonts w:ascii="Times New Roman" w:hAnsi="Times New Roman"/>
          <w:b w:val="0"/>
          <w:sz w:val="28"/>
        </w:rPr>
        <w:t>27. Lewin, K. Resolving Social Conflicts / K. Lewin. — New York : Harper &amp; Row, 1948. — 230 p.</w:t>
      </w:r>
    </w:p>
    <w:p>
      <w:pPr>
        <w:spacing w:line="360" w:lineRule="auto" w:after="120"/>
      </w:pPr>
      <w:r>
        <w:rPr>
          <w:rFonts w:ascii="Times New Roman" w:hAnsi="Times New Roman"/>
          <w:b w:val="0"/>
          <w:sz w:val="28"/>
        </w:rPr>
        <w:t>28. Ulrich, D. HR Competencies: Mastery at the Intersection of People and Business / D. Ulrich, W. Brockbank. — Alexandria : Society for Human Resource Management, 2008. — 272 p.</w:t>
      </w:r>
    </w:p>
    <w:p>
      <w:pPr>
        <w:spacing w:line="360" w:lineRule="auto" w:after="120"/>
      </w:pPr>
      <w:r>
        <w:rPr>
          <w:rFonts w:ascii="Times New Roman" w:hAnsi="Times New Roman"/>
          <w:b/>
          <w:sz w:val="28"/>
        </w:rPr>
        <w:t>V. Ресурсы сети Интернет</w:t>
      </w:r>
    </w:p>
    <w:p>
      <w:pPr>
        <w:spacing w:line="360" w:lineRule="auto" w:after="120"/>
      </w:pPr>
      <w:r>
        <w:rPr>
          <w:rFonts w:ascii="Times New Roman" w:hAnsi="Times New Roman"/>
          <w:b w:val="0"/>
          <w:sz w:val="28"/>
        </w:rPr>
        <w:t>29. Банк России. Ключевая ставка Банка России [Электронный ресурс]. — URL: https://cbr.ru/hd_base/keyrate/ (дата обращения: 28.04.2026).</w:t>
      </w:r>
    </w:p>
    <w:p>
      <w:pPr>
        <w:spacing w:line="360" w:lineRule="auto" w:after="120"/>
      </w:pPr>
      <w:r>
        <w:rPr>
          <w:rFonts w:ascii="Times New Roman" w:hAnsi="Times New Roman"/>
          <w:b w:val="0"/>
          <w:sz w:val="28"/>
        </w:rPr>
        <w:t>30. Битрикс24. Тарифы и цены [Электронный ресурс]. — URL: https://www.bitrix24.ru/prices/ (дата обращения: 28.04.2026).</w:t>
      </w:r>
    </w:p>
    <w:p>
      <w:pPr>
        <w:spacing w:line="360" w:lineRule="auto" w:after="120"/>
      </w:pPr>
      <w:r>
        <w:rPr>
          <w:rFonts w:ascii="Times New Roman" w:hAnsi="Times New Roman"/>
          <w:b w:val="0"/>
          <w:sz w:val="28"/>
        </w:rPr>
        <w:t>31. Добротина, О. Функционал тендерного специалиста для победы и прибыли компании [Электронный ресурс] / О. Добротина // РБК Компании. — URL: https://companies.rbc.ru/news/c4poJFCEYm/funktsional-tendernogo-spetsialista-dlya-pobedyi-i-pribyili-kompanii/ (дата обращения: 07.03.2026).</w:t>
      </w:r>
    </w:p>
    <w:p>
      <w:pPr>
        <w:spacing w:line="360" w:lineRule="auto" w:after="120"/>
      </w:pPr>
      <w:r>
        <w:rPr>
          <w:rFonts w:ascii="Times New Roman" w:hAnsi="Times New Roman"/>
          <w:b w:val="0"/>
          <w:sz w:val="28"/>
        </w:rPr>
        <w:t>32. iSpring Learn. LMS Pricing [Электронный ресурс]. — URL: https://ispringsolutions.com/ispring-learn/pricing (дата обращения: 28.04.2026).</w:t>
      </w:r>
    </w:p>
    <w:p>
      <w:pPr>
        <w:spacing w:line="360" w:lineRule="auto" w:after="120"/>
      </w:pPr>
      <w:r>
        <w:rPr>
          <w:rFonts w:ascii="Times New Roman" w:hAnsi="Times New Roman"/>
          <w:b w:val="0"/>
          <w:sz w:val="28"/>
        </w:rPr>
        <w:t>33. BiCoTender. Что должен знать специалист по закупкам? [Электронный ресурс]. — URL: https://www.bicotender.ru/faq/chto-dolzhen-znat-specialist-po-zakupkam.html (дата обращения: 07.03.2026).</w:t>
      </w:r>
    </w:p>
    <w:p>
      <w:pPr>
        <w:spacing w:line="360" w:lineRule="auto" w:after="120"/>
      </w:pPr>
      <w:r>
        <w:rPr>
          <w:rFonts w:ascii="Times New Roman" w:hAnsi="Times New Roman"/>
          <w:b w:val="0"/>
          <w:sz w:val="28"/>
        </w:rPr>
        <w:t>34. Контур.Школа. Курсы повышения квалификации по 44-ФЗ и 223-ФЗ [Электронный ресурс]. — URL: https://school.kontur-f.ru/ (дата обращения: 28.04.2026).</w:t>
      </w:r>
    </w:p>
    <w:p>
      <w:pPr>
        <w:spacing w:line="360" w:lineRule="auto" w:after="120"/>
      </w:pPr>
      <w:r>
        <w:rPr>
          <w:rFonts w:ascii="Times New Roman" w:hAnsi="Times New Roman"/>
          <w:b w:val="0"/>
          <w:sz w:val="28"/>
        </w:rPr>
        <w:t>35. КриптоПро. Прайс-лист на лицензии КриптоПро CSP [Электронный ресурс]. — URL: https://cryptopro.ru/buy/price (дата обращения: 28.04.2026).</w:t>
      </w:r>
    </w:p>
    <w:p>
      <w:pPr>
        <w:spacing w:line="360" w:lineRule="auto" w:after="120"/>
      </w:pPr>
      <w:r>
        <w:rPr>
          <w:rFonts w:ascii="Times New Roman" w:hAnsi="Times New Roman"/>
          <w:b w:val="0"/>
          <w:sz w:val="28"/>
        </w:rPr>
        <w:t>36. Лисина, Е. С. Разработка тренинга развития профессиональных компетенций специалистов в сфере закупок : выпускная квалификационная работа [Электронный ресурс] / Е. С. Лисина. — URL: https://www.hse.ru/edu/vkr/1048201963 (дата обращения: 07.03.2026).</w:t>
      </w:r>
    </w:p>
    <w:p>
      <w:pPr>
        <w:spacing w:line="360" w:lineRule="auto" w:after="120"/>
      </w:pPr>
      <w:r>
        <w:rPr>
          <w:rFonts w:ascii="Times New Roman" w:hAnsi="Times New Roman"/>
          <w:b w:val="0"/>
          <w:sz w:val="28"/>
        </w:rPr>
        <w:t>37. Национальный исследовательский университет «Высшая школа экономики» (Пермь). Программа повышения квалификации «Управление закупками: эффективные стратегии и практики» [Электронный ресурс]. — URL: https://perm.hse.ru (дата обращения: 10.03.2026).</w:t>
      </w:r>
    </w:p>
    <w:p>
      <w:pPr>
        <w:spacing w:line="360" w:lineRule="auto" w:after="120"/>
      </w:pPr>
      <w:r>
        <w:rPr>
          <w:rFonts w:ascii="Times New Roman" w:hAnsi="Times New Roman"/>
          <w:b w:val="0"/>
          <w:sz w:val="28"/>
        </w:rPr>
        <w:t>38. Сибирский федеральный университет. Программа профессиональной переподготовки «Управление государственными, муниципальными и корпоративными закупками» [Электронный ресурс]. — URL: https://www.sfu-kras.ru (дата обращения: 10.03.2026).</w:t>
      </w:r>
    </w:p>
    <w:p>
      <w:pPr>
        <w:spacing w:line="360" w:lineRule="auto" w:after="120"/>
      </w:pPr>
      <w:r>
        <w:rPr>
          <w:rFonts w:ascii="Times New Roman" w:hAnsi="Times New Roman"/>
          <w:b w:val="0"/>
          <w:sz w:val="28"/>
        </w:rPr>
        <w:t>39. Стоимость настройки и внедрения Битрикс24 для малого бизнеса [Электронный ресурс]. — URL: https://b24.org.ru/ (дата обращения: 28.04.2026).</w:t>
      </w:r>
    </w:p>
    <w:p>
      <w:pPr>
        <w:spacing w:line="360" w:lineRule="auto" w:after="120"/>
      </w:pPr>
      <w:r>
        <w:rPr>
          <w:rFonts w:ascii="Times New Roman" w:hAnsi="Times New Roman"/>
          <w:b w:val="0"/>
          <w:sz w:val="28"/>
        </w:rPr>
        <w:t>40. ЭТП РЕГИОН. Проект «Школа профессионалов» [Электронный ресурс]. — URL: https://www.region-ast.ru (дата обращения: 12.03.2026).</w:t>
      </w:r>
    </w:p>
    <w:p>
      <w:pPr>
        <w:spacing w:line="360" w:lineRule="auto" w:after="120"/>
      </w:pPr>
      <w:r>
        <w:rPr>
          <w:rFonts w:ascii="Times New Roman" w:hAnsi="Times New Roman"/>
          <w:b w:val="0"/>
          <w:sz w:val="28"/>
        </w:rPr>
        <w:t>41. ЭТП Аудиториум. Проект «Закупочные решения: игровые методы обучения» [Электронный ресурс]. — URL: https://etpgpb.ru (дата обращения: 11.03.2026).</w:t>
      </w:r>
    </w:p>
    <w:sectPr>
      <w:pgSz w:w="11906" w:h="16838"/>
      <w:pgMar w:top="1134" w:right="1005" w:bottom="1134" w:left="1701"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Verdana">
    <w:panose1 w:val="020B0604030504040204"/>
    <w:charset w:val="00"/>
    <w:family w:val="auto"/>
    <w:pitch w:val="default"/>
    <w:sig w:usb0="A00006FF" w:usb1="4000205B" w:usb2="0000001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E465A9"/>
    <w:multiLevelType w:val="singleLevel"/>
    <w:tmpl w:val="80E465A9"/>
    <w:lvl w:ilvl="0" w:tentative="0">
      <w:start w:val="1"/>
      <w:numFmt w:val="decimal"/>
      <w:suff w:val="space"/>
      <w:lvlText w:val="%1."/>
      <w:lvlJc w:val="left"/>
    </w:lvl>
  </w:abstractNum>
  <w:abstractNum w:abstractNumId="1">
    <w:nsid w:val="877E51F5"/>
    <w:multiLevelType w:val="singleLevel"/>
    <w:tmpl w:val="877E51F5"/>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2">
    <w:nsid w:val="B0766578"/>
    <w:multiLevelType w:val="multilevel"/>
    <w:tmpl w:val="B076657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BF45851E"/>
    <w:multiLevelType w:val="singleLevel"/>
    <w:tmpl w:val="BF45851E"/>
    <w:lvl w:ilvl="0" w:tentative="0">
      <w:start w:val="1"/>
      <w:numFmt w:val="decimal"/>
      <w:suff w:val="space"/>
      <w:lvlText w:val="%1."/>
      <w:lvlJc w:val="left"/>
    </w:lvl>
  </w:abstractNum>
  <w:abstractNum w:abstractNumId="4">
    <w:nsid w:val="C93567C3"/>
    <w:multiLevelType w:val="singleLevel"/>
    <w:tmpl w:val="C93567C3"/>
    <w:lvl w:ilvl="0" w:tentative="0">
      <w:start w:val="1"/>
      <w:numFmt w:val="decimal"/>
      <w:suff w:val="space"/>
      <w:lvlText w:val="%1."/>
      <w:lvlJc w:val="left"/>
    </w:lvl>
  </w:abstractNum>
  <w:abstractNum w:abstractNumId="5">
    <w:nsid w:val="CFA13AEB"/>
    <w:multiLevelType w:val="multilevel"/>
    <w:tmpl w:val="CFA13AEB"/>
    <w:lvl w:ilvl="0" w:tentative="0">
      <w:start w:val="1"/>
      <w:numFmt w:val="decimal"/>
      <w:suff w:val="space"/>
      <w:lvlText w:val="%1."/>
      <w:lvlJc w:val="left"/>
    </w:lvl>
    <w:lvl w:ilvl="1" w:tentative="0">
      <w:start w:val="1"/>
      <w:numFmt w:val="decimal"/>
      <w:suff w:val="space"/>
      <w:lvlText w:val="%1.%2."/>
      <w:lvlJc w:val="left"/>
      <w:pPr>
        <w:ind w:left="49"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424E3EA"/>
    <w:multiLevelType w:val="singleLevel"/>
    <w:tmpl w:val="D424E3EA"/>
    <w:lvl w:ilvl="0" w:tentative="0">
      <w:start w:val="1"/>
      <w:numFmt w:val="bullet"/>
      <w:lvlText w:val="－"/>
      <w:lvlJc w:val="left"/>
      <w:pPr>
        <w:tabs>
          <w:tab w:val="left" w:pos="420"/>
        </w:tabs>
        <w:ind w:left="420" w:leftChars="0" w:hanging="420" w:firstLineChars="0"/>
      </w:pPr>
      <w:rPr>
        <w:rFonts w:hint="default" w:ascii="SimSun" w:hAnsi="SimSun" w:eastAsia="SimSun" w:cs="SimSun"/>
      </w:rPr>
    </w:lvl>
  </w:abstractNum>
  <w:abstractNum w:abstractNumId="7">
    <w:nsid w:val="0A2C4583"/>
    <w:multiLevelType w:val="singleLevel"/>
    <w:tmpl w:val="0A2C4583"/>
    <w:lvl w:ilvl="0" w:tentative="0">
      <w:start w:val="1"/>
      <w:numFmt w:val="decimal"/>
      <w:suff w:val="space"/>
      <w:lvlText w:val="%1."/>
      <w:lvlJc w:val="left"/>
    </w:lvl>
  </w:abstractNum>
  <w:abstractNum w:abstractNumId="8">
    <w:nsid w:val="1B00C6AF"/>
    <w:multiLevelType w:val="singleLevel"/>
    <w:tmpl w:val="1B00C6A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C58038C"/>
    <w:multiLevelType w:val="multilevel"/>
    <w:tmpl w:val="1C5803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54CFDDBC"/>
    <w:multiLevelType w:val="singleLevel"/>
    <w:tmpl w:val="54CFDDBC"/>
    <w:lvl w:ilvl="0" w:tentative="0">
      <w:start w:val="1"/>
      <w:numFmt w:val="decimal"/>
      <w:lvlText w:val="%1."/>
      <w:lvlJc w:val="left"/>
      <w:pPr>
        <w:tabs>
          <w:tab w:val="left" w:pos="425"/>
        </w:tabs>
        <w:ind w:left="425" w:leftChars="0" w:hanging="425" w:firstLineChars="0"/>
      </w:pPr>
      <w:rPr>
        <w:rFonts w:hint="default"/>
      </w:rPr>
    </w:lvl>
  </w:abstractNum>
  <w:abstractNum w:abstractNumId="11">
    <w:nsid w:val="586EF190"/>
    <w:multiLevelType w:val="singleLevel"/>
    <w:tmpl w:val="586EF190"/>
    <w:lvl w:ilvl="0" w:tentative="0">
      <w:start w:val="1"/>
      <w:numFmt w:val="decimal"/>
      <w:suff w:val="space"/>
      <w:lvlText w:val="%1."/>
      <w:lvlJc w:val="left"/>
    </w:lvl>
  </w:abstractNum>
  <w:num w:numId="1">
    <w:abstractNumId w:val="11"/>
  </w:num>
  <w:num w:numId="2">
    <w:abstractNumId w:val="5"/>
  </w:num>
  <w:num w:numId="3">
    <w:abstractNumId w:val="7"/>
  </w:num>
  <w:num w:numId="4">
    <w:abstractNumId w:val="9"/>
  </w:num>
  <w:num w:numId="5">
    <w:abstractNumId w:val="0"/>
  </w:num>
  <w:num w:numId="6">
    <w:abstractNumId w:val="2"/>
  </w:num>
  <w:num w:numId="7">
    <w:abstractNumId w:val="6"/>
  </w:num>
  <w:num w:numId="8">
    <w:abstractNumId w:val="1"/>
  </w:num>
  <w:num w:numId="9">
    <w:abstractNumId w:val="8"/>
  </w:num>
  <w:num w:numId="10">
    <w:abstractNumId w:val="10"/>
  </w:num>
  <w:num w:numId="11">
    <w:abstractNumId w:val="4"/>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002DB3"/>
    <w:rsid w:val="07760E79"/>
    <w:rsid w:val="0A002DB3"/>
    <w:rsid w:val="0C5C5825"/>
    <w:rsid w:val="28465D83"/>
    <w:rsid w:val="2E535AB6"/>
    <w:rsid w:val="3A087590"/>
    <w:rsid w:val="45F606AC"/>
    <w:rsid w:val="4A7373DB"/>
    <w:rsid w:val="66880E8C"/>
    <w:rsid w:val="688C13D2"/>
    <w:rsid w:val="69AC1D7C"/>
    <w:rsid w:val="7C5C7043"/>
    <w:rsid w:val="7D9664B8"/>
    <w:rsid w:val="7EDE6B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 w:type="paragraph" w:styleId="5">
    <w:name w:val="footer"/>
    <w:basedOn w:val="1"/>
    <w:qFormat/>
    <w:uiPriority w:val="0"/>
    <w:pPr>
      <w:tabs>
        <w:tab w:val="center" w:pos="4153"/>
        <w:tab w:val="right" w:pos="8306"/>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7">
    <w:name w:val="List Paragraph"/>
    <w:basedOn w:val="1"/>
    <w:qFormat/>
    <w:uiPriority w:val="34"/>
    <w:pPr>
      <w:ind w:left="720"/>
      <w:contextualSpacing/>
    </w:pPr>
    <w:rPr>
      <w:rFonts w:asciiTheme="minorHAnsi" w:hAnsiTheme="minorHAnsi" w:eastAsiaTheme="minorHAnsi" w:cstheme="minorBidi"/>
      <w:kern w:val="2"/>
      <w:lang w:eastAsia="en-US"/>
      <w14:ligatures w14:val="standardContextual"/>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79</Pages>
  <Words>3687</Words>
  <Characters>28728</Characters>
  <Lines>0</Lines>
  <Paragraphs>0</Paragraphs>
  <TotalTime>0</TotalTime>
  <ScaleCrop>false</ScaleCrop>
  <LinksUpToDate>false</LinksUpToDate>
  <CharactersWithSpaces>32315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2026-02-20T11:19:00Z</dcterms:created>
  <dc:creator>honor</dc:creator>
  <cp:lastModifiedBy>Татьяна Тезяева</cp:lastModifiedBy>
  <dcterms:modified xsi:type="dcterms:W3CDTF">2026-05-05T09:47:49Z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1049-12.1.0.25862</vt:lpwstr>
  </property>
  <property fmtid="{D5CDD505-2E9C-101B-9397-08002B2CF9AE}" pid="3" name="ICV">
    <vt:lpwstr>586F16F42E2C4B1B8FD5E4E8D9C99EAA_13</vt:lpwstr>
  </property>
  <property fmtid="{D5CDD505-2E9C-101B-9397-08002B2CF9AE}" pid="4" name="KSOTemplateDocerSaveRecord">
    <vt:lpwstr>eyJoZGlkIjoiN2YzNjBkOTgyNWQ1YTMxYzM3MzMwNWFiODNmOWIzYWMiLCJ1c2VySWQiOiI4MjQ2MzQ4ODczNDMifQ==</vt:lpwstr>
  </property>
</Properties>
</file>