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50" w:rsidRDefault="009D60CA">
      <w:pP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965750" w:rsidRDefault="00965750">
      <w:pP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965750" w:rsidRDefault="009D60CA">
      <w:pPr>
        <w:spacing w:after="320" w:line="240" w:lineRule="auto"/>
      </w:pPr>
      <w:r>
        <w:rPr>
          <w:rFonts w:ascii="Arial" w:eastAsia="Arial" w:hAnsi="Arial" w:cs="Arial"/>
          <w:color w:val="666666"/>
        </w:rPr>
        <w:t>Descrição das Características</w:t>
      </w:r>
    </w:p>
    <w:tbl>
      <w:tblPr>
        <w:tblW w:w="8670" w:type="dxa"/>
        <w:tblInd w:w="269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4" w:type="dxa"/>
        </w:tblCellMar>
        <w:tblLook w:val="0400" w:firstRow="0" w:lastRow="0" w:firstColumn="0" w:lastColumn="0" w:noHBand="0" w:noVBand="1"/>
      </w:tblPr>
      <w:tblGrid>
        <w:gridCol w:w="443"/>
        <w:gridCol w:w="3191"/>
        <w:gridCol w:w="5036"/>
      </w:tblGrid>
      <w:tr w:rsidR="00965750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FFE599"/>
            <w:tcMar>
              <w:left w:w="24" w:type="dxa"/>
            </w:tcMar>
          </w:tcPr>
          <w:p w:rsidR="00965750" w:rsidRDefault="009D60CA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E599"/>
            <w:tcMar>
              <w:left w:w="54" w:type="dxa"/>
            </w:tcMar>
          </w:tcPr>
          <w:p w:rsidR="00965750" w:rsidRDefault="009D60CA">
            <w:pPr>
              <w:spacing w:before="240" w:after="10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FFE599"/>
            <w:tcMar>
              <w:left w:w="54" w:type="dxa"/>
            </w:tcMar>
          </w:tcPr>
          <w:p w:rsidR="00965750" w:rsidRDefault="009D60CA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0965750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65750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965750" w:rsidRDefault="009D60CA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65750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965750" w:rsidRDefault="009D60CA">
            <w:pPr>
              <w:spacing w:before="240" w:after="0"/>
              <w:jc w:val="center"/>
            </w:pPr>
            <w:bookmarkStart w:id="0" w:name="__DdeLink__504_3419186965"/>
            <w:bookmarkEnd w:id="0"/>
            <w:r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965750" w:rsidRDefault="009D60C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Dessa maneira, haverá um controle maior sobre os dados dos clientes cadastrados.</w:t>
            </w:r>
          </w:p>
        </w:tc>
      </w:tr>
      <w:tr w:rsidR="00965750">
        <w:trPr>
          <w:trHeight w:val="1440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65750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965750" w:rsidRDefault="009D60CA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65750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965750" w:rsidRDefault="009D60CA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Cadastro da ordem de serviço</w:t>
            </w:r>
          </w:p>
          <w:p w:rsidR="00965750" w:rsidRDefault="00965750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saberá quais são as ordens de serviço, e conseguirá gerenciar</w:t>
            </w:r>
            <w:r w:rsidR="00D944DC">
              <w:rPr>
                <w:rFonts w:ascii="Arial" w:eastAsia="Arial" w:hAnsi="Arial" w:cs="Arial"/>
              </w:rPr>
              <w:t xml:space="preserve"> a funilaria</w:t>
            </w:r>
            <w:r>
              <w:rPr>
                <w:rFonts w:ascii="Arial" w:eastAsia="Arial" w:hAnsi="Arial" w:cs="Arial"/>
              </w:rPr>
              <w:t xml:space="preserve"> de forma mais coerente.</w:t>
            </w:r>
          </w:p>
        </w:tc>
      </w:tr>
      <w:tr w:rsidR="00965750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24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28"/>
              <w:rPr>
                <w:rFonts w:ascii="Arial" w:hAnsi="Arial" w:cs="Arial"/>
              </w:rPr>
            </w:pPr>
            <w:bookmarkStart w:id="1" w:name="_ut1jwwysvkzh"/>
            <w:bookmarkEnd w:id="1"/>
            <w:r>
              <w:rPr>
                <w:rFonts w:ascii="Arial" w:hAnsi="Arial" w:cs="Arial"/>
              </w:rPr>
              <w:t>Funcionários terão cadastros únicos para garantir a segurança e integridade do sistema.</w:t>
            </w:r>
          </w:p>
        </w:tc>
      </w:tr>
      <w:tr w:rsidR="00965750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46"/>
              <w:jc w:val="center"/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clientes poderão acompanhar o andamento do serviço até a entrega do mesmo.</w:t>
            </w:r>
          </w:p>
        </w:tc>
      </w:tr>
      <w:tr w:rsidR="00965750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696" w:after="616" w:line="240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696" w:after="570"/>
              <w:jc w:val="center"/>
            </w:pPr>
            <w:r>
              <w:rPr>
                <w:rFonts w:ascii="Arial" w:eastAsia="Arial" w:hAnsi="Arial" w:cs="Arial"/>
                <w:color w:val="000000"/>
              </w:rPr>
              <w:t>Gestão de lucros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 w:rsidP="00D944DC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terá um controle mais preciso </w:t>
            </w:r>
            <w:r w:rsidR="00D944DC">
              <w:rPr>
                <w:rFonts w:ascii="Arial" w:eastAsia="Arial" w:hAnsi="Arial" w:cs="Arial"/>
              </w:rPr>
              <w:t>em relação ao</w:t>
            </w:r>
            <w:r>
              <w:rPr>
                <w:rFonts w:ascii="Arial" w:eastAsia="Arial" w:hAnsi="Arial" w:cs="Arial"/>
              </w:rPr>
              <w:t xml:space="preserve"> seu lucro diário, semanal e mensal, assim solucionando um de seus problemas apresentados que é a falta de controle de lucro.</w:t>
            </w:r>
          </w:p>
        </w:tc>
      </w:tr>
      <w:tr w:rsidR="00965750">
        <w:trPr>
          <w:trHeight w:val="1286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468" w:after="388" w:line="24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525" w:after="331"/>
              <w:jc w:val="center"/>
            </w:pPr>
            <w:r>
              <w:rPr>
                <w:rFonts w:ascii="Arial" w:eastAsia="Arial" w:hAnsi="Arial" w:cs="Arial"/>
              </w:rPr>
              <w:t>Website</w:t>
            </w:r>
          </w:p>
          <w:p w:rsidR="00965750" w:rsidRDefault="00965750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website servirá como publicidade e um meio para mais informações aos interessados no</w:t>
            </w:r>
            <w:r w:rsidR="00D944DC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serviço</w:t>
            </w:r>
            <w:r w:rsidR="00D944DC">
              <w:rPr>
                <w:rFonts w:ascii="Arial" w:eastAsia="Arial" w:hAnsi="Arial" w:cs="Arial"/>
              </w:rPr>
              <w:t>s realizados pela funilaria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65750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e os funcionários poderão fazer a verificação dos serviços prestados anteriormente.</w:t>
            </w:r>
          </w:p>
        </w:tc>
      </w:tr>
      <w:tr w:rsidR="00965750" w:rsidTr="009D60CA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Gerar orçamento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 w:after="274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O proprietário pode gerar um orçamento.</w:t>
            </w:r>
          </w:p>
        </w:tc>
      </w:tr>
      <w:tr w:rsidR="00965750" w:rsidTr="009D60CA"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354" w:after="274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35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Estoque de materiais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O proprietário e os funcionários poderão </w:t>
            </w:r>
            <w:r>
              <w:rPr>
                <w:rFonts w:ascii="Arial" w:eastAsia="Arial" w:hAnsi="Arial" w:cs="Arial"/>
              </w:rPr>
              <w:lastRenderedPageBreak/>
              <w:t xml:space="preserve">cadastrar os materiais da funilaria no sistema. </w:t>
            </w:r>
          </w:p>
        </w:tc>
      </w:tr>
      <w:tr w:rsidR="00965750" w:rsidTr="009D60CA">
        <w:tc>
          <w:tcPr>
            <w:tcW w:w="443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21" w:type="dxa"/>
            </w:tcMar>
          </w:tcPr>
          <w:p w:rsidR="00965750" w:rsidRDefault="009D60CA">
            <w:pPr>
              <w:spacing w:before="354" w:after="274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10</w:t>
            </w:r>
          </w:p>
        </w:tc>
        <w:tc>
          <w:tcPr>
            <w:tcW w:w="3191" w:type="dxa"/>
            <w:tcBorders>
              <w:top w:val="single" w:sz="2" w:space="0" w:color="000001"/>
              <w:left w:val="single" w:sz="6" w:space="0" w:color="000001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35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Gerar ordem de compra de materiais</w:t>
            </w:r>
          </w:p>
        </w:tc>
        <w:tc>
          <w:tcPr>
            <w:tcW w:w="5036" w:type="dxa"/>
            <w:tcBorders>
              <w:top w:val="single" w:sz="2" w:space="0" w:color="000001"/>
              <w:left w:val="single" w:sz="6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87" w:type="dxa"/>
            </w:tcMar>
          </w:tcPr>
          <w:p w:rsidR="00965750" w:rsidRDefault="009D60CA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poderão enviar uma ordem de compra de materiais para o almoxarifado</w:t>
            </w:r>
            <w:bookmarkStart w:id="2" w:name="_GoBack"/>
            <w:bookmarkEnd w:id="2"/>
            <w:r>
              <w:rPr>
                <w:rFonts w:ascii="Arial" w:hAnsi="Arial"/>
              </w:rPr>
              <w:t>.</w:t>
            </w:r>
          </w:p>
        </w:tc>
      </w:tr>
    </w:tbl>
    <w:p w:rsidR="00965750" w:rsidRDefault="00965750"/>
    <w:sectPr w:rsidR="0096575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5750"/>
    <w:rsid w:val="00965750"/>
    <w:rsid w:val="009D60CA"/>
    <w:rsid w:val="00D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1FC99-C837-438B-9482-036B22AB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Pedro Henrique Lopes da Silva</cp:lastModifiedBy>
  <cp:revision>23</cp:revision>
  <dcterms:created xsi:type="dcterms:W3CDTF">2019-02-13T10:28:00Z</dcterms:created>
  <dcterms:modified xsi:type="dcterms:W3CDTF">2019-05-22T12:02:00Z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