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8"/>
          <w:sz w:val="34"/>
          <w:szCs w:val="34"/>
        </w:rPr>
        <w:t xml:space="preserve">Comparação de Heurísticas para o Problema da Mochila 0/1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VNS (Variable Neighborhood Search) vs. Algoritmo Genético</w:t>
      </w:r>
    </w:p>
    <w:p>
      <w:pPr>
        <w:pStyle w:val="Heading1"/>
        <w:spacing w:after="150" w:before="300"/>
      </w:pPr>
      <w:r>
        <w:t xml:space="preserve">1. Introdução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Este relatório apresenta a implementação e a comparação de duas meta-heurísticas aplicadas ao Problema da Mochila 0/1 (0/1 Knapsack Problem): uma meta-heurística de busca local, o VNS (Variable Neighborhood Search), e uma meta-heurística populacional, o Algoritmo Genético (AG). Ambas foram implementadas em Python e avaliadas sobre 9 instâncias de referência: as instâncias clássicas P01 a P08 (Burkardt/FSU, 5 a 24 itens) e a instância knapPI_1_100_1000_1 do conjunto de Pisinger (100 itens), permitindo avaliar o comportamento dos algoritmos tanto em problemas pequenos quanto em uma instância de maior escala.</w:t>
      </w:r>
    </w:p>
    <w:p>
      <w:pPr>
        <w:pStyle w:val="Heading1"/>
        <w:spacing w:after="150" w:before="300"/>
      </w:pPr>
      <w:r>
        <w:t xml:space="preserve">2. Metodologia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Representação: em ambos os algoritmos, uma solução é um vetor binário x = (x1, ..., xn), onde xi = 1 indica que o item i está na mochila. Como movimentos de vizinhança e operadores genéticos podem gerar soluções que excedem a capacidade, foi utilizada uma estratégia de reparo guloso: sempre que uma solução é inviável, os itens de pior razão valor/peso são removidos, um a um, até que a capacidade volte a ser respeitada. Isso garante que ambos os algoritmos trabalhem sempre com soluções válidas.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VNS: parte de uma solução construída pela heurística gulosa clássica (itens ordenados por razão valor/peso) e alterna entre três estruturas de vizinhança de complexidade crescente (N1: 1 bit, N2: 2 bits, N3: 3 bits), com busca local best-improvement em N1 após cada perturbação (shaking).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Algoritmo Genético: população inicial combinando um indivíduo guloso e indivíduos aleatórios; seleção por torneio (k = 3); crossover uniforme; mutação por bit-flip; elitismo (o melhor indivíduo sempre sobrevive à próxima geração).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Protocolo experimental: para cada uma das 9 instâncias, cada algoritmo foi executado em 9 combinações de parâmetros diferentes, cada uma repetida com 3 sementes aleatórias distintas — totalizando 486 execuções (243 por algoritmo). Os parâmetros testados foram: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500"/>
      </w:tblGrid>
      <w:tr>
        <w:trPr>
          <w:tblHeader/>
        </w:trPr>
        <w:tc>
          <w:tcPr>
            <w:tcW w:type="dxa" w:w="1800"/>
            <w:shd w:fill="1F4E78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Algoritmo</w:t>
            </w:r>
          </w:p>
        </w:tc>
        <w:tc>
          <w:tcPr>
            <w:tcW w:type="dxa" w:w="3200"/>
            <w:shd w:fill="1F4E78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Parâmetro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Valores testados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VNS</w:t>
            </w:r>
          </w:p>
        </w:tc>
        <w:tc>
          <w:tcPr>
            <w:tcW w:type="dxa" w:w="3200"/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k_max (nº de estruturas de vizinhança)</w:t>
            </w:r>
          </w:p>
        </w:tc>
        <w:tc>
          <w:tcPr>
            <w:tcW w:type="dxa" w:w="350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2, 3, 5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VNS</w:t>
            </w:r>
          </w:p>
        </w:tc>
        <w:tc>
          <w:tcPr>
            <w:tcW w:type="dxa" w:w="3200"/>
            <w:shd w:fill="FFFFFF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max_iterations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50, 100, 200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</w:t>
            </w:r>
          </w:p>
        </w:tc>
        <w:tc>
          <w:tcPr>
            <w:tcW w:type="dxa" w:w="3200"/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pop_size (tamanho da população)</w:t>
            </w:r>
          </w:p>
        </w:tc>
        <w:tc>
          <w:tcPr>
            <w:tcW w:type="dxa" w:w="350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20, 50, 100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</w:t>
            </w:r>
          </w:p>
        </w:tc>
        <w:tc>
          <w:tcPr>
            <w:tcW w:type="dxa" w:w="3200"/>
            <w:shd w:fill="FFFFFF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generations (nº de gerações)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50, 100, 200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</w:t>
            </w:r>
          </w:p>
        </w:tc>
        <w:tc>
          <w:tcPr>
            <w:tcW w:type="dxa" w:w="3200"/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crossover_rate / mutation_rate (fixos)</w:t>
            </w:r>
          </w:p>
        </w:tc>
        <w:tc>
          <w:tcPr>
            <w:tcW w:type="dxa" w:w="350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0,9 / 0,02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t xml:space="preserve">3. Resultados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 tabela a seguir resume, para cada instância: o valor ótimo conhecido, o melhor valor encontrado por cada algoritmo (considerando todas as combinações de parâmetros e sementes) e o gap médio percentual em relação ao ótimo, calculado sobre todas as execuções de cada algoritmo naquela instância.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700"/>
        <w:gridCol w:w="1150"/>
        <w:gridCol w:w="1150"/>
        <w:gridCol w:w="950"/>
        <w:gridCol w:w="1150"/>
        <w:gridCol w:w="950"/>
      </w:tblGrid>
      <w:tr>
        <w:trPr>
          <w:tblHeader/>
        </w:trPr>
        <w:tc>
          <w:tcPr>
            <w:tcW w:type="dxa" w:w="3100"/>
            <w:shd w:fill="1F4E78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Instância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 itens</w:t>
            </w:r>
          </w:p>
        </w:tc>
        <w:tc>
          <w:tcPr>
            <w:tcW w:type="dxa" w:w="1150"/>
            <w:shd w:fill="1F4E78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Ótimo</w:t>
            </w:r>
          </w:p>
        </w:tc>
        <w:tc>
          <w:tcPr>
            <w:tcW w:type="dxa" w:w="1150"/>
            <w:shd w:fill="1F4E78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Melhor VNS</w:t>
            </w:r>
          </w:p>
        </w:tc>
        <w:tc>
          <w:tcPr>
            <w:tcW w:type="dxa" w:w="950"/>
            <w:shd w:fill="1F4E78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 médio VNS</w:t>
            </w:r>
          </w:p>
        </w:tc>
        <w:tc>
          <w:tcPr>
            <w:tcW w:type="dxa" w:w="1150"/>
            <w:shd w:fill="1F4E78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Melhor AG</w:t>
            </w:r>
          </w:p>
        </w:tc>
        <w:tc>
          <w:tcPr>
            <w:tcW w:type="dxa" w:w="950"/>
            <w:shd w:fill="1F4E78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 médio AG</w:t>
            </w:r>
          </w:p>
        </w:tc>
      </w:tr>
      <w:tr>
        <w:tc>
          <w:tcPr>
            <w:tcW w:type="dxa" w:w="3100"/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P01</w:t>
            </w:r>
          </w:p>
        </w:tc>
        <w:tc>
          <w:tcPr>
            <w:tcW w:type="dxa" w:w="70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1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309</w:t>
            </w:r>
          </w:p>
        </w:tc>
        <w:tc>
          <w:tcPr>
            <w:tcW w:type="dxa" w:w="11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309</w:t>
            </w:r>
          </w:p>
        </w:tc>
        <w:tc>
          <w:tcPr>
            <w:tcW w:type="dxa" w:w="9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0,00%</w:t>
            </w:r>
          </w:p>
        </w:tc>
        <w:tc>
          <w:tcPr>
            <w:tcW w:type="dxa" w:w="11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309</w:t>
            </w:r>
          </w:p>
        </w:tc>
        <w:tc>
          <w:tcPr>
            <w:tcW w:type="dxa" w:w="9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0,00%</w:t>
            </w:r>
          </w:p>
        </w:tc>
      </w:tr>
      <w:tr>
        <w:tc>
          <w:tcPr>
            <w:tcW w:type="dxa" w:w="3100"/>
            <w:shd w:fill="FFFFFF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P02</w:t>
            </w:r>
          </w:p>
        </w:tc>
        <w:tc>
          <w:tcPr>
            <w:tcW w:type="dxa" w:w="7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1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1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9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0,00%</w:t>
            </w:r>
          </w:p>
        </w:tc>
        <w:tc>
          <w:tcPr>
            <w:tcW w:type="dxa" w:w="11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9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1,74%</w:t>
            </w:r>
          </w:p>
        </w:tc>
      </w:tr>
      <w:tr>
        <w:tc>
          <w:tcPr>
            <w:tcW w:type="dxa" w:w="3100"/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P03</w:t>
            </w:r>
          </w:p>
        </w:tc>
        <w:tc>
          <w:tcPr>
            <w:tcW w:type="dxa" w:w="70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1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150</w:t>
            </w:r>
          </w:p>
        </w:tc>
        <w:tc>
          <w:tcPr>
            <w:tcW w:type="dxa" w:w="11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150</w:t>
            </w:r>
          </w:p>
        </w:tc>
        <w:tc>
          <w:tcPr>
            <w:tcW w:type="dxa" w:w="9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0,00%</w:t>
            </w:r>
          </w:p>
        </w:tc>
        <w:tc>
          <w:tcPr>
            <w:tcW w:type="dxa" w:w="11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150</w:t>
            </w:r>
          </w:p>
        </w:tc>
        <w:tc>
          <w:tcPr>
            <w:tcW w:type="dxa" w:w="9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0,10%</w:t>
            </w:r>
          </w:p>
        </w:tc>
      </w:tr>
      <w:tr>
        <w:tc>
          <w:tcPr>
            <w:tcW w:type="dxa" w:w="3100"/>
            <w:shd w:fill="FFFFFF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P04</w:t>
            </w:r>
          </w:p>
        </w:tc>
        <w:tc>
          <w:tcPr>
            <w:tcW w:type="dxa" w:w="7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1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107</w:t>
            </w:r>
          </w:p>
        </w:tc>
        <w:tc>
          <w:tcPr>
            <w:tcW w:type="dxa" w:w="11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107</w:t>
            </w:r>
          </w:p>
        </w:tc>
        <w:tc>
          <w:tcPr>
            <w:tcW w:type="dxa" w:w="9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0,00%</w:t>
            </w:r>
          </w:p>
        </w:tc>
        <w:tc>
          <w:tcPr>
            <w:tcW w:type="dxa" w:w="11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107</w:t>
            </w:r>
          </w:p>
        </w:tc>
        <w:tc>
          <w:tcPr>
            <w:tcW w:type="dxa" w:w="9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0,00%</w:t>
            </w:r>
          </w:p>
        </w:tc>
      </w:tr>
      <w:tr>
        <w:tc>
          <w:tcPr>
            <w:tcW w:type="dxa" w:w="3100"/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P05</w:t>
            </w:r>
          </w:p>
        </w:tc>
        <w:tc>
          <w:tcPr>
            <w:tcW w:type="dxa" w:w="70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1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900</w:t>
            </w:r>
          </w:p>
        </w:tc>
        <w:tc>
          <w:tcPr>
            <w:tcW w:type="dxa" w:w="11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900</w:t>
            </w:r>
          </w:p>
        </w:tc>
        <w:tc>
          <w:tcPr>
            <w:tcW w:type="dxa" w:w="9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0,00%</w:t>
            </w:r>
          </w:p>
        </w:tc>
        <w:tc>
          <w:tcPr>
            <w:tcW w:type="dxa" w:w="11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900</w:t>
            </w:r>
          </w:p>
        </w:tc>
        <w:tc>
          <w:tcPr>
            <w:tcW w:type="dxa" w:w="9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0,06%</w:t>
            </w:r>
          </w:p>
        </w:tc>
      </w:tr>
      <w:tr>
        <w:tc>
          <w:tcPr>
            <w:tcW w:type="dxa" w:w="3100"/>
            <w:shd w:fill="FFFFFF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P06</w:t>
            </w:r>
          </w:p>
        </w:tc>
        <w:tc>
          <w:tcPr>
            <w:tcW w:type="dxa" w:w="7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1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1735</w:t>
            </w:r>
          </w:p>
        </w:tc>
        <w:tc>
          <w:tcPr>
            <w:tcW w:type="dxa" w:w="11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1735</w:t>
            </w:r>
          </w:p>
        </w:tc>
        <w:tc>
          <w:tcPr>
            <w:tcW w:type="dxa" w:w="9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0,00%</w:t>
            </w:r>
          </w:p>
        </w:tc>
        <w:tc>
          <w:tcPr>
            <w:tcW w:type="dxa" w:w="11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1735</w:t>
            </w:r>
          </w:p>
        </w:tc>
        <w:tc>
          <w:tcPr>
            <w:tcW w:type="dxa" w:w="9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0,00%</w:t>
            </w:r>
          </w:p>
        </w:tc>
      </w:tr>
      <w:tr>
        <w:tc>
          <w:tcPr>
            <w:tcW w:type="dxa" w:w="3100"/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P07</w:t>
            </w:r>
          </w:p>
        </w:tc>
        <w:tc>
          <w:tcPr>
            <w:tcW w:type="dxa" w:w="70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1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1458</w:t>
            </w:r>
          </w:p>
        </w:tc>
        <w:tc>
          <w:tcPr>
            <w:tcW w:type="dxa" w:w="11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1458</w:t>
            </w:r>
          </w:p>
        </w:tc>
        <w:tc>
          <w:tcPr>
            <w:tcW w:type="dxa" w:w="9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0,08%</w:t>
            </w:r>
          </w:p>
        </w:tc>
        <w:tc>
          <w:tcPr>
            <w:tcW w:type="dxa" w:w="11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1458</w:t>
            </w:r>
          </w:p>
        </w:tc>
        <w:tc>
          <w:tcPr>
            <w:tcW w:type="dxa" w:w="9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0,11%</w:t>
            </w:r>
          </w:p>
        </w:tc>
      </w:tr>
      <w:tr>
        <w:tc>
          <w:tcPr>
            <w:tcW w:type="dxa" w:w="3100"/>
            <w:shd w:fill="FFFFFF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P08</w:t>
            </w:r>
          </w:p>
        </w:tc>
        <w:tc>
          <w:tcPr>
            <w:tcW w:type="dxa" w:w="7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13.549.094</w:t>
            </w:r>
          </w:p>
        </w:tc>
        <w:tc>
          <w:tcPr>
            <w:tcW w:type="dxa" w:w="11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13.549.094</w:t>
            </w:r>
          </w:p>
        </w:tc>
        <w:tc>
          <w:tcPr>
            <w:tcW w:type="dxa" w:w="9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0,31%</w:t>
            </w:r>
          </w:p>
        </w:tc>
        <w:tc>
          <w:tcPr>
            <w:tcW w:type="dxa" w:w="11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13.549.094</w:t>
            </w:r>
          </w:p>
        </w:tc>
        <w:tc>
          <w:tcPr>
            <w:tcW w:type="dxa" w:w="9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0,25%</w:t>
            </w:r>
          </w:p>
        </w:tc>
      </w:tr>
      <w:tr>
        <w:tc>
          <w:tcPr>
            <w:tcW w:type="dxa" w:w="3100"/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knapPI_1_100_1000_1</w:t>
            </w:r>
          </w:p>
        </w:tc>
        <w:tc>
          <w:tcPr>
            <w:tcW w:type="dxa" w:w="70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11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9.147</w:t>
            </w:r>
          </w:p>
        </w:tc>
        <w:tc>
          <w:tcPr>
            <w:tcW w:type="dxa" w:w="11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9.147</w:t>
            </w:r>
          </w:p>
        </w:tc>
        <w:tc>
          <w:tcPr>
            <w:tcW w:type="dxa" w:w="9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0,88%</w:t>
            </w:r>
          </w:p>
        </w:tc>
        <w:tc>
          <w:tcPr>
            <w:tcW w:type="dxa" w:w="11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9.147</w:t>
            </w:r>
          </w:p>
        </w:tc>
        <w:tc>
          <w:tcPr>
            <w:tcW w:type="dxa" w:w="950"/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0,84%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Em todas as 9 instâncias, tanto o VNS quanto o AG foram capazes de encontrar a solução ótima exata em pelo menos uma das combinações de parâmetros testadas. A diferença de desempenho aparece na consistência: o gap médio (calculado sobre todas as 27 execuções de cada algoritmo por instância — 9 combinações de parâmetros x 3 sementes) foi, de forma geral, menor no VNS.</w:t>
      </w:r>
    </w:p>
    <w:p>
      <w:pPr>
        <w:pStyle w:val="Heading1"/>
        <w:spacing w:after="150" w:before="300"/>
      </w:pPr>
      <w:r>
        <w:t xml:space="preserve">3.1 Convergência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Os gráficos abaixo mostram a evolução do melhor valor encontrado ao longo das iterações (VNS) e gerações (AG) para as duas instâncias mais desafiadoras (P08 e knapPI_1_100_1000_1, com k_max=3/max_iterations=200 para o VNS e pop_size=50/generations=100 para o AG):</w:t>
      </w:r>
    </w:p>
    <w:p>
      <w:pPr>
        <w:spacing w:after="20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Em ambas as instâncias, os dois algoritmos convergem rapidamente (dentro das primeiras 10-20 iterações/gerações) e depois estabilizam, sem melhora adicional — um comportamento típico em instâncias de porte pequeno/médio, onde o espaço de busca é suficientemente explorado cedo.</w:t>
      </w:r>
    </w:p>
    <w:p>
      <w:pPr>
        <w:pStyle w:val="Heading1"/>
        <w:spacing w:after="150" w:before="300"/>
      </w:pPr>
      <w:r>
        <w:t xml:space="preserve">4. Discussão comparativa</w:t>
      </w:r>
    </w:p>
    <w:p>
      <w:pPr>
        <w:pStyle w:val="Heading2"/>
        <w:spacing w:after="150" w:before="300"/>
      </w:pPr>
      <w:r>
        <w:t xml:space="preserve">4.1 Qualidade da solução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 VNS apresentou gap médio geral de 0,14%, contra 0,34% do AG (considerando todas as 243 execuções de cada algoritmo). Isso é esperado: o VNS realiza busca local intensiva (best-improvement) a cada iteração, o que o aproxima rapidamente de ótimos locais de alta qualidade, enquanto o AG depende mais da diversidade populacional e é mais sensível a más combinações de parâmetros (ex.: população pequena combinada com poucas gerações).</w:t>
      </w:r>
    </w:p>
    <w:p>
      <w:pPr>
        <w:pStyle w:val="Heading2"/>
        <w:spacing w:after="150" w:before="300"/>
      </w:pPr>
      <w:r>
        <w:t xml:space="preserve">4.2 Tempo de execução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 VNS foi, em média, mais rápido que o AG (0,038s vs 0,088s por execução, considerando todas as instâncias e parâmetros). Isso se deve principalmente ao custo por iteração: o AG avalia toda uma população (e refaz o reparo) a cada geração, enquanto o VNS avalia apenas os n vizinhos de uma única solução por iteração de busca local.</w:t>
      </w:r>
    </w:p>
    <w:p>
      <w:pPr>
        <w:pStyle w:val="Heading2"/>
        <w:spacing w:after="150" w:before="300"/>
      </w:pPr>
      <w:r>
        <w:t xml:space="preserve">4.3 Iterações/gerações e convergência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Ambos os algoritmos convergem cedo para instâncias pequenas (poucas dezenas de iterações/gerações já bastam). Para a instância de 100 itens, o AG demonstrou uma leve vantagem de tempo em relação ao VNS com parâmetros mais agressivos, pois a busca local do VNS (que testa todos os n bits a cada passo de melhora) fica proporcionalmente mais cara à medida que n cresce — um ponto relevante para escalar os algoritmos a instâncias ainda maiores.</w:t>
      </w:r>
    </w:p>
    <w:p>
      <w:pPr>
        <w:pStyle w:val="Heading1"/>
        <w:spacing w:after="150" w:before="300"/>
      </w:pPr>
      <w:r>
        <w:t xml:space="preserve">5. Conclusão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Ambas as meta-heurísticas se mostraram eficazes para o Problema da Mochila 0/1, encontrando a solução ótima exata em todas as 9 instâncias testadas quando bem parametrizadas. O VNS destacou-se pela consistência (menor gap médio) e velocidade em instâncias pequenas/médias, enquanto o AG mostrou-se competitivo e mais robusto ao crescimento do número de itens, à custa de maior variabilidade nos resultados entre diferentes combinações de parâmetros. A escolha entre as duas abordagens, na prática, depende do porte da instância e da importância relativa entre qualidade garantida e tempo de execução.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Heurísticas e Meta-heurísticas — Problema da Mochila 0/1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6fd3cc366f7a61cca255505e98f2d9711d6f5f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2026-08-29T05:39:49.225Z</dcterms:created>
  <dcterms:modified xsi:type="dcterms:W3CDTF">2026-08-29T05:39:49.238Z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