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line="480"/>
        <w:jc w:val="center"/>
      </w:pPr>
      <w:r>
        <w:rPr>
          <w:rFonts w:ascii="Times New Roman" w:cs="Times New Roman" w:eastAsia="Times New Roman" w:hAnsi="Times New Roman"/>
          <w:b/>
          <w:bCs/>
          <w:sz w:val="32"/>
          <w:szCs w:val="32"/>
        </w:rPr>
        <w:t xml:space="preserve">Diagnostic Accuracy of Blood Biomarkers GFAP, UCH-L1, and S100B</w:t>
      </w:r>
    </w:p>
    <w:p>
      <w:pPr>
        <w:spacing w:after="200" w:line="480"/>
        <w:jc w:val="center"/>
      </w:pPr>
      <w:r>
        <w:rPr>
          <w:rFonts w:ascii="Times New Roman" w:cs="Times New Roman" w:eastAsia="Times New Roman" w:hAnsi="Times New Roman"/>
          <w:b/>
          <w:bCs/>
          <w:sz w:val="32"/>
          <w:szCs w:val="32"/>
        </w:rPr>
        <w:t xml:space="preserve">for Predicting Intracranial Lesions After Mild Traumatic Brain Injury:</w:t>
      </w:r>
    </w:p>
    <w:p>
      <w:pPr>
        <w:spacing w:after="400" w:line="480"/>
        <w:jc w:val="center"/>
      </w:pPr>
      <w:r>
        <w:rPr>
          <w:rFonts w:ascii="Times New Roman" w:cs="Times New Roman" w:eastAsia="Times New Roman" w:hAnsi="Times New Roman"/>
          <w:b/>
          <w:bCs/>
          <w:sz w:val="32"/>
          <w:szCs w:val="32"/>
        </w:rPr>
        <w:t xml:space="preserve">A Systematic Review and Meta-analysis</w:t>
      </w:r>
    </w:p>
    <w:p>
      <w:pPr>
        <w:spacing w:after="200" w:line="480"/>
        <w:jc w:val="center"/>
      </w:pPr>
      <w:r>
        <w:rPr>
          <w:rFonts w:ascii="Times New Roman" w:cs="Times New Roman" w:eastAsia="Times New Roman" w:hAnsi="Times New Roman"/>
          <w:sz w:val="24"/>
          <w:szCs w:val="24"/>
        </w:rPr>
        <w:t xml:space="preserve">Enrico Pirani, MD; [Co-authors TBD]</w:t>
      </w:r>
    </w:p>
    <w:p>
      <w:pPr>
        <w:spacing w:after="600" w:line="480"/>
        <w:jc w:val="center"/>
      </w:pPr>
      <w:r>
        <w:rPr>
          <w:rFonts w:ascii="Times New Roman" w:cs="Times New Roman" w:eastAsia="Times New Roman" w:hAnsi="Times New Roman"/>
          <w:i/>
          <w:iCs/>
          <w:sz w:val="24"/>
          <w:szCs w:val="24"/>
        </w:rPr>
        <w:t xml:space="preserve">Manuscript version 8 — Dataset v15 — 13 April 2026</w:t>
      </w:r>
    </w:p>
    <w:p>
      <w:pPr>
        <w:pStyle w:val="Heading2"/>
        <w:spacing w:after="120" w:before="240" w:line="480"/>
      </w:pPr>
      <w:r>
        <w:rPr>
          <w:rFonts w:ascii="Times New Roman" w:cs="Times New Roman" w:eastAsia="Times New Roman" w:hAnsi="Times New Roman"/>
          <w:b/>
          <w:bCs/>
          <w:sz w:val="24"/>
          <w:szCs w:val="24"/>
        </w:rPr>
        <w:t xml:space="preserve">Key Points</w:t>
      </w:r>
    </w:p>
    <w:p>
      <w:pPr>
        <w:spacing w:after="120" w:line="480"/>
        <w:jc w:val="both"/>
      </w:pPr>
      <w:r>
        <w:rPr>
          <w:rFonts w:ascii="Times New Roman" w:cs="Times New Roman" w:eastAsia="Times New Roman" w:hAnsi="Times New Roman"/>
          <w:b/>
          <w:bCs/>
          <w:sz w:val="24"/>
          <w:szCs w:val="24"/>
        </w:rPr>
        <w:t xml:space="preserve">Question: </w:t>
      </w:r>
      <w:r>
        <w:rPr>
          <w:rFonts w:ascii="Times New Roman" w:cs="Times New Roman" w:eastAsia="Times New Roman" w:hAnsi="Times New Roman"/>
          <w:sz w:val="24"/>
          <w:szCs w:val="24"/>
        </w:rPr>
        <w:t xml:space="preserve">What is the diagnostic accuracy of blood biomarkers GFAP+UCH-L1 and S100B for ruling out traumatic intracranial lesions on CT in adults with mild traumatic brain injury?</w:t>
      </w:r>
    </w:p>
    <w:p>
      <w:pPr>
        <w:spacing w:after="120" w:line="480"/>
        <w:jc w:val="both"/>
      </w:pPr>
      <w:r>
        <w:rPr>
          <w:rFonts w:ascii="Times New Roman" w:cs="Times New Roman" w:eastAsia="Times New Roman" w:hAnsi="Times New Roman"/>
          <w:b/>
          <w:bCs/>
          <w:sz w:val="24"/>
          <w:szCs w:val="24"/>
        </w:rPr>
        <w:t xml:space="preserve">Findings: </w:t>
      </w:r>
      <w:r>
        <w:rPr>
          <w:rFonts w:ascii="Times New Roman" w:cs="Times New Roman" w:eastAsia="Times New Roman" w:hAnsi="Times New Roman"/>
          <w:sz w:val="24"/>
          <w:szCs w:val="24"/>
        </w:rPr>
        <w:t xml:space="preserve">In this systematic review and meta-analysis of 16 studies (10 in primary analysis) enrolling 8,107 adults, the combined GFAP+UCH-L1 assay achieved a pooled sensitivity of 96.7% and specificity of 27.1%, while S100B achieved 94.6% sensitivity and 25.0% specificity. Both biomarkers demonstrated NPV &gt;98%, but GFAP+UCH-L1 missed fewer lesions (3.1 vs 4.2 per 1,000 patients).</w:t>
      </w:r>
    </w:p>
    <w:p>
      <w:pPr>
        <w:spacing w:after="120" w:line="480"/>
        <w:jc w:val="both"/>
      </w:pPr>
      <w:r>
        <w:rPr>
          <w:rFonts w:ascii="Times New Roman" w:cs="Times New Roman" w:eastAsia="Times New Roman" w:hAnsi="Times New Roman"/>
          <w:b/>
          <w:bCs/>
          <w:sz w:val="24"/>
          <w:szCs w:val="24"/>
        </w:rPr>
        <w:t xml:space="preserve">Meaning: </w:t>
      </w:r>
      <w:r>
        <w:rPr>
          <w:rFonts w:ascii="Times New Roman" w:cs="Times New Roman" w:eastAsia="Times New Roman" w:hAnsi="Times New Roman"/>
          <w:sz w:val="24"/>
          <w:szCs w:val="24"/>
        </w:rPr>
        <w:t xml:space="preserve">Both biomarkers can safely reduce unnecessary CT scans in mTBI patients by approximately 24%, with GFAP+UCH-L1 showing a modest advantage in sensitivity. The limited specificity of both biomarkers, driven by age-related confounding, warrants consideration of age-adjusted cutoffs.</w:t>
      </w:r>
    </w:p>
    <w:p>
      <w:r>
        <w:br w:type="page"/>
      </w:r>
    </w:p>
    <w:p>
      <w:pPr>
        <w:pStyle w:val="Heading1"/>
        <w:spacing w:after="240" w:before="360" w:line="480"/>
      </w:pPr>
      <w:r>
        <w:rPr>
          <w:rFonts w:ascii="Times New Roman" w:cs="Times New Roman" w:eastAsia="Times New Roman" w:hAnsi="Times New Roman"/>
          <w:b/>
          <w:bCs/>
          <w:sz w:val="28"/>
          <w:szCs w:val="28"/>
        </w:rPr>
        <w:t xml:space="preserve">Abstract</w:t>
      </w:r>
    </w:p>
    <w:p>
      <w:pPr>
        <w:spacing w:after="120" w:line="480"/>
        <w:jc w:val="both"/>
      </w:pPr>
      <w:r>
        <w:rPr>
          <w:rFonts w:ascii="Times New Roman" w:cs="Times New Roman" w:eastAsia="Times New Roman" w:hAnsi="Times New Roman"/>
          <w:b/>
          <w:bCs/>
          <w:sz w:val="24"/>
          <w:szCs w:val="24"/>
        </w:rPr>
        <w:t xml:space="preserve">Importance: </w:t>
      </w:r>
      <w:r>
        <w:rPr>
          <w:rFonts w:ascii="Times New Roman" w:cs="Times New Roman" w:eastAsia="Times New Roman" w:hAnsi="Times New Roman"/>
          <w:sz w:val="24"/>
          <w:szCs w:val="24"/>
        </w:rPr>
        <w:t xml:space="preserve">Mild traumatic brain injury (mTBI) accounts for over 80% of TBI presentations to emergency departments. Most patients undergo CT scanning, yet fewer than 10% have intracranial lesions. Blood biomarkers may safely reduce unnecessary CT utilization.</w:t>
      </w:r>
    </w:p>
    <w:p>
      <w:pPr>
        <w:spacing w:after="120" w:line="480"/>
        <w:jc w:val="both"/>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compare the diagnostic accuracy of the combined GFAP+UCH-L1 assay versus S100B for predicting the absence of traumatic intracranial lesions on head CT in adults with mTBI.</w:t>
      </w:r>
    </w:p>
    <w:p>
      <w:pPr>
        <w:spacing w:after="120" w:line="480"/>
        <w:jc w:val="both"/>
      </w:pPr>
      <w:r>
        <w:rPr>
          <w:rFonts w:ascii="Times New Roman" w:cs="Times New Roman" w:eastAsia="Times New Roman" w:hAnsi="Times New Roman"/>
          <w:b/>
          <w:bCs/>
          <w:sz w:val="24"/>
          <w:szCs w:val="24"/>
        </w:rPr>
        <w:t xml:space="preserve">Data Sources: </w:t>
      </w:r>
      <w:r>
        <w:rPr>
          <w:rFonts w:ascii="Times New Roman" w:cs="Times New Roman" w:eastAsia="Times New Roman" w:hAnsi="Times New Roman"/>
          <w:sz w:val="24"/>
          <w:szCs w:val="24"/>
        </w:rPr>
        <w:t xml:space="preserve">PubMed, Scopus, Cochrane Library, and Semantic Scholar were searched from inception through March 2026. Reference lists of included studies were hand-searched.</w:t>
      </w:r>
    </w:p>
    <w:p>
      <w:pPr>
        <w:spacing w:after="120" w:line="480"/>
        <w:jc w:val="both"/>
      </w:pPr>
      <w:r>
        <w:rPr>
          <w:rFonts w:ascii="Times New Roman" w:cs="Times New Roman" w:eastAsia="Times New Roman" w:hAnsi="Times New Roman"/>
          <w:b/>
          <w:bCs/>
          <w:sz w:val="24"/>
          <w:szCs w:val="24"/>
        </w:rPr>
        <w:t xml:space="preserve">Study Selection: </w:t>
      </w:r>
      <w:r>
        <w:rPr>
          <w:rFonts w:ascii="Times New Roman" w:cs="Times New Roman" w:eastAsia="Times New Roman" w:hAnsi="Times New Roman"/>
          <w:sz w:val="24"/>
          <w:szCs w:val="24"/>
        </w:rPr>
        <w:t xml:space="preserve">Prospective or retrospective studies evaluating diagnostic accuracy of GFAP+UCH-L1 or S100B in adults (≥18 years) with mTBI (GCS 13–15), using head CT as the reference standard, and reporting data sufficient to construct 2×2 contingency tables. Of 1,131 records identified, 420 were screened after removing 711 duplicates, with 35 full-text articles assessed for eligibility.</w:t>
      </w:r>
    </w:p>
    <w:p>
      <w:pPr>
        <w:spacing w:after="120" w:line="480"/>
        <w:jc w:val="both"/>
      </w:pPr>
      <w:r>
        <w:rPr>
          <w:rFonts w:ascii="Times New Roman" w:cs="Times New Roman" w:eastAsia="Times New Roman" w:hAnsi="Times New Roman"/>
          <w:b/>
          <w:bCs/>
          <w:sz w:val="24"/>
          <w:szCs w:val="24"/>
        </w:rPr>
        <w:t xml:space="preserve">Data Extraction and Synthesis: </w:t>
      </w:r>
      <w:r>
        <w:rPr>
          <w:rFonts w:ascii="Times New Roman" w:cs="Times New Roman" w:eastAsia="Times New Roman" w:hAnsi="Times New Roman"/>
          <w:sz w:val="24"/>
          <w:szCs w:val="24"/>
        </w:rPr>
        <w:t xml:space="preserve">Two reviewers independently extracted data and assessed risk of bias using QUADAS-2. Pooled sensitivity and specificity were estimated using univariate random-effects models (REML) on the logit scale. PRISMA-DTA guidelines were followed.</w:t>
      </w:r>
    </w:p>
    <w:p>
      <w:pPr>
        <w:spacing w:after="120" w:line="480"/>
        <w:jc w:val="both"/>
      </w:pPr>
      <w:r>
        <w:rPr>
          <w:rFonts w:ascii="Times New Roman" w:cs="Times New Roman" w:eastAsia="Times New Roman" w:hAnsi="Times New Roman"/>
          <w:b/>
          <w:bCs/>
          <w:sz w:val="24"/>
          <w:szCs w:val="24"/>
        </w:rPr>
        <w:t xml:space="preserve">Main Outcomes and Measures: </w:t>
      </w:r>
      <w:r>
        <w:rPr>
          <w:rFonts w:ascii="Times New Roman" w:cs="Times New Roman" w:eastAsia="Times New Roman" w:hAnsi="Times New Roman"/>
          <w:sz w:val="24"/>
          <w:szCs w:val="24"/>
        </w:rPr>
        <w:t xml:space="preserve">Sensitivity, specificity, negative predictive value (NPV), proportion of CT scans potentially avoided, and missed lesion rate per 1,000 patients.</w:t>
      </w:r>
    </w:p>
    <w:p>
      <w:pPr>
        <w:spacing w:after="120" w:line="48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Sixteen studies were included in the systematic review; 10 unique studies (11 study-biomarker combinations; 8,107 patients) entered the primary meta-analysis: 7 evaluating GFAP+UCH-L1 (5,903 patients; 535 CT-positive [9.3%]) and 4 evaluating S100B (2,204 patients; 164 CT-positive [7.8%]). Six additional studies were assessed in sensitivity analyses. For GFAP+UCH-L1, pooled sensitivity was 96.7% (95% CI, 94.7%–97.9%) and specificity was 27.1% (95% CI, 22.5%–32.1%), with I²=0% for sensitivity and 93% for specificity. For S100B, pooled sensitivity was 94.6% (95% CI, 89.7%–97.2%) and specificity was 25.0% (95% CI, 18.2%–33.4%). NPV was 98.75% for GFAP+UCH-L1 and 98.20% for S100B. The estimated CT reduction was 24.5% and 23.1%, respectively, with 3.1 and 4.2 missed lesions per 1,000 patients.</w:t>
      </w:r>
    </w:p>
    <w:p>
      <w:pPr>
        <w:spacing w:after="120" w:line="480"/>
        <w:jc w:val="both"/>
      </w:pPr>
      <w:r>
        <w:rPr>
          <w:rFonts w:ascii="Times New Roman" w:cs="Times New Roman" w:eastAsia="Times New Roman" w:hAnsi="Times New Roman"/>
          <w:b/>
          <w:bCs/>
          <w:sz w:val="24"/>
          <w:szCs w:val="24"/>
        </w:rPr>
        <w:t xml:space="preserve">Conclusions and Relevance: </w:t>
      </w:r>
      <w:r>
        <w:rPr>
          <w:rFonts w:ascii="Times New Roman" w:cs="Times New Roman" w:eastAsia="Times New Roman" w:hAnsi="Times New Roman"/>
          <w:sz w:val="24"/>
          <w:szCs w:val="24"/>
        </w:rPr>
        <w:t xml:space="preserve">Both GFAP+UCH-L1 and S100B demonstrate high sensitivity and NPV for excluding intracranial lesions in mTBI, supporting their use as CT decision aids. GFAP+UCH-L1 shows a modest advantage in sensitivity with fewer missed lesions. The limited specificity of both biomarkers remains a key limitation for clinical implementation.</w:t>
      </w:r>
    </w:p>
    <w:p>
      <w:r>
        <w:br w:type="page"/>
      </w:r>
    </w:p>
    <w:p>
      <w:pPr>
        <w:pStyle w:val="Heading1"/>
        <w:spacing w:after="240" w:before="360" w:line="480"/>
      </w:pPr>
      <w:r>
        <w:rPr>
          <w:rFonts w:ascii="Times New Roman" w:cs="Times New Roman" w:eastAsia="Times New Roman" w:hAnsi="Times New Roman"/>
          <w:b/>
          <w:bCs/>
          <w:sz w:val="28"/>
          <w:szCs w:val="28"/>
        </w:rPr>
        <w:t xml:space="preserve">Introduction</w:t>
      </w:r>
    </w:p>
    <w:p>
      <w:pPr>
        <w:spacing w:after="120" w:line="480"/>
        <w:ind w:firstLine="720"/>
        <w:jc w:val="both"/>
      </w:pPr>
      <w:r>
        <w:rPr>
          <w:rFonts w:ascii="Times New Roman" w:cs="Times New Roman" w:eastAsia="Times New Roman" w:hAnsi="Times New Roman"/>
          <w:sz w:val="24"/>
          <w:szCs w:val="24"/>
        </w:rPr>
        <w:t xml:space="preserve">Mild traumatic brain injury (mTBI), defined by a Glasgow Coma Scale (GCS) score of 13–15, accounts for approximately 80–90% of all TBI cases presenting to emergency departments (EDs). Non-contrast head computed tomography (CT) is the standard diagnostic tool for excluding traumatic intracranial lesions; however, the diagnostic yield is low, with fewer than 10% of mTBI patients having positive CT findings. This results in substantial overuse of CT scanning, exposing patients to ionizing radiation, contributing to ED crowding, and increasing healthcare costs.</w:t>
      </w:r>
    </w:p>
    <w:p>
      <w:pPr>
        <w:spacing w:after="120" w:line="480"/>
        <w:ind w:firstLine="720"/>
        <w:jc w:val="both"/>
      </w:pPr>
      <w:r>
        <w:rPr>
          <w:rFonts w:ascii="Times New Roman" w:cs="Times New Roman" w:eastAsia="Times New Roman" w:hAnsi="Times New Roman"/>
          <w:sz w:val="24"/>
          <w:szCs w:val="24"/>
        </w:rPr>
        <w:t xml:space="preserve">Blood biomarkers have emerged as promising tools to guide CT decision-making in mTBI. S100B protein has been incorporated into the Scandinavian Neurotrauma Guidelines since 2013 and is widely used in European EDs. More recently, the combination of glial fibrillary acidic protein (GFAP) and ubiquitin C-terminal hydrolase L1 (UCH-L1) received FDA clearance in 2018 based on the ALERT-TBI study, and automated assays are now available on multiple platforms (Abbott i-STAT, Alinity, bioMérieux VIDAS).</w:t>
      </w:r>
    </w:p>
    <w:p>
      <w:pPr>
        <w:spacing w:after="120" w:line="480"/>
        <w:ind w:firstLine="720"/>
        <w:jc w:val="both"/>
      </w:pPr>
      <w:r>
        <w:rPr>
          <w:rFonts w:ascii="Times New Roman" w:cs="Times New Roman" w:eastAsia="Times New Roman" w:hAnsi="Times New Roman"/>
          <w:sz w:val="24"/>
          <w:szCs w:val="24"/>
        </w:rPr>
        <w:t xml:space="preserve">While several individual studies and prior meta-analyses have evaluated these biomarkers separately, no systematic comparison of GFAP+UCH-L1 versus S100B has been conducted using only studies with verified 2×2 diagnostic accuracy data extracted directly from full-text publications. This gap is particularly relevant given the rapid proliferation of new studies on automated platforms and the heterogeneity of cutoff values across assays.</w:t>
      </w:r>
    </w:p>
    <w:p>
      <w:pPr>
        <w:spacing w:after="120" w:line="480"/>
        <w:ind w:firstLine="720"/>
        <w:jc w:val="both"/>
      </w:pPr>
      <w:r>
        <w:rPr>
          <w:rFonts w:ascii="Times New Roman" w:cs="Times New Roman" w:eastAsia="Times New Roman" w:hAnsi="Times New Roman"/>
          <w:sz w:val="24"/>
          <w:szCs w:val="24"/>
        </w:rPr>
        <w:t xml:space="preserve">This systematic review and meta-analysis aims to compare the diagnostic accuracy of GFAP+UCH-L1 and S100B for predicting the absence of traumatic intracranial lesions on head CT in adults with mTBI, using data verified from the original publications.</w:t>
      </w:r>
    </w:p>
    <w:p>
      <w:r>
        <w:br w:type="page"/>
      </w:r>
    </w:p>
    <w:p>
      <w:pPr>
        <w:pStyle w:val="Heading1"/>
        <w:spacing w:after="240" w:before="360" w:line="480"/>
      </w:pPr>
      <w:r>
        <w:rPr>
          <w:rFonts w:ascii="Times New Roman" w:cs="Times New Roman" w:eastAsia="Times New Roman" w:hAnsi="Times New Roman"/>
          <w:b/>
          <w:bCs/>
          <w:sz w:val="28"/>
          <w:szCs w:val="28"/>
        </w:rPr>
        <w:t xml:space="preserve">Methods</w:t>
      </w:r>
    </w:p>
    <w:p>
      <w:pPr>
        <w:pStyle w:val="Heading2"/>
        <w:spacing w:after="120" w:before="240" w:line="480"/>
      </w:pPr>
      <w:r>
        <w:rPr>
          <w:rFonts w:ascii="Times New Roman" w:cs="Times New Roman" w:eastAsia="Times New Roman" w:hAnsi="Times New Roman"/>
          <w:b/>
          <w:bCs/>
          <w:sz w:val="24"/>
          <w:szCs w:val="24"/>
        </w:rPr>
        <w:t xml:space="preserve">Protocol and Registration</w:t>
      </w:r>
    </w:p>
    <w:p>
      <w:pPr>
        <w:spacing w:after="120" w:line="480"/>
        <w:jc w:val="both"/>
      </w:pPr>
      <w:r>
        <w:rPr>
          <w:rFonts w:ascii="Times New Roman" w:cs="Times New Roman" w:eastAsia="Times New Roman" w:hAnsi="Times New Roman"/>
          <w:sz w:val="24"/>
          <w:szCs w:val="24"/>
        </w:rPr>
        <w:t xml:space="preserve">This study was conducted in accordance with PRISMA-DTA guidelines. The protocol was registered on PROSPERO [registration number to be added].</w:t>
      </w:r>
    </w:p>
    <w:p>
      <w:pPr>
        <w:pStyle w:val="Heading2"/>
        <w:spacing w:after="120" w:before="240" w:line="480"/>
      </w:pPr>
      <w:r>
        <w:rPr>
          <w:rFonts w:ascii="Times New Roman" w:cs="Times New Roman" w:eastAsia="Times New Roman" w:hAnsi="Times New Roman"/>
          <w:b/>
          <w:bCs/>
          <w:sz w:val="24"/>
          <w:szCs w:val="24"/>
        </w:rPr>
        <w:t xml:space="preserve">Data Sources and Search Strategy</w:t>
      </w:r>
    </w:p>
    <w:p>
      <w:pPr>
        <w:spacing w:after="120" w:line="480"/>
        <w:jc w:val="both"/>
      </w:pPr>
      <w:r>
        <w:rPr>
          <w:rFonts w:ascii="Times New Roman" w:cs="Times New Roman" w:eastAsia="Times New Roman" w:hAnsi="Times New Roman"/>
          <w:sz w:val="24"/>
          <w:szCs w:val="24"/>
        </w:rPr>
        <w:t xml:space="preserve">A systematic search was performed across PubMed, Scopus, Cochrane Library, and Semantic Scholar from database inception through March 2026. Two separate search strategies were used: one targeting GFAP and UCH-L1 and one targeting S100B, each combining biomarker terms with mTBI/concussion terms and CT/diagnostic accuracy terms. A third combined query was run on Scopus. No language or publication date restrictions were applied. Reference lists of included studies and relevant systematic reviews were manually screened, identifying 2 additional studies (Papa 2022, Rogan 2023). The complete search strategies are presented in eTable 1 in the Supplement.</w:t>
      </w:r>
    </w:p>
    <w:p>
      <w:pPr>
        <w:pStyle w:val="Heading2"/>
        <w:spacing w:after="120" w:before="240" w:line="480"/>
      </w:pPr>
      <w:r>
        <w:rPr>
          <w:rFonts w:ascii="Times New Roman" w:cs="Times New Roman" w:eastAsia="Times New Roman" w:hAnsi="Times New Roman"/>
          <w:b/>
          <w:bCs/>
          <w:sz w:val="24"/>
          <w:szCs w:val="24"/>
        </w:rPr>
        <w:t xml:space="preserve">Study Selection</w:t>
      </w:r>
    </w:p>
    <w:p>
      <w:pPr>
        <w:spacing w:after="120" w:line="480"/>
        <w:jc w:val="both"/>
      </w:pPr>
      <w:r>
        <w:rPr>
          <w:rFonts w:ascii="Times New Roman" w:cs="Times New Roman" w:eastAsia="Times New Roman" w:hAnsi="Times New Roman"/>
          <w:sz w:val="24"/>
          <w:szCs w:val="24"/>
        </w:rPr>
        <w:t xml:space="preserve">The search identified 1,131 records (PubMed 420, Scopus 646, Cochrane Library 8, Semantic Scholar 55, reference lists 2). After removing 711 duplicates, 420 records were screened by title and abstract by two independent reviewers. Discrepancies were resolved by consensus. Thirty-six reports were sought for full-text retrieval; 1 was available only as abstract (Hopman 2023). Thirty-five reports were assessed for eligibility, of which 19 were excluded (5 meta-analyses/reviews, 4 overlapping cohorts, 3 without extractable 2×2 data, 3 with N&lt;100 or pilot design, 2 with different outcomes, 1 protocol, 1 other). Sixteen studies were included in the systematic review: 10 in the primary quantitative synthesis and 6 in sensitivity analyses only (Figure 1).</w:t>
      </w:r>
    </w:p>
    <w:p>
      <w:pPr>
        <w:pStyle w:val="Heading2"/>
        <w:spacing w:after="120" w:before="240" w:line="480"/>
      </w:pPr>
      <w:r>
        <w:rPr>
          <w:rFonts w:ascii="Times New Roman" w:cs="Times New Roman" w:eastAsia="Times New Roman" w:hAnsi="Times New Roman"/>
          <w:b/>
          <w:bCs/>
          <w:sz w:val="24"/>
          <w:szCs w:val="24"/>
        </w:rPr>
        <w:t xml:space="preserve">Eligibility Criteria</w:t>
      </w:r>
    </w:p>
    <w:p>
      <w:pPr>
        <w:spacing w:after="120" w:line="480"/>
        <w:jc w:val="both"/>
      </w:pPr>
      <w:r>
        <w:rPr>
          <w:rFonts w:ascii="Times New Roman" w:cs="Times New Roman" w:eastAsia="Times New Roman" w:hAnsi="Times New Roman"/>
          <w:sz w:val="24"/>
          <w:szCs w:val="24"/>
        </w:rPr>
        <w:t xml:space="preserve">Studies were eligible if they: (1) enrolled adults (≥18 years) with mTBI (GCS 13–15); (2) evaluated the diagnostic accuracy of GFAP+UCH-L1 (combined assay) or S100B; (3) used head CT as the reference standard for intracranial lesions; (4) reported data sufficient to construct or derive 2×2 contingency tables (TP, FP, FN, TN); and (5) were published as full-text articles or provided sufficient abstract data. Studies were excluded if they enrolled pediatric populations exclusively, were meta-analyses or reviews, reported only AUC without extractable 2×2 data, or had overlapping cohorts with larger included studies.</w:t>
      </w:r>
    </w:p>
    <w:p>
      <w:pPr>
        <w:pStyle w:val="Heading2"/>
        <w:spacing w:after="120" w:before="240" w:line="480"/>
      </w:pPr>
      <w:r>
        <w:rPr>
          <w:rFonts w:ascii="Times New Roman" w:cs="Times New Roman" w:eastAsia="Times New Roman" w:hAnsi="Times New Roman"/>
          <w:b/>
          <w:bCs/>
          <w:sz w:val="24"/>
          <w:szCs w:val="24"/>
        </w:rPr>
        <w:t xml:space="preserve">Data Extraction and Quality Assessment</w:t>
      </w:r>
    </w:p>
    <w:p>
      <w:pPr>
        <w:spacing w:after="120" w:line="480"/>
        <w:jc w:val="both"/>
      </w:pPr>
      <w:r>
        <w:rPr>
          <w:rFonts w:ascii="Times New Roman" w:cs="Times New Roman" w:eastAsia="Times New Roman" w:hAnsi="Times New Roman"/>
          <w:sz w:val="24"/>
          <w:szCs w:val="24"/>
        </w:rPr>
        <w:t xml:space="preserve">All 2×2 contingency tables were extracted directly from the full-text publications by the lead author and verified independently. For one study (Hopman 2023), 2×2 data were reconstructed from abstract-reported sensitivity, specificity, and sample size. Risk of bias was assessed using the QUADAS-2 tool.</w:t>
      </w:r>
    </w:p>
    <w:p>
      <w:pPr>
        <w:pStyle w:val="Heading2"/>
        <w:spacing w:after="120" w:before="240" w:line="480"/>
      </w:pPr>
      <w:r>
        <w:rPr>
          <w:rFonts w:ascii="Times New Roman" w:cs="Times New Roman" w:eastAsia="Times New Roman" w:hAnsi="Times New Roman"/>
          <w:b/>
          <w:bCs/>
          <w:sz w:val="24"/>
          <w:szCs w:val="24"/>
        </w:rPr>
        <w:t xml:space="preserve">Statistical Analysis</w:t>
      </w:r>
    </w:p>
    <w:p>
      <w:pPr>
        <w:spacing w:after="120" w:line="480"/>
        <w:jc w:val="both"/>
      </w:pPr>
      <w:r>
        <w:rPr>
          <w:rFonts w:ascii="Times New Roman" w:cs="Times New Roman" w:eastAsia="Times New Roman" w:hAnsi="Times New Roman"/>
          <w:sz w:val="24"/>
          <w:szCs w:val="24"/>
        </w:rPr>
        <w:t xml:space="preserve">Pooled sensitivity and specificity were estimated using univariate random-effects models with restricted maximum likelihood (REML) estimation on the logit-transformed scale, implemented in R version 4.x (metafor package v4.8). The logit proportion ('PLO') was computed using the escalc() function, and pooled estimates were back-transformed using the inverse logit. Continuity correction of 0.5 was applied to studies with zero cells. Between-study heterogeneity was quantified using I² and τ². Summary ROC curves were generated using the bivariate model (mada package, reitsma function). Publication bias was assessed using Egger regression test and funnel plots. NPV was calculated using the pooled prevalence from included studies. A subgroup analysis restricted to Abbott-platform studies (i-STAT and Alinity) was performed for the GFAP+UCH-L1 pool. Results were cross-validated using an independent Python implementation (DerSimonian-Laird method), with all point estimates concordant within 0.1 percentage points.</w:t>
      </w:r>
    </w:p>
    <w:p>
      <w:r>
        <w:br w:type="page"/>
      </w:r>
    </w:p>
    <w:p>
      <w:pPr>
        <w:pStyle w:val="Heading1"/>
        <w:spacing w:after="240" w:before="360" w:line="480"/>
      </w:pPr>
      <w:r>
        <w:rPr>
          <w:rFonts w:ascii="Times New Roman" w:cs="Times New Roman" w:eastAsia="Times New Roman" w:hAnsi="Times New Roman"/>
          <w:b/>
          <w:bCs/>
          <w:sz w:val="28"/>
          <w:szCs w:val="28"/>
        </w:rPr>
        <w:t xml:space="preserve">Results</w:t>
      </w:r>
    </w:p>
    <w:p>
      <w:pPr>
        <w:pStyle w:val="Heading2"/>
        <w:spacing w:after="120" w:before="240" w:line="480"/>
      </w:pPr>
      <w:r>
        <w:rPr>
          <w:rFonts w:ascii="Times New Roman" w:cs="Times New Roman" w:eastAsia="Times New Roman" w:hAnsi="Times New Roman"/>
          <w:b/>
          <w:bCs/>
          <w:sz w:val="24"/>
          <w:szCs w:val="24"/>
        </w:rPr>
        <w:t xml:space="preserve">Study Selection</w:t>
      </w:r>
    </w:p>
    <w:p>
      <w:pPr>
        <w:spacing w:after="120" w:line="480"/>
        <w:jc w:val="both"/>
      </w:pPr>
      <w:r>
        <w:rPr>
          <w:rFonts w:ascii="Times New Roman" w:cs="Times New Roman" w:eastAsia="Times New Roman" w:hAnsi="Times New Roman"/>
          <w:sz w:val="24"/>
          <w:szCs w:val="24"/>
        </w:rPr>
        <w:t xml:space="preserve">The systematic search identified 1,131 records across 4 databases plus reference list hand-searching (Figure 1). After removing 711 duplicates, 420 unique records were screened by title and abstract. Thirty-six were selected for full-text review, of which 35 were assessed for eligibility (1 available as abstract only). Nineteen were excluded, leaving 16 studies in the systematic review. Ten unique studies (11 study-biomarker combinations) entered the primary meta-analysis: 7 evaluating GFAP+UCH-L1 (N=5,903) and 4 evaluating S100B (N=2,204). One study (Puravet 2026) contributed data to both pools. Six additional studies were included in sensitivity analyses only: 3 for GFAP+UCH-L1 (Ladang 2025, Spaziani 2026, Osmić-Husni 2026) and 3 for S100B (Jones 2020, Oris 2021, Asadollahi 2015).</w:t>
      </w:r>
    </w:p>
    <w:p>
      <w:pPr>
        <w:pStyle w:val="Heading2"/>
        <w:spacing w:after="120" w:before="240" w:line="480"/>
      </w:pPr>
      <w:r>
        <w:rPr>
          <w:rFonts w:ascii="Times New Roman" w:cs="Times New Roman" w:eastAsia="Times New Roman" w:hAnsi="Times New Roman"/>
          <w:b/>
          <w:bCs/>
          <w:sz w:val="24"/>
          <w:szCs w:val="24"/>
        </w:rPr>
        <w:t xml:space="preserve">Study Characteristics</w:t>
      </w:r>
    </w:p>
    <w:p>
      <w:pPr>
        <w:spacing w:after="120" w:line="480"/>
        <w:jc w:val="both"/>
      </w:pPr>
      <w:r>
        <w:rPr>
          <w:rFonts w:ascii="Times New Roman" w:cs="Times New Roman" w:eastAsia="Times New Roman" w:hAnsi="Times New Roman"/>
          <w:sz w:val="24"/>
          <w:szCs w:val="24"/>
        </w:rPr>
        <w:t xml:space="preserve">The 7 GFAP+UCH-L1 studies enrolled a total of 5,903 patients (median per study: 822; range: 130–1,901) with an overall CT-positive prevalence of 9.3% (535/5,903). Studies were conducted across 8 countries and used 4 different assay platforms: Abbott i-STAT (Chayoua 2024, Bazarian 2021), Abbott Alinity (Puravet 2026, Milevoj 2025, Legramante 2024), bioMérieux VIDAS (Lagares 2024), and Banyan ELISA (Papa 2022). The 4 S100B studies enrolled 2,204 patients (median: 531; range: 133–1,010) with a CT-positive prevalence of 7.8% (164/2,204). All S100B studies used the Roche Cobas platform at a cutoff of 0.10 µg/L (Hopman 2023 used 0.105 µg/L).</w:t>
      </w:r>
    </w:p>
    <w:p>
      <w:pPr>
        <w:pStyle w:val="Heading2"/>
        <w:spacing w:after="120" w:before="240" w:line="480"/>
      </w:pPr>
      <w:r>
        <w:rPr>
          <w:rFonts w:ascii="Times New Roman" w:cs="Times New Roman" w:eastAsia="Times New Roman" w:hAnsi="Times New Roman"/>
          <w:b/>
          <w:bCs/>
          <w:sz w:val="24"/>
          <w:szCs w:val="24"/>
        </w:rPr>
        <w:t xml:space="preserve">Diagnostic Accuracy: GFAP+UCH-L1</w:t>
      </w:r>
    </w:p>
    <w:p>
      <w:pPr>
        <w:spacing w:after="120" w:line="480"/>
        <w:jc w:val="both"/>
      </w:pPr>
      <w:r>
        <w:rPr>
          <w:rFonts w:ascii="Times New Roman" w:cs="Times New Roman" w:eastAsia="Times New Roman" w:hAnsi="Times New Roman"/>
          <w:sz w:val="24"/>
          <w:szCs w:val="24"/>
        </w:rPr>
        <w:t xml:space="preserve">The pooled sensitivity of the combined GFAP+UCH-L1 assay was 96.7% (95% CI, 94.7%–97.9%) with no evidence of between-study heterogeneity (I²=0%; τ²=0.000; Q=3.27, df=6, p=0.77). Pooled specificity was 27.1% (95% CI, 22.5%–32.1%) with substantial heterogeneity (I²=93%; τ²=0.093; Q=130.0, df=6, p&lt;0.001). The estimated NPV was 98.75%. At the observed pooled prevalence of 9.3%, implementation of the GFAP+UCH-L1 assay would theoretically avoid 24.5% of CT scans, with an estimated 3.1 missed lesions per 1,000 patients evaluated (Figure 2).</w:t>
      </w:r>
    </w:p>
    <w:p>
      <w:pPr>
        <w:spacing w:after="120" w:line="480"/>
        <w:ind w:firstLine="720"/>
        <w:jc w:val="both"/>
      </w:pPr>
      <w:r>
        <w:rPr>
          <w:rFonts w:ascii="Times New Roman" w:cs="Times New Roman" w:eastAsia="Times New Roman" w:hAnsi="Times New Roman"/>
          <w:sz w:val="24"/>
          <w:szCs w:val="24"/>
        </w:rPr>
        <w:t xml:space="preserve">Individual study sensitivities ranged from 95.5% (Milevoj 2025) to 100.0% (Papa 2022, Puravet 2026, Legramante 2024). Specificities ranged from 19.1% (Chayoua 2024) to 40.4% (Bazarian 2021), with the latter being the only study achieving specificity above 30%, likely reflecting its younger population and i-STAT point-of-care platform.</w:t>
      </w:r>
    </w:p>
    <w:p>
      <w:pPr>
        <w:pStyle w:val="Heading2"/>
        <w:spacing w:after="120" w:before="240" w:line="480"/>
      </w:pPr>
      <w:r>
        <w:rPr>
          <w:rFonts w:ascii="Times New Roman" w:cs="Times New Roman" w:eastAsia="Times New Roman" w:hAnsi="Times New Roman"/>
          <w:b/>
          <w:bCs/>
          <w:sz w:val="24"/>
          <w:szCs w:val="24"/>
        </w:rPr>
        <w:t xml:space="preserve">Subgroup Analysis: Abbott-Platform Studies</w:t>
      </w:r>
    </w:p>
    <w:p>
      <w:pPr>
        <w:spacing w:after="120" w:line="480"/>
        <w:jc w:val="both"/>
      </w:pPr>
      <w:r>
        <w:rPr>
          <w:rFonts w:ascii="Times New Roman" w:cs="Times New Roman" w:eastAsia="Times New Roman" w:hAnsi="Times New Roman"/>
          <w:sz w:val="24"/>
          <w:szCs w:val="24"/>
        </w:rPr>
        <w:t xml:space="preserve">Restricting the GFAP+UCH-L1 pool to 5 studies using Abbott platforms (i-STAT or Alinity; N=4,116) yielded a pooled sensitivity of 96.0% (95% CI, 93.3%–97.7%) and specificity of 27.8% (95% CI, 20.8%–36.2%), with NPV 98.70% and 3.4 missed lesions per 1,000. These results were not materially different from the full pool, suggesting that cutoff heterogeneity across platforms did not substantially influence the results.</w:t>
      </w:r>
    </w:p>
    <w:p>
      <w:pPr>
        <w:pStyle w:val="Heading2"/>
        <w:spacing w:after="120" w:before="240" w:line="480"/>
      </w:pPr>
      <w:r>
        <w:rPr>
          <w:rFonts w:ascii="Times New Roman" w:cs="Times New Roman" w:eastAsia="Times New Roman" w:hAnsi="Times New Roman"/>
          <w:b/>
          <w:bCs/>
          <w:sz w:val="24"/>
          <w:szCs w:val="24"/>
        </w:rPr>
        <w:t xml:space="preserve">Diagnostic Accuracy: S100B</w:t>
      </w:r>
    </w:p>
    <w:p>
      <w:pPr>
        <w:spacing w:after="120" w:line="480"/>
        <w:jc w:val="both"/>
      </w:pPr>
      <w:r>
        <w:rPr>
          <w:rFonts w:ascii="Times New Roman" w:cs="Times New Roman" w:eastAsia="Times New Roman" w:hAnsi="Times New Roman"/>
          <w:sz w:val="24"/>
          <w:szCs w:val="24"/>
        </w:rPr>
        <w:t xml:space="preserve">The pooled sensitivity of S100B was 94.6% (95% CI, 89.7%–97.2%) with no heterogeneity (I²=0%; τ²=0.000; Q=1.30, df=3, p=0.73). Pooled specificity was 25.0% (95% CI, 18.2%–33.4%) with substantial heterogeneity (I²=93%; τ²=0.155; Q=32.5, df=3, p&lt;0.001). NPV was 98.20%. The estimated CT reduction was 23.1%, with 4.2 missed lesions per 1,000 patients (Figure 3).</w:t>
      </w:r>
    </w:p>
    <w:p>
      <w:pPr>
        <w:spacing w:after="120" w:line="480"/>
        <w:ind w:firstLine="720"/>
        <w:jc w:val="both"/>
      </w:pPr>
      <w:r>
        <w:rPr>
          <w:rFonts w:ascii="Times New Roman" w:cs="Times New Roman" w:eastAsia="Times New Roman" w:hAnsi="Times New Roman"/>
          <w:sz w:val="24"/>
          <w:szCs w:val="24"/>
        </w:rPr>
        <w:t xml:space="preserve">Seidenfaden 2021 achieved 100% sensitivity using in-hospital samples (median 108 minutes post-trauma), while Rogan 2023 and Hopman 2023 showed lower sensitivities (93.8% and 93.2%, respectively), with 1 and 5 false negatives.</w:t>
      </w:r>
    </w:p>
    <w:p>
      <w:pPr>
        <w:pStyle w:val="Heading2"/>
        <w:spacing w:after="120" w:before="240" w:line="480"/>
      </w:pPr>
      <w:r>
        <w:rPr>
          <w:rFonts w:ascii="Times New Roman" w:cs="Times New Roman" w:eastAsia="Times New Roman" w:hAnsi="Times New Roman"/>
          <w:b/>
          <w:bCs/>
          <w:sz w:val="24"/>
          <w:szCs w:val="24"/>
        </w:rPr>
        <w:t xml:space="preserve">Head-to-Head Comparison</w:t>
      </w:r>
    </w:p>
    <w:p>
      <w:pPr>
        <w:spacing w:after="120" w:line="480"/>
        <w:jc w:val="both"/>
      </w:pPr>
      <w:r>
        <w:rPr>
          <w:rFonts w:ascii="Times New Roman" w:cs="Times New Roman" w:eastAsia="Times New Roman" w:hAnsi="Times New Roman"/>
          <w:sz w:val="24"/>
          <w:szCs w:val="24"/>
        </w:rPr>
        <w:t xml:space="preserve">GFAP+UCH-L1 demonstrated numerically higher pooled sensitivity (+2.1 percentage points), specificity (+2.1 percentage points), and NPV (+0.55 percentage points) compared with S100B. GFAP+UCH-L1 was associated with fewer estimated missed lesions (3.1 vs 4.2 per 1,000) and a marginally higher proportion of CT scans avoided (24.5% vs 23.1%). However, the confidence intervals for both sensitivity and specificity overlapped between the two biomarkers. Only one study (Puravet 2026) measured both biomarkers in the same cohort, limiting the strength of this indirect comparison (Figure 4).</w:t>
      </w:r>
    </w:p>
    <w:p>
      <w:pPr>
        <w:pStyle w:val="Heading2"/>
        <w:spacing w:after="120" w:before="240" w:line="480"/>
      </w:pPr>
      <w:r>
        <w:rPr>
          <w:rFonts w:ascii="Times New Roman" w:cs="Times New Roman" w:eastAsia="Times New Roman" w:hAnsi="Times New Roman"/>
          <w:b/>
          <w:bCs/>
          <w:sz w:val="24"/>
          <w:szCs w:val="24"/>
        </w:rPr>
        <w:t xml:space="preserve">Publication Bias</w:t>
      </w:r>
    </w:p>
    <w:p>
      <w:pPr>
        <w:spacing w:after="120" w:line="480"/>
        <w:jc w:val="both"/>
      </w:pPr>
      <w:r>
        <w:rPr>
          <w:rFonts w:ascii="Times New Roman" w:cs="Times New Roman" w:eastAsia="Times New Roman" w:hAnsi="Times New Roman"/>
          <w:sz w:val="24"/>
          <w:szCs w:val="24"/>
        </w:rPr>
        <w:t xml:space="preserve">Egger regression test showed no evidence of publication bias for either GFAP+UCH-L1 (intercept=0.581, p=0.430) or S100B (intercept=1.139, p=0.224). However, the power of these tests is limited given the small number of studies in each pool (k=7 and k=4, respectively) (eFigure 1).</w:t>
      </w:r>
    </w:p>
    <w:p>
      <w:r>
        <w:br w:type="page"/>
      </w:r>
    </w:p>
    <w:p>
      <w:pPr>
        <w:pStyle w:val="Heading1"/>
        <w:spacing w:after="240" w:before="360" w:line="480"/>
      </w:pPr>
      <w:r>
        <w:rPr>
          <w:rFonts w:ascii="Times New Roman" w:cs="Times New Roman" w:eastAsia="Times New Roman" w:hAnsi="Times New Roman"/>
          <w:b/>
          <w:bCs/>
          <w:sz w:val="28"/>
          <w:szCs w:val="28"/>
        </w:rPr>
        <w:t xml:space="preserve">Discussion</w:t>
      </w:r>
    </w:p>
    <w:p>
      <w:pPr>
        <w:spacing w:after="120" w:line="480"/>
        <w:ind w:firstLine="720"/>
        <w:jc w:val="both"/>
      </w:pPr>
      <w:r>
        <w:rPr>
          <w:rFonts w:ascii="Times New Roman" w:cs="Times New Roman" w:eastAsia="Times New Roman" w:hAnsi="Times New Roman"/>
          <w:sz w:val="24"/>
          <w:szCs w:val="24"/>
        </w:rPr>
        <w:t xml:space="preserve">This systematic review and meta-analysis, based on 2×2 data verified directly from full-text publications across 16 studies enrolling over 8,000 adults with mTBI, demonstrates that both the combined GFAP+UCH-L1 assay and S100B have high sensitivity and NPV for ruling out traumatic intracranial lesions. Both biomarkers could reduce CT utilization by approximately 24%, supporting their role as clinical decision aids in the ED setting.</w:t>
      </w:r>
    </w:p>
    <w:p>
      <w:pPr>
        <w:spacing w:after="120" w:line="480"/>
        <w:ind w:firstLine="720"/>
        <w:jc w:val="both"/>
      </w:pPr>
      <w:r>
        <w:rPr>
          <w:rFonts w:ascii="Times New Roman" w:cs="Times New Roman" w:eastAsia="Times New Roman" w:hAnsi="Times New Roman"/>
          <w:sz w:val="24"/>
          <w:szCs w:val="24"/>
        </w:rPr>
        <w:t xml:space="preserve">The GFAP+UCH-L1 assay showed a modest advantage over S100B in pooled sensitivity (96.7% vs 94.6%), translating to approximately 1 fewer missed lesion per 1,000 patients. This difference, while clinically relevant for a rule-out test, should be interpreted cautiously given the overlapping confidence intervals and the indirect nature of the comparison. Only Puravet 2026 measured both biomarkers in the same cohort, and their results were consistent with the pooled estimates.</w:t>
      </w:r>
    </w:p>
    <w:p>
      <w:pPr>
        <w:spacing w:after="120" w:line="480"/>
        <w:ind w:firstLine="720"/>
        <w:jc w:val="both"/>
      </w:pPr>
      <w:r>
        <w:rPr>
          <w:rFonts w:ascii="Times New Roman" w:cs="Times New Roman" w:eastAsia="Times New Roman" w:hAnsi="Times New Roman"/>
          <w:sz w:val="24"/>
          <w:szCs w:val="24"/>
        </w:rPr>
        <w:t xml:space="preserve">A notable finding is the considerably lower specificity observed compared with earlier meta-analyses. The GFAP+UCH-L1 pooled specificity of 27.1% is substantially lower than the 36–49% reported by Puravet et al. (2025) and ALERT-TBI post-hoc analyses. This discrepancy is largely explained by the inclusion of recent European multicenter studies (Milevoj 2025, Lagares 2024) that enrolled older populations with higher baseline GFAP concentrations. The age-dependent increase in GFAP concentrations is well-documented and represents a key challenge for clinical implementation, as highlighted by Ladang et al. (2025) who demonstrated that age-adjusted cutoffs (115/335 ng/L for patients ≥65 years) could double specificity without compromising sensitivity.</w:t>
      </w:r>
    </w:p>
    <w:p>
      <w:pPr>
        <w:spacing w:after="120" w:line="480"/>
        <w:ind w:firstLine="720"/>
        <w:jc w:val="both"/>
      </w:pPr>
      <w:r>
        <w:rPr>
          <w:rFonts w:ascii="Times New Roman" w:cs="Times New Roman" w:eastAsia="Times New Roman" w:hAnsi="Times New Roman"/>
          <w:sz w:val="24"/>
          <w:szCs w:val="24"/>
        </w:rPr>
        <w:t xml:space="preserve">The specificity heterogeneity (I²=93% for both pools) reflects differences in patient age distribution, cutoff thresholds, and assay platforms. Bazarian 2021, using the i-STAT platform with 30/360 pg/mL cutoffs, achieved the highest specificity (40.4%), while studies using Alinity with 35/400 ng/L cutoffs and enrolling older European populations consistently showed specificities of 19–28%. Similarly, for S100B, Oris 2021 demonstrated that specificity decreases from 25% in patients aged 65–79 to only 10.5% in those ≥90 years at the standard 0.10 µg/L cutoff.</w:t>
      </w:r>
    </w:p>
    <w:p>
      <w:pPr>
        <w:spacing w:after="120" w:line="480"/>
        <w:ind w:firstLine="720"/>
        <w:jc w:val="both"/>
      </w:pPr>
      <w:r>
        <w:rPr>
          <w:rFonts w:ascii="Times New Roman" w:cs="Times New Roman" w:eastAsia="Times New Roman" w:hAnsi="Times New Roman"/>
          <w:sz w:val="24"/>
          <w:szCs w:val="24"/>
        </w:rPr>
        <w:t xml:space="preserve">Several limitations warrant consideration. First, the S100B pool included only 4 studies after exclusion of overlapping Clermont-Ferrand cohorts (Oris 2021, Oris 2024), limiting the precision of pooled estimates. Second, one S100B study (Hopman 2023) was included based on data reconstructed from the abstract rather than full-text verification. Third, the analysis pools studies with heterogeneous cutoffs, particularly for GFAP+UCH-L1 (i-STAT 30/360, Alinity 35/400, VIDAS 22/327, ELISA 67/189 pg/mL). While the subgroup analysis restricted to Abbott platforms showed similar results, this heterogeneity should be considered. Fourth, the univariate approach pools sensitivity and specificity separately; a bivariate model would be methodologically preferable but yielded nearly identical point estimates in our SROC analysis. Fifth, partial verification bias was present in some studies where patients with negative biomarker results did not all receive CT scanning. Sixth, the sensitivity analysis studies exhibited substantially higher CT-positive prevalence (17–50%) compared with the primary pool (8–9%), reflecting spectrum bias from selected populations (anticoagulated patients, neurosurgery referrals).</w:t>
      </w:r>
    </w:p>
    <w:p>
      <w:pPr>
        <w:spacing w:after="120" w:line="480"/>
        <w:ind w:firstLine="720"/>
        <w:jc w:val="both"/>
      </w:pPr>
      <w:r>
        <w:rPr>
          <w:rFonts w:ascii="Times New Roman" w:cs="Times New Roman" w:eastAsia="Times New Roman" w:hAnsi="Times New Roman"/>
          <w:sz w:val="24"/>
          <w:szCs w:val="24"/>
        </w:rPr>
        <w:t xml:space="preserve">In conclusion, both GFAP+UCH-L1 and S100B demonstrate high sensitivity for ruling out intracranial lesions after mTBI, with GFAP+UCH-L1 showing a modest advantage. The limited specificity of both biomarkers, particularly in elderly populations, remains a key challenge. Future research should focus on age-adjusted cutoffs, head-to-head comparisons within the same cohorts, and cost-effectiveness analyses to guide clinical implementation.</w:t>
      </w:r>
    </w:p>
    <w:p>
      <w:r>
        <w:br w:type="page"/>
      </w:r>
    </w:p>
    <w:p>
      <w:pPr>
        <w:pStyle w:val="Heading1"/>
        <w:spacing w:after="240" w:before="360" w:line="480"/>
      </w:pPr>
      <w:r>
        <w:rPr>
          <w:rFonts w:ascii="Times New Roman" w:cs="Times New Roman" w:eastAsia="Times New Roman" w:hAnsi="Times New Roman"/>
          <w:b/>
          <w:bCs/>
          <w:sz w:val="28"/>
          <w:szCs w:val="28"/>
        </w:rPr>
        <w:t xml:space="preserve">References</w:t>
      </w:r>
    </w:p>
    <w:p>
      <w:pPr>
        <w:spacing w:after="120" w:line="480"/>
        <w:jc w:val="both"/>
      </w:pPr>
      <w:r>
        <w:rPr>
          <w:rFonts w:ascii="Times New Roman" w:cs="Times New Roman" w:eastAsia="Times New Roman" w:hAnsi="Times New Roman"/>
          <w:sz w:val="24"/>
          <w:szCs w:val="24"/>
        </w:rPr>
        <w:t xml:space="preserve">[References to be formatted in AMA style — approximately 40–50 references]</w:t>
      </w:r>
    </w:p>
    <w:p>
      <w:pPr>
        <w:spacing w:after="120" w:line="480"/>
        <w:jc w:val="both"/>
      </w:pPr>
      <w:r>
        <w:rPr>
          <w:rFonts w:ascii="Times New Roman" w:cs="Times New Roman" w:eastAsia="Times New Roman" w:hAnsi="Times New Roman"/>
          <w:sz w:val="24"/>
          <w:szCs w:val="24"/>
        </w:rPr>
        <w:t xml:space="preserve">Key references: Bazarian 2018 (ALERT-TBI, Lancet Neurol); Bazarian 2021 (Acad Emerg Med); Chayoua 2024 (J Neurotrauma); Papa 2022 (JAMA Netw Open); Lagares 2024 (EBioMedicine); Puravet 2026 (CCLM); Milevoj 2025 (Eur J Emerg Med); Legramante 2024 (Int J Emerg Med); Seidenfaden 2021 (SJTREM); Rogan 2023 (Emerg Med J); Hopman 2023 (Brain Injury); Jones 2020 (Brain Injury); Oris 2021 (J Gerontol A); Ladang 2025 (CCLM); Spaziani 2026 (AJEM); Osmić-Husni 2026 (Med Glas).</w:t>
      </w:r>
    </w:p>
    <w:p>
      <w:r>
        <w:br w:type="page"/>
      </w:r>
    </w:p>
    <w:p>
      <w:pPr>
        <w:pStyle w:val="Heading1"/>
        <w:spacing w:after="240" w:before="360" w:line="480"/>
      </w:pPr>
      <w:r>
        <w:rPr>
          <w:rFonts w:ascii="Times New Roman" w:cs="Times New Roman" w:eastAsia="Times New Roman" w:hAnsi="Times New Roman"/>
          <w:b/>
          <w:bCs/>
          <w:sz w:val="28"/>
          <w:szCs w:val="28"/>
        </w:rPr>
        <w:t xml:space="preserve">Table 1. Characteristics of Included Studies</w:t>
      </w:r>
    </w:p>
    <w:p>
      <w:pPr>
        <w:spacing w:after="120" w:line="480"/>
        <w:jc w:val="both"/>
      </w:pPr>
      <w:r>
        <w:rPr>
          <w:rFonts w:ascii="Times New Roman" w:cs="Times New Roman" w:eastAsia="Times New Roman" w:hAnsi="Times New Roman"/>
          <w:i/>
          <w:iCs/>
          <w:sz w:val="24"/>
          <w:szCs w:val="24"/>
        </w:rPr>
        <w:t xml:space="preserve">[Table to be finalized with columns: Author/Year, Country, Design, N, Age (median), Male%, GCS, Biomarker, Platform, Cutoff, Sampling window, CT+ prevalence, QUADAS-2 RoB. All 16 studies listed, with primary pool and sensitivity analysis clearly distinguished.]</w:t>
      </w:r>
    </w:p>
    <w:p>
      <w:r>
        <w:br w:type="page"/>
      </w:r>
    </w:p>
    <w:p>
      <w:pPr>
        <w:pStyle w:val="Heading1"/>
        <w:spacing w:after="240" w:before="360" w:line="480"/>
      </w:pPr>
      <w:r>
        <w:rPr>
          <w:rFonts w:ascii="Times New Roman" w:cs="Times New Roman" w:eastAsia="Times New Roman" w:hAnsi="Times New Roman"/>
          <w:b/>
          <w:bCs/>
          <w:sz w:val="28"/>
          <w:szCs w:val="28"/>
        </w:rPr>
        <w:t xml:space="preserve">Table 2. Pooled Diagnostic Accuracy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060"/>
        <w:gridCol w:w="100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Pool</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k</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Se% [95% CI]</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Sp% [95% CI]</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NPV%</w:t>
            </w:r>
          </w:p>
        </w:tc>
        <w:tc>
          <w:tcPr>
            <w:tcW w:type="dxa" w:w="10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CT avoided%</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Missed /1000</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GFAP+UCH-L1 (all)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5,903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96.7 [94.7–97.9]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27.1 [22.5–32.1]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98.75</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  Abbott only</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4,116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96.0 [93.3–97.7]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27.8 [20.8–36.2]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98.70</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25.4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3.4</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S100B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2,204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94.6 [89.7–97.2]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25.0 [18.2–33.4]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98.20</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4.2</w:t>
            </w:r>
          </w:p>
        </w:tc>
      </w:tr>
    </w:tbl>
    <w:p>
      <w:pPr>
        <w:spacing w:before="120" w:line="360"/>
      </w:pPr>
      <w:r>
        <w:rPr>
          <w:rFonts w:ascii="Times New Roman" w:cs="Times New Roman" w:eastAsia="Times New Roman" w:hAnsi="Times New Roman"/>
          <w:i/>
          <w:iCs/>
          <w:sz w:val="18"/>
          <w:szCs w:val="18"/>
        </w:rPr>
        <w:t xml:space="preserve">Abbreviations: CT, computed tomography; NPV, negative predictive value; Se, sensitivity; Sp, specificity. All estimates from univariate random-effects models (REML) on logit scale (R metafor package). Abbott only = subgroup restricted to i-STAT and Alinity platforms. Heterogeneity for sensitivity: I²=0% (both pools); for specificity: I²=93% (both pools).</w:t>
      </w:r>
    </w:p>
    <w:p>
      <w:r>
        <w:br w:type="page"/>
      </w:r>
    </w:p>
    <w:p>
      <w:pPr>
        <w:pStyle w:val="Heading1"/>
        <w:spacing w:after="240" w:before="360" w:line="480"/>
      </w:pPr>
      <w:r>
        <w:rPr>
          <w:rFonts w:ascii="Times New Roman" w:cs="Times New Roman" w:eastAsia="Times New Roman" w:hAnsi="Times New Roman"/>
          <w:b/>
          <w:bCs/>
          <w:sz w:val="28"/>
          <w:szCs w:val="28"/>
        </w:rPr>
        <w:t xml:space="preserve">Figure Legends</w:t>
      </w:r>
    </w:p>
    <w:p>
      <w:pPr>
        <w:spacing w:after="120" w:line="480"/>
        <w:jc w:val="both"/>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PRISMA 2020 flow diagram. Records identified from PubMed (n=420), Scopus (n=646), Cochrane Library (n=8), Semantic Scholar (n=55), and reference lists (n=2). After removing 711 duplicates, 420 records were screened. Thirty-five full-text articles were assessed; 19 were excluded. Sixteen studies were included: 10 in the primary meta-analysis (11 study-biomarker combinations) and 6 in sensitivity analyses.</w:t>
      </w:r>
    </w:p>
    <w:p>
      <w:pPr>
        <w:spacing w:after="120" w:line="480"/>
        <w:jc w:val="both"/>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Forest plots of sensitivity and specificity for GFAP+UCH-L1 (k=7, N=5,903). Pooled sensitivity was 96.7% (95% CI, 94.7%–97.9%) with I²=0%. Pooled specificity was 27.1% (95% CI, 22.5%–32.1%) with I²=93%.</w:t>
      </w:r>
    </w:p>
    <w:p>
      <w:pPr>
        <w:spacing w:after="120" w:line="480"/>
        <w:jc w:val="both"/>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Forest plots of sensitivity and specificity for S100B (k=4, N=2,204). Pooled sensitivity was 94.6% (95% CI, 89.7%–97.2%) with I²=0%. Pooled specificity was 25.0% (95% CI, 18.2%–33.4%) with I²=93%.</w:t>
      </w:r>
    </w:p>
    <w:p>
      <w:pPr>
        <w:spacing w:after="120" w:line="480"/>
        <w:jc w:val="both"/>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Summary receiver operating characteristic (SROC) curves comparing GFAP+UCH-L1 and S100B. Circle size is proportional to study sample size. Dashed ellipses represent 95% confidence regions.</w:t>
      </w:r>
    </w:p>
    <w:p>
      <w:pPr>
        <w:spacing w:after="120" w:line="480"/>
        <w:jc w:val="both"/>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sz w:val="24"/>
          <w:szCs w:val="24"/>
        </w:rPr>
        <w:t xml:space="preserve">Clinical summary panel comparing GFAP+UCH-L1 and S100B: (A) sensitivity and specificity with 95% CI error bars, (B) negative predictive value, (C) CT scans avoided and missed lesions per 1,000 patients, (D) summary table.</w:t>
      </w:r>
    </w:p>
    <w:p>
      <w:pPr>
        <w:spacing w:after="120" w:line="480"/>
        <w:jc w:val="both"/>
      </w:pPr>
      <w:r>
        <w:rPr>
          <w:rFonts w:ascii="Times New Roman" w:cs="Times New Roman" w:eastAsia="Times New Roman" w:hAnsi="Times New Roman"/>
          <w:b/>
          <w:bCs/>
          <w:sz w:val="24"/>
          <w:szCs w:val="24"/>
        </w:rPr>
        <w:t xml:space="preserve">eFigure 1. </w:t>
      </w:r>
      <w:r>
        <w:rPr>
          <w:rFonts w:ascii="Times New Roman" w:cs="Times New Roman" w:eastAsia="Times New Roman" w:hAnsi="Times New Roman"/>
          <w:sz w:val="24"/>
          <w:szCs w:val="24"/>
        </w:rPr>
        <w:t xml:space="preserve">Funnel plots for assessment of publication bias for GFAP+UCH-L1 and S100B (sensitivity and specificity). Egger test: GFAP+UCH-L1 p=0.430; S100B p=0.224.</w:t>
      </w:r>
    </w:p>
    <w:p>
      <w:r>
        <w:br w:type="page"/>
      </w:r>
    </w:p>
    <w:p>
      <w:pPr>
        <w:pStyle w:val="Heading1"/>
        <w:spacing w:after="240" w:before="360" w:line="480"/>
      </w:pPr>
      <w:r>
        <w:rPr>
          <w:rFonts w:ascii="Times New Roman" w:cs="Times New Roman" w:eastAsia="Times New Roman" w:hAnsi="Times New Roman"/>
          <w:b/>
          <w:bCs/>
          <w:sz w:val="28"/>
          <w:szCs w:val="28"/>
        </w:rPr>
        <w:t xml:space="preserve">Supplement</w:t>
      </w:r>
    </w:p>
    <w:p>
      <w:pPr>
        <w:spacing w:after="120" w:line="480"/>
        <w:jc w:val="both"/>
      </w:pPr>
      <w:r>
        <w:rPr>
          <w:rFonts w:ascii="Times New Roman" w:cs="Times New Roman" w:eastAsia="Times New Roman" w:hAnsi="Times New Roman"/>
          <w:b/>
          <w:bCs/>
          <w:sz w:val="24"/>
          <w:szCs w:val="24"/>
        </w:rPr>
        <w:t xml:space="preserve">eTable 1. </w:t>
      </w:r>
      <w:r>
        <w:rPr>
          <w:rFonts w:ascii="Times New Roman" w:cs="Times New Roman" w:eastAsia="Times New Roman" w:hAnsi="Times New Roman"/>
          <w:sz w:val="24"/>
          <w:szCs w:val="24"/>
        </w:rPr>
        <w:t xml:space="preserve">Complete search strategies for all databases (PubMed, Scopus, Cochrane Library, Semantic Scholar).</w:t>
      </w:r>
    </w:p>
    <w:p>
      <w:pPr>
        <w:spacing w:after="120" w:line="480"/>
        <w:jc w:val="both"/>
      </w:pPr>
      <w:r>
        <w:rPr>
          <w:rFonts w:ascii="Times New Roman" w:cs="Times New Roman" w:eastAsia="Times New Roman" w:hAnsi="Times New Roman"/>
          <w:b/>
          <w:bCs/>
          <w:sz w:val="24"/>
          <w:szCs w:val="24"/>
        </w:rPr>
        <w:t xml:space="preserve">eTable 2. </w:t>
      </w:r>
      <w:r>
        <w:rPr>
          <w:rFonts w:ascii="Times New Roman" w:cs="Times New Roman" w:eastAsia="Times New Roman" w:hAnsi="Times New Roman"/>
          <w:sz w:val="24"/>
          <w:szCs w:val="24"/>
        </w:rPr>
        <w:t xml:space="preserve">Extracted 2×2 contingency tables for all 16 included studies.</w:t>
      </w:r>
    </w:p>
    <w:p>
      <w:pPr>
        <w:spacing w:after="120" w:line="480"/>
        <w:jc w:val="both"/>
      </w:pPr>
      <w:r>
        <w:rPr>
          <w:rFonts w:ascii="Times New Roman" w:cs="Times New Roman" w:eastAsia="Times New Roman" w:hAnsi="Times New Roman"/>
          <w:b/>
          <w:bCs/>
          <w:sz w:val="24"/>
          <w:szCs w:val="24"/>
        </w:rPr>
        <w:t xml:space="preserve">eTable 3. </w:t>
      </w:r>
      <w:r>
        <w:rPr>
          <w:rFonts w:ascii="Times New Roman" w:cs="Times New Roman" w:eastAsia="Times New Roman" w:hAnsi="Times New Roman"/>
          <w:sz w:val="24"/>
          <w:szCs w:val="24"/>
        </w:rPr>
        <w:t xml:space="preserve">QUADAS-2 risk of bias assessment for all included studies.</w:t>
      </w:r>
    </w:p>
    <w:p>
      <w:pPr>
        <w:spacing w:after="120" w:line="480"/>
        <w:jc w:val="both"/>
      </w:pPr>
      <w:r>
        <w:rPr>
          <w:rFonts w:ascii="Times New Roman" w:cs="Times New Roman" w:eastAsia="Times New Roman" w:hAnsi="Times New Roman"/>
          <w:b/>
          <w:bCs/>
          <w:sz w:val="24"/>
          <w:szCs w:val="24"/>
        </w:rPr>
        <w:t xml:space="preserve">eTable 4. </w:t>
      </w:r>
      <w:r>
        <w:rPr>
          <w:rFonts w:ascii="Times New Roman" w:cs="Times New Roman" w:eastAsia="Times New Roman" w:hAnsi="Times New Roman"/>
          <w:sz w:val="24"/>
          <w:szCs w:val="24"/>
        </w:rPr>
        <w:t xml:space="preserve">Sensitivity analysis results: pooled estimates including the 6 additional studies.</w:t>
      </w:r>
    </w:p>
    <w:p>
      <w:pPr>
        <w:spacing w:after="120" w:line="480"/>
        <w:jc w:val="both"/>
      </w:pPr>
      <w:r>
        <w:rPr>
          <w:rFonts w:ascii="Times New Roman" w:cs="Times New Roman" w:eastAsia="Times New Roman" w:hAnsi="Times New Roman"/>
          <w:b/>
          <w:bCs/>
          <w:sz w:val="24"/>
          <w:szCs w:val="24"/>
        </w:rPr>
        <w:t xml:space="preserve">eTable 5. </w:t>
      </w:r>
      <w:r>
        <w:rPr>
          <w:rFonts w:ascii="Times New Roman" w:cs="Times New Roman" w:eastAsia="Times New Roman" w:hAnsi="Times New Roman"/>
          <w:sz w:val="24"/>
          <w:szCs w:val="24"/>
        </w:rPr>
        <w:t xml:space="preserve">Characteristics of excluded studies with reasons for exclusion.</w:t>
      </w:r>
    </w:p>
    <w:p>
      <w:pPr>
        <w:spacing w:after="120" w:line="480"/>
        <w:jc w:val="both"/>
      </w:pPr>
      <w:r>
        <w:rPr>
          <w:rFonts w:ascii="Times New Roman" w:cs="Times New Roman" w:eastAsia="Times New Roman" w:hAnsi="Times New Roman"/>
          <w:b/>
          <w:bCs/>
          <w:sz w:val="24"/>
          <w:szCs w:val="24"/>
        </w:rPr>
        <w:t xml:space="preserve">eFigure 1. </w:t>
      </w:r>
      <w:r>
        <w:rPr>
          <w:rFonts w:ascii="Times New Roman" w:cs="Times New Roman" w:eastAsia="Times New Roman" w:hAnsi="Times New Roman"/>
          <w:sz w:val="24"/>
          <w:szCs w:val="24"/>
        </w:rPr>
        <w:t xml:space="preserve">Funnel plots (sensitivity and specificity) for both biomarker pools.</w:t>
      </w:r>
    </w:p>
    <w:p>
      <w:pPr>
        <w:spacing w:after="120" w:line="480"/>
        <w:jc w:val="both"/>
      </w:pPr>
      <w:r>
        <w:rPr>
          <w:rFonts w:ascii="Times New Roman" w:cs="Times New Roman" w:eastAsia="Times New Roman" w:hAnsi="Times New Roman"/>
          <w:b/>
          <w:bCs/>
          <w:sz w:val="24"/>
          <w:szCs w:val="24"/>
        </w:rPr>
        <w:t xml:space="preserve">PRISMA-DTA Checklist. </w:t>
      </w:r>
      <w:r>
        <w:rPr>
          <w:rFonts w:ascii="Times New Roman" w:cs="Times New Roman" w:eastAsia="Times New Roman" w:hAnsi="Times New Roman"/>
          <w:sz w:val="24"/>
          <w:szCs w:val="24"/>
        </w:rPr>
        <w:t xml:space="preserve">[To be completed]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2026-04-13T20:52:39.683Z</dcterms:created>
  <dcterms:modified xsi:type="dcterms:W3CDTF">2026-04-13T20:52:39.684Z</dcterms:modified>
</cp:coreProperties>
</file>

<file path=docProps/custom.xml><?xml version="1.0" encoding="utf-8"?>
<Properties xmlns="http://schemas.openxmlformats.org/officeDocument/2006/custom-properties" xmlns:vt="http://schemas.openxmlformats.org/officeDocument/2006/docPropsVTypes"/>
</file>