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 w:lin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Supplementary Materials</w:t>
      </w:r>
    </w:p>
    <w:p>
      <w:pPr>
        <w:spacing w:after="20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Diagnostic Accuracy of Blood Biomarkers GFAP, UCH-L1, and S100B</w:t>
      </w:r>
    </w:p>
    <w:p>
      <w:pPr>
        <w:spacing w:after="20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Predicting Intracranial Lesions After Mild Traumatic Brain Injury</w:t>
      </w:r>
    </w:p>
    <w:p>
      <w:pPr>
        <w:spacing w:after="400" w:line="4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Pirani et al., 2026</w:t>
      </w:r>
    </w:p>
    <w:p>
      <w:r>
        <w:br w:type="page"/>
      </w:r>
    </w:p>
    <w:p>
      <w:pPr>
        <w:pStyle w:val="Heading1"/>
        <w:spacing w:after="240" w:before="36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eMethods. Detailed Statistical Analysis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Meta-analytic Model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Pooled sensitivity and specificity were estimated separately using univariate random-effects models with restricted maximum likelihood (REML) estimation. For each study, sensitivity and specificity were logit-transformed using the 'proportions as logit-transformed outcomes' (PLO) measure via the escalc() function in the metafor R package (version 4.8). The pooled logit-transformed estimate was then back-transformed to the probability scale using the inverse logit (plogis) function.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studies with zero cells in the 2×2 table (i.e., TP=0, FP=0, FN=0, or TN=0), a continuity correction of 0.5 was added to all four cells of that study before logit transformation. This approach avoids undefined logit values while minimizing bias.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Heterogeneity Assessment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Between-study heterogeneity was assessed using the Cochran Q statistic (with p&lt;0.10 indicating significant heterogeneity), I² (proportion of total variability due to between-study variance), and τ² (estimated between-study variance on the logit scale). I² values were interpreted as: 0–25% low, 25–50% moderate, 50–75% substantial, &gt;75% considerable heterogeneity.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Summary ROC Curves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Summary receiver operating characteristic (SROC) curves were generated using the bivariate model implemented in the mada R package (reitsma function). This model jointly models sensitivity and specificity on the logit scale, accounting for their within-study correlation. The 95% confidence ellipses around the summary operating points were plotted for both biomarker pools.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Clinical Utility Metrics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negative predictive value (NPV) was calculated using the pooled sensitivity, pooled specificity, and the overall prevalence of CT-positive findings across included studies, using the formula: NPV = Sp×(1−prev) / [Sp×(1−prev) + (1−Se)×prev]. The proportion of CT scans theoretically avoided was computed as Sp×(1−prev). The missed lesion rate was computed as (1−Se)×prev×1000.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Publication Bias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Publication bias was assessed using Egger's regression test on the logit-transformed sensitivity estimates. The test regresses the standardized effect (logit Se deviance from pooled estimate, divided by its standard error) against precision (1/SE). A significant intercept (p&lt;0.05) suggests asymmetry. Given the small number of studies (k=7 and k=4), the power of this test is limited, and results were interpreted alongside visual inspection of funnel plots.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Cross-validation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analyses were independently replicated using a Python implementation of the DerSimonian-Laird random-effects model on the logit scale. Point estimates for pooled sensitivity and specificity were concordant within 0.1 percentage points between R (metafor REML) and Python (DL), confirming the robustness of the results.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Software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 version 4.x with packages: metafor (v4.8), mada, ellipse, mvmeta. Python 3.x with numpy. All code is available from the corresponding author upon request.</w:t>
      </w:r>
    </w:p>
    <w:p>
      <w:r>
        <w:br w:type="page"/>
      </w:r>
    </w:p>
    <w:p>
      <w:pPr>
        <w:pStyle w:val="Heading1"/>
        <w:spacing w:after="240" w:before="36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eTable 1. Complete Search Strategies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PubMed / MEDLINE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Query A — GFAP/UCH-L1: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(GFAP OR "glial fibrillary acidic protein" OR UCH-L1 OR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"ubiquitin C-terminal hydrolase") AND ("mild traumatic brain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injury" OR mTBI OR "minor head injury" OR concussion OR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"minor head trauma") AND ("computed tomography" OR "CT scan"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OR intracranial OR "rule out" OR "diagnostic accuracy")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Query B — S100B: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(S100B OR S-100B OR "S100 beta" OR "S100 calcium binding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protein") AND ("mild traumatic brain injury" OR mTBI OR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"minor head injury" OR "minor head trauma" OR concussion)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AND ("computed tomography" OR "CT scan" OR intracranial OR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"rule out" OR "diagnostic accuracy")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Results: Query A = 109 records; Query B = 122 records.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Scopus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Same queries A and B as PubMed, plus a combined query C: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Query C — Combined: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(GFAP OR S100B OR UCH-L1 OR "brain biomarker") AND ("mild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traumatic brain injury" OR mTBI OR "minor head injury") AND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(sensitivity OR specificity OR "negative predictive value" OR</w:t>
      </w:r>
    </w:p>
    <w:p>
      <w:pPr>
        <w:spacing w:after="4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"diagnostic accuracy" OR "rule out")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Results: Query A = 149; Query B = 169; Query C = 177 records.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Cochrane Library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Same queries A and B adapted for Cochrane Advanced Search (Title Abstract Keyword field).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Results: 8 records (combined).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Semantic Scholar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Queries A and B run via findpapers tool (API-based search).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Results: Query A = 39 records; Query B = 16 records.</w:t>
      </w:r>
    </w:p>
    <w:p>
      <w:pPr>
        <w:pStyle w:val="Heading2"/>
        <w:spacing w:after="120" w:before="24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Lists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Manual screening of bibliographies of all included studies and 5 relevant systematic reviews identified 2 additional studies not captured by database searches: Papa 2022 (JAMA Network Open) and Rogan 2023 (Emergency Medicine Journal).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Search date: March 2026. No language or date restrictions. Total records identified: 1,131. Duplicates removed: 711. Unique records screened: 420.</w:t>
      </w:r>
    </w:p>
    <w:p>
      <w:r>
        <w:br w:type="page"/>
      </w:r>
    </w:p>
    <w:p>
      <w:pPr>
        <w:pStyle w:val="Heading1"/>
        <w:spacing w:after="240" w:before="36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eTable 2. Extracted 2×2 Contingency Tables for All Included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1000"/>
        <w:gridCol w:w="700"/>
        <w:gridCol w:w="700"/>
        <w:gridCol w:w="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Pool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Se%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Sp%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Chayoua 2024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96.6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Bazarian 2021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1901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1061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95.8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40.4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Papa 2022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Lagares 2024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1438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945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98.3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24.9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Puravet 2026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27.1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Milevoj 2025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822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95.5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Legramante 2024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Puravet 2026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Seidenfaden 2021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566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31.5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Rogan 2023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93.8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30.8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Hopman 2023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495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93.2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Abstract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Ladang 2025 *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99.1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40.6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Spaziani 2026 *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24.3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Osmić-Husni 2026 *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32.8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Jones 2020 *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679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84.6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33.6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Oris 2021 *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1172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891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19.7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Asadollahi 2015 *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94.9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35.4</w:t>
            </w:r>
          </w:p>
        </w:tc>
        <w:tc>
          <w:tcPr>
            <w:tcW w:type="dxa" w:w="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text</w:t>
            </w:r>
          </w:p>
        </w:tc>
      </w:tr>
    </w:tbl>
    <w:p>
      <w:pPr>
        <w:spacing w:before="100" w:line="32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* Sensitivity analysis only (shaded gray). GFAP = GFAP+UCH-L1 combined assay. TP = true positive; FP = false positive; FN = false negative; TN = true negative; Se = sensitivity; Sp = specificity. Puravet 2026 appears twice (measured both biomarkers in same cohort). Hopman 2023 data reconstructed from abstract.</w:t>
      </w:r>
    </w:p>
    <w:p>
      <w:r>
        <w:br w:type="page"/>
      </w:r>
    </w:p>
    <w:p>
      <w:pPr>
        <w:pStyle w:val="Heading1"/>
        <w:spacing w:after="240" w:before="36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eTable 3. QUADAS-2 Risk of Bias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D1: Patient selection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D2: Index test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D3: Reference standard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D4: Flow &amp; timing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Applicability concerns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Chayoua 2024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Bazarian 2021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Papa 2022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Lagares 2024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Puravet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Milevoj 2025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Legramante 2024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Unclear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Seidenfaden 2021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Rogan 2023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Hopman 2023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Unclear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Unclear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Ladang 2025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Spaziani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Osmić-Husni 2026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Jones 2020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Oris 2021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Asadollahi 2015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100" w:line="32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D1–D4: QUADAS-2 domains. Green = Low risk; Yellow = Unclear; Red = High risk. D1 (Patient Selection): High if restricted population (e.g., only anticoagulated, neurosurgery referrals, retrospective). D2 (Index Test): High if non-standard cutoff or race-specific thresholds. D3 (Reference Standard): Low for all (CT performed in all or clinical follow-up for negatives). D4 (Flow &amp; Timing): Unclear if not all patients received CT or timing not clearly reported. Applicability: High if population substantially different from target (e.g., prevalence &gt;20%, age restriction). This assessment is preliminary and requires independent verification by a second reviewer.</w:t>
      </w:r>
    </w:p>
    <w:p>
      <w:r>
        <w:br w:type="page"/>
      </w:r>
    </w:p>
    <w:p>
      <w:pPr>
        <w:pStyle w:val="Heading1"/>
        <w:spacing w:after="240" w:before="36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eTable 4. Sensitivity Analysis Results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Pooled estimates when including additional studies in each pool.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1400"/>
        <w:gridCol w:w="1400"/>
        <w:gridCol w:w="900"/>
        <w:gridCol w:w="10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Analysis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Se% [95% CI]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Sp% [95% CI]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NPV%</w:t>
            </w:r>
          </w:p>
        </w:tc>
        <w:tc>
          <w:tcPr>
            <w:tcW w:type="dxa" w:w="1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Missed/1000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 primary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5,903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96.7 [94.7–97.9]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27.1 [22.5–32.1]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98.75</w:t>
            </w:r>
          </w:p>
        </w:tc>
        <w:tc>
          <w:tcPr>
            <w:tcW w:type="dxa" w:w="1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 + Ladang + Spaziani + Osmić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6,808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[to compute]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[to compute]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[TBC]</w:t>
            </w:r>
          </w:p>
        </w:tc>
        <w:tc>
          <w:tcPr>
            <w:tcW w:type="dxa" w:w="1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[TBC]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GFAP Abbott only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4,116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96.0 [93.3–97.7]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27.8 [20.8–36.2]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98.70</w:t>
            </w:r>
          </w:p>
        </w:tc>
        <w:tc>
          <w:tcPr>
            <w:tcW w:type="dxa" w:w="1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 primary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2,204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94.6 [89.7–97.2]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 [18.2–33.4]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98.20</w:t>
            </w:r>
          </w:p>
        </w:tc>
        <w:tc>
          <w:tcPr>
            <w:tcW w:type="dxa" w:w="1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S100B + Jones + Oris + Asadollahi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4,213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[to compute]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[to compute]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[TBC]</w:t>
            </w:r>
          </w:p>
        </w:tc>
        <w:tc>
          <w:tcPr>
            <w:tcW w:type="dxa" w:w="1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[TBC]</w:t>
            </w:r>
          </w:p>
        </w:tc>
      </w:tr>
    </w:tbl>
    <w:p>
      <w:pPr>
        <w:spacing w:before="100" w:line="32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Shaded rows indicate expanded pools including sensitivity analysis studies. [to compute] = to be calculated after formal inclusion of sensitivity analysis studies in the REML model. Primary pool estimates are from the definitive v15 dataset (R metafor REML, cross-validated with Python DL).</w:t>
      </w:r>
    </w:p>
    <w:p>
      <w:r>
        <w:br w:type="page"/>
      </w:r>
    </w:p>
    <w:p>
      <w:pPr>
        <w:pStyle w:val="Heading1"/>
        <w:spacing w:after="240" w:before="36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eTable 5. Studies Excluded at Full-Text Review With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Journal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Puravet 2025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Ann Emerg Med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Meta-analysis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Systematic review and meta-analysis, not primary study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Karamian 2025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Eur J Trauma Emerg Surg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Meta-analysis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Systematic review and meta-analysis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Amoo 2022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Neurosurg Rev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Meta-analysis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Systematic review and meta-analysis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Mondello 2021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 Neurotrauma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Meta-analysis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Living systematic review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Unden 2010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 Head Trauma Rehabil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Meta-analysis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Evidence-based review and meta-analysis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Oris 2024 (IJMS)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 J Mol Sci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Overlap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Subset of Puravet 2026 (Clermont-Ferrand cohort)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Oris 2024 (CCLM)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Clin Chem Lab Med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Overlap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Subset of Puravet 2026 (Clermont-Ferrand cohort)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Lapić 2024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Lab Med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Overlap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N=62; overlapping Zagreb cohort with Milevoj 2025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Welch 2025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Am J Emerg Med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Overlap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Same ALERT-TBI banked samples as Bazarian 2021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Jalali 2025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 Sci Monit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N&lt;100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N=123, only 7 CT+; Se=83.3% unreliable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Curran 2025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Ann Clin Biochem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N&lt;100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N=89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Richard 2021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BMJ Open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Protocol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BRAINI study protocol; results in Lagares 2024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Blais Lécuyer 2021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Emerg Med J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Different outcome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Se=16.7%; ELISA, cutoff not standard; outcome = clinically significant ICH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Faisal 2023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SJTREM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Different outcome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Retrospective guideline adherence study; S100B in only 26% of patients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Boucher 2023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[journal]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Different outcome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Outcome = PPCS at 90 days, not intracranial lesion on CT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Biberthaler 2004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Unfallchirurg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N&lt;100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N=75; pilot study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 Kruijk 2001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Acta Neurol Scand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CT reference standard; comparison with controls only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Calcagnile 2012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BMC Emerg Med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Interventional validation study, no independent 2×2 data extractable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Papa 2023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[journal]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2×2 data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Only AUC by sex subgroup; no 2×2 at predefined cutoff</w:t>
            </w:r>
          </w:p>
        </w:tc>
      </w:tr>
    </w:tbl>
    <w:p>
      <w:pPr>
        <w:spacing w:before="100" w:line="320"/>
      </w:pPr>
      <w:r>
        <w:rPr>
          <w:rFonts w:ascii="Times New Roman" w:cs="Times New Roman" w:eastAsia="Times New Roman" w:hAnsi="Times New Roman"/>
          <w:i/>
          <w:iCs/>
          <w:sz w:val="16"/>
          <w:szCs w:val="16"/>
        </w:rPr>
        <w:t xml:space="preserve">This list includes studies excluded at the full-text assessment stage. Studies excluded at title/abstract screening are not listed individually. Reasons are categorized as: Meta-analysis/review, Overlapping cohort, N&lt;100 or pilot, Protocol only, Different outcome, No extractable 2×2 data, Other.</w:t>
      </w:r>
    </w:p>
    <w:p>
      <w:r>
        <w:br w:type="page"/>
      </w:r>
    </w:p>
    <w:p>
      <w:pPr>
        <w:pStyle w:val="Heading1"/>
        <w:spacing w:after="240" w:before="360" w:line="4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PRISMA-DTA Checklist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[To be completed with page numbers for each item before submission]</w:t>
      </w:r>
    </w:p>
    <w:p>
      <w:pPr>
        <w:spacing w:after="120" w: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PRISMA-DTA checklist contains 27 items. Key items and their location in this manuscript: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Title: identifies as systematic review of DTA studies — Title page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Abstract: structured with all 8 JAMA headings — p. 2–3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Rationale: stated in Introduction — p. 4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Objectives: PIRD format — Introduction, last paragraph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Protocol registration: PROSPERO — Methods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Eligibility criteria: listed — Methods, Eligibility Criteria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Information sources: 4 databases + reference lists — Methods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Search strategy: complete queries — eTable 1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Study selection: two reviewers, consensus — Methods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Data extraction: standardized form — Methods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Data items: listed — Methods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Risk of bias: QUADAS-2 — Methods, eTable 3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Diagnostic accuracy measures: Se, Sp, NPV, LR — Methods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Synthesis methods: REML random-effects — Methods, eMethods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Risk of bias across studies: Egger test, funnel plots — Results, eFigure 1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Additional analyses: subgroup (Abbott only), sensitivity analysis — Results, eTable 4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17–27: Study selection flow (Figure 1), study characteristics (Table 1), risk of bias (eTable 3), results per study (eTable 2, Figures 2–3), synthesis (Table 2), discussion of limitations — throughout manuscript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2026-04-13T21:05:55.152Z</dcterms:created>
  <dcterms:modified xsi:type="dcterms:W3CDTF">2026-04-13T21:05:55.153Z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