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C9FD" w14:textId="77777777" w:rsidR="001E73E3" w:rsidRDefault="00000000">
      <w:pPr>
        <w:pStyle w:val="Titolo1"/>
        <w:pageBreakBefore/>
      </w:pPr>
      <w:r>
        <w:t>Parte A — Prof. Cardillo: finanza e risk management</w:t>
      </w:r>
    </w:p>
    <w:p w14:paraId="6701BE1B" w14:textId="77777777" w:rsidR="001E73E3" w:rsidRPr="00F35A83" w:rsidRDefault="00000000">
      <w:pPr>
        <w:pStyle w:val="Titolo3"/>
        <w:keepNext/>
        <w:spacing w:before="280" w:after="80"/>
        <w:rPr>
          <w:lang w:val="en-GB"/>
        </w:rPr>
      </w:pPr>
      <w:r w:rsidRPr="00F35A83">
        <w:rPr>
          <w:color w:val="C8791A"/>
          <w:lang w:val="en-GB"/>
        </w:rPr>
        <w:t xml:space="preserve">A1  </w:t>
      </w:r>
      <w:r w:rsidRPr="00F35A83">
        <w:rPr>
          <w:lang w:val="en-GB"/>
        </w:rPr>
        <w:t>Who would take the other side of these contracts? Is there an actual market?</w:t>
      </w:r>
    </w:p>
    <w:p w14:paraId="48E711C9"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63A22F26" w14:textId="77777777" w:rsidR="001E73E3" w:rsidRPr="00F35A83" w:rsidRDefault="00000000">
      <w:pPr>
        <w:pBdr>
          <w:left w:val="single" w:sz="12" w:space="8" w:color="1C7293"/>
        </w:pBdr>
        <w:spacing w:after="100"/>
        <w:ind w:left="284"/>
        <w:rPr>
          <w:lang w:val="en-GB"/>
        </w:rPr>
      </w:pPr>
      <w:r w:rsidRPr="00F35A83">
        <w:rPr>
          <w:i/>
          <w:iCs/>
          <w:lang w:val="en-GB"/>
        </w:rPr>
        <w:t xml:space="preserve">Today there is no liquid market for derivatives on German wind. The only traded wind derivatives are </w:t>
      </w:r>
      <w:proofErr w:type="spellStart"/>
      <w:r w:rsidRPr="00F35A83">
        <w:rPr>
          <w:i/>
          <w:iCs/>
          <w:lang w:val="en-GB"/>
        </w:rPr>
        <w:t>Nordix</w:t>
      </w:r>
      <w:proofErr w:type="spellEnd"/>
      <w:r w:rsidRPr="00F35A83">
        <w:rPr>
          <w:i/>
          <w:iCs/>
          <w:lang w:val="en-GB"/>
        </w:rPr>
        <w:t xml:space="preserve"> futures, written on Norwegian wind. That is exactly why the thesis prices from a model and not from market quotes. A natural counterparty would be someone whose exposure moves the other way in calm periods.</w:t>
      </w:r>
    </w:p>
    <w:p w14:paraId="5FF7AA8E" w14:textId="77777777" w:rsidR="001E73E3" w:rsidRDefault="00000000">
      <w:pPr>
        <w:keepNext/>
        <w:spacing w:before="120" w:after="60"/>
      </w:pPr>
      <w:r>
        <w:rPr>
          <w:b/>
          <w:bCs/>
          <w:caps/>
          <w:color w:val="56606B"/>
          <w:sz w:val="18"/>
          <w:szCs w:val="18"/>
        </w:rPr>
        <w:t>Da sapere</w:t>
      </w:r>
    </w:p>
    <w:p w14:paraId="3B56FD0D" w14:textId="77777777" w:rsidR="001E73E3" w:rsidRDefault="00000000">
      <w:pPr>
        <w:pStyle w:val="Paragrafoelenco"/>
        <w:numPr>
          <w:ilvl w:val="0"/>
          <w:numId w:val="2"/>
        </w:numPr>
        <w:spacing w:after="60"/>
      </w:pPr>
      <w:r>
        <w:t xml:space="preserve">Nella tesi: gli unici derivati sul vento quotati sono i futures </w:t>
      </w:r>
      <w:proofErr w:type="spellStart"/>
      <w:r>
        <w:t>Nordix</w:t>
      </w:r>
      <w:proofErr w:type="spellEnd"/>
      <w:r>
        <w:t>, scritti sul vento norvegese; non esiste un mercato di opzioni sul vento tedesco né sulla serie di generazione SMARD.</w:t>
      </w:r>
    </w:p>
    <w:p w14:paraId="1336B20B" w14:textId="77777777" w:rsidR="001E73E3" w:rsidRDefault="00000000">
      <w:pPr>
        <w:pStyle w:val="Paragrafoelenco"/>
        <w:numPr>
          <w:ilvl w:val="0"/>
          <w:numId w:val="2"/>
        </w:numPr>
        <w:spacing w:after="60"/>
      </w:pPr>
      <w:r>
        <w:t>Per questo la tesi non può calibrare il prezzo sul mercato e usa una formula chiusa dal modello (Tol 1997) sotto il benchmark θ = 0.</w:t>
      </w:r>
    </w:p>
    <w:p w14:paraId="34590D10" w14:textId="77777777" w:rsidR="001E73E3" w:rsidRDefault="00000000">
      <w:pPr>
        <w:pStyle w:val="Paragrafoelenco"/>
        <w:numPr>
          <w:ilvl w:val="0"/>
          <w:numId w:val="2"/>
        </w:numPr>
        <w:spacing w:after="60"/>
      </w:pPr>
      <w:r>
        <w:t>EEX quota il mercato più liquido d’Europa di opzioni sul prezzo dell’energia tedesca, ma sono scritte sul prezzo, non sul vento o sulla generazione.</w:t>
      </w:r>
    </w:p>
    <w:p w14:paraId="5756FA13" w14:textId="77777777" w:rsidR="001E73E3" w:rsidRDefault="00000000">
      <w:pPr>
        <w:spacing w:before="60" w:after="60"/>
      </w:pPr>
      <w:r>
        <w:rPr>
          <w:b/>
          <w:bCs/>
          <w:color w:val="C8791A"/>
        </w:rPr>
        <w:t xml:space="preserve">Fuori dalla tesi: </w:t>
      </w:r>
      <w:r>
        <w:rPr>
          <w:color w:val="56606B"/>
        </w:rPr>
        <w:t xml:space="preserve">possibili controparti sono assicuratori e riassicuratori, desk di </w:t>
      </w:r>
      <w:proofErr w:type="spellStart"/>
      <w:r>
        <w:rPr>
          <w:color w:val="56606B"/>
        </w:rPr>
        <w:t>weather</w:t>
      </w:r>
      <w:proofErr w:type="spellEnd"/>
      <w:r>
        <w:rPr>
          <w:color w:val="56606B"/>
        </w:rPr>
        <w:t xml:space="preserve"> risk delle banche, trader energetici. Una controparte "naturale" ha un’esposizione opposta: per esempio un produttore termoelettrico, che negli anni poco ventosi produce di più e a prezzi più alti. Presentalo come ragionamento, non come risultato.</w:t>
      </w:r>
    </w:p>
    <w:p w14:paraId="3EC48DE2" w14:textId="77777777" w:rsidR="001E73E3" w:rsidRDefault="00000000">
      <w:pPr>
        <w:spacing w:after="120"/>
      </w:pPr>
      <w:r>
        <w:rPr>
          <w:b/>
          <w:bCs/>
          <w:color w:val="56606B"/>
          <w:sz w:val="18"/>
          <w:szCs w:val="18"/>
        </w:rPr>
        <w:t xml:space="preserve">Fonte: </w:t>
      </w:r>
      <w:r>
        <w:rPr>
          <w:color w:val="56606B"/>
          <w:sz w:val="18"/>
          <w:szCs w:val="18"/>
        </w:rPr>
        <w:t>Cap. 1 §1.3.6 e §1.1; Cap. 2 §2.5.4.</w:t>
      </w:r>
    </w:p>
    <w:p w14:paraId="1583EEEC" w14:textId="77777777" w:rsidR="001E73E3" w:rsidRPr="00F35A83" w:rsidRDefault="00000000">
      <w:pPr>
        <w:pStyle w:val="Titolo3"/>
        <w:keepNext/>
        <w:spacing w:before="280" w:after="80"/>
        <w:rPr>
          <w:lang w:val="en-GB"/>
        </w:rPr>
      </w:pPr>
      <w:r w:rsidRPr="00F35A83">
        <w:rPr>
          <w:color w:val="C8791A"/>
          <w:lang w:val="en-GB"/>
        </w:rPr>
        <w:t xml:space="preserve">A2  </w:t>
      </w:r>
      <w:r w:rsidRPr="00F35A83">
        <w:rPr>
          <w:lang w:val="en-GB"/>
        </w:rPr>
        <w:t xml:space="preserve">Why </w:t>
      </w:r>
      <w:r>
        <w:t>θ</w:t>
      </w:r>
      <w:r w:rsidRPr="00F35A83">
        <w:rPr>
          <w:lang w:val="en-GB"/>
        </w:rPr>
        <w:t xml:space="preserve"> = 0? What would a risk premium change?</w:t>
      </w:r>
    </w:p>
    <w:p w14:paraId="017182B8"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7AB07C0C" w14:textId="77777777" w:rsidR="001E73E3" w:rsidRPr="00F35A83" w:rsidRDefault="00000000">
      <w:pPr>
        <w:pBdr>
          <w:left w:val="single" w:sz="12" w:space="8" w:color="1C7293"/>
        </w:pBdr>
        <w:spacing w:after="100"/>
        <w:ind w:left="284"/>
        <w:rPr>
          <w:lang w:val="en-GB"/>
        </w:rPr>
      </w:pPr>
      <w:r>
        <w:rPr>
          <w:i/>
          <w:iCs/>
        </w:rPr>
        <w:t>θ</w:t>
      </w:r>
      <w:r w:rsidRPr="00F35A83">
        <w:rPr>
          <w:i/>
          <w:iCs/>
          <w:lang w:val="en-GB"/>
        </w:rPr>
        <w:t xml:space="preserve"> = 0 is adopted as a benchmark assumption in the absence of EEX option-implied data. Wind generation is not a traded asset, so no replication argument pins down a risk-neutral measure, and there are no options from which to back out </w:t>
      </w:r>
      <w:r>
        <w:rPr>
          <w:i/>
          <w:iCs/>
        </w:rPr>
        <w:t>θ</w:t>
      </w:r>
      <w:r w:rsidRPr="00F35A83">
        <w:rPr>
          <w:i/>
          <w:iCs/>
          <w:lang w:val="en-GB"/>
        </w:rPr>
        <w:t>. The evidence from temperature markets suggests a non-zero premium, and the direction would push the fair strike above my benchmark, because producers buying protection would pay more than the physical expectation.</w:t>
      </w:r>
    </w:p>
    <w:p w14:paraId="5F93C2D5" w14:textId="77777777" w:rsidR="001E73E3" w:rsidRDefault="00000000">
      <w:pPr>
        <w:keepNext/>
        <w:spacing w:before="120" w:after="60"/>
      </w:pPr>
      <w:r>
        <w:rPr>
          <w:b/>
          <w:bCs/>
          <w:caps/>
          <w:color w:val="56606B"/>
          <w:sz w:val="18"/>
          <w:szCs w:val="18"/>
        </w:rPr>
        <w:t>Da sapere</w:t>
      </w:r>
    </w:p>
    <w:p w14:paraId="42A64F1A" w14:textId="77777777" w:rsidR="001E73E3" w:rsidRDefault="00000000">
      <w:pPr>
        <w:pStyle w:val="Paragrafoelenco"/>
        <w:numPr>
          <w:ilvl w:val="0"/>
          <w:numId w:val="2"/>
        </w:numPr>
        <w:spacing w:after="60"/>
      </w:pPr>
      <w:r>
        <w:t>Ogni strike della tesi è quindi un valore atteso sotto la misura fisica P (con θ = 0, P = Q).</w:t>
      </w:r>
    </w:p>
    <w:p w14:paraId="01357D9A" w14:textId="77777777" w:rsidR="001E73E3" w:rsidRDefault="00000000">
      <w:pPr>
        <w:pStyle w:val="Paragrafoelenco"/>
        <w:numPr>
          <w:ilvl w:val="0"/>
          <w:numId w:val="2"/>
        </w:numPr>
        <w:spacing w:after="60"/>
      </w:pPr>
      <w:r>
        <w:t xml:space="preserve">Due motivi nella tesi: (1) la generazione SMARD è una quantità fisica, non un titolo: non esiste un portafoglio autofinanziante di replica; (2) i </w:t>
      </w:r>
      <w:proofErr w:type="spellStart"/>
      <w:r>
        <w:t>Nordix</w:t>
      </w:r>
      <w:proofErr w:type="spellEnd"/>
      <w:r>
        <w:t xml:space="preserve"> riguardano il vento norvegese, quindi non si può calibrare θ su un altro sito.</w:t>
      </w:r>
    </w:p>
    <w:p w14:paraId="7C2038A9" w14:textId="77777777" w:rsidR="001E73E3" w:rsidRDefault="00000000">
      <w:pPr>
        <w:pStyle w:val="Paragrafoelenco"/>
        <w:numPr>
          <w:ilvl w:val="0"/>
          <w:numId w:val="2"/>
        </w:numPr>
        <w:spacing w:after="60"/>
      </w:pPr>
      <w:r>
        <w:t xml:space="preserve">Letteratura: </w:t>
      </w:r>
      <w:proofErr w:type="spellStart"/>
      <w:r>
        <w:t>Härdle</w:t>
      </w:r>
      <w:proofErr w:type="spellEnd"/>
      <w:r>
        <w:t xml:space="preserve"> &amp; López Cabrera (2009) e </w:t>
      </w:r>
      <w:proofErr w:type="spellStart"/>
      <w:r>
        <w:t>Dorfleitner</w:t>
      </w:r>
      <w:proofErr w:type="spellEnd"/>
      <w:r>
        <w:t xml:space="preserve"> &amp; Wimmer (2010) stimano un premio per il rischio meteo significativamente diverso da zero sui futures di temperatura (CME).</w:t>
      </w:r>
    </w:p>
    <w:p w14:paraId="7B2AA2AE" w14:textId="77777777" w:rsidR="001E73E3" w:rsidRDefault="00000000">
      <w:pPr>
        <w:pStyle w:val="Paragrafoelenco"/>
        <w:numPr>
          <w:ilvl w:val="0"/>
          <w:numId w:val="2"/>
        </w:numPr>
        <w:spacing w:after="60"/>
      </w:pPr>
      <w:r>
        <w:t>Direzione attesa: strike di mercato sopra il benchmark. È un’ipotesi sulla direzione, non una stima della grandezza.</w:t>
      </w:r>
    </w:p>
    <w:p w14:paraId="2DAFD92F" w14:textId="77777777" w:rsidR="001E73E3" w:rsidRDefault="00000000">
      <w:pPr>
        <w:pStyle w:val="Paragrafoelenco"/>
        <w:numPr>
          <w:ilvl w:val="0"/>
          <w:numId w:val="2"/>
        </w:numPr>
        <w:spacing w:after="60"/>
      </w:pPr>
      <w:r>
        <w:t>Via futura: calibrare θ dalle opzioni EEX, ma serve un modello congiunto prezzo-generazione per separare il premio del vento da quello del prezzo; Carr &amp; Lee (2009) come impalcatura teorica.</w:t>
      </w:r>
    </w:p>
    <w:p w14:paraId="4E2BB02C" w14:textId="77777777" w:rsidR="001E73E3" w:rsidRPr="00F35A83" w:rsidRDefault="00000000">
      <w:pPr>
        <w:spacing w:after="120"/>
        <w:rPr>
          <w:lang w:val="fr-FR"/>
        </w:rPr>
      </w:pPr>
      <w:r w:rsidRPr="00F35A83">
        <w:rPr>
          <w:b/>
          <w:bCs/>
          <w:color w:val="56606B"/>
          <w:sz w:val="18"/>
          <w:szCs w:val="18"/>
          <w:lang w:val="fr-FR"/>
        </w:rPr>
        <w:t xml:space="preserve">Fonte: </w:t>
      </w:r>
      <w:r w:rsidRPr="00F35A83">
        <w:rPr>
          <w:color w:val="56606B"/>
          <w:sz w:val="18"/>
          <w:szCs w:val="18"/>
          <w:lang w:val="fr-FR"/>
        </w:rPr>
        <w:t>Cap. 1 §1.3.6; Cap. 2 §2.5.4; Cap. 3 §3.5.2–3.5.3. Slide 11 (Limitations).</w:t>
      </w:r>
    </w:p>
    <w:p w14:paraId="7D12687D" w14:textId="77777777" w:rsidR="001E73E3" w:rsidRPr="00F35A83" w:rsidRDefault="00000000">
      <w:pPr>
        <w:pStyle w:val="Titolo3"/>
        <w:keepNext/>
        <w:spacing w:before="280" w:after="80"/>
        <w:rPr>
          <w:lang w:val="en-GB"/>
        </w:rPr>
      </w:pPr>
      <w:r w:rsidRPr="00F35A83">
        <w:rPr>
          <w:color w:val="C8791A"/>
          <w:lang w:val="en-GB"/>
        </w:rPr>
        <w:lastRenderedPageBreak/>
        <w:t xml:space="preserve">A3  </w:t>
      </w:r>
      <w:r w:rsidRPr="00F35A83">
        <w:rPr>
          <w:lang w:val="en-GB"/>
        </w:rPr>
        <w:t>Why not replicate the variance swap with options, as in Carr and Lee or the VIX?</w:t>
      </w:r>
    </w:p>
    <w:p w14:paraId="463F81D0"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0D63F2E4" w14:textId="77777777" w:rsidR="001E73E3" w:rsidRPr="00F35A83" w:rsidRDefault="00000000">
      <w:pPr>
        <w:pBdr>
          <w:left w:val="single" w:sz="12" w:space="8" w:color="1C7293"/>
        </w:pBdr>
        <w:spacing w:after="100"/>
        <w:ind w:left="284"/>
        <w:rPr>
          <w:lang w:val="en-GB"/>
        </w:rPr>
      </w:pPr>
      <w:r w:rsidRPr="00F35A83">
        <w:rPr>
          <w:i/>
          <w:iCs/>
          <w:lang w:val="en-GB"/>
        </w:rPr>
        <w:t>Replication needs a liquid strip of options on the underlying, and none exists for German wind or wind generation. Carr and Lee are the theoretical motivation for variance-swap pricing; the implemented formula is Tol’s piecewise-constant one, K = h(t₀) × C₀.</w:t>
      </w:r>
    </w:p>
    <w:p w14:paraId="4E69BEA3" w14:textId="77777777" w:rsidR="001E73E3" w:rsidRDefault="00000000">
      <w:pPr>
        <w:keepNext/>
        <w:spacing w:before="120" w:after="60"/>
      </w:pPr>
      <w:r>
        <w:rPr>
          <w:b/>
          <w:bCs/>
          <w:caps/>
          <w:color w:val="56606B"/>
          <w:sz w:val="18"/>
          <w:szCs w:val="18"/>
        </w:rPr>
        <w:t>Da sapere</w:t>
      </w:r>
    </w:p>
    <w:p w14:paraId="49C35AB1" w14:textId="77777777" w:rsidR="001E73E3" w:rsidRDefault="00000000">
      <w:pPr>
        <w:pStyle w:val="Paragrafoelenco"/>
        <w:numPr>
          <w:ilvl w:val="0"/>
          <w:numId w:val="2"/>
        </w:numPr>
        <w:spacing w:after="60"/>
      </w:pPr>
      <w:r>
        <w:t xml:space="preserve">Carr &amp; Lee (2009): il flusso variabile di un </w:t>
      </w:r>
      <w:proofErr w:type="spellStart"/>
      <w:r>
        <w:t>variance</w:t>
      </w:r>
      <w:proofErr w:type="spellEnd"/>
      <w:r>
        <w:t xml:space="preserve"> swap si replica con un portafoglio di opzioni OTM pesate 1/K² più delta hedging (la logica del VIX).</w:t>
      </w:r>
    </w:p>
    <w:p w14:paraId="667B0C38" w14:textId="77777777" w:rsidR="001E73E3" w:rsidRDefault="00000000">
      <w:pPr>
        <w:pStyle w:val="Paragrafoelenco"/>
        <w:numPr>
          <w:ilvl w:val="0"/>
          <w:numId w:val="2"/>
        </w:numPr>
        <w:spacing w:after="60"/>
      </w:pPr>
      <w:r>
        <w:t>Nella tesi Carr–Lee è solo motivazione teorica e base per l’estensione futura con θ calibrato su EEX. Non è il metodo implementato.</w:t>
      </w:r>
    </w:p>
    <w:p w14:paraId="1990AAF8" w14:textId="77777777" w:rsidR="001E73E3" w:rsidRDefault="00000000">
      <w:pPr>
        <w:pStyle w:val="Paragrafoelenco"/>
        <w:numPr>
          <w:ilvl w:val="0"/>
          <w:numId w:val="2"/>
        </w:numPr>
        <w:spacing w:after="60"/>
      </w:pPr>
      <w:r>
        <w:t>Con h costante a tratti (Tol 1997), le armoniche di Fourier si integrano a zero sull’anno e resta solo la costante C₀: K = h(t₀) × C₀.</w:t>
      </w:r>
    </w:p>
    <w:p w14:paraId="5DFBB1C7"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1 §1.3.6; Cap. 3 §3.1.1. Slide 5.</w:t>
      </w:r>
    </w:p>
    <w:p w14:paraId="1BDFF64A" w14:textId="77777777" w:rsidR="001E73E3" w:rsidRPr="00F35A83" w:rsidRDefault="00000000">
      <w:pPr>
        <w:pStyle w:val="Titolo3"/>
        <w:keepNext/>
        <w:spacing w:before="280" w:after="80"/>
        <w:rPr>
          <w:lang w:val="en-GB"/>
        </w:rPr>
      </w:pPr>
      <w:r w:rsidRPr="00F35A83">
        <w:rPr>
          <w:color w:val="C8791A"/>
          <w:lang w:val="en-GB"/>
        </w:rPr>
        <w:t xml:space="preserve">A4  </w:t>
      </w:r>
      <w:r w:rsidRPr="00F35A83">
        <w:rPr>
          <w:lang w:val="en-GB"/>
        </w:rPr>
        <w:t>Your model uses one location, but the contract is on national generation. How do you handle basis risk?</w:t>
      </w:r>
    </w:p>
    <w:p w14:paraId="79F823EF"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3F878AB9" w14:textId="77777777" w:rsidR="001E73E3" w:rsidRPr="00F35A83" w:rsidRDefault="00000000">
      <w:pPr>
        <w:pBdr>
          <w:left w:val="single" w:sz="12" w:space="8" w:color="1C7293"/>
        </w:pBdr>
        <w:spacing w:after="100"/>
        <w:ind w:left="284"/>
        <w:rPr>
          <w:lang w:val="en-GB"/>
        </w:rPr>
      </w:pPr>
      <w:r w:rsidRPr="00F35A83">
        <w:rPr>
          <w:i/>
          <w:iCs/>
          <w:lang w:val="en-GB"/>
        </w:rPr>
        <w:t>This is the main source of basis risk, and the thesis measures it rather than ignoring it. One grid point implies more variance than the national fleet, because averaging across thousands of turbines smooths output: the model strike is about three times the market strike. A market maker would apply a basis adjustment; I estimate its order of magnitude but do not apply it, and a capacity-weighted wind input is the first extension.</w:t>
      </w:r>
    </w:p>
    <w:p w14:paraId="4DE1C1A2" w14:textId="77777777" w:rsidR="001E73E3" w:rsidRDefault="00000000">
      <w:pPr>
        <w:keepNext/>
        <w:spacing w:before="120" w:after="60"/>
      </w:pPr>
      <w:r>
        <w:rPr>
          <w:b/>
          <w:bCs/>
          <w:caps/>
          <w:color w:val="56606B"/>
          <w:sz w:val="18"/>
          <w:szCs w:val="18"/>
        </w:rPr>
        <w:t>Da sapere</w:t>
      </w:r>
    </w:p>
    <w:p w14:paraId="68CE494D" w14:textId="77777777" w:rsidR="001E73E3" w:rsidRDefault="00000000">
      <w:pPr>
        <w:pStyle w:val="Paragrafoelenco"/>
        <w:numPr>
          <w:ilvl w:val="0"/>
          <w:numId w:val="2"/>
        </w:numPr>
        <w:spacing w:after="60"/>
      </w:pPr>
      <w:r>
        <w:t>Strike riconciliato: 328,8 contro 113,1 di mercato (rapporto 2,91). Con h = 1 i rapporti modello/mercato sono 2,82 (A) e 3,87 (B).</w:t>
      </w:r>
    </w:p>
    <w:p w14:paraId="4CDF0CED" w14:textId="77777777" w:rsidR="001E73E3" w:rsidRDefault="00000000">
      <w:pPr>
        <w:pStyle w:val="Paragrafoelenco"/>
        <w:numPr>
          <w:ilvl w:val="0"/>
          <w:numId w:val="2"/>
        </w:numPr>
        <w:spacing w:after="60"/>
      </w:pPr>
      <w:r>
        <w:t>I reciproci suggeriscono un fattore di aggiustamento tra circa 0,26 e 0,35. La tesi non lo applica e avverte di non leggerlo come una stima.</w:t>
      </w:r>
    </w:p>
    <w:p w14:paraId="23FFC6E7" w14:textId="77777777" w:rsidR="001E73E3" w:rsidRDefault="00000000">
      <w:pPr>
        <w:pStyle w:val="Paragrafoelenco"/>
        <w:numPr>
          <w:ilvl w:val="0"/>
          <w:numId w:val="2"/>
        </w:numPr>
        <w:spacing w:after="60"/>
      </w:pPr>
      <w:r>
        <w:t>Stimarlo bene richiede un panel spaziale di nodi invece di un singolo centroide.</w:t>
      </w:r>
    </w:p>
    <w:p w14:paraId="267E477D" w14:textId="77777777" w:rsidR="001E73E3" w:rsidRDefault="00000000">
      <w:pPr>
        <w:pStyle w:val="Paragrafoelenco"/>
        <w:numPr>
          <w:ilvl w:val="0"/>
          <w:numId w:val="2"/>
        </w:numPr>
        <w:spacing w:after="60"/>
      </w:pPr>
      <w:r>
        <w:t>Lo stesso effetto limita l’R² della curva di potenza: 58,7% è un buon risultato per un solo punto contro una flotta nazionale.</w:t>
      </w:r>
    </w:p>
    <w:p w14:paraId="55894965" w14:textId="77777777" w:rsidR="001E73E3" w:rsidRDefault="00000000">
      <w:pPr>
        <w:spacing w:after="120"/>
      </w:pPr>
      <w:r>
        <w:rPr>
          <w:b/>
          <w:bCs/>
          <w:color w:val="56606B"/>
          <w:sz w:val="18"/>
          <w:szCs w:val="18"/>
        </w:rPr>
        <w:t xml:space="preserve">Fonte: </w:t>
      </w:r>
      <w:r>
        <w:rPr>
          <w:color w:val="56606B"/>
          <w:sz w:val="18"/>
          <w:szCs w:val="18"/>
        </w:rPr>
        <w:t>Cap. 3 §3.1.5, §3.1.6 e §3.5.2. Backup B2 (riconciliazione) e B7.</w:t>
      </w:r>
    </w:p>
    <w:p w14:paraId="0ED1905F" w14:textId="77777777" w:rsidR="001E73E3" w:rsidRPr="00F35A83" w:rsidRDefault="00000000">
      <w:pPr>
        <w:pStyle w:val="Titolo3"/>
        <w:keepNext/>
        <w:spacing w:before="280" w:after="80"/>
        <w:rPr>
          <w:lang w:val="en-GB"/>
        </w:rPr>
      </w:pPr>
      <w:r w:rsidRPr="00F35A83">
        <w:rPr>
          <w:color w:val="C8791A"/>
          <w:lang w:val="en-GB"/>
        </w:rPr>
        <w:t xml:space="preserve">A5  </w:t>
      </w:r>
      <w:r w:rsidRPr="00F35A83">
        <w:rPr>
          <w:lang w:val="en-GB"/>
        </w:rPr>
        <w:t>Why does the producer sell the variance swap, and is the strike of 113 reasonable?</w:t>
      </w:r>
    </w:p>
    <w:p w14:paraId="189C3679"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3BE28F02" w14:textId="77777777" w:rsidR="001E73E3" w:rsidRPr="00F35A83" w:rsidRDefault="00000000">
      <w:pPr>
        <w:pBdr>
          <w:left w:val="single" w:sz="12" w:space="8" w:color="1C7293"/>
        </w:pBdr>
        <w:spacing w:after="100"/>
        <w:ind w:left="284"/>
        <w:rPr>
          <w:lang w:val="en-GB"/>
        </w:rPr>
      </w:pPr>
      <w:r w:rsidRPr="00F35A83">
        <w:rPr>
          <w:i/>
          <w:iCs/>
          <w:lang w:val="en-GB"/>
        </w:rPr>
        <w:t>The producer is long volume and therefore short its stability: selling the swap means receiving the fixed strike and paying realised variance, so it gains when output is stable. The strike of 113 is large compared with equity variance swaps, but it reflects the underlying: German wind output often doubles or halves from one day to the next. Over ten years the strike was close to fair, with an average payoff of plus 2.34.</w:t>
      </w:r>
    </w:p>
    <w:p w14:paraId="7D950B67" w14:textId="77777777" w:rsidR="001E73E3" w:rsidRDefault="00000000">
      <w:pPr>
        <w:keepNext/>
        <w:spacing w:before="120" w:after="60"/>
      </w:pPr>
      <w:r>
        <w:rPr>
          <w:b/>
          <w:bCs/>
          <w:caps/>
          <w:color w:val="56606B"/>
          <w:sz w:val="18"/>
          <w:szCs w:val="18"/>
        </w:rPr>
        <w:t>Da sapere</w:t>
      </w:r>
    </w:p>
    <w:p w14:paraId="59E359CA" w14:textId="77777777" w:rsidR="001E73E3" w:rsidRDefault="00000000">
      <w:pPr>
        <w:pStyle w:val="Paragrafoelenco"/>
        <w:numPr>
          <w:ilvl w:val="0"/>
          <w:numId w:val="2"/>
        </w:numPr>
        <w:spacing w:after="60"/>
      </w:pPr>
      <w:r>
        <w:t xml:space="preserve">Payoff: RV − K per chi è lungo; il produttore riceve K − RV. Payoff lineare nella varianza: niente gamma, niente convessità </w:t>
      </w:r>
      <w:proofErr w:type="spellStart"/>
      <w:r>
        <w:t>path-dependent</w:t>
      </w:r>
      <w:proofErr w:type="spellEnd"/>
      <w:r>
        <w:t>.</w:t>
      </w:r>
    </w:p>
    <w:p w14:paraId="01F87F77" w14:textId="77777777" w:rsidR="001E73E3" w:rsidRDefault="00000000">
      <w:pPr>
        <w:pStyle w:val="Paragrafoelenco"/>
        <w:numPr>
          <w:ilvl w:val="0"/>
          <w:numId w:val="2"/>
        </w:numPr>
        <w:spacing w:after="60"/>
      </w:pPr>
      <w:r>
        <w:t>113 corrisponde a una volatilità annualizzata di circa 10,7, cioè una deviazione standard giornaliera dei log-rendimenti della generazione di circa il 67%. Per confronto, gli strike sugli indici azionari stanno tipicamente tra 10 e 25.</w:t>
      </w:r>
    </w:p>
    <w:p w14:paraId="353EACFB" w14:textId="77777777" w:rsidR="001E73E3" w:rsidRDefault="00000000">
      <w:pPr>
        <w:pStyle w:val="Paragrafoelenco"/>
        <w:numPr>
          <w:ilvl w:val="0"/>
          <w:numId w:val="2"/>
        </w:numPr>
        <w:spacing w:after="60"/>
      </w:pPr>
      <w:r>
        <w:t>Back-test: varianza realizzata annua da 95,5 (2019) a 132,0 (2024); payoff medio +2,34; anno al 5° percentile −14,8, circa il 13% dello strike.</w:t>
      </w:r>
    </w:p>
    <w:p w14:paraId="407EEE3B" w14:textId="77777777" w:rsidR="001E73E3" w:rsidRDefault="00000000">
      <w:pPr>
        <w:pStyle w:val="Paragrafoelenco"/>
        <w:numPr>
          <w:ilvl w:val="0"/>
          <w:numId w:val="2"/>
        </w:numPr>
        <w:spacing w:after="60"/>
      </w:pPr>
      <w:r>
        <w:lastRenderedPageBreak/>
        <w:t>Generazione giornaliera: media 255.560 MWh, deviazione standard 196.107 MWh, minimo 7.214, massimo 1.060.474 (rapporto 147).</w:t>
      </w:r>
    </w:p>
    <w:p w14:paraId="60861E21"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3 §3.1.1–3.1.3 e §3.1.8. Backup B9 (back-test).</w:t>
      </w:r>
    </w:p>
    <w:p w14:paraId="143EC9E2" w14:textId="77777777" w:rsidR="001E73E3" w:rsidRPr="00F35A83" w:rsidRDefault="00000000">
      <w:pPr>
        <w:pStyle w:val="Titolo3"/>
        <w:keepNext/>
        <w:spacing w:before="280" w:after="80"/>
        <w:rPr>
          <w:lang w:val="en-GB"/>
        </w:rPr>
      </w:pPr>
      <w:r w:rsidRPr="00F35A83">
        <w:rPr>
          <w:color w:val="C8791A"/>
          <w:lang w:val="en-GB"/>
        </w:rPr>
        <w:t xml:space="preserve">A6  </w:t>
      </w:r>
      <w:r w:rsidRPr="00F35A83">
        <w:rPr>
          <w:lang w:val="en-GB"/>
        </w:rPr>
        <w:t>How reliable are the CAWS risk measures, such as CVaR?</w:t>
      </w:r>
    </w:p>
    <w:p w14:paraId="47D39A2C"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1BCE773B" w14:textId="77777777" w:rsidR="001E73E3" w:rsidRPr="00F35A83" w:rsidRDefault="00000000">
      <w:pPr>
        <w:pBdr>
          <w:left w:val="single" w:sz="12" w:space="8" w:color="1C7293"/>
        </w:pBdr>
        <w:spacing w:after="100"/>
        <w:ind w:left="284"/>
        <w:rPr>
          <w:lang w:val="en-GB"/>
        </w:rPr>
      </w:pPr>
      <w:r w:rsidRPr="00F35A83">
        <w:rPr>
          <w:i/>
          <w:iCs/>
          <w:lang w:val="en-GB"/>
        </w:rPr>
        <w:t>With ten annual observations they are descriptive, not inferential: the CVaR at 5 per cent is simply the worst single year. I use non-overlapping years on purpose, because consecutive rolling windows share 251 of 252 days and would bias any tail statistic. Note also the sign: the CVaR describes a windy year, where the producer pays the premium, not a loss in a calm year.</w:t>
      </w:r>
    </w:p>
    <w:p w14:paraId="5AC0E5D4" w14:textId="77777777" w:rsidR="001E73E3" w:rsidRDefault="00000000">
      <w:pPr>
        <w:keepNext/>
        <w:spacing w:before="120" w:after="60"/>
      </w:pPr>
      <w:r>
        <w:rPr>
          <w:b/>
          <w:bCs/>
          <w:caps/>
          <w:color w:val="56606B"/>
          <w:sz w:val="18"/>
          <w:szCs w:val="18"/>
        </w:rPr>
        <w:t>Da sapere</w:t>
      </w:r>
    </w:p>
    <w:p w14:paraId="353DD639" w14:textId="77777777" w:rsidR="001E73E3" w:rsidRDefault="00000000">
      <w:pPr>
        <w:pStyle w:val="Paragrafoelenco"/>
        <w:numPr>
          <w:ilvl w:val="0"/>
          <w:numId w:val="2"/>
        </w:numPr>
        <w:spacing w:after="60"/>
      </w:pPr>
      <w:r>
        <w:t>Metriche CAWS (B / A): CVaR₅% = −6,33% / −4,91% dello strike; payoff massimo +4,99% (2021) / +6,70% (2017).</w:t>
      </w:r>
    </w:p>
    <w:p w14:paraId="20502B3D" w14:textId="77777777" w:rsidR="001E73E3" w:rsidRDefault="00000000">
      <w:pPr>
        <w:pStyle w:val="Paragrafoelenco"/>
        <w:numPr>
          <w:ilvl w:val="0"/>
          <w:numId w:val="2"/>
        </w:numPr>
        <w:spacing w:after="60"/>
      </w:pPr>
      <w:r>
        <w:t>Il CVaR di B è il payoff del 2015, l’anno più ventoso del decennio: è il ramo "premio", non un rischio per il produttore. La coda che conta per lui è quella dei payoff positivi.</w:t>
      </w:r>
    </w:p>
    <w:p w14:paraId="3E979788" w14:textId="77777777" w:rsidR="001E73E3" w:rsidRDefault="00000000">
      <w:pPr>
        <w:pStyle w:val="Paragrafoelenco"/>
        <w:numPr>
          <w:ilvl w:val="0"/>
          <w:numId w:val="2"/>
        </w:numPr>
        <w:spacing w:after="60"/>
      </w:pPr>
      <w:r>
        <w:t>Lo Sharpe ratio (−0,055 / −0,038) non è informativo: lo strike è la media della serie stessa, quindi il payoff medio è circa zero per costruzione.</w:t>
      </w:r>
    </w:p>
    <w:p w14:paraId="589D041D" w14:textId="77777777" w:rsidR="001E73E3" w:rsidRDefault="00000000">
      <w:pPr>
        <w:pStyle w:val="Paragrafoelenco"/>
        <w:numPr>
          <w:ilvl w:val="0"/>
          <w:numId w:val="2"/>
        </w:numPr>
        <w:spacing w:after="60"/>
      </w:pPr>
      <w:r>
        <w:t>Confronto tra dataset: in m/s il CVaR di B è 4,2 volte quello di A, ma è un effetto di scala (vento medio più alto). Normalizzato allo strike la differenza è circa del 30%.</w:t>
      </w:r>
    </w:p>
    <w:p w14:paraId="1AB39FDC" w14:textId="77777777" w:rsidR="001E73E3" w:rsidRDefault="00000000">
      <w:pPr>
        <w:spacing w:after="120"/>
      </w:pPr>
      <w:r>
        <w:rPr>
          <w:b/>
          <w:bCs/>
          <w:color w:val="56606B"/>
          <w:sz w:val="18"/>
          <w:szCs w:val="18"/>
        </w:rPr>
        <w:t xml:space="preserve">Fonte: </w:t>
      </w:r>
      <w:r>
        <w:rPr>
          <w:color w:val="56606B"/>
          <w:sz w:val="18"/>
          <w:szCs w:val="18"/>
        </w:rPr>
        <w:t>Cap. 3 §3.4.2–3.4.3. Backup B8 (tabella CAWS).</w:t>
      </w:r>
    </w:p>
    <w:p w14:paraId="78086DCC" w14:textId="77777777" w:rsidR="001E73E3" w:rsidRPr="00F35A83" w:rsidRDefault="00000000">
      <w:pPr>
        <w:pStyle w:val="Titolo3"/>
        <w:keepNext/>
        <w:spacing w:before="280" w:after="80"/>
        <w:rPr>
          <w:lang w:val="en-GB"/>
        </w:rPr>
      </w:pPr>
      <w:r w:rsidRPr="00F35A83">
        <w:rPr>
          <w:color w:val="C8791A"/>
          <w:lang w:val="en-GB"/>
        </w:rPr>
        <w:t xml:space="preserve">A7  </w:t>
      </w:r>
      <w:r w:rsidRPr="00F35A83">
        <w:rPr>
          <w:lang w:val="en-GB"/>
        </w:rPr>
        <w:t>Your hedge is volumetric. What about price risk, for example in the 2021–2022 energy crisis?</w:t>
      </w:r>
    </w:p>
    <w:p w14:paraId="766911C2"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37DB39FC" w14:textId="77777777" w:rsidR="001E73E3" w:rsidRPr="00F35A83" w:rsidRDefault="00000000">
      <w:pPr>
        <w:pBdr>
          <w:left w:val="single" w:sz="12" w:space="8" w:color="1C7293"/>
        </w:pBdr>
        <w:spacing w:after="100"/>
        <w:ind w:left="284"/>
        <w:rPr>
          <w:lang w:val="en-GB"/>
        </w:rPr>
      </w:pPr>
      <w:r w:rsidRPr="00F35A83">
        <w:rPr>
          <w:i/>
          <w:iCs/>
          <w:lang w:val="en-GB"/>
        </w:rPr>
        <w:t>Correct: these instruments respond only to the quantity of wind, so they do not hedge the price level. The merit-order effect gives a partial natural hedge, with a correlation of minus 0.16, but it is weak and asymmetric. Interestingly, the calmest year, 2021, coincided with the price spike, so a producer may have earned more that year, but that was driven by gas markets and cannot be generalised.</w:t>
      </w:r>
    </w:p>
    <w:p w14:paraId="704C51C9" w14:textId="77777777" w:rsidR="001E73E3" w:rsidRDefault="00000000">
      <w:pPr>
        <w:keepNext/>
        <w:spacing w:before="120" w:after="60"/>
      </w:pPr>
      <w:r>
        <w:rPr>
          <w:b/>
          <w:bCs/>
          <w:caps/>
          <w:color w:val="56606B"/>
          <w:sz w:val="18"/>
          <w:szCs w:val="18"/>
        </w:rPr>
        <w:t>Da sapere</w:t>
      </w:r>
    </w:p>
    <w:p w14:paraId="3AEA72AC" w14:textId="77777777" w:rsidR="001E73E3" w:rsidRDefault="00000000">
      <w:pPr>
        <w:pStyle w:val="Paragrafoelenco"/>
        <w:numPr>
          <w:ilvl w:val="0"/>
          <w:numId w:val="2"/>
        </w:numPr>
        <w:spacing w:after="60"/>
      </w:pPr>
      <w:r>
        <w:t>Prezzo medio day-</w:t>
      </w:r>
      <w:proofErr w:type="spellStart"/>
      <w:r>
        <w:t>ahead</w:t>
      </w:r>
      <w:proofErr w:type="spellEnd"/>
      <w:r>
        <w:t>: €34,60/MWh (2015–2020), €126,47/MWh (2021–2024), €71,38/MWh (intero campione).</w:t>
      </w:r>
    </w:p>
    <w:p w14:paraId="4F3E04A1" w14:textId="77777777" w:rsidR="001E73E3" w:rsidRDefault="00000000">
      <w:pPr>
        <w:pStyle w:val="Paragrafoelenco"/>
        <w:numPr>
          <w:ilvl w:val="0"/>
          <w:numId w:val="2"/>
        </w:numPr>
        <w:spacing w:after="60"/>
      </w:pPr>
      <w:r>
        <w:t>Correlazione generazione-prezzo: −0,162 sull’intero campione; −0,476 prima e −0,275 dopo la separazione della zona di offerta (ottobre 2018). Il segno resiste alla rottura strutturale.</w:t>
      </w:r>
    </w:p>
    <w:p w14:paraId="19446DA8" w14:textId="77777777" w:rsidR="001E73E3" w:rsidRDefault="00000000">
      <w:pPr>
        <w:pStyle w:val="Paragrafoelenco"/>
        <w:numPr>
          <w:ilvl w:val="0"/>
          <w:numId w:val="2"/>
        </w:numPr>
        <w:spacing w:after="60"/>
      </w:pPr>
      <w:r>
        <w:t>La correlazione aggregata è più debole delle due parziali per un effetto di pooling: il salto di livello dei prezzi (gas) aggiunge varianza non legata al vento.</w:t>
      </w:r>
    </w:p>
    <w:p w14:paraId="712F7F59" w14:textId="77777777" w:rsidR="001E73E3" w:rsidRDefault="00000000">
      <w:pPr>
        <w:pStyle w:val="Paragrafoelenco"/>
        <w:numPr>
          <w:ilvl w:val="0"/>
          <w:numId w:val="2"/>
        </w:numPr>
        <w:spacing w:after="60"/>
      </w:pPr>
      <w:r>
        <w:t>Un produttore con solo questa copertura sarebbe rimasto interamente esposto alla crisi dei prezzi.</w:t>
      </w:r>
    </w:p>
    <w:p w14:paraId="463577D0"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1 §1.4.3; Cap. 3 §3.1.7 e §3.4.3.</w:t>
      </w:r>
    </w:p>
    <w:p w14:paraId="0C42316B" w14:textId="77777777" w:rsidR="001E73E3" w:rsidRPr="00F35A83" w:rsidRDefault="00000000">
      <w:pPr>
        <w:pStyle w:val="Titolo3"/>
        <w:keepNext/>
        <w:spacing w:before="280" w:after="80"/>
        <w:rPr>
          <w:lang w:val="en-GB"/>
        </w:rPr>
      </w:pPr>
      <w:r w:rsidRPr="00F35A83">
        <w:rPr>
          <w:color w:val="C8791A"/>
          <w:lang w:val="en-GB"/>
        </w:rPr>
        <w:t xml:space="preserve">A8  </w:t>
      </w:r>
      <w:r w:rsidRPr="00F35A83">
        <w:rPr>
          <w:lang w:val="en-GB"/>
        </w:rPr>
        <w:t>Would you strike CAWS out of the money, like insurance?</w:t>
      </w:r>
    </w:p>
    <w:p w14:paraId="626E9AF4"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483B6E9D" w14:textId="77777777" w:rsidR="001E73E3" w:rsidRPr="00F35A83" w:rsidRDefault="00000000">
      <w:pPr>
        <w:pBdr>
          <w:left w:val="single" w:sz="12" w:space="8" w:color="1C7293"/>
        </w:pBdr>
        <w:spacing w:after="100"/>
        <w:ind w:left="284"/>
        <w:rPr>
          <w:lang w:val="en-GB"/>
        </w:rPr>
      </w:pPr>
      <w:r w:rsidRPr="00F35A83">
        <w:rPr>
          <w:i/>
          <w:iCs/>
          <w:lang w:val="en-GB"/>
        </w:rPr>
        <w:t xml:space="preserve">Standard practice would favour an out-of-the-money strike, which lowers the premium and keeps only the severe years. In this sample it is very sensitive: a strike 10 per cent below the mean would never have paid, and only a level near 4.5 per cent triggers exactly once per dataset. With so few years, the metrics would become </w:t>
      </w:r>
      <w:proofErr w:type="spellStart"/>
      <w:r w:rsidRPr="00F35A83">
        <w:rPr>
          <w:i/>
          <w:iCs/>
          <w:lang w:val="en-GB"/>
        </w:rPr>
        <w:t>unestimable</w:t>
      </w:r>
      <w:proofErr w:type="spellEnd"/>
      <w:r w:rsidRPr="00F35A83">
        <w:rPr>
          <w:i/>
          <w:iCs/>
          <w:lang w:val="en-GB"/>
        </w:rPr>
        <w:t>, so I keep the at-the-money baseline.</w:t>
      </w:r>
    </w:p>
    <w:p w14:paraId="2B0F4D0F" w14:textId="77777777" w:rsidR="001E73E3" w:rsidRDefault="00000000">
      <w:pPr>
        <w:keepNext/>
        <w:spacing w:before="120" w:after="60"/>
      </w:pPr>
      <w:r>
        <w:rPr>
          <w:b/>
          <w:bCs/>
          <w:caps/>
          <w:color w:val="56606B"/>
          <w:sz w:val="18"/>
          <w:szCs w:val="18"/>
        </w:rPr>
        <w:t>Da sapere</w:t>
      </w:r>
    </w:p>
    <w:p w14:paraId="050C11FE" w14:textId="77777777" w:rsidR="001E73E3" w:rsidRDefault="00000000">
      <w:pPr>
        <w:pStyle w:val="Paragrafoelenco"/>
        <w:numPr>
          <w:ilvl w:val="0"/>
          <w:numId w:val="2"/>
        </w:numPr>
        <w:spacing w:after="60"/>
      </w:pPr>
      <w:r>
        <w:t>Strike al 10% sotto la media: 2,2180 m/s (A) e 7,2478 m/s (B), mai raggiunto in nessun anno.</w:t>
      </w:r>
    </w:p>
    <w:p w14:paraId="3B1AF313" w14:textId="77777777" w:rsidR="001E73E3" w:rsidRDefault="00000000">
      <w:pPr>
        <w:pStyle w:val="Paragrafoelenco"/>
        <w:numPr>
          <w:ilvl w:val="0"/>
          <w:numId w:val="2"/>
        </w:numPr>
        <w:spacing w:after="60"/>
      </w:pPr>
      <w:r>
        <w:lastRenderedPageBreak/>
        <w:t>Strike al 5%: un solo pagamento per A (2017), nessuno per B (al 2021 manca circa un centesimo di punto percentuale).</w:t>
      </w:r>
    </w:p>
    <w:p w14:paraId="13EBE36A" w14:textId="77777777" w:rsidR="001E73E3" w:rsidRDefault="00000000">
      <w:pPr>
        <w:pStyle w:val="Paragrafoelenco"/>
        <w:numPr>
          <w:ilvl w:val="0"/>
          <w:numId w:val="2"/>
        </w:numPr>
        <w:spacing w:after="60"/>
      </w:pPr>
      <w:r>
        <w:t>La variante OTM è indicata come direzione naturale ma non raccomandata dalla tesi.</w:t>
      </w:r>
    </w:p>
    <w:p w14:paraId="5B80263C"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3 §3.4.1.</w:t>
      </w:r>
    </w:p>
    <w:p w14:paraId="5E47A5A2" w14:textId="77777777" w:rsidR="001E73E3" w:rsidRDefault="00000000">
      <w:pPr>
        <w:pStyle w:val="Titolo3"/>
        <w:keepNext/>
        <w:spacing w:before="280" w:after="80"/>
      </w:pPr>
      <w:r w:rsidRPr="00F35A83">
        <w:rPr>
          <w:color w:val="C8791A"/>
          <w:lang w:val="en-GB"/>
        </w:rPr>
        <w:t xml:space="preserve">A9  </w:t>
      </w:r>
      <w:r w:rsidRPr="00F35A83">
        <w:rPr>
          <w:lang w:val="en-GB"/>
        </w:rPr>
        <w:t xml:space="preserve">How sensitive is the price to a change in volatility? </w:t>
      </w:r>
      <w:r>
        <w:t>Any stress test?</w:t>
      </w:r>
    </w:p>
    <w:p w14:paraId="7DAA2FE2" w14:textId="77777777" w:rsidR="001E73E3" w:rsidRDefault="00000000">
      <w:pPr>
        <w:keepNext/>
        <w:spacing w:before="120" w:after="60"/>
      </w:pPr>
      <w:r>
        <w:rPr>
          <w:b/>
          <w:bCs/>
          <w:caps/>
          <w:color w:val="1C7293"/>
          <w:sz w:val="18"/>
          <w:szCs w:val="18"/>
        </w:rPr>
        <w:t>Risposta breve (da dire)</w:t>
      </w:r>
    </w:p>
    <w:p w14:paraId="04FBF0DC" w14:textId="77777777" w:rsidR="001E73E3" w:rsidRPr="00F35A83" w:rsidRDefault="00000000">
      <w:pPr>
        <w:pBdr>
          <w:left w:val="single" w:sz="12" w:space="8" w:color="1C7293"/>
        </w:pBdr>
        <w:spacing w:after="100"/>
        <w:ind w:left="284"/>
        <w:rPr>
          <w:lang w:val="en-GB"/>
        </w:rPr>
      </w:pPr>
      <w:r w:rsidRPr="00F35A83">
        <w:rPr>
          <w:i/>
          <w:iCs/>
          <w:lang w:val="en-GB"/>
        </w:rPr>
        <w:t>The strike is linear in the volatility state, so its sensitivity is simply C₀. If a regime shift doubled the conditional variance, the strike would double. A volatility shock is persistent: the half-life is about 38 to 42 days, so it would affect a contract for several months.</w:t>
      </w:r>
    </w:p>
    <w:p w14:paraId="5053CFDC" w14:textId="77777777" w:rsidR="001E73E3" w:rsidRDefault="00000000">
      <w:pPr>
        <w:keepNext/>
        <w:spacing w:before="120" w:after="60"/>
      </w:pPr>
      <w:r>
        <w:rPr>
          <w:b/>
          <w:bCs/>
          <w:caps/>
          <w:color w:val="56606B"/>
          <w:sz w:val="18"/>
          <w:szCs w:val="18"/>
        </w:rPr>
        <w:t>Da sapere</w:t>
      </w:r>
    </w:p>
    <w:p w14:paraId="3A59FDA5" w14:textId="77777777" w:rsidR="001E73E3" w:rsidRDefault="00000000">
      <w:pPr>
        <w:pStyle w:val="Paragrafoelenco"/>
        <w:numPr>
          <w:ilvl w:val="0"/>
          <w:numId w:val="2"/>
        </w:numPr>
        <w:spacing w:after="60"/>
      </w:pPr>
      <w:r>
        <w:t>∂K/∂h = C₀: 1,16277 (B), 0,13138 (A). Nessuna convessità in h.</w:t>
      </w:r>
    </w:p>
    <w:p w14:paraId="29646ACD" w14:textId="77777777" w:rsidR="001E73E3" w:rsidRDefault="00000000">
      <w:pPr>
        <w:pStyle w:val="Paragrafoelenco"/>
        <w:numPr>
          <w:ilvl w:val="0"/>
          <w:numId w:val="2"/>
        </w:numPr>
        <w:spacing w:after="60"/>
      </w:pPr>
      <w:r>
        <w:t>Stress h = 2·h(t₀): lo strike di B passa da 0,8734 a 1,7467; quello di A da 0,0544 a 0,1087.</w:t>
      </w:r>
    </w:p>
    <w:p w14:paraId="0C61F55F" w14:textId="77777777" w:rsidR="001E73E3" w:rsidRDefault="00000000">
      <w:pPr>
        <w:pStyle w:val="Paragrafoelenco"/>
        <w:numPr>
          <w:ilvl w:val="0"/>
          <w:numId w:val="2"/>
        </w:numPr>
        <w:spacing w:after="60"/>
      </w:pPr>
      <w:r>
        <w:t>Emivita della volatilità GARCH: 38,3 giorni (B), 41,6 (A). Uno shock che raddoppia h conserva circa il 70% dell’effetto dopo 20 giorni.</w:t>
      </w:r>
    </w:p>
    <w:p w14:paraId="250EE826" w14:textId="77777777" w:rsidR="001E73E3" w:rsidRDefault="00000000">
      <w:pPr>
        <w:pStyle w:val="Paragrafoelenco"/>
        <w:numPr>
          <w:ilvl w:val="0"/>
          <w:numId w:val="2"/>
        </w:numPr>
        <w:spacing w:after="60"/>
      </w:pPr>
      <w:r>
        <w:t xml:space="preserve">Il modello prezza un </w:t>
      </w:r>
      <w:proofErr w:type="spellStart"/>
      <w:r>
        <w:t>variance</w:t>
      </w:r>
      <w:proofErr w:type="spellEnd"/>
      <w:r>
        <w:t xml:space="preserve"> swap, non un’opzione sulla varianza: per quella servirebbe la funzione caratteristica di Heston valutata numericamente.</w:t>
      </w:r>
    </w:p>
    <w:p w14:paraId="47ECBAD8" w14:textId="77777777" w:rsidR="001E73E3" w:rsidRDefault="00000000">
      <w:pPr>
        <w:spacing w:after="120"/>
      </w:pPr>
      <w:r>
        <w:rPr>
          <w:b/>
          <w:bCs/>
          <w:color w:val="56606B"/>
          <w:sz w:val="18"/>
          <w:szCs w:val="18"/>
        </w:rPr>
        <w:t xml:space="preserve">Fonte: </w:t>
      </w:r>
      <w:r>
        <w:rPr>
          <w:color w:val="56606B"/>
          <w:sz w:val="18"/>
          <w:szCs w:val="18"/>
        </w:rPr>
        <w:t>Cap. 3 §3.3.4 e §3.5.1. Backup B6.</w:t>
      </w:r>
    </w:p>
    <w:p w14:paraId="5FC8BD6B" w14:textId="77777777" w:rsidR="001E73E3" w:rsidRPr="00F35A83" w:rsidRDefault="00000000">
      <w:pPr>
        <w:pStyle w:val="Titolo3"/>
        <w:keepNext/>
        <w:spacing w:before="280" w:after="80"/>
        <w:rPr>
          <w:lang w:val="en-GB"/>
        </w:rPr>
      </w:pPr>
      <w:r w:rsidRPr="00F35A83">
        <w:rPr>
          <w:color w:val="C8791A"/>
          <w:lang w:val="en-GB"/>
        </w:rPr>
        <w:t xml:space="preserve">A10  </w:t>
      </w:r>
      <w:r w:rsidRPr="00F35A83">
        <w:rPr>
          <w:lang w:val="en-GB"/>
        </w:rPr>
        <w:t>What does this mean for sustainable finance, or for financing renewable projects?</w:t>
      </w:r>
    </w:p>
    <w:p w14:paraId="3317A09E"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2C7992B5" w14:textId="77777777" w:rsidR="001E73E3" w:rsidRPr="00F35A83" w:rsidRDefault="00000000">
      <w:pPr>
        <w:pBdr>
          <w:left w:val="single" w:sz="12" w:space="8" w:color="1C7293"/>
        </w:pBdr>
        <w:spacing w:after="100"/>
        <w:ind w:left="284"/>
        <w:rPr>
          <w:lang w:val="en-GB"/>
        </w:rPr>
      </w:pPr>
      <w:r w:rsidRPr="00F35A83">
        <w:rPr>
          <w:i/>
          <w:iCs/>
          <w:lang w:val="en-GB"/>
        </w:rPr>
        <w:t>The thesis shows that a wind producer keeps a material volumetric risk, and that it can be priced and transferred with simple instruments. The key practical condition is data quality: a hedge priced on misaligned data can look reasonable and still have nothing to do with the producer’s cash flow.</w:t>
      </w:r>
    </w:p>
    <w:p w14:paraId="4EFE0444" w14:textId="77777777" w:rsidR="001E73E3" w:rsidRDefault="00000000">
      <w:pPr>
        <w:keepNext/>
        <w:spacing w:before="120" w:after="60"/>
      </w:pPr>
      <w:r>
        <w:rPr>
          <w:b/>
          <w:bCs/>
          <w:caps/>
          <w:color w:val="56606B"/>
          <w:sz w:val="18"/>
          <w:szCs w:val="18"/>
        </w:rPr>
        <w:t>Da sapere</w:t>
      </w:r>
    </w:p>
    <w:p w14:paraId="01F68EBB" w14:textId="77777777" w:rsidR="001E73E3" w:rsidRDefault="00000000">
      <w:pPr>
        <w:pStyle w:val="Paragrafoelenco"/>
        <w:numPr>
          <w:ilvl w:val="0"/>
          <w:numId w:val="2"/>
        </w:numPr>
        <w:spacing w:after="60"/>
      </w:pPr>
      <w:r>
        <w:t>Messaggio pratico della tesi: l’allineamento dei dati è una precondizione, non un dettaglio. Prima di prezzare, il vento usato deve spiegare il flusso di cassa da coprire (test con una regressione).</w:t>
      </w:r>
    </w:p>
    <w:p w14:paraId="6ACE503B" w14:textId="77777777" w:rsidR="001E73E3" w:rsidRDefault="00000000">
      <w:pPr>
        <w:pStyle w:val="Paragrafoelenco"/>
        <w:numPr>
          <w:ilvl w:val="0"/>
          <w:numId w:val="2"/>
        </w:numPr>
        <w:spacing w:after="60"/>
      </w:pPr>
      <w:r>
        <w:t xml:space="preserve">I due strumenti sono complementari: il </w:t>
      </w:r>
      <w:proofErr w:type="spellStart"/>
      <w:r>
        <w:t>variance</w:t>
      </w:r>
      <w:proofErr w:type="spellEnd"/>
      <w:r>
        <w:t xml:space="preserve"> swap per la prevedibilità dei flussi, il CAWS per la siccità di vento.</w:t>
      </w:r>
    </w:p>
    <w:p w14:paraId="07E8DF66" w14:textId="77777777" w:rsidR="001E73E3" w:rsidRDefault="00000000">
      <w:pPr>
        <w:spacing w:before="60" w:after="60"/>
      </w:pPr>
      <w:r>
        <w:rPr>
          <w:b/>
          <w:bCs/>
          <w:color w:val="C8791A"/>
        </w:rPr>
        <w:t xml:space="preserve">Fuori dalla tesi: </w:t>
      </w:r>
      <w:r>
        <w:rPr>
          <w:color w:val="56606B"/>
        </w:rPr>
        <w:t>stabilizzare i ricavi di un progetto rinnovabile ne migliora la "bancabilità": flussi più prevedibili possono ridurre il costo del debito e favorire il finanziamento. È un argomento coerente con la tesi ma non sviluppato in essa.</w:t>
      </w:r>
    </w:p>
    <w:p w14:paraId="0BCF0F1E"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3 §3.5.4.</w:t>
      </w:r>
    </w:p>
    <w:p w14:paraId="2183BB2E" w14:textId="77777777" w:rsidR="001E73E3" w:rsidRPr="00F35A83" w:rsidRDefault="00000000">
      <w:pPr>
        <w:pStyle w:val="Titolo3"/>
        <w:keepNext/>
        <w:spacing w:before="280" w:after="80"/>
        <w:rPr>
          <w:lang w:val="en-GB"/>
        </w:rPr>
      </w:pPr>
      <w:r w:rsidRPr="00F35A83">
        <w:rPr>
          <w:color w:val="C8791A"/>
          <w:lang w:val="en-GB"/>
        </w:rPr>
        <w:t xml:space="preserve">A11  </w:t>
      </w:r>
      <w:r w:rsidRPr="00F35A83">
        <w:rPr>
          <w:lang w:val="en-GB"/>
        </w:rPr>
        <w:t>Isn’t the 94% mispricing just a units problem?</w:t>
      </w:r>
    </w:p>
    <w:p w14:paraId="55B09FE9"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73F3A36E" w14:textId="77777777" w:rsidR="001E73E3" w:rsidRPr="00F35A83" w:rsidRDefault="00000000">
      <w:pPr>
        <w:pBdr>
          <w:left w:val="single" w:sz="12" w:space="8" w:color="1C7293"/>
        </w:pBdr>
        <w:spacing w:after="100"/>
        <w:ind w:left="284"/>
        <w:rPr>
          <w:lang w:val="en-GB"/>
        </w:rPr>
      </w:pPr>
      <w:r w:rsidRPr="00F35A83">
        <w:rPr>
          <w:i/>
          <w:iCs/>
          <w:lang w:val="en-GB"/>
        </w:rPr>
        <w:t>Partly, and I say so in the thesis. The two strikes sit on different Box–Cox scales and pricing dates; on a common scale the gap is much smaller, and the two sites have almost the same relative variability. That is why the real evidence is the power-curve test: the proxy has no link with German generation. In reconciled units the proxy price even looks closer to the market, which is precisely the danger.</w:t>
      </w:r>
    </w:p>
    <w:p w14:paraId="64D1A17A" w14:textId="77777777" w:rsidR="001E73E3" w:rsidRDefault="00000000">
      <w:pPr>
        <w:keepNext/>
        <w:spacing w:before="120" w:after="60"/>
      </w:pPr>
      <w:r>
        <w:rPr>
          <w:b/>
          <w:bCs/>
          <w:caps/>
          <w:color w:val="56606B"/>
          <w:sz w:val="18"/>
          <w:szCs w:val="18"/>
        </w:rPr>
        <w:t>Da sapere</w:t>
      </w:r>
    </w:p>
    <w:p w14:paraId="592CC286" w14:textId="77777777" w:rsidR="001E73E3" w:rsidRDefault="00000000">
      <w:pPr>
        <w:pStyle w:val="Paragrafoelenco"/>
        <w:numPr>
          <w:ilvl w:val="0"/>
          <w:numId w:val="2"/>
        </w:numPr>
        <w:spacing w:after="60"/>
      </w:pPr>
      <w:r>
        <w:t>Su scala comune il rapporto 16,07 scende a circa 2,5; la parte climatologica a circa 1,36.</w:t>
      </w:r>
    </w:p>
    <w:p w14:paraId="252F7C87" w14:textId="77777777" w:rsidR="001E73E3" w:rsidRDefault="00000000">
      <w:pPr>
        <w:pStyle w:val="Paragrafoelenco"/>
        <w:numPr>
          <w:ilvl w:val="0"/>
          <w:numId w:val="2"/>
        </w:numPr>
        <w:spacing w:after="60"/>
      </w:pPr>
      <w:r>
        <w:t>Coefficienti di variazione quasi uguali: 0,384 (Bologna) e 0,401 (</w:t>
      </w:r>
      <w:proofErr w:type="spellStart"/>
      <w:r>
        <w:t>Nordfriesland</w:t>
      </w:r>
      <w:proofErr w:type="spellEnd"/>
      <w:r>
        <w:t>).</w:t>
      </w:r>
    </w:p>
    <w:p w14:paraId="29C90576" w14:textId="77777777" w:rsidR="001E73E3" w:rsidRDefault="00000000">
      <w:pPr>
        <w:pStyle w:val="Paragrafoelenco"/>
        <w:numPr>
          <w:ilvl w:val="0"/>
          <w:numId w:val="2"/>
        </w:numPr>
        <w:spacing w:after="60"/>
      </w:pPr>
      <w:r>
        <w:lastRenderedPageBreak/>
        <w:t xml:space="preserve">Strike riconciliati: Bologna 132,9, </w:t>
      </w:r>
      <w:proofErr w:type="spellStart"/>
      <w:r>
        <w:t>Nordfriesland</w:t>
      </w:r>
      <w:proofErr w:type="spellEnd"/>
      <w:r>
        <w:t xml:space="preserve"> 328,8, mercato 113,1. Il proxy sembra "migliore" per coincidenza di livello.</w:t>
      </w:r>
    </w:p>
    <w:p w14:paraId="1FE33F1C" w14:textId="77777777" w:rsidR="001E73E3" w:rsidRDefault="00000000">
      <w:pPr>
        <w:pStyle w:val="Paragrafoelenco"/>
        <w:numPr>
          <w:ilvl w:val="0"/>
          <w:numId w:val="2"/>
        </w:numPr>
        <w:spacing w:after="60"/>
      </w:pPr>
      <w:r>
        <w:t>Il fattore 1,82 di h(t₀) confronta due date (31/12/2018 e 31/12/2024), non due siti.</w:t>
      </w:r>
    </w:p>
    <w:p w14:paraId="6BF8D456" w14:textId="77777777" w:rsidR="001E73E3" w:rsidRDefault="00000000">
      <w:pPr>
        <w:spacing w:after="120"/>
      </w:pPr>
      <w:r>
        <w:rPr>
          <w:b/>
          <w:bCs/>
          <w:color w:val="56606B"/>
          <w:sz w:val="18"/>
          <w:szCs w:val="18"/>
        </w:rPr>
        <w:t xml:space="preserve">Fonte: </w:t>
      </w:r>
      <w:r>
        <w:rPr>
          <w:color w:val="56606B"/>
          <w:sz w:val="18"/>
          <w:szCs w:val="18"/>
        </w:rPr>
        <w:t>Cap. 3 §3.1.5, §3.3.2–3.3.3. Backup B2 e B7.</w:t>
      </w:r>
    </w:p>
    <w:p w14:paraId="43F6C5CD" w14:textId="77777777" w:rsidR="001E73E3" w:rsidRDefault="00000000">
      <w:pPr>
        <w:pStyle w:val="Titolo1"/>
        <w:pageBreakBefore/>
      </w:pPr>
      <w:r>
        <w:lastRenderedPageBreak/>
        <w:t>Parte B — Prof. Accorsi: ingegneria, dati e modelli</w:t>
      </w:r>
    </w:p>
    <w:p w14:paraId="6D0F2C4D" w14:textId="77777777" w:rsidR="001E73E3" w:rsidRPr="00F35A83" w:rsidRDefault="00000000">
      <w:pPr>
        <w:pStyle w:val="Titolo3"/>
        <w:keepNext/>
        <w:spacing w:before="280" w:after="80"/>
        <w:rPr>
          <w:lang w:val="en-GB"/>
        </w:rPr>
      </w:pPr>
      <w:r w:rsidRPr="00F35A83">
        <w:rPr>
          <w:color w:val="C8791A"/>
          <w:lang w:val="en-GB"/>
        </w:rPr>
        <w:t xml:space="preserve">B1  </w:t>
      </w:r>
      <w:r w:rsidRPr="00F35A83">
        <w:rPr>
          <w:lang w:val="en-GB"/>
        </w:rPr>
        <w:t>Why do you use the cube of wind speed? Is the power curve really cubic?</w:t>
      </w:r>
    </w:p>
    <w:p w14:paraId="7A237636"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3D7AF9B7" w14:textId="77777777" w:rsidR="001E73E3" w:rsidRPr="00F35A83" w:rsidRDefault="00000000">
      <w:pPr>
        <w:pBdr>
          <w:left w:val="single" w:sz="12" w:space="8" w:color="1C7293"/>
        </w:pBdr>
        <w:spacing w:after="100"/>
        <w:ind w:left="284"/>
        <w:rPr>
          <w:lang w:val="en-GB"/>
        </w:rPr>
      </w:pPr>
      <w:r w:rsidRPr="00F35A83">
        <w:rPr>
          <w:i/>
          <w:iCs/>
          <w:lang w:val="en-GB"/>
        </w:rPr>
        <w:t>The power in the wind is proportional to the cube of its speed, because it is the kinetic energy flowing through the rotor. A real turbine follows the cube only between cut-in and rated speed; it is flat above rated and zero beyond cut-out. So the cube is a first-order approximation, but it gets the sign and the order of magnitude right.</w:t>
      </w:r>
    </w:p>
    <w:p w14:paraId="31CAC450" w14:textId="77777777" w:rsidR="001E73E3" w:rsidRDefault="00000000">
      <w:pPr>
        <w:keepNext/>
        <w:spacing w:before="120" w:after="60"/>
      </w:pPr>
      <w:r>
        <w:rPr>
          <w:b/>
          <w:bCs/>
          <w:caps/>
          <w:color w:val="56606B"/>
          <w:sz w:val="18"/>
          <w:szCs w:val="18"/>
        </w:rPr>
        <w:t>Da sapere</w:t>
      </w:r>
    </w:p>
    <w:p w14:paraId="4AD9FAF1" w14:textId="77777777" w:rsidR="001E73E3" w:rsidRDefault="00000000">
      <w:pPr>
        <w:pStyle w:val="Paragrafoelenco"/>
        <w:numPr>
          <w:ilvl w:val="0"/>
          <w:numId w:val="2"/>
        </w:numPr>
        <w:spacing w:after="60"/>
      </w:pPr>
      <w:r>
        <w:t>Regressione: G = c·W³ + b, generazione SMARD giornaliera sul cubo del vento giornaliero.</w:t>
      </w:r>
    </w:p>
    <w:p w14:paraId="277CCD23" w14:textId="77777777" w:rsidR="001E73E3" w:rsidRDefault="00000000">
      <w:pPr>
        <w:pStyle w:val="Paragrafoelenco"/>
        <w:numPr>
          <w:ilvl w:val="0"/>
          <w:numId w:val="2"/>
        </w:numPr>
        <w:spacing w:after="60"/>
      </w:pPr>
      <w:proofErr w:type="spellStart"/>
      <w:r>
        <w:t>Nordfriesland</w:t>
      </w:r>
      <w:proofErr w:type="spellEnd"/>
      <w:r>
        <w:t>: R² = 0,587, pendenza 155,12 MWh/(m/s)³, p &lt; 0,001, 3.649 osservazioni.</w:t>
      </w:r>
    </w:p>
    <w:p w14:paraId="79D68C88" w14:textId="77777777" w:rsidR="001E73E3" w:rsidRDefault="00000000">
      <w:pPr>
        <w:pStyle w:val="Paragrafoelenco"/>
        <w:numPr>
          <w:ilvl w:val="0"/>
          <w:numId w:val="2"/>
        </w:numPr>
        <w:spacing w:after="60"/>
      </w:pPr>
      <w:r>
        <w:t>Bologna: R² = 0,0001, pendenza 36,43, p = 0,723: la retta è di fatto orizzontale sulla media.</w:t>
      </w:r>
    </w:p>
    <w:p w14:paraId="36DA2EEC" w14:textId="77777777" w:rsidR="001E73E3" w:rsidRDefault="00000000">
      <w:pPr>
        <w:pStyle w:val="Paragrafoelenco"/>
        <w:numPr>
          <w:ilvl w:val="0"/>
          <w:numId w:val="2"/>
        </w:numPr>
        <w:spacing w:after="60"/>
      </w:pPr>
      <w:r>
        <w:t>E[W³] ≠ (E[W])³: tradurre un calo del vento medio in calo di produzione sottostima la risposta reale, perché un anno calmo è la perdita della coda alta, dove sta quasi tutta l’energia.</w:t>
      </w:r>
    </w:p>
    <w:p w14:paraId="6B46F4C4" w14:textId="77777777" w:rsidR="001E73E3" w:rsidRDefault="00000000">
      <w:pPr>
        <w:pStyle w:val="Paragrafoelenco"/>
        <w:numPr>
          <w:ilvl w:val="0"/>
          <w:numId w:val="2"/>
        </w:numPr>
        <w:spacing w:after="60"/>
      </w:pPr>
      <w:r>
        <w:t>Esempio: vento −4,99% → produzione circa −14% (1 − 0,95³ ≈ 14%).</w:t>
      </w:r>
    </w:p>
    <w:p w14:paraId="1C28E5A9" w14:textId="77777777" w:rsidR="001E73E3" w:rsidRDefault="00000000">
      <w:pPr>
        <w:spacing w:after="120"/>
      </w:pPr>
      <w:r>
        <w:rPr>
          <w:b/>
          <w:bCs/>
          <w:color w:val="56606B"/>
          <w:sz w:val="18"/>
          <w:szCs w:val="18"/>
        </w:rPr>
        <w:t xml:space="preserve">Fonte: </w:t>
      </w:r>
      <w:r>
        <w:rPr>
          <w:color w:val="56606B"/>
          <w:sz w:val="18"/>
          <w:szCs w:val="18"/>
        </w:rPr>
        <w:t>Cap. 3 §3.1.6. Slide 9.</w:t>
      </w:r>
    </w:p>
    <w:p w14:paraId="67FF51F1" w14:textId="77777777" w:rsidR="001E73E3" w:rsidRPr="00F35A83" w:rsidRDefault="00000000">
      <w:pPr>
        <w:pStyle w:val="Titolo3"/>
        <w:keepNext/>
        <w:spacing w:before="280" w:after="80"/>
        <w:rPr>
          <w:lang w:val="en-GB"/>
        </w:rPr>
      </w:pPr>
      <w:r w:rsidRPr="00F35A83">
        <w:rPr>
          <w:color w:val="C8791A"/>
          <w:lang w:val="en-GB"/>
        </w:rPr>
        <w:t xml:space="preserve">B2  </w:t>
      </w:r>
      <w:r w:rsidRPr="00F35A83">
        <w:rPr>
          <w:lang w:val="en-GB"/>
        </w:rPr>
        <w:t>Where does the 25.7% capacity factor come from?</w:t>
      </w:r>
    </w:p>
    <w:p w14:paraId="48F78AAE"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5B8FFFEA" w14:textId="77777777" w:rsidR="001E73E3" w:rsidRPr="00F35A83" w:rsidRDefault="00000000">
      <w:pPr>
        <w:pBdr>
          <w:left w:val="single" w:sz="12" w:space="8" w:color="1C7293"/>
        </w:pBdr>
        <w:spacing w:after="100"/>
        <w:ind w:left="284"/>
        <w:rPr>
          <w:lang w:val="en-GB"/>
        </w:rPr>
      </w:pPr>
      <w:r w:rsidRPr="00F35A83">
        <w:rPr>
          <w:i/>
          <w:iCs/>
          <w:lang w:val="en-GB"/>
        </w:rPr>
        <w:t xml:space="preserve">I integrated the fitted Weibull distribution of hub-height wind at </w:t>
      </w:r>
      <w:proofErr w:type="spellStart"/>
      <w:r w:rsidRPr="00F35A83">
        <w:rPr>
          <w:i/>
          <w:iCs/>
          <w:lang w:val="en-GB"/>
        </w:rPr>
        <w:t>Nordfriesland</w:t>
      </w:r>
      <w:proofErr w:type="spellEnd"/>
      <w:r w:rsidRPr="00F35A83">
        <w:rPr>
          <w:i/>
          <w:iCs/>
          <w:lang w:val="en-GB"/>
        </w:rPr>
        <w:t xml:space="preserve"> against the power curve of a representative 3 MW turbine. It gives an annual production of about 6.75 GWh per turbine, a capacity factor of 25.7 per cent. It is a gross resource figure: a real project would lose another 8 to 15 per cent to wake effects and availability.</w:t>
      </w:r>
    </w:p>
    <w:p w14:paraId="3E599185" w14:textId="77777777" w:rsidR="001E73E3" w:rsidRDefault="00000000">
      <w:pPr>
        <w:keepNext/>
        <w:spacing w:before="120" w:after="60"/>
      </w:pPr>
      <w:r>
        <w:rPr>
          <w:b/>
          <w:bCs/>
          <w:caps/>
          <w:color w:val="56606B"/>
          <w:sz w:val="18"/>
          <w:szCs w:val="18"/>
        </w:rPr>
        <w:t>Da sapere</w:t>
      </w:r>
    </w:p>
    <w:p w14:paraId="0D30692C" w14:textId="77777777" w:rsidR="001E73E3" w:rsidRDefault="00000000">
      <w:pPr>
        <w:pStyle w:val="Paragrafoelenco"/>
        <w:numPr>
          <w:ilvl w:val="0"/>
          <w:numId w:val="2"/>
        </w:numPr>
        <w:spacing w:after="60"/>
      </w:pPr>
      <w:proofErr w:type="spellStart"/>
      <w:r>
        <w:t>Weibull</w:t>
      </w:r>
      <w:proofErr w:type="spellEnd"/>
      <w:r>
        <w:t xml:space="preserve"> per </w:t>
      </w:r>
      <w:proofErr w:type="spellStart"/>
      <w:r>
        <w:t>Nordfriesland</w:t>
      </w:r>
      <w:proofErr w:type="spellEnd"/>
      <w:r>
        <w:t xml:space="preserve">: forma k = 2,67, scala c = 9,09 m/s (per B la </w:t>
      </w:r>
      <w:proofErr w:type="spellStart"/>
      <w:r>
        <w:t>Weibull</w:t>
      </w:r>
      <w:proofErr w:type="spellEnd"/>
      <w:r>
        <w:t xml:space="preserve"> batte la lognormale su AIC e BIC).</w:t>
      </w:r>
    </w:p>
    <w:p w14:paraId="153F65E6" w14:textId="77777777" w:rsidR="001E73E3" w:rsidRDefault="00000000">
      <w:pPr>
        <w:pStyle w:val="Paragrafoelenco"/>
        <w:numPr>
          <w:ilvl w:val="0"/>
          <w:numId w:val="2"/>
        </w:numPr>
        <w:spacing w:after="60"/>
      </w:pPr>
      <w:r>
        <w:t xml:space="preserve">AEP 6,753 GWh per turbina da 3 MW → </w:t>
      </w:r>
      <w:proofErr w:type="spellStart"/>
      <w:r>
        <w:t>capacity</w:t>
      </w:r>
      <w:proofErr w:type="spellEnd"/>
      <w:r>
        <w:t xml:space="preserve"> </w:t>
      </w:r>
      <w:proofErr w:type="spellStart"/>
      <w:r>
        <w:t>factor</w:t>
      </w:r>
      <w:proofErr w:type="spellEnd"/>
      <w:r>
        <w:t xml:space="preserve"> 25,70%.</w:t>
      </w:r>
    </w:p>
    <w:p w14:paraId="3C34E2C6" w14:textId="77777777" w:rsidR="001E73E3" w:rsidRDefault="00000000">
      <w:pPr>
        <w:pStyle w:val="Paragrafoelenco"/>
        <w:numPr>
          <w:ilvl w:val="0"/>
          <w:numId w:val="2"/>
        </w:numPr>
        <w:spacing w:after="60"/>
      </w:pPr>
      <w:r>
        <w:t>Parco illustrativo da 100 MW: 100 × 8.760 h × 0,257 ≈ 225.100 MWh/anno → circa €16,1m al prezzo medio €71,38/MWh (€7,8m e €28,5m ai prezzi dei due sottoperiodi).</w:t>
      </w:r>
    </w:p>
    <w:p w14:paraId="53ECA4F0"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1 §1.1 e §1.4.2. Slide 2.</w:t>
      </w:r>
    </w:p>
    <w:p w14:paraId="38807151" w14:textId="77777777" w:rsidR="001E73E3" w:rsidRPr="00F35A83" w:rsidRDefault="00000000">
      <w:pPr>
        <w:pStyle w:val="Titolo3"/>
        <w:keepNext/>
        <w:spacing w:before="280" w:after="80"/>
        <w:rPr>
          <w:lang w:val="en-GB"/>
        </w:rPr>
      </w:pPr>
      <w:r w:rsidRPr="00F35A83">
        <w:rPr>
          <w:color w:val="C8791A"/>
          <w:lang w:val="en-GB"/>
        </w:rPr>
        <w:t xml:space="preserve">B3  </w:t>
      </w:r>
      <w:r w:rsidRPr="00F35A83">
        <w:rPr>
          <w:lang w:val="en-GB"/>
        </w:rPr>
        <w:t>How did you correct for measurement height, and is the 1/7 exponent appropriate?</w:t>
      </w:r>
    </w:p>
    <w:p w14:paraId="3287FA02"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258EE071" w14:textId="77777777" w:rsidR="001E73E3" w:rsidRPr="00F35A83" w:rsidRDefault="00000000">
      <w:pPr>
        <w:pBdr>
          <w:left w:val="single" w:sz="12" w:space="8" w:color="1C7293"/>
        </w:pBdr>
        <w:spacing w:after="100"/>
        <w:ind w:left="284"/>
        <w:rPr>
          <w:lang w:val="en-GB"/>
        </w:rPr>
      </w:pPr>
      <w:r w:rsidRPr="00F35A83">
        <w:rPr>
          <w:i/>
          <w:iCs/>
          <w:lang w:val="en-GB"/>
        </w:rPr>
        <w:t>I used the standard power-law wind profile with exponent one seventh, which multiplies the variance by about 1.93 from 10 to 100 metres. The exponent depends on terrain, so I tested the whole range from open water to very rough terrain: the gap always stays above 80 per cent. Closing it would need an exponent of 0.6, four times the standard value.</w:t>
      </w:r>
    </w:p>
    <w:p w14:paraId="75450DFD" w14:textId="77777777" w:rsidR="001E73E3" w:rsidRDefault="00000000">
      <w:pPr>
        <w:keepNext/>
        <w:spacing w:before="120" w:after="60"/>
      </w:pPr>
      <w:r>
        <w:rPr>
          <w:b/>
          <w:bCs/>
          <w:caps/>
          <w:color w:val="56606B"/>
          <w:sz w:val="18"/>
          <w:szCs w:val="18"/>
        </w:rPr>
        <w:t>Da sapere</w:t>
      </w:r>
    </w:p>
    <w:p w14:paraId="753692ED" w14:textId="77777777" w:rsidR="001E73E3" w:rsidRDefault="00000000">
      <w:pPr>
        <w:pStyle w:val="Paragrafoelenco"/>
        <w:numPr>
          <w:ilvl w:val="0"/>
          <w:numId w:val="2"/>
        </w:numPr>
        <w:spacing w:after="60"/>
      </w:pPr>
      <w:r>
        <w:t xml:space="preserve">Correzione (100/10)^(2α) = 10^(2/7) = 1,9307, applicata solo al Dataset A e solo nell’analisi </w:t>
      </w:r>
      <w:proofErr w:type="spellStart"/>
      <w:r>
        <w:t>VoI</w:t>
      </w:r>
      <w:proofErr w:type="spellEnd"/>
      <w:r>
        <w:t>.</w:t>
      </w:r>
    </w:p>
    <w:p w14:paraId="49AF7D37" w14:textId="77777777" w:rsidR="001E73E3" w:rsidRDefault="00000000">
      <w:pPr>
        <w:pStyle w:val="Paragrafoelenco"/>
        <w:numPr>
          <w:ilvl w:val="0"/>
          <w:numId w:val="2"/>
        </w:numPr>
        <w:spacing w:after="60"/>
      </w:pPr>
      <w:r>
        <w:t xml:space="preserve">Verifica sullo stesso sito: ERA5 a </w:t>
      </w:r>
      <w:proofErr w:type="spellStart"/>
      <w:r>
        <w:t>Nordfriesland</w:t>
      </w:r>
      <w:proofErr w:type="spellEnd"/>
      <w:r>
        <w:t xml:space="preserve"> dà 5,4825 m/s a 10 m e 8,0682 m/s a 100 m → α empirico = 0,168, già sopra 1/7 su un sito costiero aperto.</w:t>
      </w:r>
    </w:p>
    <w:p w14:paraId="6C638F34" w14:textId="77777777" w:rsidR="001E73E3" w:rsidRDefault="00000000">
      <w:pPr>
        <w:pStyle w:val="Paragrafoelenco"/>
        <w:numPr>
          <w:ilvl w:val="0"/>
          <w:numId w:val="2"/>
        </w:numPr>
        <w:spacing w:after="60"/>
      </w:pPr>
      <w:r>
        <w:t>Bologna è nella Pianura Padana, chiusa da Alpi e Appennini: α dovrebbe essere più alto, quindi l’88% è un limite superiore della quota dovuta alla geografia. Il risultato operativo è il minimo dell’80,3%.</w:t>
      </w:r>
    </w:p>
    <w:p w14:paraId="4279B121" w14:textId="77777777" w:rsidR="001E73E3" w:rsidRDefault="00000000">
      <w:pPr>
        <w:pStyle w:val="Paragrafoelenco"/>
        <w:numPr>
          <w:ilvl w:val="0"/>
          <w:numId w:val="2"/>
        </w:numPr>
        <w:spacing w:after="60"/>
      </w:pPr>
      <w:r>
        <w:t>Tabella: α = 1/10 → 90,1%; 1/7 → 88,0%; 0,168 → 86,5%; 0,20 → 84,4%; 0,25 → 80,3%. Riferimento: Peterson &amp; Hennessey (1978).</w:t>
      </w:r>
    </w:p>
    <w:p w14:paraId="518D26EA" w14:textId="77777777" w:rsidR="001E73E3" w:rsidRPr="00F35A83" w:rsidRDefault="00000000">
      <w:pPr>
        <w:spacing w:after="120"/>
        <w:rPr>
          <w:lang w:val="en-GB"/>
        </w:rPr>
      </w:pPr>
      <w:r w:rsidRPr="00F35A83">
        <w:rPr>
          <w:b/>
          <w:bCs/>
          <w:color w:val="56606B"/>
          <w:sz w:val="18"/>
          <w:szCs w:val="18"/>
          <w:lang w:val="en-GB"/>
        </w:rPr>
        <w:lastRenderedPageBreak/>
        <w:t xml:space="preserve">Fonte: </w:t>
      </w:r>
      <w:r w:rsidRPr="00F35A83">
        <w:rPr>
          <w:color w:val="56606B"/>
          <w:sz w:val="18"/>
          <w:szCs w:val="18"/>
          <w:lang w:val="en-GB"/>
        </w:rPr>
        <w:t>Cap. 3 §3.3.1. Backup B5.</w:t>
      </w:r>
    </w:p>
    <w:p w14:paraId="2F1AB660" w14:textId="77777777" w:rsidR="001E73E3" w:rsidRPr="00F35A83" w:rsidRDefault="00000000">
      <w:pPr>
        <w:pStyle w:val="Titolo3"/>
        <w:keepNext/>
        <w:spacing w:before="280" w:after="80"/>
        <w:rPr>
          <w:lang w:val="en-GB"/>
        </w:rPr>
      </w:pPr>
      <w:r w:rsidRPr="00F35A83">
        <w:rPr>
          <w:color w:val="C8791A"/>
          <w:lang w:val="en-GB"/>
        </w:rPr>
        <w:t xml:space="preserve">B4  </w:t>
      </w:r>
      <w:r w:rsidRPr="00F35A83">
        <w:rPr>
          <w:lang w:val="en-GB"/>
        </w:rPr>
        <w:t>Why ERA5 reanalysis rather than measured data from a wind farm?</w:t>
      </w:r>
    </w:p>
    <w:p w14:paraId="2ED352C6"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7C1B3DDC" w14:textId="77777777" w:rsidR="001E73E3" w:rsidRPr="00F35A83" w:rsidRDefault="00000000">
      <w:pPr>
        <w:pBdr>
          <w:left w:val="single" w:sz="12" w:space="8" w:color="1C7293"/>
        </w:pBdr>
        <w:spacing w:after="100"/>
        <w:ind w:left="284"/>
        <w:rPr>
          <w:lang w:val="en-GB"/>
        </w:rPr>
      </w:pPr>
      <w:r w:rsidRPr="00F35A83">
        <w:rPr>
          <w:i/>
          <w:iCs/>
          <w:lang w:val="en-GB"/>
        </w:rPr>
        <w:t>ERA5 gives a consistent ten-year series directly at 100 metres, hub height, with no profile correction, at the location that best matches the German fleet. The limitation is that it is model-based reanalysis, not a direct anemometer reading, and I state it as such.</w:t>
      </w:r>
    </w:p>
    <w:p w14:paraId="3C210926" w14:textId="77777777" w:rsidR="001E73E3" w:rsidRDefault="00000000">
      <w:pPr>
        <w:keepNext/>
        <w:spacing w:before="120" w:after="60"/>
      </w:pPr>
      <w:r>
        <w:rPr>
          <w:b/>
          <w:bCs/>
          <w:caps/>
          <w:color w:val="56606B"/>
          <w:sz w:val="18"/>
          <w:szCs w:val="18"/>
        </w:rPr>
        <w:t>Da sapere</w:t>
      </w:r>
    </w:p>
    <w:p w14:paraId="5A68C3C1" w14:textId="77777777" w:rsidR="001E73E3" w:rsidRDefault="00000000">
      <w:pPr>
        <w:pStyle w:val="Paragrafoelenco"/>
        <w:numPr>
          <w:ilvl w:val="0"/>
          <w:numId w:val="2"/>
        </w:numPr>
        <w:spacing w:after="60"/>
      </w:pPr>
      <w:r>
        <w:t xml:space="preserve">Fonte: Open-Meteo </w:t>
      </w:r>
      <w:proofErr w:type="spellStart"/>
      <w:r>
        <w:t>Historical</w:t>
      </w:r>
      <w:proofErr w:type="spellEnd"/>
      <w:r>
        <w:t xml:space="preserve"> Weather API (ERA5), variabile wind_speed_100m, 3.653 giorni (2015–2024), senza dati mancanti.</w:t>
      </w:r>
    </w:p>
    <w:p w14:paraId="002AB1DD" w14:textId="77777777" w:rsidR="001E73E3" w:rsidRDefault="00000000">
      <w:pPr>
        <w:pStyle w:val="Paragrafoelenco"/>
        <w:numPr>
          <w:ilvl w:val="0"/>
          <w:numId w:val="2"/>
        </w:numPr>
        <w:spacing w:after="60"/>
      </w:pPr>
      <w:r>
        <w:t>Vantaggi elencati nella tesi: altezza mozzo senza correzione, allineamento geografico con SMARD, finestra di 10 anni che permette la validazione fuori periodo.</w:t>
      </w:r>
    </w:p>
    <w:p w14:paraId="00F60A3C" w14:textId="77777777" w:rsidR="001E73E3" w:rsidRDefault="00000000">
      <w:pPr>
        <w:pStyle w:val="Paragrafoelenco"/>
        <w:numPr>
          <w:ilvl w:val="0"/>
          <w:numId w:val="2"/>
        </w:numPr>
        <w:spacing w:after="60"/>
      </w:pPr>
      <w:r>
        <w:t>Limiti elencati: rianalisi basata su modello invece che osservazione diretta; nessuna risoluzione infra-giornaliera usata.</w:t>
      </w:r>
    </w:p>
    <w:p w14:paraId="79F353F2" w14:textId="77777777" w:rsidR="001E73E3" w:rsidRDefault="00000000">
      <w:pPr>
        <w:pStyle w:val="Paragrafoelenco"/>
        <w:numPr>
          <w:ilvl w:val="0"/>
          <w:numId w:val="2"/>
        </w:numPr>
        <w:spacing w:after="60"/>
      </w:pPr>
      <w:r>
        <w:t>Il Dataset A (</w:t>
      </w:r>
      <w:proofErr w:type="spellStart"/>
      <w:r>
        <w:t>OpenWeatherMap</w:t>
      </w:r>
      <w:proofErr w:type="spellEnd"/>
      <w:r>
        <w:t>) ha una provenienza meno trasparente di una rianalisi.</w:t>
      </w:r>
    </w:p>
    <w:p w14:paraId="06E86351" w14:textId="77777777" w:rsidR="001E73E3" w:rsidRDefault="00000000">
      <w:pPr>
        <w:spacing w:before="60" w:after="60"/>
      </w:pPr>
      <w:r>
        <w:rPr>
          <w:b/>
          <w:bCs/>
          <w:color w:val="C8791A"/>
        </w:rPr>
        <w:t xml:space="preserve">Fuori dalla tesi: </w:t>
      </w:r>
      <w:r>
        <w:rPr>
          <w:color w:val="56606B"/>
        </w:rPr>
        <w:t>i dati SCADA di un singolo parco descriverebbero bene quel parco, ma il contratto è scritto sulla generazione nazionale; inoltre dati di produzione privati sono raramente pubblici. Usalo solo se la domanda va in questa direzione.</w:t>
      </w:r>
    </w:p>
    <w:p w14:paraId="1C36BE9E" w14:textId="77777777" w:rsidR="001E73E3" w:rsidRPr="00F35A83" w:rsidRDefault="00000000">
      <w:pPr>
        <w:spacing w:after="120"/>
        <w:rPr>
          <w:lang w:val="en-GB"/>
        </w:rPr>
      </w:pPr>
      <w:r>
        <w:rPr>
          <w:b/>
          <w:bCs/>
          <w:color w:val="56606B"/>
          <w:sz w:val="18"/>
          <w:szCs w:val="18"/>
        </w:rPr>
        <w:t xml:space="preserve">Fonte: </w:t>
      </w:r>
      <w:r>
        <w:rPr>
          <w:color w:val="56606B"/>
          <w:sz w:val="18"/>
          <w:szCs w:val="18"/>
        </w:rPr>
        <w:t xml:space="preserve">Cap. 1 §1.4.2 e Tabella 1.3 (confronto tra dataset). </w:t>
      </w:r>
      <w:r w:rsidRPr="00F35A83">
        <w:rPr>
          <w:color w:val="56606B"/>
          <w:sz w:val="18"/>
          <w:szCs w:val="18"/>
          <w:lang w:val="en-GB"/>
        </w:rPr>
        <w:t>Slide 4.</w:t>
      </w:r>
    </w:p>
    <w:p w14:paraId="7B3B82F8" w14:textId="77777777" w:rsidR="001E73E3" w:rsidRPr="00F35A83" w:rsidRDefault="00000000">
      <w:pPr>
        <w:pStyle w:val="Titolo3"/>
        <w:keepNext/>
        <w:spacing w:before="280" w:after="80"/>
        <w:rPr>
          <w:lang w:val="en-GB"/>
        </w:rPr>
      </w:pPr>
      <w:r w:rsidRPr="00F35A83">
        <w:rPr>
          <w:color w:val="C8791A"/>
          <w:lang w:val="en-GB"/>
        </w:rPr>
        <w:t xml:space="preserve">B5  </w:t>
      </w:r>
      <w:r w:rsidRPr="00F35A83">
        <w:rPr>
          <w:lang w:val="en-GB"/>
        </w:rPr>
        <w:t>Why daily data and not hourly?</w:t>
      </w:r>
    </w:p>
    <w:p w14:paraId="351C608D"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1CB0CFD3" w14:textId="77777777" w:rsidR="001E73E3" w:rsidRPr="00F35A83" w:rsidRDefault="00000000">
      <w:pPr>
        <w:pBdr>
          <w:left w:val="single" w:sz="12" w:space="8" w:color="1C7293"/>
        </w:pBdr>
        <w:spacing w:after="100"/>
        <w:ind w:left="284"/>
        <w:rPr>
          <w:lang w:val="en-GB"/>
        </w:rPr>
      </w:pPr>
      <w:r w:rsidRPr="00F35A83">
        <w:rPr>
          <w:i/>
          <w:iCs/>
          <w:lang w:val="en-GB"/>
        </w:rPr>
        <w:t>Daily data are enough to price the variance swap with the GARCH state, but not to estimate a full stochastic-volatility model: mean reversion and volatility of volatility are almost indistinguishable at daily frequency. Hourly ERA5 at the same coordinates would give about a hundred times more observations, capture the daily wind cycle, and make those parameters identifiable.</w:t>
      </w:r>
    </w:p>
    <w:p w14:paraId="462199E2" w14:textId="77777777" w:rsidR="001E73E3" w:rsidRDefault="00000000">
      <w:pPr>
        <w:keepNext/>
        <w:spacing w:before="120" w:after="60"/>
      </w:pPr>
      <w:r>
        <w:rPr>
          <w:b/>
          <w:bCs/>
          <w:caps/>
          <w:color w:val="56606B"/>
          <w:sz w:val="18"/>
          <w:szCs w:val="18"/>
        </w:rPr>
        <w:t>Da sapere</w:t>
      </w:r>
    </w:p>
    <w:p w14:paraId="121950D7" w14:textId="77777777" w:rsidR="001E73E3" w:rsidRDefault="00000000">
      <w:pPr>
        <w:pStyle w:val="Paragrafoelenco"/>
        <w:numPr>
          <w:ilvl w:val="0"/>
          <w:numId w:val="2"/>
        </w:numPr>
        <w:spacing w:after="60"/>
      </w:pPr>
      <w:r>
        <w:t>Emivita della varianza circa 40 giorni (</w:t>
      </w:r>
      <w:proofErr w:type="spellStart"/>
      <w:r>
        <w:t>κ_V</w:t>
      </w:r>
      <w:proofErr w:type="spellEnd"/>
      <w:r>
        <w:t xml:space="preserve"> ≈ 0,018): pochi cicli indipendenti per separare </w:t>
      </w:r>
      <w:proofErr w:type="spellStart"/>
      <w:r>
        <w:t>κ_V</w:t>
      </w:r>
      <w:proofErr w:type="spellEnd"/>
      <w:r>
        <w:t xml:space="preserve"> da ξ.</w:t>
      </w:r>
    </w:p>
    <w:p w14:paraId="703F047F" w14:textId="77777777" w:rsidR="001E73E3" w:rsidRDefault="00000000">
      <w:pPr>
        <w:pStyle w:val="Paragrafoelenco"/>
        <w:numPr>
          <w:ilvl w:val="0"/>
          <w:numId w:val="2"/>
        </w:numPr>
        <w:spacing w:after="60"/>
      </w:pPr>
      <w:r>
        <w:t>Lo stadio 5 (Heston/CIR) resta quindi teorico; i parametri sono proxy dal GARCH, non stime di massima verosimiglianza.</w:t>
      </w:r>
    </w:p>
    <w:p w14:paraId="3C9C6569" w14:textId="77777777" w:rsidR="001E73E3" w:rsidRDefault="00000000">
      <w:pPr>
        <w:pStyle w:val="Paragrafoelenco"/>
        <w:numPr>
          <w:ilvl w:val="0"/>
          <w:numId w:val="2"/>
        </w:numPr>
        <w:spacing w:after="60"/>
      </w:pPr>
      <w:r>
        <w:t>Condizione di Feller: soddisfatta per B con margine 28,1×; per A dipende dallo stimatore (0,8× sul campione intero, 3,6–5,1× su finestre di 30 giorni).</w:t>
      </w:r>
    </w:p>
    <w:p w14:paraId="56EB4EED" w14:textId="77777777" w:rsidR="001E73E3" w:rsidRDefault="00000000">
      <w:pPr>
        <w:spacing w:after="120"/>
      </w:pPr>
      <w:r>
        <w:rPr>
          <w:b/>
          <w:bCs/>
          <w:color w:val="56606B"/>
          <w:sz w:val="18"/>
          <w:szCs w:val="18"/>
        </w:rPr>
        <w:t xml:space="preserve">Fonte: </w:t>
      </w:r>
      <w:r>
        <w:rPr>
          <w:color w:val="56606B"/>
          <w:sz w:val="18"/>
          <w:szCs w:val="18"/>
        </w:rPr>
        <w:t>Cap. 2 §2.5.3 e §2.5.7; Cap. 3 §3.5.3. Backup B1.</w:t>
      </w:r>
    </w:p>
    <w:p w14:paraId="1C3FB583" w14:textId="77777777" w:rsidR="001E73E3" w:rsidRPr="00F35A83" w:rsidRDefault="00000000">
      <w:pPr>
        <w:pStyle w:val="Titolo3"/>
        <w:keepNext/>
        <w:spacing w:before="280" w:after="80"/>
        <w:rPr>
          <w:lang w:val="en-GB"/>
        </w:rPr>
      </w:pPr>
      <w:r w:rsidRPr="00F35A83">
        <w:rPr>
          <w:color w:val="C8791A"/>
          <w:lang w:val="en-GB"/>
        </w:rPr>
        <w:t xml:space="preserve">B6  </w:t>
      </w:r>
      <w:r w:rsidRPr="00F35A83">
        <w:rPr>
          <w:lang w:val="en-GB"/>
        </w:rPr>
        <w:t>Why a statistical time-series model and not machine learning?</w:t>
      </w:r>
    </w:p>
    <w:p w14:paraId="53232D25"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0787B405" w14:textId="77777777" w:rsidR="001E73E3" w:rsidRPr="00F35A83" w:rsidRDefault="00000000">
      <w:pPr>
        <w:pBdr>
          <w:left w:val="single" w:sz="12" w:space="8" w:color="1C7293"/>
        </w:pBdr>
        <w:spacing w:after="100"/>
        <w:ind w:left="284"/>
        <w:rPr>
          <w:lang w:val="en-GB"/>
        </w:rPr>
      </w:pPr>
      <w:r w:rsidRPr="00F35A83">
        <w:rPr>
          <w:i/>
          <w:iCs/>
          <w:lang w:val="en-GB"/>
        </w:rPr>
        <w:t>Because the goal is pricing, not only forecasting. The linear CAR(4) state-space model gives closed-form conditional expectations and variances at any maturity, which is what a derivative price needs. The literature shows that non-parametric methods, such as wavelet networks, can fit wind better, so they are a natural extension for the forecasting layer.</w:t>
      </w:r>
    </w:p>
    <w:p w14:paraId="7C11D38B" w14:textId="77777777" w:rsidR="001E73E3" w:rsidRDefault="00000000">
      <w:pPr>
        <w:keepNext/>
        <w:spacing w:before="120" w:after="60"/>
      </w:pPr>
      <w:r>
        <w:rPr>
          <w:b/>
          <w:bCs/>
          <w:caps/>
          <w:color w:val="56606B"/>
          <w:sz w:val="18"/>
          <w:szCs w:val="18"/>
        </w:rPr>
        <w:t>Da sapere</w:t>
      </w:r>
    </w:p>
    <w:p w14:paraId="52ED7062" w14:textId="77777777" w:rsidR="001E73E3" w:rsidRDefault="00000000">
      <w:pPr>
        <w:pStyle w:val="Paragrafoelenco"/>
        <w:numPr>
          <w:ilvl w:val="0"/>
          <w:numId w:val="2"/>
        </w:numPr>
        <w:spacing w:after="60"/>
      </w:pPr>
      <w:r>
        <w:t xml:space="preserve">Alexandridis &amp; </w:t>
      </w:r>
      <w:proofErr w:type="spellStart"/>
      <w:r>
        <w:t>Zapranis</w:t>
      </w:r>
      <w:proofErr w:type="spellEnd"/>
      <w:r>
        <w:t xml:space="preserve"> (2013): una rete </w:t>
      </w:r>
      <w:proofErr w:type="spellStart"/>
      <w:r>
        <w:t>wavelet</w:t>
      </w:r>
      <w:proofErr w:type="spellEnd"/>
      <w:r>
        <w:t xml:space="preserve"> sopra un processo OU migliora il </w:t>
      </w:r>
      <w:proofErr w:type="spellStart"/>
      <w:r>
        <w:t>fit</w:t>
      </w:r>
      <w:proofErr w:type="spellEnd"/>
      <w:r>
        <w:t xml:space="preserve"> in e fuori campione rispetto all’approccio CAR lineare di Benth &amp; </w:t>
      </w:r>
      <w:proofErr w:type="spellStart"/>
      <w:r>
        <w:t>Šaltytė</w:t>
      </w:r>
      <w:proofErr w:type="spellEnd"/>
      <w:r>
        <w:t xml:space="preserve"> Benth (2009).</w:t>
      </w:r>
    </w:p>
    <w:p w14:paraId="79FD4739" w14:textId="77777777" w:rsidR="001E73E3" w:rsidRDefault="00000000">
      <w:pPr>
        <w:pStyle w:val="Paragrafoelenco"/>
        <w:numPr>
          <w:ilvl w:val="0"/>
          <w:numId w:val="2"/>
        </w:numPr>
        <w:spacing w:after="60"/>
      </w:pPr>
      <w:r>
        <w:t xml:space="preserve">Il CAR(4) si risolve esattamente con l’esponenziale di matrice </w:t>
      </w:r>
      <w:proofErr w:type="spellStart"/>
      <w:r>
        <w:t>exp</w:t>
      </w:r>
      <w:proofErr w:type="spellEnd"/>
      <w:r>
        <w:t>(</w:t>
      </w:r>
      <w:proofErr w:type="spellStart"/>
      <w:r>
        <w:t>Aτ</w:t>
      </w:r>
      <w:proofErr w:type="spellEnd"/>
      <w:r>
        <w:t>): previsioni condizionate in forma chiusa.</w:t>
      </w:r>
    </w:p>
    <w:p w14:paraId="04A25DEE" w14:textId="77777777" w:rsidR="001E73E3" w:rsidRDefault="00000000">
      <w:pPr>
        <w:pStyle w:val="Paragrafoelenco"/>
        <w:numPr>
          <w:ilvl w:val="0"/>
          <w:numId w:val="2"/>
        </w:numPr>
        <w:spacing w:after="60"/>
      </w:pPr>
      <w:r>
        <w:lastRenderedPageBreak/>
        <w:t>Tutte e quattro le specifiche (AR(4), AR(4)+GARCH, CAR(4) gaussiano, CAR(4)+NIG) battono la persistenza (DM 16,76 per B, 8,27 per A) ma sono equivalenti a un giorno: per questo vengono valutate su criteri di pricing e copertura.</w:t>
      </w:r>
    </w:p>
    <w:p w14:paraId="63FA2FA0" w14:textId="77777777" w:rsidR="001E73E3" w:rsidRDefault="00000000">
      <w:pPr>
        <w:pStyle w:val="Paragrafoelenco"/>
        <w:numPr>
          <w:ilvl w:val="0"/>
          <w:numId w:val="2"/>
        </w:numPr>
        <w:spacing w:after="60"/>
      </w:pPr>
      <w:r>
        <w:t xml:space="preserve">L’AR(4) migliora l’RMSE della previsione </w:t>
      </w:r>
      <w:proofErr w:type="spellStart"/>
      <w:r>
        <w:t>naive</w:t>
      </w:r>
      <w:proofErr w:type="spellEnd"/>
      <w:r>
        <w:t xml:space="preserve"> del 13,6% (B) e del 12,0% (A).</w:t>
      </w:r>
    </w:p>
    <w:p w14:paraId="100207DC" w14:textId="77777777" w:rsidR="001E73E3" w:rsidRDefault="00000000">
      <w:pPr>
        <w:spacing w:before="60" w:after="60"/>
      </w:pPr>
      <w:r>
        <w:rPr>
          <w:b/>
          <w:bCs/>
          <w:color w:val="C8791A"/>
        </w:rPr>
        <w:t xml:space="preserve">Fuori dalla tesi: </w:t>
      </w:r>
      <w:r>
        <w:rPr>
          <w:color w:val="56606B"/>
        </w:rPr>
        <w:t>un modello ML non fornisce in genere una formula chiusa per i momenti condizionati: il prezzo andrebbe ottenuto per simulazione, perdendo la trasparenza del delta ∂K/∂h = C₀. Puoi dirlo come argomento tuo.</w:t>
      </w:r>
    </w:p>
    <w:p w14:paraId="38F44AA1" w14:textId="77777777" w:rsidR="001E73E3" w:rsidRPr="00F35A83" w:rsidRDefault="00000000">
      <w:pPr>
        <w:spacing w:after="120"/>
        <w:rPr>
          <w:lang w:val="en-GB"/>
        </w:rPr>
      </w:pPr>
      <w:r>
        <w:rPr>
          <w:b/>
          <w:bCs/>
          <w:color w:val="56606B"/>
          <w:sz w:val="18"/>
          <w:szCs w:val="18"/>
        </w:rPr>
        <w:t xml:space="preserve">Fonte: </w:t>
      </w:r>
      <w:r>
        <w:rPr>
          <w:color w:val="56606B"/>
          <w:sz w:val="18"/>
          <w:szCs w:val="18"/>
        </w:rPr>
        <w:t xml:space="preserve">Cap. 1 §1.3.6; Cap. 2 §2.2 e §2.4; Cap. 3 §3.2 e §3.5.1. </w:t>
      </w:r>
      <w:r w:rsidRPr="00F35A83">
        <w:rPr>
          <w:color w:val="56606B"/>
          <w:sz w:val="18"/>
          <w:szCs w:val="18"/>
          <w:lang w:val="en-GB"/>
        </w:rPr>
        <w:t>Backup B3, B4.</w:t>
      </w:r>
    </w:p>
    <w:p w14:paraId="0EDFD5D0" w14:textId="77777777" w:rsidR="001E73E3" w:rsidRPr="00F35A83" w:rsidRDefault="00000000">
      <w:pPr>
        <w:pStyle w:val="Titolo3"/>
        <w:keepNext/>
        <w:spacing w:before="280" w:after="80"/>
        <w:rPr>
          <w:lang w:val="en-GB"/>
        </w:rPr>
      </w:pPr>
      <w:r w:rsidRPr="00F35A83">
        <w:rPr>
          <w:color w:val="C8791A"/>
          <w:lang w:val="en-GB"/>
        </w:rPr>
        <w:t xml:space="preserve">B7  </w:t>
      </w:r>
      <w:r w:rsidRPr="00F35A83">
        <w:rPr>
          <w:lang w:val="en-GB"/>
        </w:rPr>
        <w:t xml:space="preserve">Why does </w:t>
      </w:r>
      <w:proofErr w:type="spellStart"/>
      <w:r w:rsidRPr="00F35A83">
        <w:rPr>
          <w:lang w:val="en-GB"/>
        </w:rPr>
        <w:t>Nordfriesland</w:t>
      </w:r>
      <w:proofErr w:type="spellEnd"/>
      <w:r w:rsidRPr="00F35A83">
        <w:rPr>
          <w:lang w:val="en-GB"/>
        </w:rPr>
        <w:t xml:space="preserve"> explain only 59% of German generation?</w:t>
      </w:r>
    </w:p>
    <w:p w14:paraId="3C1A3F70"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56009257" w14:textId="77777777" w:rsidR="001E73E3" w:rsidRPr="00F35A83" w:rsidRDefault="00000000">
      <w:pPr>
        <w:pBdr>
          <w:left w:val="single" w:sz="12" w:space="8" w:color="1C7293"/>
        </w:pBdr>
        <w:spacing w:after="100"/>
        <w:ind w:left="284"/>
        <w:rPr>
          <w:lang w:val="en-GB"/>
        </w:rPr>
      </w:pPr>
      <w:r w:rsidRPr="00F35A83">
        <w:rPr>
          <w:i/>
          <w:iCs/>
          <w:lang w:val="en-GB"/>
        </w:rPr>
        <w:t>Because one point cannot represent a fleet spread from the North Sea to Bavaria. Weather systems can reach one region and not another. On top of that, installed capacity grew strongly over the decade, and curtailment and outages remove output the wind could have produced. Against that ceiling, 59 per cent from one grid point is a strong result.</w:t>
      </w:r>
    </w:p>
    <w:p w14:paraId="6EFAE799" w14:textId="77777777" w:rsidR="001E73E3" w:rsidRDefault="00000000">
      <w:pPr>
        <w:keepNext/>
        <w:spacing w:before="120" w:after="60"/>
      </w:pPr>
      <w:r>
        <w:rPr>
          <w:b/>
          <w:bCs/>
          <w:caps/>
          <w:color w:val="56606B"/>
          <w:sz w:val="18"/>
          <w:szCs w:val="18"/>
        </w:rPr>
        <w:t>Da sapere</w:t>
      </w:r>
    </w:p>
    <w:p w14:paraId="2A93CA2D" w14:textId="77777777" w:rsidR="001E73E3" w:rsidRDefault="00000000">
      <w:pPr>
        <w:pStyle w:val="Paragrafoelenco"/>
        <w:numPr>
          <w:ilvl w:val="0"/>
          <w:numId w:val="2"/>
        </w:numPr>
        <w:spacing w:after="60"/>
      </w:pPr>
      <w:r>
        <w:t xml:space="preserve">La generazione media annua è cresciuta del 65% (186.454 → 307.510 MWh/giorno, 2015 → 2024), mentre il vento medio a </w:t>
      </w:r>
      <w:proofErr w:type="spellStart"/>
      <w:r>
        <w:t>Nordfriesland</w:t>
      </w:r>
      <w:proofErr w:type="spellEnd"/>
      <w:r>
        <w:t xml:space="preserve"> è stato circa il 6% più basso nel 2024 che nel 2015: la crescita è dovuta alla capacità installata.</w:t>
      </w:r>
    </w:p>
    <w:p w14:paraId="02BFE1EA" w14:textId="77777777" w:rsidR="001E73E3" w:rsidRDefault="00000000">
      <w:pPr>
        <w:pStyle w:val="Paragrafoelenco"/>
        <w:numPr>
          <w:ilvl w:val="0"/>
          <w:numId w:val="2"/>
        </w:numPr>
        <w:spacing w:after="60"/>
      </w:pPr>
      <w:r>
        <w:t>La capacità installata non è tra le serie usate: la crescita è documentata, non modellata.</w:t>
      </w:r>
    </w:p>
    <w:p w14:paraId="164A7F04" w14:textId="77777777" w:rsidR="001E73E3" w:rsidRDefault="00000000">
      <w:pPr>
        <w:pStyle w:val="Paragrafoelenco"/>
        <w:numPr>
          <w:ilvl w:val="0"/>
          <w:numId w:val="2"/>
        </w:numPr>
        <w:spacing w:after="60"/>
      </w:pPr>
      <w:r>
        <w:t>Estensione naturale: un input di vento ponderato per la capacità installata su tutta la flotta tedesca, che dovrebbe alzare l’R².</w:t>
      </w:r>
    </w:p>
    <w:p w14:paraId="42F767FD" w14:textId="77777777" w:rsidR="001E73E3" w:rsidRDefault="00000000">
      <w:pPr>
        <w:spacing w:after="120"/>
      </w:pPr>
      <w:r>
        <w:rPr>
          <w:b/>
          <w:bCs/>
          <w:color w:val="56606B"/>
          <w:sz w:val="18"/>
          <w:szCs w:val="18"/>
        </w:rPr>
        <w:t xml:space="preserve">Fonte: </w:t>
      </w:r>
      <w:r>
        <w:rPr>
          <w:color w:val="56606B"/>
          <w:sz w:val="18"/>
          <w:szCs w:val="18"/>
        </w:rPr>
        <w:t>Cap. 3 §3.1.2 e §3.1.6; §3.5.3.</w:t>
      </w:r>
    </w:p>
    <w:p w14:paraId="285D33D9" w14:textId="77777777" w:rsidR="001E73E3" w:rsidRPr="00F35A83" w:rsidRDefault="00000000">
      <w:pPr>
        <w:pStyle w:val="Titolo3"/>
        <w:keepNext/>
        <w:spacing w:before="280" w:after="80"/>
        <w:rPr>
          <w:lang w:val="en-GB"/>
        </w:rPr>
      </w:pPr>
      <w:r w:rsidRPr="00593782">
        <w:rPr>
          <w:color w:val="C8791A"/>
          <w:lang w:val="en-GB"/>
        </w:rPr>
        <w:t xml:space="preserve">B8  </w:t>
      </w:r>
      <w:r w:rsidRPr="00593782">
        <w:rPr>
          <w:lang w:val="en-GB"/>
        </w:rPr>
        <w:t xml:space="preserve">Why Bologna as a proxy? </w:t>
      </w:r>
      <w:r w:rsidRPr="00F35A83">
        <w:rPr>
          <w:lang w:val="en-GB"/>
        </w:rPr>
        <w:t>Wasn’t it obvious that it would not work?</w:t>
      </w:r>
    </w:p>
    <w:p w14:paraId="1A9AC4A1"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3E762230" w14:textId="50842AFA" w:rsidR="001E73E3" w:rsidRPr="00F35A83" w:rsidRDefault="00000000">
      <w:pPr>
        <w:pBdr>
          <w:left w:val="single" w:sz="12" w:space="8" w:color="1C7293"/>
        </w:pBdr>
        <w:spacing w:after="100"/>
        <w:ind w:left="284"/>
        <w:rPr>
          <w:lang w:val="en-GB"/>
        </w:rPr>
      </w:pPr>
      <w:r w:rsidRPr="00F35A83">
        <w:rPr>
          <w:i/>
          <w:iCs/>
          <w:lang w:val="en-GB"/>
        </w:rPr>
        <w:t xml:space="preserve">It was chosen for data availability, and it was used to build and validate the whole method before applying it unchanged to Germany. The point of keeping it is precisely to separate two questions that are usually mixed: is the method </w:t>
      </w:r>
      <w:r w:rsidR="00593782" w:rsidRPr="00F35A83">
        <w:rPr>
          <w:i/>
          <w:iCs/>
          <w:lang w:val="en-GB"/>
        </w:rPr>
        <w:t>right and</w:t>
      </w:r>
      <w:r w:rsidRPr="00F35A83">
        <w:rPr>
          <w:i/>
          <w:iCs/>
          <w:lang w:val="en-GB"/>
        </w:rPr>
        <w:t xml:space="preserve"> are the data fit for purpose. Without the proxy, the Value of Information could not be measured.</w:t>
      </w:r>
    </w:p>
    <w:p w14:paraId="550A7323" w14:textId="77777777" w:rsidR="001E73E3" w:rsidRDefault="00000000">
      <w:pPr>
        <w:keepNext/>
        <w:spacing w:before="120" w:after="60"/>
      </w:pPr>
      <w:r>
        <w:rPr>
          <w:b/>
          <w:bCs/>
          <w:caps/>
          <w:color w:val="56606B"/>
          <w:sz w:val="18"/>
          <w:szCs w:val="18"/>
        </w:rPr>
        <w:t>Da sapere</w:t>
      </w:r>
    </w:p>
    <w:p w14:paraId="0CEFEE8B" w14:textId="77777777" w:rsidR="001E73E3" w:rsidRDefault="00000000">
      <w:pPr>
        <w:pStyle w:val="Paragrafoelenco"/>
        <w:numPr>
          <w:ilvl w:val="0"/>
          <w:numId w:val="2"/>
        </w:numPr>
        <w:spacing w:after="60"/>
      </w:pPr>
      <w:r>
        <w:t xml:space="preserve">Bologna: 10 m, </w:t>
      </w:r>
      <w:proofErr w:type="spellStart"/>
      <w:r>
        <w:t>OpenWeatherMap</w:t>
      </w:r>
      <w:proofErr w:type="spellEnd"/>
      <w:r>
        <w:t xml:space="preserve">, 4 anni, 1.462 osservazioni giornaliere, vento medio 2,47 m/s; </w:t>
      </w:r>
      <w:proofErr w:type="spellStart"/>
      <w:r>
        <w:t>Nordfriesland</w:t>
      </w:r>
      <w:proofErr w:type="spellEnd"/>
      <w:r>
        <w:t>: 8,07 m/s (circa 3,3 volte).</w:t>
      </w:r>
    </w:p>
    <w:p w14:paraId="6B9F0264" w14:textId="77777777" w:rsidR="001E73E3" w:rsidRDefault="00000000">
      <w:pPr>
        <w:pStyle w:val="Paragrafoelenco"/>
        <w:numPr>
          <w:ilvl w:val="0"/>
          <w:numId w:val="2"/>
        </w:numPr>
        <w:spacing w:after="60"/>
      </w:pPr>
      <w:r>
        <w:t xml:space="preserve">Per Bologna vince la lognormale sulla </w:t>
      </w:r>
      <w:proofErr w:type="spellStart"/>
      <w:r>
        <w:t>Weibull</w:t>
      </w:r>
      <w:proofErr w:type="spellEnd"/>
      <w:r>
        <w:t xml:space="preserve">, effetto dell’altezza di 10 m (attrito superficiale); per </w:t>
      </w:r>
      <w:proofErr w:type="spellStart"/>
      <w:r>
        <w:t>Nordfriesland</w:t>
      </w:r>
      <w:proofErr w:type="spellEnd"/>
      <w:r>
        <w:t xml:space="preserve"> vince la </w:t>
      </w:r>
      <w:proofErr w:type="spellStart"/>
      <w:r>
        <w:t>Weibull</w:t>
      </w:r>
      <w:proofErr w:type="spellEnd"/>
      <w:r>
        <w:t>, come da letteratura.</w:t>
      </w:r>
    </w:p>
    <w:p w14:paraId="4E2BA380" w14:textId="77777777" w:rsidR="001E73E3" w:rsidRDefault="00000000">
      <w:pPr>
        <w:pStyle w:val="Paragrafoelenco"/>
        <w:numPr>
          <w:ilvl w:val="0"/>
          <w:numId w:val="2"/>
        </w:numPr>
        <w:spacing w:after="60"/>
      </w:pPr>
      <w:r>
        <w:t>Contesto climatico: il vento tedesco è guidato dalle depressioni atlantiche sul Mare del Nord; Bologna è in un regime mediterraneo, protetta da Alpi e Appennini.</w:t>
      </w:r>
    </w:p>
    <w:p w14:paraId="7B2C3200"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1 §1.1, §1.4.1, §1.3.7. Slide 4, 8, 9.</w:t>
      </w:r>
    </w:p>
    <w:p w14:paraId="6987154C" w14:textId="77777777" w:rsidR="001E73E3" w:rsidRPr="00F35A83" w:rsidRDefault="00000000">
      <w:pPr>
        <w:pStyle w:val="Titolo3"/>
        <w:keepNext/>
        <w:spacing w:before="280" w:after="80"/>
        <w:rPr>
          <w:lang w:val="en-GB"/>
        </w:rPr>
      </w:pPr>
      <w:r w:rsidRPr="00F35A83">
        <w:rPr>
          <w:color w:val="C8791A"/>
          <w:lang w:val="en-GB"/>
        </w:rPr>
        <w:t xml:space="preserve">B9  </w:t>
      </w:r>
      <w:r w:rsidRPr="00F35A83">
        <w:rPr>
          <w:lang w:val="en-GB"/>
        </w:rPr>
        <w:t>Does the seasonal pattern matter for pricing?</w:t>
      </w:r>
    </w:p>
    <w:p w14:paraId="7E48E2A4"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4D2BAC35" w14:textId="77777777" w:rsidR="001E73E3" w:rsidRPr="00F35A83" w:rsidRDefault="00000000">
      <w:pPr>
        <w:pBdr>
          <w:left w:val="single" w:sz="12" w:space="8" w:color="1C7293"/>
        </w:pBdr>
        <w:spacing w:after="100"/>
        <w:ind w:left="284"/>
        <w:rPr>
          <w:lang w:val="en-GB"/>
        </w:rPr>
      </w:pPr>
      <w:r w:rsidRPr="00F35A83">
        <w:rPr>
          <w:i/>
          <w:iCs/>
          <w:lang w:val="en-GB"/>
        </w:rPr>
        <w:t>Yes, and in a counter-intuitive way. Wind speed is most variable in winter, but the variance of daily changes in generation, in relative terms, is highest in autumn and summer. In winter output is high, so the same absolute swing is a smaller percentage. A seasonal swap would therefore be most expensive for summer or autumn.</w:t>
      </w:r>
    </w:p>
    <w:p w14:paraId="1F7A4632" w14:textId="77777777" w:rsidR="001E73E3" w:rsidRDefault="00000000">
      <w:pPr>
        <w:keepNext/>
        <w:spacing w:before="120" w:after="60"/>
      </w:pPr>
      <w:r>
        <w:rPr>
          <w:b/>
          <w:bCs/>
          <w:caps/>
          <w:color w:val="56606B"/>
          <w:sz w:val="18"/>
          <w:szCs w:val="18"/>
        </w:rPr>
        <w:t>Da sapere</w:t>
      </w:r>
    </w:p>
    <w:p w14:paraId="30E3B6F2" w14:textId="77777777" w:rsidR="001E73E3" w:rsidRDefault="00000000">
      <w:pPr>
        <w:pStyle w:val="Paragrafoelenco"/>
        <w:numPr>
          <w:ilvl w:val="0"/>
          <w:numId w:val="2"/>
        </w:numPr>
        <w:spacing w:after="60"/>
      </w:pPr>
      <w:r>
        <w:t>Varianza stagionale del vento (inverno/estate): circa 6,9:1 per A, 1,55:1 per B.</w:t>
      </w:r>
    </w:p>
    <w:p w14:paraId="2AEE2008" w14:textId="77777777" w:rsidR="001E73E3" w:rsidRDefault="00000000">
      <w:pPr>
        <w:pStyle w:val="Paragrafoelenco"/>
        <w:numPr>
          <w:ilvl w:val="0"/>
          <w:numId w:val="2"/>
        </w:numPr>
        <w:spacing w:after="60"/>
      </w:pPr>
      <w:r>
        <w:lastRenderedPageBreak/>
        <w:t>Varianza realizzata annualizzata dei log-rendimenti della generazione: inverno 100,8; primavera 115,4; estate 119,3; autunno 126,0.</w:t>
      </w:r>
    </w:p>
    <w:p w14:paraId="0C4F9CA4" w14:textId="77777777" w:rsidR="001E73E3" w:rsidRDefault="00000000">
      <w:pPr>
        <w:pStyle w:val="Paragrafoelenco"/>
        <w:numPr>
          <w:ilvl w:val="0"/>
          <w:numId w:val="2"/>
        </w:numPr>
        <w:spacing w:after="60"/>
      </w:pPr>
      <w:r>
        <w:t>Anche gli scenari Track B (h medio estivo &gt; h medio invernale) vanno nella stessa direzione: il modello non prezza le stagioni al contrario rispetto al mercato.</w:t>
      </w:r>
    </w:p>
    <w:p w14:paraId="6538E8DD" w14:textId="77777777" w:rsidR="001E73E3" w:rsidRPr="00F35A83" w:rsidRDefault="00000000">
      <w:pPr>
        <w:spacing w:after="120"/>
        <w:rPr>
          <w:lang w:val="en-GB"/>
        </w:rPr>
      </w:pPr>
      <w:r w:rsidRPr="00F35A83">
        <w:rPr>
          <w:b/>
          <w:bCs/>
          <w:color w:val="56606B"/>
          <w:sz w:val="18"/>
          <w:szCs w:val="18"/>
          <w:lang w:val="en-GB"/>
        </w:rPr>
        <w:t xml:space="preserve">Fonte: </w:t>
      </w:r>
      <w:r w:rsidRPr="00F35A83">
        <w:rPr>
          <w:color w:val="56606B"/>
          <w:sz w:val="18"/>
          <w:szCs w:val="18"/>
          <w:lang w:val="en-GB"/>
        </w:rPr>
        <w:t>Cap. 3 §3.1.3–3.1.4.</w:t>
      </w:r>
    </w:p>
    <w:p w14:paraId="534A4358" w14:textId="77777777" w:rsidR="001E73E3" w:rsidRPr="00F35A83" w:rsidRDefault="00000000">
      <w:pPr>
        <w:pStyle w:val="Titolo3"/>
        <w:keepNext/>
        <w:spacing w:before="280" w:after="80"/>
        <w:rPr>
          <w:lang w:val="en-GB"/>
        </w:rPr>
      </w:pPr>
      <w:r w:rsidRPr="00F35A83">
        <w:rPr>
          <w:color w:val="C8791A"/>
          <w:lang w:val="en-GB"/>
        </w:rPr>
        <w:t xml:space="preserve">B10  </w:t>
      </w:r>
      <w:r w:rsidRPr="00F35A83">
        <w:rPr>
          <w:lang w:val="en-GB"/>
        </w:rPr>
        <w:t>How would a wind-farm operator actually use these results?</w:t>
      </w:r>
    </w:p>
    <w:p w14:paraId="630677BC" w14:textId="77777777" w:rsidR="001E73E3" w:rsidRPr="00F35A83" w:rsidRDefault="00000000">
      <w:pPr>
        <w:keepNext/>
        <w:spacing w:before="120" w:after="60"/>
        <w:rPr>
          <w:lang w:val="en-GB"/>
        </w:rPr>
      </w:pPr>
      <w:r w:rsidRPr="00F35A83">
        <w:rPr>
          <w:b/>
          <w:bCs/>
          <w:caps/>
          <w:color w:val="1C7293"/>
          <w:sz w:val="18"/>
          <w:szCs w:val="18"/>
          <w:lang w:val="en-GB"/>
        </w:rPr>
        <w:t>Risposta breve (da dire)</w:t>
      </w:r>
    </w:p>
    <w:p w14:paraId="0A2C4F4D" w14:textId="77777777" w:rsidR="001E73E3" w:rsidRPr="00F35A83" w:rsidRDefault="00000000">
      <w:pPr>
        <w:pBdr>
          <w:left w:val="single" w:sz="12" w:space="8" w:color="1C7293"/>
        </w:pBdr>
        <w:spacing w:after="100"/>
        <w:ind w:left="284"/>
        <w:rPr>
          <w:lang w:val="en-GB"/>
        </w:rPr>
      </w:pPr>
      <w:r w:rsidRPr="00F35A83">
        <w:rPr>
          <w:i/>
          <w:iCs/>
          <w:lang w:val="en-GB"/>
        </w:rPr>
        <w:t>First, choose the instrument by objective: the variance swap stabilises cash flows, CAWS protects against a wind drought. Second, and most important, before pricing any hedge, check with a simple regression that the wind series explains the production being hedged. In this study that one test separated the two datasets more clearly than anything computed afterwards.</w:t>
      </w:r>
    </w:p>
    <w:p w14:paraId="60EAF4F1" w14:textId="77777777" w:rsidR="001E73E3" w:rsidRDefault="00000000">
      <w:pPr>
        <w:keepNext/>
        <w:spacing w:before="120" w:after="60"/>
      </w:pPr>
      <w:r>
        <w:rPr>
          <w:b/>
          <w:bCs/>
          <w:caps/>
          <w:color w:val="56606B"/>
          <w:sz w:val="18"/>
          <w:szCs w:val="18"/>
        </w:rPr>
        <w:t>Da sapere</w:t>
      </w:r>
    </w:p>
    <w:p w14:paraId="30C3B5B1" w14:textId="77777777" w:rsidR="001E73E3" w:rsidRDefault="00000000">
      <w:pPr>
        <w:pStyle w:val="Paragrafoelenco"/>
        <w:numPr>
          <w:ilvl w:val="0"/>
          <w:numId w:val="2"/>
        </w:numPr>
        <w:spacing w:after="60"/>
      </w:pPr>
      <w:r>
        <w:t>Regola di screening proposta nella tesi: regressione della serie di vento candidata sul flusso di cassa da coprire, prima della calibrazione.</w:t>
      </w:r>
    </w:p>
    <w:p w14:paraId="5F1E0F9B" w14:textId="77777777" w:rsidR="001E73E3" w:rsidRDefault="00000000">
      <w:pPr>
        <w:pStyle w:val="Paragrafoelenco"/>
        <w:numPr>
          <w:ilvl w:val="0"/>
          <w:numId w:val="2"/>
        </w:numPr>
        <w:spacing w:after="60"/>
      </w:pPr>
      <w:r>
        <w:t>Estensione: screening sistematico dei punti di griglia della rianalisi per R² della curva di potenza.</w:t>
      </w:r>
    </w:p>
    <w:p w14:paraId="1F499204" w14:textId="77777777" w:rsidR="001E73E3" w:rsidRDefault="00000000">
      <w:pPr>
        <w:spacing w:before="60" w:after="60"/>
      </w:pPr>
      <w:r>
        <w:rPr>
          <w:b/>
          <w:bCs/>
          <w:color w:val="C8791A"/>
        </w:rPr>
        <w:t xml:space="preserve">Fuori dalla tesi: </w:t>
      </w:r>
      <w:r>
        <w:rPr>
          <w:color w:val="56606B"/>
        </w:rPr>
        <w:t>per un operatore, il contratto può entrare nella pianificazione di budget e manutenzione: per esempio programmare le fermate negli anni o nelle stagioni in cui la copertura riduce l’esposizione. È un’applicazione plausibile, non trattata nella tesi.</w:t>
      </w:r>
    </w:p>
    <w:p w14:paraId="64735BB9" w14:textId="77777777" w:rsidR="001E73E3" w:rsidRDefault="00000000">
      <w:pPr>
        <w:spacing w:after="120"/>
      </w:pPr>
      <w:r>
        <w:rPr>
          <w:b/>
          <w:bCs/>
          <w:color w:val="56606B"/>
          <w:sz w:val="18"/>
          <w:szCs w:val="18"/>
        </w:rPr>
        <w:t xml:space="preserve">Fonte: </w:t>
      </w:r>
      <w:r>
        <w:rPr>
          <w:color w:val="56606B"/>
          <w:sz w:val="18"/>
          <w:szCs w:val="18"/>
        </w:rPr>
        <w:t>Cap. 3 §3.1.6, §3.5.3–3.5.4. Slide 9 e 11.</w:t>
      </w:r>
    </w:p>
    <w:p w14:paraId="3892B1DB" w14:textId="77777777" w:rsidR="001E73E3" w:rsidRDefault="00000000">
      <w:pPr>
        <w:pStyle w:val="Titolo1"/>
        <w:pageBreakBefore/>
      </w:pPr>
      <w:r>
        <w:lastRenderedPageBreak/>
        <w:t>Promemoria finale</w:t>
      </w:r>
    </w:p>
    <w:p w14:paraId="6EBDFCBE" w14:textId="77777777" w:rsidR="001E73E3" w:rsidRDefault="00000000">
      <w:pPr>
        <w:spacing w:after="120"/>
      </w:pPr>
      <w:r>
        <w:t>Se una domanda va su un dettaglio che non ricordi, è sempre corretto rispondere indicando il backup e la sezione della tesi, e riportare la risposta alla domanda di ricerca a cui appartiene.</w:t>
      </w:r>
    </w:p>
    <w:p w14:paraId="0995EB3B" w14:textId="77777777" w:rsidR="001E73E3" w:rsidRDefault="00000000">
      <w:pPr>
        <w:spacing w:after="120"/>
      </w:pPr>
      <w:r>
        <w:t>Le tre frasi da tenere pronte:</w:t>
      </w:r>
    </w:p>
    <w:p w14:paraId="576DE09E" w14:textId="77777777" w:rsidR="001E73E3" w:rsidRPr="00F35A83" w:rsidRDefault="00000000">
      <w:pPr>
        <w:pStyle w:val="Paragrafoelenco"/>
        <w:numPr>
          <w:ilvl w:val="0"/>
          <w:numId w:val="2"/>
        </w:numPr>
        <w:spacing w:after="60"/>
        <w:rPr>
          <w:lang w:val="en-GB"/>
        </w:rPr>
      </w:pPr>
      <w:r w:rsidRPr="00F35A83">
        <w:rPr>
          <w:b/>
          <w:bCs/>
          <w:lang w:val="en-GB"/>
        </w:rPr>
        <w:t>Price:</w:t>
      </w:r>
      <w:r w:rsidRPr="00F35A83">
        <w:rPr>
          <w:lang w:val="en-GB"/>
        </w:rPr>
        <w:t xml:space="preserve"> the model gives a closed-form strike, h(t₀) × C₀, in the market’s range once units are reconciled (328.8 against 113.1).</w:t>
      </w:r>
    </w:p>
    <w:p w14:paraId="2D4EF15B" w14:textId="77777777" w:rsidR="001E73E3" w:rsidRPr="00F35A83" w:rsidRDefault="00000000">
      <w:pPr>
        <w:pStyle w:val="Paragrafoelenco"/>
        <w:numPr>
          <w:ilvl w:val="0"/>
          <w:numId w:val="2"/>
        </w:numPr>
        <w:spacing w:after="60"/>
        <w:rPr>
          <w:lang w:val="en-GB"/>
        </w:rPr>
      </w:pPr>
      <w:r w:rsidRPr="00F35A83">
        <w:rPr>
          <w:b/>
          <w:bCs/>
          <w:lang w:val="en-GB"/>
        </w:rPr>
        <w:t>Hedge:</w:t>
      </w:r>
      <w:r w:rsidRPr="00F35A83">
        <w:rPr>
          <w:lang w:val="en-GB"/>
        </w:rPr>
        <w:t xml:space="preserve"> CAWS pays in the calm years a variance swap cannot see; the tail statistics are descriptive with ten years of data.</w:t>
      </w:r>
    </w:p>
    <w:p w14:paraId="488DEF5F" w14:textId="77777777" w:rsidR="001E73E3" w:rsidRPr="00F35A83" w:rsidRDefault="00000000">
      <w:pPr>
        <w:pStyle w:val="Paragrafoelenco"/>
        <w:numPr>
          <w:ilvl w:val="0"/>
          <w:numId w:val="2"/>
        </w:numPr>
        <w:spacing w:after="60"/>
        <w:rPr>
          <w:lang w:val="en-GB"/>
        </w:rPr>
      </w:pPr>
      <w:r w:rsidRPr="00F35A83">
        <w:rPr>
          <w:b/>
          <w:bCs/>
          <w:lang w:val="en-GB"/>
        </w:rPr>
        <w:t>Data:</w:t>
      </w:r>
      <w:r w:rsidRPr="00F35A83">
        <w:rPr>
          <w:lang w:val="en-GB"/>
        </w:rPr>
        <w:t xml:space="preserve"> on the wrong data the price is 94% too low, 88% after height correction; the power-curve test (R² 58.7% vs 0.01%) shows why, and it costs one regression.</w:t>
      </w:r>
    </w:p>
    <w:p w14:paraId="0824FC03" w14:textId="77777777" w:rsidR="001E73E3" w:rsidRDefault="00000000">
      <w:pPr>
        <w:pStyle w:val="Titolo2"/>
      </w:pPr>
      <w:r>
        <w:t>Slide di backup disponibili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26"/>
      </w:tblGrid>
      <w:tr w:rsidR="001E73E3" w:rsidRPr="00593782" w14:paraId="179C1CD9"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0DE4B32B" w14:textId="77777777" w:rsidR="001E73E3" w:rsidRDefault="00000000">
            <w:r>
              <w:rPr>
                <w:b/>
                <w:bCs/>
                <w:color w:val="C8791A"/>
              </w:rPr>
              <w:t>B1</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19BA3551" w14:textId="77777777" w:rsidR="001E73E3" w:rsidRPr="00F35A83" w:rsidRDefault="00000000">
            <w:pPr>
              <w:rPr>
                <w:lang w:val="en-GB"/>
              </w:rPr>
            </w:pPr>
            <w:r w:rsidRPr="00F35A83">
              <w:rPr>
                <w:lang w:val="en-GB"/>
              </w:rPr>
              <w:t>Feller condition — robust for B, estimator-dependent for A</w:t>
            </w:r>
          </w:p>
        </w:tc>
      </w:tr>
      <w:tr w:rsidR="001E73E3" w:rsidRPr="00593782" w14:paraId="1FF7D87F"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5B0B820E" w14:textId="77777777" w:rsidR="001E73E3" w:rsidRDefault="00000000">
            <w:r>
              <w:rPr>
                <w:b/>
                <w:bCs/>
                <w:color w:val="C8791A"/>
              </w:rPr>
              <w:t>B2</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63892907" w14:textId="77777777" w:rsidR="001E73E3" w:rsidRPr="00F35A83" w:rsidRDefault="00000000">
            <w:pPr>
              <w:rPr>
                <w:lang w:val="en-GB"/>
              </w:rPr>
            </w:pPr>
            <w:r w:rsidRPr="00F35A83">
              <w:rPr>
                <w:lang w:val="en-GB"/>
              </w:rPr>
              <w:t>Reconciling Track B into Track A units, both datasets</w:t>
            </w:r>
          </w:p>
        </w:tc>
      </w:tr>
      <w:tr w:rsidR="001E73E3" w:rsidRPr="00593782" w14:paraId="07D99801"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023949A5" w14:textId="77777777" w:rsidR="001E73E3" w:rsidRDefault="00000000">
            <w:r>
              <w:rPr>
                <w:b/>
                <w:bCs/>
                <w:color w:val="C8791A"/>
              </w:rPr>
              <w:t>B3</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6ACAF9AF" w14:textId="77777777" w:rsidR="001E73E3" w:rsidRPr="00F35A83" w:rsidRDefault="00000000">
            <w:pPr>
              <w:rPr>
                <w:lang w:val="en-GB"/>
              </w:rPr>
            </w:pPr>
            <w:r w:rsidRPr="00F35A83">
              <w:rPr>
                <w:lang w:val="en-GB"/>
              </w:rPr>
              <w:t>Model validation — four specifications, one conditional mean</w:t>
            </w:r>
          </w:p>
        </w:tc>
      </w:tr>
      <w:tr w:rsidR="001E73E3" w:rsidRPr="00593782" w14:paraId="43CFDC48"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41A91848" w14:textId="77777777" w:rsidR="001E73E3" w:rsidRDefault="00000000">
            <w:r>
              <w:rPr>
                <w:b/>
                <w:bCs/>
                <w:color w:val="C8791A"/>
              </w:rPr>
              <w:t>B4</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0F156BA9" w14:textId="77777777" w:rsidR="001E73E3" w:rsidRPr="00F35A83" w:rsidRDefault="00000000">
            <w:pPr>
              <w:rPr>
                <w:lang w:val="en-GB"/>
              </w:rPr>
            </w:pPr>
            <w:r w:rsidRPr="00F35A83">
              <w:rPr>
                <w:lang w:val="en-GB"/>
              </w:rPr>
              <w:t>Diebold–Mariano test in Chapters 2 and 3 — why the signs differ</w:t>
            </w:r>
          </w:p>
        </w:tc>
      </w:tr>
      <w:tr w:rsidR="001E73E3" w:rsidRPr="00593782" w14:paraId="5977D700"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18427E3D" w14:textId="77777777" w:rsidR="001E73E3" w:rsidRDefault="00000000">
            <w:r>
              <w:rPr>
                <w:b/>
                <w:bCs/>
                <w:color w:val="C8791A"/>
              </w:rPr>
              <w:t>B5</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49F1B9F5" w14:textId="77777777" w:rsidR="001E73E3" w:rsidRPr="00F35A83" w:rsidRDefault="00000000">
            <w:pPr>
              <w:rPr>
                <w:lang w:val="en-GB"/>
              </w:rPr>
            </w:pPr>
            <w:r w:rsidRPr="00F35A83">
              <w:rPr>
                <w:lang w:val="en-GB"/>
              </w:rPr>
              <w:t xml:space="preserve">Height correction: sensitivity to the profile exponent </w:t>
            </w:r>
            <w:r>
              <w:t>α</w:t>
            </w:r>
          </w:p>
        </w:tc>
      </w:tr>
      <w:tr w:rsidR="001E73E3" w:rsidRPr="00593782" w14:paraId="4C609741"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65800386" w14:textId="77777777" w:rsidR="001E73E3" w:rsidRDefault="00000000">
            <w:r>
              <w:rPr>
                <w:b/>
                <w:bCs/>
                <w:color w:val="C8791A"/>
              </w:rPr>
              <w:t>B6</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7B14146D" w14:textId="77777777" w:rsidR="001E73E3" w:rsidRPr="00F35A83" w:rsidRDefault="00000000">
            <w:pPr>
              <w:rPr>
                <w:lang w:val="en-GB"/>
              </w:rPr>
            </w:pPr>
            <w:r w:rsidRPr="00F35A83">
              <w:rPr>
                <w:lang w:val="en-GB"/>
              </w:rPr>
              <w:t>Model estimates at a glance — AR(4), GARCH(1,1), CAR(4), NIG</w:t>
            </w:r>
          </w:p>
        </w:tc>
      </w:tr>
      <w:tr w:rsidR="001E73E3" w:rsidRPr="00593782" w14:paraId="2A53279A"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3097639E" w14:textId="77777777" w:rsidR="001E73E3" w:rsidRDefault="00000000">
            <w:r>
              <w:rPr>
                <w:b/>
                <w:bCs/>
                <w:color w:val="C8791A"/>
              </w:rPr>
              <w:t>B7</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3AD5776B" w14:textId="77777777" w:rsidR="001E73E3" w:rsidRPr="00F35A83" w:rsidRDefault="00000000">
            <w:pPr>
              <w:rPr>
                <w:lang w:val="en-GB"/>
              </w:rPr>
            </w:pPr>
            <w:r w:rsidRPr="00F35A83">
              <w:rPr>
                <w:lang w:val="en-GB"/>
              </w:rPr>
              <w:t>Value of Information on a common scale</w:t>
            </w:r>
          </w:p>
        </w:tc>
      </w:tr>
      <w:tr w:rsidR="001E73E3" w:rsidRPr="00593782" w14:paraId="515E5AEB"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53230FB8" w14:textId="77777777" w:rsidR="001E73E3" w:rsidRDefault="00000000">
            <w:r>
              <w:rPr>
                <w:b/>
                <w:bCs/>
                <w:color w:val="C8791A"/>
              </w:rPr>
              <w:t>B8</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031ED858" w14:textId="77777777" w:rsidR="001E73E3" w:rsidRPr="00F35A83" w:rsidRDefault="00000000">
            <w:pPr>
              <w:rPr>
                <w:lang w:val="en-GB"/>
              </w:rPr>
            </w:pPr>
            <w:r w:rsidRPr="00F35A83">
              <w:rPr>
                <w:lang w:val="en-GB"/>
              </w:rPr>
              <w:t>CAWS tail statistics on both datasets</w:t>
            </w:r>
          </w:p>
        </w:tc>
      </w:tr>
      <w:tr w:rsidR="001E73E3" w:rsidRPr="00593782" w14:paraId="47C85BB4" w14:textId="77777777">
        <w:tc>
          <w:tcPr>
            <w:tcW w:w="1000" w:type="dxa"/>
            <w:tcBorders>
              <w:top w:val="single" w:sz="4" w:space="0" w:color="D9E2EA"/>
              <w:left w:val="single" w:sz="4" w:space="0" w:color="D9E2EA"/>
              <w:bottom w:val="single" w:sz="4" w:space="0" w:color="D9E2EA"/>
              <w:right w:val="single" w:sz="4" w:space="0" w:color="D9E2EA"/>
            </w:tcBorders>
            <w:shd w:val="clear" w:color="auto" w:fill="EEF3F7"/>
            <w:tcMar>
              <w:top w:w="60" w:type="dxa"/>
              <w:left w:w="120" w:type="dxa"/>
              <w:bottom w:w="60" w:type="dxa"/>
              <w:right w:w="120" w:type="dxa"/>
            </w:tcMar>
          </w:tcPr>
          <w:p w14:paraId="2BD2D6FF" w14:textId="77777777" w:rsidR="001E73E3" w:rsidRDefault="00000000">
            <w:r>
              <w:rPr>
                <w:b/>
                <w:bCs/>
                <w:color w:val="C8791A"/>
              </w:rPr>
              <w:t>B9</w:t>
            </w:r>
          </w:p>
        </w:tc>
        <w:tc>
          <w:tcPr>
            <w:tcW w:w="8026" w:type="dxa"/>
            <w:tcBorders>
              <w:top w:val="single" w:sz="4" w:space="0" w:color="D9E2EA"/>
              <w:left w:val="single" w:sz="4" w:space="0" w:color="D9E2EA"/>
              <w:bottom w:val="single" w:sz="4" w:space="0" w:color="D9E2EA"/>
              <w:right w:val="single" w:sz="4" w:space="0" w:color="D9E2EA"/>
            </w:tcBorders>
            <w:tcMar>
              <w:top w:w="60" w:type="dxa"/>
              <w:left w:w="120" w:type="dxa"/>
              <w:bottom w:w="60" w:type="dxa"/>
              <w:right w:w="120" w:type="dxa"/>
            </w:tcMar>
          </w:tcPr>
          <w:p w14:paraId="528EB526" w14:textId="77777777" w:rsidR="001E73E3" w:rsidRPr="00F35A83" w:rsidRDefault="00000000">
            <w:pPr>
              <w:rPr>
                <w:lang w:val="en-GB"/>
              </w:rPr>
            </w:pPr>
            <w:r w:rsidRPr="00F35A83">
              <w:rPr>
                <w:lang w:val="en-GB"/>
              </w:rPr>
              <w:t>Back-test of the market strike, year by year</w:t>
            </w:r>
          </w:p>
        </w:tc>
      </w:tr>
    </w:tbl>
    <w:p w14:paraId="6C72ED9E" w14:textId="77777777" w:rsidR="00C24649" w:rsidRPr="00F35A83" w:rsidRDefault="00C24649">
      <w:pPr>
        <w:rPr>
          <w:lang w:val="en-GB"/>
        </w:rPr>
      </w:pPr>
    </w:p>
    <w:sectPr w:rsidR="00C24649" w:rsidRPr="00F35A83">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35904" w14:textId="77777777" w:rsidR="003157ED" w:rsidRDefault="003157ED">
      <w:r>
        <w:separator/>
      </w:r>
    </w:p>
  </w:endnote>
  <w:endnote w:type="continuationSeparator" w:id="0">
    <w:p w14:paraId="2B52196F" w14:textId="77777777" w:rsidR="003157ED" w:rsidRDefault="0031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BA90" w14:textId="77777777" w:rsidR="001E73E3" w:rsidRDefault="00000000">
    <w:pPr>
      <w:jc w:val="right"/>
    </w:pPr>
    <w:r>
      <w:rPr>
        <w:color w:val="56606B"/>
        <w:sz w:val="16"/>
        <w:szCs w:val="16"/>
      </w:rPr>
      <w:t xml:space="preserve">Domande dei commissari · </w:t>
    </w:r>
    <w:r>
      <w:rPr>
        <w:color w:val="56606B"/>
        <w:sz w:val="16"/>
        <w:szCs w:val="16"/>
      </w:rPr>
      <w:fldChar w:fldCharType="begin"/>
    </w:r>
    <w:r>
      <w:rPr>
        <w:color w:val="56606B"/>
        <w:sz w:val="16"/>
        <w:szCs w:val="16"/>
      </w:rPr>
      <w:instrText>PAGE</w:instrText>
    </w:r>
    <w:r>
      <w:rPr>
        <w:color w:val="56606B"/>
        <w:sz w:val="16"/>
        <w:szCs w:val="16"/>
      </w:rPr>
      <w:fldChar w:fldCharType="separate"/>
    </w:r>
    <w:r w:rsidR="00F35A83">
      <w:rPr>
        <w:noProof/>
        <w:color w:val="56606B"/>
        <w:sz w:val="16"/>
        <w:szCs w:val="16"/>
      </w:rPr>
      <w:t>1</w:t>
    </w:r>
    <w:r>
      <w:rPr>
        <w:color w:val="5660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C77F" w14:textId="77777777" w:rsidR="003157ED" w:rsidRDefault="003157ED">
      <w:r>
        <w:separator/>
      </w:r>
    </w:p>
  </w:footnote>
  <w:footnote w:type="continuationSeparator" w:id="0">
    <w:p w14:paraId="134850E9" w14:textId="77777777" w:rsidR="003157ED" w:rsidRDefault="00315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77E1"/>
    <w:multiLevelType w:val="hybridMultilevel"/>
    <w:tmpl w:val="756E98B8"/>
    <w:lvl w:ilvl="0" w:tplc="4FE0AF1E">
      <w:start w:val="1"/>
      <w:numFmt w:val="bullet"/>
      <w:lvlText w:val="•"/>
      <w:lvlJc w:val="left"/>
      <w:pPr>
        <w:ind w:left="568" w:hanging="284"/>
      </w:pPr>
    </w:lvl>
    <w:lvl w:ilvl="1" w:tplc="87228E16">
      <w:numFmt w:val="decimal"/>
      <w:lvlText w:val=""/>
      <w:lvlJc w:val="left"/>
    </w:lvl>
    <w:lvl w:ilvl="2" w:tplc="8DE62E2E">
      <w:numFmt w:val="decimal"/>
      <w:lvlText w:val=""/>
      <w:lvlJc w:val="left"/>
    </w:lvl>
    <w:lvl w:ilvl="3" w:tplc="EB50F452">
      <w:numFmt w:val="decimal"/>
      <w:lvlText w:val=""/>
      <w:lvlJc w:val="left"/>
    </w:lvl>
    <w:lvl w:ilvl="4" w:tplc="803A9790">
      <w:numFmt w:val="decimal"/>
      <w:lvlText w:val=""/>
      <w:lvlJc w:val="left"/>
    </w:lvl>
    <w:lvl w:ilvl="5" w:tplc="F10ABD36">
      <w:numFmt w:val="decimal"/>
      <w:lvlText w:val=""/>
      <w:lvlJc w:val="left"/>
    </w:lvl>
    <w:lvl w:ilvl="6" w:tplc="5E207CC0">
      <w:numFmt w:val="decimal"/>
      <w:lvlText w:val=""/>
      <w:lvlJc w:val="left"/>
    </w:lvl>
    <w:lvl w:ilvl="7" w:tplc="62141854">
      <w:numFmt w:val="decimal"/>
      <w:lvlText w:val=""/>
      <w:lvlJc w:val="left"/>
    </w:lvl>
    <w:lvl w:ilvl="8" w:tplc="CD9EAB28">
      <w:numFmt w:val="decimal"/>
      <w:lvlText w:val=""/>
      <w:lvlJc w:val="left"/>
    </w:lvl>
  </w:abstractNum>
  <w:abstractNum w:abstractNumId="1" w15:restartNumberingAfterBreak="0">
    <w:nsid w:val="6577653E"/>
    <w:multiLevelType w:val="hybridMultilevel"/>
    <w:tmpl w:val="2D103FC6"/>
    <w:lvl w:ilvl="0" w:tplc="E50C9F48" w:tentative="1">
      <w:start w:val="1"/>
      <w:numFmt w:val="bullet"/>
      <w:lvlText w:val="●"/>
      <w:lvlJc w:val="left"/>
      <w:pPr>
        <w:ind w:left="720" w:hanging="360"/>
      </w:pPr>
    </w:lvl>
    <w:lvl w:ilvl="1" w:tplc="F7B0D528" w:tentative="1">
      <w:start w:val="1"/>
      <w:numFmt w:val="bullet"/>
      <w:lvlText w:val="○"/>
      <w:lvlJc w:val="left"/>
      <w:pPr>
        <w:ind w:left="1440" w:hanging="360"/>
      </w:pPr>
    </w:lvl>
    <w:lvl w:ilvl="2" w:tplc="1AD47B4A" w:tentative="1">
      <w:start w:val="1"/>
      <w:numFmt w:val="bullet"/>
      <w:lvlText w:val="■"/>
      <w:lvlJc w:val="left"/>
      <w:pPr>
        <w:ind w:left="2160" w:hanging="360"/>
      </w:pPr>
    </w:lvl>
    <w:lvl w:ilvl="3" w:tplc="39586044" w:tentative="1">
      <w:start w:val="1"/>
      <w:numFmt w:val="bullet"/>
      <w:lvlText w:val="●"/>
      <w:lvlJc w:val="left"/>
      <w:pPr>
        <w:ind w:left="2880" w:hanging="360"/>
      </w:pPr>
    </w:lvl>
    <w:lvl w:ilvl="4" w:tplc="872AF7B6" w:tentative="1">
      <w:start w:val="1"/>
      <w:numFmt w:val="bullet"/>
      <w:lvlText w:val="○"/>
      <w:lvlJc w:val="left"/>
      <w:pPr>
        <w:ind w:left="3600" w:hanging="360"/>
      </w:pPr>
    </w:lvl>
    <w:lvl w:ilvl="5" w:tplc="CCB0231A" w:tentative="1">
      <w:start w:val="1"/>
      <w:numFmt w:val="bullet"/>
      <w:lvlText w:val="■"/>
      <w:lvlJc w:val="left"/>
      <w:pPr>
        <w:ind w:left="4320" w:hanging="360"/>
      </w:pPr>
    </w:lvl>
    <w:lvl w:ilvl="6" w:tplc="FED4C852" w:tentative="1">
      <w:start w:val="1"/>
      <w:numFmt w:val="bullet"/>
      <w:lvlText w:val="●"/>
      <w:lvlJc w:val="left"/>
      <w:pPr>
        <w:ind w:left="5040" w:hanging="360"/>
      </w:pPr>
    </w:lvl>
    <w:lvl w:ilvl="7" w:tplc="74FA34F6" w:tentative="1">
      <w:start w:val="1"/>
      <w:numFmt w:val="bullet"/>
      <w:lvlText w:val="●"/>
      <w:lvlJc w:val="left"/>
      <w:pPr>
        <w:ind w:left="5760" w:hanging="360"/>
      </w:pPr>
    </w:lvl>
    <w:lvl w:ilvl="8" w:tplc="419EDC8A" w:tentative="1">
      <w:start w:val="1"/>
      <w:numFmt w:val="bullet"/>
      <w:lvlText w:val="●"/>
      <w:lvlJc w:val="left"/>
      <w:pPr>
        <w:ind w:left="6480" w:hanging="360"/>
      </w:pPr>
    </w:lvl>
  </w:abstractNum>
  <w:num w:numId="1" w16cid:durableId="719590816">
    <w:abstractNumId w:val="1"/>
    <w:lvlOverride w:ilvl="0">
      <w:startOverride w:val="1"/>
    </w:lvlOverride>
  </w:num>
  <w:num w:numId="2" w16cid:durableId="6615909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3E3"/>
    <w:rsid w:val="001C4921"/>
    <w:rsid w:val="001E73E3"/>
    <w:rsid w:val="003157ED"/>
    <w:rsid w:val="00593782"/>
    <w:rsid w:val="009B78C9"/>
    <w:rsid w:val="00C24649"/>
    <w:rsid w:val="00F35A83"/>
    <w:rsid w:val="00FD00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1C44"/>
  <w15:docId w15:val="{A1E28523-1735-4164-B058-2E24B7C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spacing w:before="320" w:after="140"/>
      <w:outlineLvl w:val="0"/>
    </w:pPr>
    <w:rPr>
      <w:rFonts w:ascii="Cambria" w:eastAsia="Cambria" w:hAnsi="Cambria" w:cs="Cambria"/>
      <w:b/>
      <w:bCs/>
      <w:color w:val="21295C"/>
      <w:sz w:val="30"/>
      <w:szCs w:val="30"/>
    </w:rPr>
  </w:style>
  <w:style w:type="paragraph" w:styleId="Titolo2">
    <w:name w:val="heading 2"/>
    <w:basedOn w:val="Normale"/>
    <w:next w:val="Normale"/>
    <w:uiPriority w:val="9"/>
    <w:unhideWhenUsed/>
    <w:qFormat/>
    <w:pPr>
      <w:spacing w:before="240" w:after="100"/>
      <w:outlineLvl w:val="1"/>
    </w:pPr>
    <w:rPr>
      <w:rFonts w:ascii="Cambria" w:eastAsia="Cambria" w:hAnsi="Cambria" w:cs="Cambria"/>
      <w:b/>
      <w:bCs/>
      <w:color w:val="21295C"/>
      <w:sz w:val="26"/>
      <w:szCs w:val="26"/>
    </w:rPr>
  </w:style>
  <w:style w:type="paragraph" w:styleId="Titolo3">
    <w:name w:val="heading 3"/>
    <w:basedOn w:val="Normale"/>
    <w:next w:val="Normale"/>
    <w:uiPriority w:val="9"/>
    <w:unhideWhenUsed/>
    <w:qFormat/>
    <w:pPr>
      <w:outlineLvl w:val="2"/>
    </w:pPr>
    <w:rPr>
      <w:b/>
      <w:bCs/>
      <w:color w:val="21295C"/>
      <w:sz w:val="24"/>
      <w:szCs w:val="24"/>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Titolo">
    <w:name w:val="Title"/>
    <w:basedOn w:val="Normale"/>
    <w:uiPriority w:val="10"/>
    <w:qFormat/>
    <w:pPr>
      <w:spacing w:after="120"/>
    </w:pPr>
    <w:rPr>
      <w:rFonts w:ascii="Cambria" w:eastAsia="Cambria" w:hAnsi="Cambria" w:cs="Cambria"/>
      <w:b/>
      <w:bCs/>
      <w:color w:val="21295C"/>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3454</Words>
  <Characters>19690</Characters>
  <Application>Microsoft Office Word</Application>
  <DocSecurity>0</DocSecurity>
  <Lines>164</Lines>
  <Paragraphs>46</Paragraphs>
  <ScaleCrop>false</ScaleCrop>
  <Company/>
  <LinksUpToDate>false</LinksUpToDate>
  <CharactersWithSpaces>23098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Discussione di tesi — domande dei commissari</dc:title>
  <dc:creator>Enrico Butali</dc:creator>
  <cp:lastModifiedBy>Enrico Butali - enrico.butali@studio.unibo.it</cp:lastModifiedBy>
  <cp:revision>5</cp:revision>
  <dcterms:created xsi:type="dcterms:W3CDTF">2026-10-23T14:44:00Z</dcterms:created>
  <dcterms:modified xsi:type="dcterms:W3CDTF">2026-10-26T18:23:00Z</dcterms:modified>
</cp:coreProperties>
</file>