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Enrico</w:t>
      </w:r>
      <w:r>
        <w:t xml:space="preserve"> </w:t>
      </w:r>
      <w:r>
        <w:t xml:space="preserve">N</w:t>
      </w:r>
      <w:r>
        <w:t xml:space="preserve"> </w:t>
      </w:r>
      <w:r>
        <w:t xml:space="preserve">Armelloni</w:t>
      </w:r>
    </w:p>
    <w:p>
      <w:pPr>
        <w:pStyle w:val="Date"/>
      </w:pPr>
      <w:r>
        <w:t xml:space="preserve">1/10/2020</w:t>
      </w:r>
    </w:p>
    <w:p>
      <w:pPr>
        <w:pStyle w:val="Heading2"/>
      </w:pPr>
      <w:bookmarkStart w:id="20" w:name="red-mullet-in-gsa-17-18"/>
      <w:r>
        <w:t xml:space="preserve">Red mullet in GSA 17-18</w:t>
      </w:r>
      <w:bookmarkEnd w:id="20"/>
    </w:p>
    <w:p>
      <w:pPr>
        <w:pStyle w:val="FirstParagraph"/>
      </w:pPr>
      <w:r>
        <w:t xml:space="preserve">Dati utilizzati: MEDITS DATA 1994-2017 (solo cale positive, con catture triglia di fango)</w:t>
      </w:r>
    </w:p>
    <w:p>
      <w:pPr>
        <w:pStyle w:val="BodyText"/>
      </w:pPr>
      <w:r>
        <w:t xml:space="preserve">Nelle GSA 17 e 18 la triglia si concentra sulla piattaforma continentale, soprattutto entro i 100 metri di profondità.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_summary_MU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Anche a causa della conformazione del bacino le densità registrate oltre i 100 metri sono esigue ma concentrate spazialmente nella porzione meridionale, quindi si decide di includere nelle analisi le cale comprese nella batimetria 0-200 m.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_summary_MU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Plottando l’indicatore L95 per cala contro le variabili anno e profondità si osserva la presenza di numerosi outlier, presenti nella maggior parte degli anni ed anche a profondità superiori ai 100 metri. Gli outlier non sono stati rimossi dal dataset.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_summary_MU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Per investigare ulteriormente la relazione tra mensilità, indicatore e profondità della cala si presenta anche un coplot, dove emerge la presenza di valori bassi dell’indicatore anche a profondità &gt; 100 metri durante i mesi estivi (soprattutto giugno e luglio).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_summary_MU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Sulla base di quanto svolto dai colleghi, si è effettuata una step forward model selection per identificare il modello GAM migliore in termini di fitting, residui e statistiche (AIC, GCV). Prima di questo, è stata fatta una esplorazione dei dati per identificare potenziali collinearità tra variabili indipendenti.</w:t>
      </w:r>
      <w:r>
        <w:t xml:space="preserve"> </w:t>
      </w:r>
      <w:r>
        <w:t xml:space="preserve">Il seguente pairplot mostra come ci sia potenziale collinearità tra le variabili Lat, Lon, vessel (ogni GSA ha la propria imbarcazione.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_summary_MU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Analisi VIF</w:t>
      </w:r>
    </w:p>
    <w:p>
      <w:pPr>
        <w:pStyle w:val="SourceCode"/>
      </w:pPr>
      <w:r>
        <w:rPr>
          <w:rStyle w:val="VerbatimChar"/>
        </w:rPr>
        <w:t xml:space="preserve">##        X        Y    depth     year    month     hour   vessel </w:t>
      </w:r>
      <w:r>
        <w:br w:type="textWrapping"/>
      </w:r>
      <w:r>
        <w:rPr>
          <w:rStyle w:val="VerbatimChar"/>
        </w:rPr>
        <w:t xml:space="preserve">## 8.612273 6.248885 1.462603 1.368444 1.332019 1.024198 3.258361</w:t>
      </w:r>
    </w:p>
    <w:p>
      <w:pPr>
        <w:pStyle w:val="FirstParagraph"/>
      </w:pPr>
      <w:r>
        <w:t xml:space="preserve">La variabile vessel viene esclusa</w:t>
      </w:r>
    </w:p>
    <w:p>
      <w:pPr>
        <w:pStyle w:val="BodyText"/>
      </w:pPr>
      <w:r>
        <w:t xml:space="preserve">Alla fine del processo di model selection, il modello GAM migliore è risultato il seguente: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Family: gaussian </w:t>
      </w:r>
      <w:r>
        <w:br w:type="textWrapping"/>
      </w:r>
      <w:r>
        <w:rPr>
          <w:rStyle w:val="VerbatimChar"/>
        </w:rPr>
        <w:t xml:space="preserve">## Link function: identity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Formula:</w:t>
      </w:r>
      <w:r>
        <w:br w:type="textWrapping"/>
      </w:r>
      <w:r>
        <w:rPr>
          <w:rStyle w:val="VerbatimChar"/>
        </w:rPr>
        <w:t xml:space="preserve">## Indicator ~ s(year, k = 16) + factor(month) + s(X, Y) + s(depth) + </w:t>
      </w:r>
      <w:r>
        <w:br w:type="textWrapping"/>
      </w:r>
      <w:r>
        <w:rPr>
          <w:rStyle w:val="VerbatimChar"/>
        </w:rPr>
        <w:t xml:space="preserve">##     s(depth, by = month)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Parametric coefficients:</w:t>
      </w:r>
      <w:r>
        <w:br w:type="textWrapping"/>
      </w:r>
      <w:r>
        <w:rPr>
          <w:rStyle w:val="VerbatimChar"/>
        </w:rPr>
        <w:t xml:space="preserve">##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142.020     40.152   3.537 0.000412 ***</w:t>
      </w:r>
      <w:r>
        <w:br w:type="textWrapping"/>
      </w:r>
      <w:r>
        <w:rPr>
          <w:rStyle w:val="VerbatimChar"/>
        </w:rPr>
        <w:t xml:space="preserve">## factor(month)5     7.200     22.041   0.327 0.743956    </w:t>
      </w:r>
      <w:r>
        <w:br w:type="textWrapping"/>
      </w:r>
      <w:r>
        <w:rPr>
          <w:rStyle w:val="VerbatimChar"/>
        </w:rPr>
        <w:t xml:space="preserve">## factor(month)6     4.472     18.056   0.248 0.804410    </w:t>
      </w:r>
      <w:r>
        <w:br w:type="textWrapping"/>
      </w:r>
      <w:r>
        <w:rPr>
          <w:rStyle w:val="VerbatimChar"/>
        </w:rPr>
        <w:t xml:space="preserve">## factor(month)7    -4.934     14.411  -0.342 0.732121    </w:t>
      </w:r>
      <w:r>
        <w:br w:type="textWrapping"/>
      </w:r>
      <w:r>
        <w:rPr>
          <w:rStyle w:val="VerbatimChar"/>
        </w:rPr>
        <w:t xml:space="preserve">## factor(month)8   -13.888     10.827  -1.283 0.199715    </w:t>
      </w:r>
      <w:r>
        <w:br w:type="textWrapping"/>
      </w:r>
      <w:r>
        <w:rPr>
          <w:rStyle w:val="VerbatimChar"/>
        </w:rPr>
        <w:t xml:space="preserve">## factor(month)9   -17.229      7.436  -2.317 0.020585 *  </w:t>
      </w:r>
      <w:r>
        <w:br w:type="textWrapping"/>
      </w:r>
      <w:r>
        <w:rPr>
          <w:rStyle w:val="VerbatimChar"/>
        </w:rPr>
        <w:t xml:space="preserve">## factor(month)10  -20.100      4.215  -4.769 1.95e-06 ***</w:t>
      </w:r>
      <w:r>
        <w:br w:type="textWrapping"/>
      </w:r>
      <w:r>
        <w:rPr>
          <w:rStyle w:val="VerbatimChar"/>
        </w:rPr>
        <w:t xml:space="preserve">## factor(month)11  -16.839      2.383  -7.066 2.04e-12 ***</w:t>
      </w:r>
      <w:r>
        <w:br w:type="textWrapping"/>
      </w:r>
      <w:r>
        <w:rPr>
          <w:rStyle w:val="VerbatimChar"/>
        </w:rPr>
        <w:t xml:space="preserve">## factor(month)12  -23.564      5.287  -4.457 8.67e-06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Approximate significance of smooth terms:</w:t>
      </w:r>
      <w:r>
        <w:br w:type="textWrapping"/>
      </w:r>
      <w:r>
        <w:rPr>
          <w:rStyle w:val="VerbatimChar"/>
        </w:rPr>
        <w:t xml:space="preserve">##                   edf Ref.df      F  p-value    </w:t>
      </w:r>
      <w:r>
        <w:br w:type="textWrapping"/>
      </w:r>
      <w:r>
        <w:rPr>
          <w:rStyle w:val="VerbatimChar"/>
        </w:rPr>
        <w:t xml:space="preserve">## s(year)        12.200 13.847  4.396 7.77e-08 ***</w:t>
      </w:r>
      <w:r>
        <w:br w:type="textWrapping"/>
      </w:r>
      <w:r>
        <w:rPr>
          <w:rStyle w:val="VerbatimChar"/>
        </w:rPr>
        <w:t xml:space="preserve">## s(X,Y)         25.787 28.324 13.159  &lt; 2e-16 ***</w:t>
      </w:r>
      <w:r>
        <w:br w:type="textWrapping"/>
      </w:r>
      <w:r>
        <w:rPr>
          <w:rStyle w:val="VerbatimChar"/>
        </w:rPr>
        <w:t xml:space="preserve">## s(depth)        8.120  8.627 12.681  &lt; 2e-16 ***</w:t>
      </w:r>
      <w:r>
        <w:br w:type="textWrapping"/>
      </w:r>
      <w:r>
        <w:rPr>
          <w:rStyle w:val="VerbatimChar"/>
        </w:rPr>
        <w:t xml:space="preserve">## s(depth):month  3.859  4.512  9.383 5.08e-08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Rank: 71/72</w:t>
      </w:r>
      <w:r>
        <w:br w:type="textWrapping"/>
      </w:r>
      <w:r>
        <w:rPr>
          <w:rStyle w:val="VerbatimChar"/>
        </w:rPr>
        <w:t xml:space="preserve">## R-sq.(adj) =  0.433   Deviance explained = 44.5%</w:t>
      </w:r>
      <w:r>
        <w:br w:type="textWrapping"/>
      </w:r>
      <w:r>
        <w:rPr>
          <w:rStyle w:val="VerbatimChar"/>
        </w:rPr>
        <w:t xml:space="preserve">## GCV = 650.93  Scale est. = 636.55    n = 2625</w:t>
      </w:r>
    </w:p>
    <w:p>
      <w:pPr>
        <w:pStyle w:val="FirstParagraph"/>
      </w:pPr>
      <w:r>
        <w:t xml:space="preserve">Analisi grafica residui – omogeneità</w:t>
      </w:r>
      <w:r>
        <w:t xml:space="preserve"> </w:t>
      </w:r>
      <w:r>
        <w:t xml:space="preserve">I residui sono ben distribuiti anche se piuttosto ampi. Si evidenziano alcuni valori negativi outlier.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_summary_MU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Residui per fattore</w:t>
      </w:r>
      <w:r>
        <w:t xml:space="preserve"> </w:t>
      </w:r>
      <w:r>
        <w:t xml:space="preserve">Nonostante alcuni valori outlier, soprattutto riguardo al fattore mese, non si osservano particolari pattern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_summary_MU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_summary_MU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Analisi residui – normalità</w:t>
      </w:r>
      <w:r>
        <w:t xml:space="preserve"> </w:t>
      </w:r>
      <w:r>
        <w:t xml:space="preserve">Si evidenzia una coda nel QQ-plot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_summary_MU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_summary_MUT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Plot variabili indipendenti incluse nel modello finale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_summary_MUT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Il seguente plot mostra la serie temporale del L95 medio per anno (in blu), i risultati del modello (in rosso) ed i risultati della prova di standardizzazione sul mese di luglio.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  <w:r>
        <w:br w:type="textWrapping"/>
      </w:r>
      <w:r>
        <w:rPr>
          <w:rStyle w:val="VerbatimChar"/>
        </w:rPr>
        <w:t xml:space="preserve">## `summarise()` ungrouping output (override with `.groups` argument)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_summary_MUT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Enrico N Armelloni</dc:creator>
  <cp:keywords/>
  <dcterms:created xsi:type="dcterms:W3CDTF">2020-10-15T07:30:35Z</dcterms:created>
  <dcterms:modified xsi:type="dcterms:W3CDTF">2020-10-15T07:30:35Z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1/10/2020</vt:lpwstr>
  </property>
  <property fmtid="{D5CDD505-2E9C-101B-9397-08002B2CF9AE}" pid="3" name="output">
    <vt:lpwstr>word_document</vt:lpwstr>
  </property>
</Properties>
</file>