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Enrico</w:t>
      </w:r>
      <w:r>
        <w:t xml:space="preserve"> </w:t>
      </w:r>
      <w:r>
        <w:t xml:space="preserve">N</w:t>
      </w:r>
      <w:r>
        <w:t xml:space="preserve"> </w:t>
      </w:r>
      <w:r>
        <w:t xml:space="preserve">Armelloni</w:t>
      </w:r>
    </w:p>
    <w:p>
      <w:pPr>
        <w:pStyle w:val="Date"/>
      </w:pPr>
      <w:r>
        <w:t xml:space="preserve">1/10/2020</w:t>
      </w:r>
    </w:p>
    <w:p>
      <w:pPr>
        <w:pStyle w:val="Heading2"/>
      </w:pPr>
      <w:bookmarkStart w:id="20" w:name="red-mullet-in-gsa-17-18"/>
      <w:r>
        <w:t xml:space="preserve">Red mullet in GSA 17-18</w:t>
      </w:r>
      <w:bookmarkEnd w:id="20"/>
    </w:p>
    <w:p>
      <w:pPr>
        <w:pStyle w:val="FirstParagraph"/>
      </w:pPr>
      <w:r>
        <w:t xml:space="preserve">Dati utilizzati: MEDITS DATA 1994-2017 (solo cale positive, con catture triglia di fango)</w:t>
      </w:r>
    </w:p>
    <w:p>
      <w:pPr>
        <w:pStyle w:val="BodyText"/>
      </w:pPr>
      <w:r>
        <w:t xml:space="preserve">Nelle GSA 17 e 18 la triglia si concentra sulla piattaforma continentale, soprattutto entro i 100 metri di profondità.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over5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Anche a causa della conformazione del bacino le densità registrate oltre i 100 metri sono esigue ma concentrate spazialmente nella porzione meridionale, quindi si decide di includere nelle analisi le cale comprese nella batimetria &lt; 200 m. Si nota però una forte presenza di valori outlier, concentrati nelle profondità più basse.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over5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seguito alla discussione circa l’influenza delle reclute, concentrate nelle fasce batimetriche inferiori, per le seguenti analisi si sono escluse le cale con profondità media &lt; 50m.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over5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Plottando l’indicatore L95 per cala contro le variabili anno e profondità si osserva che gli outlier si sono fortemente ridotti.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over5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 investigare ulteriormente la relazione tra mensilità, indicatore e profondità della cala si presenta anche un coplot, dove emerge la presenza di valori bassi dell’indicatore anche a profondità &gt; 100 metri durante i mesi estivi (soprattutto giugno e luglio).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over5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Sulla base di quanto svolto dai colleghi, si è effettuata una step forward model selection per identificare il modello GAM migliore in termini di fitting, residui e statistiche (AIC, GCV). Prima di questo, è stata fatta una esplorazione dei dati per identificare potenziali collinearità tra variabili indipendenti.</w:t>
      </w:r>
      <w:r>
        <w:t xml:space="preserve"> </w:t>
      </w:r>
      <w:r>
        <w:t xml:space="preserve">Il seguente pairplot mostra come ci sia potenziale collinearità tra le variabili Lat, Lon, vessel (ogni GSA ha la propria imbarcazione.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over50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Analisi VIF</w:t>
      </w:r>
    </w:p>
    <w:p>
      <w:pPr>
        <w:pStyle w:val="SourceCode"/>
      </w:pPr>
      <w:r>
        <w:rPr>
          <w:rStyle w:val="VerbatimChar"/>
        </w:rPr>
        <w:t xml:space="preserve">##        X        Y    depth     year    month     hour   vessel </w:t>
      </w:r>
      <w:r>
        <w:br w:type="textWrapping"/>
      </w:r>
      <w:r>
        <w:rPr>
          <w:rStyle w:val="VerbatimChar"/>
        </w:rPr>
        <w:t xml:space="preserve">## 7.989427 6.732794 1.293072 1.361431 1.342660 1.022814 3.649538</w:t>
      </w:r>
    </w:p>
    <w:p>
      <w:pPr>
        <w:pStyle w:val="FirstParagraph"/>
      </w:pPr>
      <w:r>
        <w:t xml:space="preserve">La variabile vessel viene esclusa</w:t>
      </w:r>
    </w:p>
    <w:p>
      <w:pPr>
        <w:pStyle w:val="BodyText"/>
      </w:pPr>
      <w:r>
        <w:t xml:space="preserve">Alla fine del processo di model selection, il modello GAM migliore è risultato il seguente: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Family: gaussian </w:t>
      </w:r>
      <w:r>
        <w:br w:type="textWrapping"/>
      </w:r>
      <w:r>
        <w:rPr>
          <w:rStyle w:val="VerbatimChar"/>
        </w:rPr>
        <w:t xml:space="preserve">## Link function: identity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</w:t>
      </w:r>
      <w:r>
        <w:br w:type="textWrapping"/>
      </w:r>
      <w:r>
        <w:rPr>
          <w:rStyle w:val="VerbatimChar"/>
        </w:rPr>
        <w:t xml:space="preserve">## Indicator ~ s(year, k = 16) + factor(month) + s(X, Y) + s(depth) + </w:t>
      </w:r>
      <w:r>
        <w:br w:type="textWrapping"/>
      </w:r>
      <w:r>
        <w:rPr>
          <w:rStyle w:val="VerbatimChar"/>
        </w:rPr>
        <w:t xml:space="preserve">##     s(depth, by = month)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Parametric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169.306     35.651   4.749 2.21e-06 ***</w:t>
      </w:r>
      <w:r>
        <w:br w:type="textWrapping"/>
      </w:r>
      <w:r>
        <w:rPr>
          <w:rStyle w:val="VerbatimChar"/>
        </w:rPr>
        <w:t xml:space="preserve">## factor(month)5    -5.851     19.699  -0.297  0.76650    </w:t>
      </w:r>
      <w:r>
        <w:br w:type="textWrapping"/>
      </w:r>
      <w:r>
        <w:rPr>
          <w:rStyle w:val="VerbatimChar"/>
        </w:rPr>
        <w:t xml:space="preserve">## factor(month)6    -4.815     16.030  -0.300  0.76392    </w:t>
      </w:r>
      <w:r>
        <w:br w:type="textWrapping"/>
      </w:r>
      <w:r>
        <w:rPr>
          <w:rStyle w:val="VerbatimChar"/>
        </w:rPr>
        <w:t xml:space="preserve">## factor(month)7    -9.932     12.802  -0.776  0.43797    </w:t>
      </w:r>
      <w:r>
        <w:br w:type="textWrapping"/>
      </w:r>
      <w:r>
        <w:rPr>
          <w:rStyle w:val="VerbatimChar"/>
        </w:rPr>
        <w:t xml:space="preserve">## factor(month)8   -15.294      9.668  -1.582  0.11385    </w:t>
      </w:r>
      <w:r>
        <w:br w:type="textWrapping"/>
      </w:r>
      <w:r>
        <w:rPr>
          <w:rStyle w:val="VerbatimChar"/>
        </w:rPr>
        <w:t xml:space="preserve">## factor(month)9   -22.626      6.926  -3.267  0.00111 ** </w:t>
      </w:r>
      <w:r>
        <w:br w:type="textWrapping"/>
      </w:r>
      <w:r>
        <w:rPr>
          <w:rStyle w:val="VerbatimChar"/>
        </w:rPr>
        <w:t xml:space="preserve">## factor(month)10  -27.477      3.969  -6.923 6.16e-12 ***</w:t>
      </w:r>
      <w:r>
        <w:br w:type="textWrapping"/>
      </w:r>
      <w:r>
        <w:rPr>
          <w:rStyle w:val="VerbatimChar"/>
        </w:rPr>
        <w:t xml:space="preserve">## factor(month)11  -18.440      2.636  -6.994 3.78e-12 ***</w:t>
      </w:r>
      <w:r>
        <w:br w:type="textWrapping"/>
      </w:r>
      <w:r>
        <w:rPr>
          <w:rStyle w:val="VerbatimChar"/>
        </w:rPr>
        <w:t xml:space="preserve">## factor(month)12  -20.384      5.084  -4.009 6.34e-05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Approximate significance of smooth terms:</w:t>
      </w:r>
      <w:r>
        <w:br w:type="textWrapping"/>
      </w:r>
      <w:r>
        <w:rPr>
          <w:rStyle w:val="VerbatimChar"/>
        </w:rPr>
        <w:t xml:space="preserve">##                   edf Ref.df      F  p-value    </w:t>
      </w:r>
      <w:r>
        <w:br w:type="textWrapping"/>
      </w:r>
      <w:r>
        <w:rPr>
          <w:rStyle w:val="VerbatimChar"/>
        </w:rPr>
        <w:t xml:space="preserve">## s(year)        13.638 14.689  7.172 2.56e-15 ***</w:t>
      </w:r>
      <w:r>
        <w:br w:type="textWrapping"/>
      </w:r>
      <w:r>
        <w:rPr>
          <w:rStyle w:val="VerbatimChar"/>
        </w:rPr>
        <w:t xml:space="preserve">## s(X,Y)         26.369 28.509 14.607  &lt; 2e-16 ***</w:t>
      </w:r>
      <w:r>
        <w:br w:type="textWrapping"/>
      </w:r>
      <w:r>
        <w:rPr>
          <w:rStyle w:val="VerbatimChar"/>
        </w:rPr>
        <w:t xml:space="preserve">## s(depth)        3.707  4.547  3.515  0.00643 ** </w:t>
      </w:r>
      <w:r>
        <w:br w:type="textWrapping"/>
      </w:r>
      <w:r>
        <w:rPr>
          <w:rStyle w:val="VerbatimChar"/>
        </w:rPr>
        <w:t xml:space="preserve">## s(depth):month  4.596  5.408  0.904  0.49366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Rank: 71/72</w:t>
      </w:r>
      <w:r>
        <w:br w:type="textWrapping"/>
      </w:r>
      <w:r>
        <w:rPr>
          <w:rStyle w:val="VerbatimChar"/>
        </w:rPr>
        <w:t xml:space="preserve">## R-sq.(adj) =  0.424   Deviance explained = 44.2%</w:t>
      </w:r>
      <w:r>
        <w:br w:type="textWrapping"/>
      </w:r>
      <w:r>
        <w:rPr>
          <w:rStyle w:val="VerbatimChar"/>
        </w:rPr>
        <w:t xml:space="preserve">## GCV = 514.09  Scale est. = 498.13    n = 1814</w:t>
      </w:r>
    </w:p>
    <w:p>
      <w:pPr>
        <w:pStyle w:val="FirstParagraph"/>
      </w:pPr>
      <w:r>
        <w:t xml:space="preserve">Analisi grafica residui – omogeneità</w:t>
      </w:r>
      <w:r>
        <w:t xml:space="preserve"> </w:t>
      </w:r>
      <w:r>
        <w:t xml:space="preserve">I residui sono ben distribuiti anche se piuttosto ampi. Si evidenziano alcuni valori negativi outlier.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over50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Residui per fattore</w:t>
      </w:r>
      <w:r>
        <w:t xml:space="preserve"> </w:t>
      </w:r>
      <w:r>
        <w:t xml:space="preserve">Nonostante alcuni valori outlier, soprattutto riguardo al fattore mese, non si osservano particolari pattern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over50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over50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Analisi residui – normalità</w:t>
      </w:r>
      <w:r>
        <w:t xml:space="preserve"> </w:t>
      </w:r>
      <w:r>
        <w:t xml:space="preserve">Si evidenzia una coda nel QQ-plot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over50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over50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variabili indipendenti incluse nel modello finale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over50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Il seguente plot mostra la serie temporale del L95 medio per anno (in blu), i risultati del modello (in rosso) ed i risultati della prova di standardizzazione sul mese di luglio.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  <w:r>
        <w:br w:type="textWrapping"/>
      </w: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over50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Enrico N Armelloni</dc:creator>
  <cp:keywords/>
  <dcterms:created xsi:type="dcterms:W3CDTF">2020-10-15T08:01:20Z</dcterms:created>
  <dcterms:modified xsi:type="dcterms:W3CDTF">2020-10-15T08:01:20Z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1/10/2020</vt:lpwstr>
  </property>
  <property fmtid="{D5CDD505-2E9C-101B-9397-08002B2CF9AE}" pid="3" name="output">
    <vt:lpwstr>word_document</vt:lpwstr>
  </property>
</Properties>
</file>