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9BD32" w14:textId="3ED8C7B7" w:rsidR="00510511" w:rsidRDefault="00E64A08" w:rsidP="00510511">
      <w:pPr>
        <w:rPr>
          <w:lang w:val="en-GB"/>
        </w:rPr>
      </w:pPr>
      <w:r>
        <w:rPr>
          <w:lang w:val="en-GB"/>
        </w:rPr>
        <w:t>Some text that I erased from manuscript and want to keep for future versions</w:t>
      </w:r>
    </w:p>
    <w:p w14:paraId="786765E7" w14:textId="77777777" w:rsidR="00937CBC" w:rsidRPr="0057541B" w:rsidRDefault="00937CBC" w:rsidP="00937CBC">
      <w:pPr>
        <w:pStyle w:val="ListParagraph"/>
        <w:numPr>
          <w:ilvl w:val="0"/>
          <w:numId w:val="2"/>
        </w:numPr>
        <w:spacing w:after="0" w:line="276" w:lineRule="auto"/>
        <w:jc w:val="both"/>
        <w:rPr>
          <w:rFonts w:ascii="Times New Roman" w:hAnsi="Times New Roman" w:cs="Times New Roman"/>
          <w:u w:val="single"/>
          <w:lang w:val="en-US"/>
        </w:rPr>
      </w:pPr>
      <w:bookmarkStart w:id="0" w:name="_Hlk215487664"/>
      <w:r w:rsidRPr="0057541B">
        <w:rPr>
          <w:rFonts w:ascii="Times New Roman" w:hAnsi="Times New Roman" w:cs="Times New Roman"/>
          <w:u w:val="single"/>
          <w:lang w:val="en-US"/>
        </w:rPr>
        <w:t>Extreme weather events: brief overview of what they are</w:t>
      </w:r>
    </w:p>
    <w:p w14:paraId="31BD4DD9" w14:textId="77777777" w:rsidR="00937CBC" w:rsidRDefault="00937CBC" w:rsidP="00937CBC">
      <w:pPr>
        <w:spacing w:after="0" w:line="276" w:lineRule="auto"/>
        <w:jc w:val="both"/>
        <w:rPr>
          <w:rFonts w:ascii="Times New Roman" w:hAnsi="Times New Roman" w:cs="Times New Roman"/>
          <w:lang w:val="en-GB"/>
        </w:rPr>
      </w:pPr>
      <w:bookmarkStart w:id="1" w:name="_Hlk215487670"/>
      <w:bookmarkEnd w:id="0"/>
      <w:r>
        <w:rPr>
          <w:rFonts w:ascii="Times New Roman" w:hAnsi="Times New Roman" w:cs="Times New Roman"/>
          <w:lang w:val="en-GB"/>
        </w:rPr>
        <w:t>E</w:t>
      </w:r>
      <w:r w:rsidRPr="00DA2F21">
        <w:rPr>
          <w:rFonts w:ascii="Times New Roman" w:hAnsi="Times New Roman" w:cs="Times New Roman"/>
          <w:lang w:val="en-GB"/>
        </w:rPr>
        <w:t xml:space="preserve">xtreme weather events </w:t>
      </w:r>
      <w:r>
        <w:rPr>
          <w:rFonts w:ascii="Times New Roman" w:hAnsi="Times New Roman" w:cs="Times New Roman"/>
          <w:lang w:val="en-GB"/>
        </w:rPr>
        <w:t>are meteorological conditions</w:t>
      </w:r>
      <w:r w:rsidRPr="00DA2F21">
        <w:rPr>
          <w:rFonts w:ascii="Times New Roman" w:hAnsi="Times New Roman" w:cs="Times New Roman"/>
          <w:lang w:val="en-GB"/>
        </w:rPr>
        <w:t xml:space="preserve"> characterised by out-of-average intensity and duration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{"citationID":"6Tk3JCtb","properties":{"formattedCitation":"(IPCC, 2021)","plainCitation":"(IPCC, 2021)","noteIndex":0},"citationItems":[{"id":2751,"uris":["http://zotero.org/users/6838574/items/3WAYXSEW"],"itemData":{"id":2751,"type":"chapter","abstract":"The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Core.","container-title":"Climate Change 2021 – The Physical Science Basis: Working Group I Contribution to the Sixth Assessment Report of the Intergovernmental Panel on Climate Change","edition":"1","ISBN":"978-1-009-15789-6","language":"en","license":"https://www.cambridge.org/core/terms","note":"DOI: 10.1017/9781009157896","publisher":"Cambridge University Press","source":"10.1017/9781009157896.013","title":"Weather and Climate Extreme Events in a Changing Climate","URL":"https://www.cambridge.org/core/product/identifier/9781009157896/type/book","author":[{"literal":"IPCC"}],"accessed":{"date-parts":[["2025",12,1]]},"issued":{"date-parts":[["2021"]]}}}],"schema":"https://github.com/citation-style-language/schema/raw/master/csl-citation.json"} </w:instrText>
      </w:r>
      <w:r>
        <w:rPr>
          <w:rFonts w:ascii="Times New Roman" w:hAnsi="Times New Roman" w:cs="Times New Roman"/>
          <w:lang w:val="en-GB"/>
        </w:rPr>
        <w:fldChar w:fldCharType="separate"/>
      </w:r>
      <w:r w:rsidRPr="00F31138">
        <w:rPr>
          <w:rFonts w:ascii="Times New Roman" w:hAnsi="Times New Roman" w:cs="Times New Roman"/>
          <w:lang w:val="en-GB"/>
        </w:rPr>
        <w:t>(IPCC, 2021)</w:t>
      </w:r>
      <w:r>
        <w:rPr>
          <w:rFonts w:ascii="Times New Roman" w:hAnsi="Times New Roman" w:cs="Times New Roman"/>
          <w:lang w:val="en-GB"/>
        </w:rPr>
        <w:fldChar w:fldCharType="end"/>
      </w:r>
      <w:r>
        <w:rPr>
          <w:rFonts w:ascii="Times New Roman" w:hAnsi="Times New Roman" w:cs="Times New Roman"/>
          <w:lang w:val="en-GB"/>
        </w:rPr>
        <w:t xml:space="preserve">, more frequently registered over the last decades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{"citationID":"NrCLpL2D","properties":{"formattedCitation":"(Field et al., 2012)","plainCitation":"(Field et al., 2012)","noteIndex":0},"citationItems":[{"id":2753,"uris":["http://zotero.org/users/6838574/items/D82YHHGG"],"itemData":{"id":2753,"type":"book","abstract":"This Intergovernmental Panel on Climate Change Special Report (IPCC-SREX) explores the challenge of understanding and managing the risks of climate extremes to advance climate change adaptation. Extreme weather and climate events, interacting with exposed and vulnerable human and natural systems, can lead to disasters. Changes in the frequency and severity of the physical events affect disaster risk, but so do the spatially diverse and temporally dynamic patterns of exposure and vulnerability. Some types of extreme weather and climate events have increased in frequency or magnitude, but populations and assets at risk have also increased, with consequences for disaster risk. Opportunities for managing risks of weather- and climate-related disasters exist or can be developed at any scale, local to international. Prepared following strict IPCC procedures, SREX is an invaluable assessment for anyone interested in climate extremes, environmental disasters and adaptation to climate change, including policymakers, the private sector and academic researchers.","edition":"1","ISBN":"978-1-107-02506-6","language":"en","license":"https://www.cambridge.org/core/terms","note":"DOI: 10.1017/CBO9781139177245","publisher":"Cambridge University Press","source":"DOI.org (Crossref)","title":"Managing the Risks of Extreme Events and Disasters to Advance Climate Change Adaptation: Special Report of the Intergovernmental Panel on Climate Change","title-short":"Managing the Risks of Extreme Events and Disasters to Advance Climate Change Adaptation","URL":"https://www.cambridge.org/core/product/identifier/9781139177245/type/book","editor":[{"family":"Field","given":"Christopher B."},{"family":"Barros","given":"Vicente"},{"family":"Stocker","given":"Thomas F."},{"family":"Dahe","given":"Qin"}],"accessed":{"date-parts":[["2025",12,1]]},"issued":{"date-parts":[["2012",5,28]]}}}],"schema":"https://github.com/citation-style-language/schema/raw/master/csl-citation.json"} </w:instrText>
      </w:r>
      <w:r>
        <w:rPr>
          <w:rFonts w:ascii="Times New Roman" w:hAnsi="Times New Roman" w:cs="Times New Roman"/>
          <w:lang w:val="en-GB"/>
        </w:rPr>
        <w:fldChar w:fldCharType="separate"/>
      </w:r>
      <w:r w:rsidRPr="00AE696B">
        <w:rPr>
          <w:rFonts w:ascii="Times New Roman" w:hAnsi="Times New Roman" w:cs="Times New Roman"/>
          <w:lang w:val="en-GB"/>
        </w:rPr>
        <w:t>(Field et al., 2012)</w:t>
      </w:r>
      <w:r>
        <w:rPr>
          <w:rFonts w:ascii="Times New Roman" w:hAnsi="Times New Roman" w:cs="Times New Roman"/>
          <w:lang w:val="en-GB"/>
        </w:rPr>
        <w:fldChar w:fldCharType="end"/>
      </w:r>
      <w:r>
        <w:rPr>
          <w:rFonts w:ascii="Times New Roman" w:hAnsi="Times New Roman" w:cs="Times New Roman"/>
          <w:lang w:val="en-GB"/>
        </w:rPr>
        <w:t xml:space="preserve">. </w:t>
      </w:r>
    </w:p>
    <w:bookmarkEnd w:id="1"/>
    <w:p w14:paraId="46604C48" w14:textId="77777777" w:rsidR="00937CBC" w:rsidRDefault="00937CBC" w:rsidP="00937CBC">
      <w:pPr>
        <w:spacing w:after="0" w:line="276" w:lineRule="auto"/>
        <w:jc w:val="both"/>
        <w:rPr>
          <w:rFonts w:ascii="Times New Roman" w:hAnsi="Times New Roman" w:cs="Times New Roman"/>
          <w:lang w:val="en-GB"/>
        </w:rPr>
      </w:pPr>
    </w:p>
    <w:p w14:paraId="775B46D0" w14:textId="77777777" w:rsidR="00937CBC" w:rsidRDefault="00937CBC" w:rsidP="00937CBC">
      <w:pPr>
        <w:spacing w:after="0" w:line="276" w:lineRule="auto"/>
        <w:jc w:val="both"/>
        <w:rPr>
          <w:rFonts w:ascii="Times New Roman" w:hAnsi="Times New Roman" w:cs="Times New Roman"/>
          <w:lang w:val="en-GB"/>
        </w:rPr>
      </w:pPr>
      <w:bookmarkStart w:id="2" w:name="_Hlk215487806"/>
      <w:r>
        <w:rPr>
          <w:rFonts w:ascii="Times New Roman" w:hAnsi="Times New Roman" w:cs="Times New Roman"/>
          <w:lang w:val="en-GB"/>
        </w:rPr>
        <w:t xml:space="preserve">Understanding how these extremes affects ecosystems and humans rapidly become a scientific matter of interest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{"citationID":"BpqDg6EW","properties":{"formattedCitation":"(Ummenhofer &amp; Meehl, 2017; Walsh et al., 2020)","plainCitation":"(Ummenhofer &amp; Meehl, 2017; Walsh et al., 2020)","noteIndex":0},"citationItems":[{"id":1287,"uris":["http://zotero.org/users/6838574/items/RVQJTNS6"],"itemData":{"id":1287,"type":"article-journal","abstract":"Robust evidence exists that certain extreme weather and climate events, especially daily temperature and precipitation extremes, have changed in regard to intensity and frequency over recent decades. These changes have been linked to human-induced climate change, while the degree to which climate change impacts an individual extreme climate event (ECE) is more difficult to quantify. Rapid progress in event attribution has recently been made through improved understanding of observed and simulated climate variability, methods for event attribution and advances in numerical modelling. Attribution for extreme temperature events is stronger compared with other event types, notably those related to the hydrological cycle. Recent advances in the understanding of ECEs, both in observations and their representation in state-of-the-art climate models, open new opportunities for assessing their effect on human and natural systems. Improved spatial resolution in global climate models and advances in statistical and dynamical downscaling now provide climatic information at appropriate spatial and temporal scales. Together with the continued development of Earth System Models that simulate biogeochemical cycles and interactions with the biosphere at increasing complexity, these make it possible to develop a mechanistic understanding of how ECEs affect biological processes, ecosystem functioning and adaptation capabilities. Limitations in the observational network, both for physical climate system parameters and even more so for long-term ecological monitoring, have hampered progress in understanding bio-physical interactions across a range of scales. New opportunities for assessing how ECEs modulate ecosystem structure and functioning arise from better scientific understanding of ECEs coupled with technological advances in observing systems and instrumentation.\n\nThis article is part of the themed issue ‘Behavioural, ecological and evolutionary responses to extreme climatic events’.","container-title":"Philosophical Transactions of the Royal Society B: Biological Sciences","DOI":"10.1098/rstb.2016.0135","issue":"1723","note":"publisher: Royal Society","page":"20160135","source":"royalsocietypublishing.org (Atypon)","title":"Extreme weather and climate events with ecological relevance: a review","title-short":"Extreme weather and climate events with ecological relevance","volume":"372","author":[{"family":"Ummenhofer","given":"Caroline C."},{"family":"Meehl","given":"Gerald A."}],"issued":{"date-parts":[["2017",5,8]]}}},{"id":1284,"uris":["http://zotero.org/users/6838574/items/PLZJFF7M"],"itemData":{"id":1284,"type":"article-journal","abstract":"The greatest impacts of climate change on ecosystems, wildlife and humans often arise from extreme events rather than changes in climatic means. Northern high latitudes, including the Arctic, experience a variety of climate-related extreme events, yet there has been little attempt to synthesize information on extreme events in this region. This review surveys work on various types of extreme events in northern high latitudes, addressing (1) the evidence for variations and changes based on analyses of recent historical data and (2) projected changes based primarily on studies utilizing global climate models. The survey of extreme weather and climate events includes temperature, precipitation, snow, freezing rain, atmospheric blocking, cyclones, and wind. The survey also includes cryospheric and biophysical impacts: sea ice rapid loss events, Greenland Ice Sheet melt, floods, drought, wildfire, coastal erosion, terrestrial ecosystems, and marine ecosystems. Temperature and sea ice rank at the high end of the spectra of evidence for change and confidence in future change, while drought, flooding and cyclones rank at the lower end. Research priorities identified on the basis of this review include greater use of high-resolution models and observing system enhancements that target extreme events. There is also a need for further work on attribution, impacts on ecosystems and humans, and thresholds or tipping points that may be triggered by extreme events in high latitudes.","container-title":"Earth-Science Reviews","DOI":"10.1016/j.earscirev.2020.103324","ISSN":"0012-8252","journalAbbreviation":"Earth-Science Reviews","page":"103324","source":"ScienceDirect","title":"Extreme weather and climate events in northern areas: A review","title-short":"Extreme weather and climate events in northern areas","volume":"209","author":[{"family":"Walsh","given":"John E."},{"family":"Ballinger","given":"Thomas J."},{"family":"Euskirchen","given":"Eugénie S."},{"family":"Hanna","given":"Edward"},{"family":"Mård","given":"Johanna"},{"family":"Overland","given":"James E."},{"family":"Tangen","given":"Helge"},{"family":"Vihma","given":"Timo"}],"issued":{"date-parts":[["2020",10,1]]}}}],"schema":"https://github.com/citation-style-language/schema/raw/master/csl-citation.json"} </w:instrText>
      </w:r>
      <w:r>
        <w:rPr>
          <w:rFonts w:ascii="Times New Roman" w:hAnsi="Times New Roman" w:cs="Times New Roman"/>
          <w:lang w:val="en-GB"/>
        </w:rPr>
        <w:fldChar w:fldCharType="separate"/>
      </w:r>
      <w:r w:rsidRPr="00CB0980">
        <w:rPr>
          <w:rFonts w:ascii="Times New Roman" w:hAnsi="Times New Roman" w:cs="Times New Roman"/>
          <w:lang w:val="en-GB"/>
        </w:rPr>
        <w:t>(Ummenhofer &amp; Meehl, 2017; Walsh et al., 2020)</w:t>
      </w:r>
      <w:r>
        <w:rPr>
          <w:rFonts w:ascii="Times New Roman" w:hAnsi="Times New Roman" w:cs="Times New Roman"/>
          <w:lang w:val="en-GB"/>
        </w:rPr>
        <w:fldChar w:fldCharType="end"/>
      </w:r>
      <w:r>
        <w:rPr>
          <w:rFonts w:ascii="Times New Roman" w:hAnsi="Times New Roman" w:cs="Times New Roman"/>
          <w:lang w:val="en-GB"/>
        </w:rPr>
        <w:t xml:space="preserve">. </w:t>
      </w:r>
    </w:p>
    <w:bookmarkEnd w:id="2"/>
    <w:p w14:paraId="03B87F8B" w14:textId="77777777" w:rsidR="00937CBC" w:rsidRDefault="00937CBC" w:rsidP="00937CBC">
      <w:pPr>
        <w:spacing w:after="0" w:line="276" w:lineRule="auto"/>
        <w:jc w:val="both"/>
        <w:rPr>
          <w:rFonts w:ascii="Times New Roman" w:hAnsi="Times New Roman" w:cs="Times New Roman"/>
          <w:lang w:val="en-GB"/>
        </w:rPr>
      </w:pPr>
    </w:p>
    <w:p w14:paraId="5801B336" w14:textId="77777777" w:rsidR="00937CBC" w:rsidRDefault="00937CBC" w:rsidP="00937CBC">
      <w:pPr>
        <w:spacing w:after="0" w:line="276" w:lineRule="auto"/>
        <w:jc w:val="both"/>
        <w:rPr>
          <w:rFonts w:ascii="Times New Roman" w:hAnsi="Times New Roman" w:cs="Times New Roman"/>
          <w:lang w:val="en-GB"/>
        </w:rPr>
      </w:pPr>
      <w:r>
        <w:rPr>
          <w:rFonts w:ascii="Times New Roman" w:hAnsi="Times New Roman" w:cs="Times New Roman"/>
          <w:lang w:val="en-GB"/>
        </w:rPr>
        <w:t xml:space="preserve">It is generally recognised that the impacts of extreme weather on ecosystem </w:t>
      </w:r>
    </w:p>
    <w:p w14:paraId="544515E7" w14:textId="77777777" w:rsidR="00937CBC" w:rsidRDefault="00937CBC" w:rsidP="00937CBC">
      <w:pPr>
        <w:spacing w:after="0" w:line="276" w:lineRule="auto"/>
        <w:jc w:val="both"/>
        <w:rPr>
          <w:rFonts w:ascii="Times New Roman" w:hAnsi="Times New Roman" w:cs="Times New Roman"/>
          <w:lang w:val="en-GB"/>
        </w:rPr>
      </w:pPr>
    </w:p>
    <w:p w14:paraId="5DCD90C4" w14:textId="77777777" w:rsidR="00937CBC" w:rsidRPr="00DA2F21" w:rsidRDefault="00937CBC" w:rsidP="00937CBC">
      <w:pPr>
        <w:spacing w:after="0" w:line="276" w:lineRule="auto"/>
        <w:jc w:val="both"/>
        <w:rPr>
          <w:rFonts w:ascii="Times New Roman" w:hAnsi="Times New Roman" w:cs="Times New Roman"/>
          <w:lang w:val="en-GB"/>
        </w:rPr>
      </w:pPr>
    </w:p>
    <w:p w14:paraId="32379DB9" w14:textId="77777777" w:rsidR="00937CBC" w:rsidRPr="0057541B" w:rsidRDefault="00937CBC" w:rsidP="00937CBC">
      <w:pPr>
        <w:pStyle w:val="ListParagraph"/>
        <w:numPr>
          <w:ilvl w:val="0"/>
          <w:numId w:val="2"/>
        </w:numPr>
        <w:spacing w:after="0" w:line="276" w:lineRule="auto"/>
        <w:jc w:val="both"/>
        <w:rPr>
          <w:rFonts w:ascii="Times New Roman" w:hAnsi="Times New Roman" w:cs="Times New Roman"/>
          <w:u w:val="single"/>
          <w:lang w:val="en-US"/>
        </w:rPr>
      </w:pPr>
      <w:bookmarkStart w:id="3" w:name="_Hlk215489573"/>
      <w:commentRangeStart w:id="4"/>
      <w:commentRangeStart w:id="5"/>
      <w:r w:rsidRPr="0057541B">
        <w:rPr>
          <w:rFonts w:ascii="Times New Roman" w:hAnsi="Times New Roman" w:cs="Times New Roman"/>
          <w:u w:val="single"/>
          <w:lang w:val="en-US"/>
        </w:rPr>
        <w:t>Extreme weather events on fishery: direct and indirect via marine ecosystem</w:t>
      </w:r>
      <w:commentRangeEnd w:id="4"/>
      <w:r>
        <w:rPr>
          <w:rStyle w:val="CommentReference"/>
        </w:rPr>
        <w:commentReference w:id="4"/>
      </w:r>
      <w:commentRangeEnd w:id="5"/>
      <w:r>
        <w:rPr>
          <w:rStyle w:val="CommentReference"/>
        </w:rPr>
        <w:commentReference w:id="5"/>
      </w:r>
    </w:p>
    <w:p w14:paraId="1AAA98FA" w14:textId="77777777" w:rsidR="00937CBC" w:rsidRDefault="00937CBC" w:rsidP="00937CBC">
      <w:pPr>
        <w:spacing w:after="0" w:line="276" w:lineRule="auto"/>
        <w:jc w:val="both"/>
        <w:rPr>
          <w:rFonts w:ascii="Times New Roman" w:hAnsi="Times New Roman" w:cs="Times New Roman"/>
          <w:lang w:val="en-GB"/>
        </w:rPr>
      </w:pPr>
    </w:p>
    <w:p w14:paraId="3AAAF8C7" w14:textId="77777777" w:rsidR="00937CBC" w:rsidRDefault="00937CBC" w:rsidP="00937CBC">
      <w:pPr>
        <w:spacing w:after="0" w:line="276" w:lineRule="auto"/>
        <w:jc w:val="both"/>
        <w:rPr>
          <w:rFonts w:ascii="Times New Roman" w:hAnsi="Times New Roman" w:cs="Times New Roman"/>
          <w:lang w:val="en-GB"/>
        </w:rPr>
      </w:pPr>
    </w:p>
    <w:p w14:paraId="4C16CF85" w14:textId="77777777" w:rsidR="00937CBC" w:rsidRDefault="00937CBC" w:rsidP="00937CBC">
      <w:pPr>
        <w:spacing w:after="0" w:line="276" w:lineRule="auto"/>
        <w:jc w:val="both"/>
        <w:rPr>
          <w:rFonts w:ascii="Times New Roman" w:hAnsi="Times New Roman" w:cs="Times New Roman"/>
          <w:lang w:val="en-GB"/>
        </w:rPr>
      </w:pPr>
      <w:r>
        <w:rPr>
          <w:rFonts w:ascii="Times New Roman" w:hAnsi="Times New Roman" w:cs="Times New Roman"/>
          <w:lang w:val="en-GB"/>
        </w:rPr>
        <w:t>Literature suggests that m</w:t>
      </w:r>
      <w:commentRangeStart w:id="6"/>
      <w:commentRangeStart w:id="7"/>
      <w:r w:rsidRPr="00DA2F21">
        <w:rPr>
          <w:rFonts w:ascii="Times New Roman" w:hAnsi="Times New Roman" w:cs="Times New Roman"/>
          <w:lang w:val="en-GB"/>
        </w:rPr>
        <w:t xml:space="preserve">arine extreme weather events </w:t>
      </w:r>
      <w:r>
        <w:rPr>
          <w:rFonts w:ascii="Times New Roman" w:hAnsi="Times New Roman" w:cs="Times New Roman"/>
          <w:lang w:val="en-GB"/>
        </w:rPr>
        <w:t>can potentially have a large impact</w:t>
      </w:r>
      <w:r w:rsidRPr="00DA2F21">
        <w:rPr>
          <w:rFonts w:ascii="Times New Roman" w:hAnsi="Times New Roman" w:cs="Times New Roman"/>
          <w:lang w:val="en-GB"/>
        </w:rPr>
        <w:t xml:space="preserve"> on marine ecosystems </w:t>
      </w:r>
      <w:bookmarkStart w:id="8" w:name="_Hlk215490520"/>
      <w:r w:rsidRPr="00DA2F21">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{"citationID":"cIXnPcXa","properties":{"formattedCitation":"(Gomes et al., 2024; Guibourd de Luzinais et al., 2024; Marshall et al., 2013)","plainCitation":"(Gomes et al., 2024; Guibourd de Luzinais et al., 2024; Marshall et al., 2013)","noteIndex":0},"citationItems":[{"id":2241,"uris":["http://zotero.org/users/6838574/items/IABGYB5S"],"itemData":{"id":2241,"type":"article-journal","abstract":"Abstract\n            The prevalence and intensity of marine heatwaves is increasing globally, disrupting local environmental conditions. The individual and population-level impacts of prolonged heatwaves on marine species have recently been demonstrated, yet whole-ecosystem consequences remain unexplored. We leveraged time series abundance data of 361 taxa, grouped into 86 functional groups, from six long-term surveys, diet information from a new diet database, and previous modeling efforts, to build two food web networks using an extension of the popular Ecopath ecosystem modeling framework, Ecotran. We compare ecosystem models parameterized before and after the onset of recent marine heatwaves to evaluate the cascading effects on ecosystem structure and function in the Northeast Pacific Ocean. While the ecosystem-level contribution (prey) and demand (predators) of most functional groups changed following the heatwaves, gelatinous taxa experienced the largest transformations, underscored by the arrival of northward-expanding pyrosomes. We show altered trophic relationships and energy flux have potentially profound consequences for ecosystem structure and function, and raise concerns for populations of threatened and harvested species.","container-title":"Nature Communications","DOI":"10.1038/s41467-024-46263-2","ISSN":"2041-1723","issue":"1","journalAbbreviation":"Nat Commun","language":"en","page":"1988","source":"DOI.org (Crossref)","title":"Marine heatwaves disrupt ecosystem structure and function via altered food webs and energy flux","volume":"15","author":[{"family":"Gomes","given":"Dylan G. E."},{"family":"Ruzicka","given":"James J."},{"family":"Crozier","given":"Lisa G."},{"family":"Huff","given":"David D."},{"family":"Brodeur","given":"Richard D."},{"family":"Stewart","given":"Joshua D."}],"issued":{"date-parts":[["2024",3,13]]}}},{"id":2245,"uris":["http://zotero.org/users/6838574/items/A226DI5F"],"itemData":{"id":2245,"type":"article-journal","abstract":"Ocean warming is driving significant changes in the structure and functioning of marine ecosystems, shifting species' biogeography and phenology, changing body size and biomass and altering the trophodynamics of the system. Particularly, extreme temperature events such as marine heatwaves (MHWs) have been increasing in intensity, duration and frequency. MHWs are causing large-scale impacts on marine ecosystems, such as coral bleaching, mass mortality of seagrass meadows and declines in fish stocks and other marine organisms in recent decades. In this study, we developed and applied a dynamic version of the EcoTroph trophodynamic modelling approach to study the cascading effects of individual MHW on marine ecosystem functioning. We simulated theoretical user-controlled ecosystems and explored the consequences of various assumptions of marine species mortality along the food web, associated with different MHW intensities. We show that an MHW can lead to a significant biomass reduction of all consumers, with the severity of the declines being dependent on species trophic levels (TLs) and biomes, in addition to the characteristics of MHWs. Biomass of higher TLs declines more than lower TLs under an MHW, leading to changes in ecosystem structure. While tropical ecosystems are projected to be sensitive to low-intensity MHWs, polar and temperate ecosystems are expected to be impacted by more intense MHWs. The estimated time to recover from MHW impacts is twice as long for polar ecosystems and one-third longer for temperate biomes compared with tropical biomes. This study highlights the importance of considering extreme weather events in assessing the effects of climate change on the structures and functions of marine ecosystems.","container-title":"Global Change Biology","DOI":"10.1111/gcb.17437","ISSN":"1365-2486","issue":"7","language":"en","license":"© 2024 The Author(s). Global Change Biology published by John Wiley &amp; Sons Ltd.","note":"_eprint: https://onlinelibrary.wiley.com/doi/pdf/10.1111/gcb.17437","page":"e17437","source":"Wiley Online Library","title":"Large potential impacts of marine heatwaves on ecosystem functioning","volume":"30","author":[{"family":"Guibourd de Luzinais","given":"Vianney"},{"family":"Gascuel","given":"Didier"},{"family":"Reygondeau","given":"Gabriel"},{"family":"Cheung","given":"William W. L."}],"issued":{"date-parts":[["2024"]]}}},{"id":1300,"uris":["http://zotero.org/users/6838574/items/X5PGBSRH"],"itemData":{"id":1300,"type":"article-journal","abstract":"Knowledge of vulnerability provides the foundation for developing actions that minimize impacts and supports system views that are particularly desirable. We modified a well-established model to assess and describe the vulnerability of the two major industries dependent on the Great Barrier Reef (GBR) to extreme weather events. The modification entailed distinguishing between the properties that determine exposure, sensitivity, and adaptive capacity for both the ecological and the social components of a natural resource system. We surveyed 145 commercial fishers and 62 tourism operators following a severe tropical cyclone and a major flooding event that extensively affected the region in 2011. Exposure of these industries included direct risk to life and infrastructure and indirect risk from loss of important ecosystem services. Our study found that many commercial fishers and marine-based tourism operators were sensitive to changes in the GBR’s condition and limited in their adaptive capacity. However, those with smaller businesses, higher levels of occupational identity, place attachment, formal networks, and strategic approaches also had higher levels of adaptive capacity. These results suggest that resource users with higher sensitivity to change are not necessarily the most vulnerable; sensitivity may be offset by adaptive capacity. That is, while exposure and sensitivity determine the potential impact of a climate-induced change, adaptive capacity may be a major influence on the impacts that eventuate. We empirically show that adaptive capacity is an obvious focus for climate adaptation planning.","container-title":"Ecosystems","DOI":"10.1007/s10021-013-9651-6","ISSN":"1435-0629","issue":"5","journalAbbreviation":"Ecosystems","language":"en","page":"797-809","source":"Springer Link","title":"Social Vulnerability of Marine Resource Users to Extreme Weather Events","volume":"16","author":[{"family":"Marshall","given":"Nadine A."},{"family":"Tobin","given":"Renae C."},{"family":"Marshall","given":"Paul A."},{"family":"Gooch","given":"Margaret"},{"family":"Hobday","given":"Alistair J."}],"issued":{"date-parts":[["2013",8,1]]}}}],"schema":"https://github.com/citation-style-language/schema/raw/master/csl-citation.json"} </w:instrText>
      </w:r>
      <w:r w:rsidRPr="00DA2F21">
        <w:rPr>
          <w:rFonts w:ascii="Times New Roman" w:hAnsi="Times New Roman" w:cs="Times New Roman"/>
          <w:lang w:val="en-GB"/>
        </w:rPr>
        <w:fldChar w:fldCharType="separate"/>
      </w:r>
      <w:r w:rsidRPr="002C018F">
        <w:rPr>
          <w:rFonts w:ascii="Times New Roman" w:hAnsi="Times New Roman" w:cs="Times New Roman"/>
          <w:lang w:val="en-GB"/>
        </w:rPr>
        <w:t>(Gomes et al., 2024; Guibourd de Luzinais et al., 2024; Marshall et al., 2013)</w:t>
      </w:r>
      <w:r w:rsidRPr="00DA2F21">
        <w:rPr>
          <w:rFonts w:ascii="Times New Roman" w:hAnsi="Times New Roman" w:cs="Times New Roman"/>
          <w:lang w:val="en-GB"/>
        </w:rPr>
        <w:fldChar w:fldCharType="end"/>
      </w:r>
      <w:bookmarkEnd w:id="8"/>
      <w:r>
        <w:rPr>
          <w:rFonts w:ascii="Times New Roman" w:hAnsi="Times New Roman" w:cs="Times New Roman"/>
          <w:lang w:val="en-GB"/>
        </w:rPr>
        <w:t>.</w:t>
      </w:r>
      <w:r w:rsidRPr="00DA2F21">
        <w:rPr>
          <w:rFonts w:ascii="Times New Roman" w:hAnsi="Times New Roman" w:cs="Times New Roman"/>
          <w:lang w:val="en-GB"/>
        </w:rPr>
        <w:t xml:space="preserve"> </w:t>
      </w:r>
    </w:p>
    <w:p w14:paraId="22240A5E" w14:textId="77777777" w:rsidR="00937CBC" w:rsidRDefault="00937CBC" w:rsidP="00937CBC">
      <w:pPr>
        <w:spacing w:after="0" w:line="276" w:lineRule="auto"/>
        <w:jc w:val="both"/>
        <w:rPr>
          <w:rFonts w:ascii="Times New Roman" w:hAnsi="Times New Roman" w:cs="Times New Roman"/>
          <w:lang w:val="en-GB"/>
        </w:rPr>
      </w:pPr>
    </w:p>
    <w:p w14:paraId="5BAE84F3" w14:textId="77777777" w:rsidR="00937CBC" w:rsidRDefault="00937CBC" w:rsidP="00937CBC">
      <w:pPr>
        <w:spacing w:after="0" w:line="276" w:lineRule="auto"/>
        <w:jc w:val="both"/>
        <w:rPr>
          <w:rFonts w:ascii="Times New Roman" w:hAnsi="Times New Roman" w:cs="Times New Roman"/>
          <w:lang w:val="en-US"/>
        </w:rPr>
      </w:pPr>
      <w:r>
        <w:rPr>
          <w:rFonts w:ascii="Times New Roman" w:hAnsi="Times New Roman" w:cs="Times New Roman"/>
          <w:lang w:val="en-GB"/>
        </w:rPr>
        <w:t xml:space="preserve">It is clear, nevertheless, that disruption to ecosystem and value chain can have significant impact on </w:t>
      </w:r>
      <w:r w:rsidRPr="00DA2F21">
        <w:rPr>
          <w:rFonts w:ascii="Times New Roman" w:hAnsi="Times New Roman" w:cs="Times New Roman"/>
          <w:lang w:val="en-GB"/>
        </w:rPr>
        <w:t xml:space="preserve">the </w:t>
      </w:r>
      <w:r w:rsidRPr="00DA2F21">
        <w:rPr>
          <w:rFonts w:ascii="Times New Roman" w:hAnsi="Times New Roman" w:cs="Times New Roman"/>
          <w:lang w:val="en-US"/>
        </w:rPr>
        <w:t xml:space="preserve">economic and cultural values of </w:t>
      </w:r>
      <w:commentRangeStart w:id="9"/>
      <w:commentRangeStart w:id="10"/>
      <w:r w:rsidRPr="00DA2F21">
        <w:rPr>
          <w:rFonts w:ascii="Times New Roman" w:hAnsi="Times New Roman" w:cs="Times New Roman"/>
          <w:lang w:val="en-US"/>
        </w:rPr>
        <w:t xml:space="preserve">those societal sectors </w:t>
      </w:r>
      <w:commentRangeEnd w:id="9"/>
      <w:r>
        <w:rPr>
          <w:rStyle w:val="CommentReference"/>
        </w:rPr>
        <w:commentReference w:id="9"/>
      </w:r>
      <w:commentRangeEnd w:id="10"/>
      <w:r>
        <w:rPr>
          <w:rStyle w:val="CommentReference"/>
        </w:rPr>
        <w:commentReference w:id="10"/>
      </w:r>
      <w:r w:rsidRPr="00DA2F21">
        <w:rPr>
          <w:rFonts w:ascii="Times New Roman" w:hAnsi="Times New Roman" w:cs="Times New Roman"/>
          <w:lang w:val="en-US"/>
        </w:rPr>
        <w:t>that have strong connections with the marine environment</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{"citationID":"YKApoye3","properties":{"formattedCitation":"(Eurich et al., 2024; Free et al., 2023)","plainCitation":"(Eurich et al., 2024; Free et al., 2023)","noteIndex":0},"citationItems":[{"id":2327,"uris":["http://zotero.org/users/6838574/items/8Y95I5K3"],"itemData":{"id":2327,"type":"article-journal","abstract":"Both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F."}],"issued":{"date-parts":[["2023"]]}}}],"schema":"https://github.com/citation-style-language/schema/raw/master/csl-citation.json"} </w:instrText>
      </w:r>
      <w:r>
        <w:rPr>
          <w:rFonts w:ascii="Times New Roman" w:hAnsi="Times New Roman" w:cs="Times New Roman"/>
          <w:lang w:val="en-US"/>
        </w:rPr>
        <w:fldChar w:fldCharType="separate"/>
      </w:r>
      <w:r w:rsidRPr="009D7B5D">
        <w:rPr>
          <w:rFonts w:ascii="Times New Roman" w:hAnsi="Times New Roman" w:cs="Times New Roman"/>
          <w:lang w:val="en-GB"/>
        </w:rPr>
        <w:t>(Eurich et al., 2024; Free et al., 2023)</w:t>
      </w:r>
      <w:r>
        <w:rPr>
          <w:rFonts w:ascii="Times New Roman" w:hAnsi="Times New Roman" w:cs="Times New Roman"/>
          <w:lang w:val="en-US"/>
        </w:rPr>
        <w:fldChar w:fldCharType="end"/>
      </w:r>
      <w:r w:rsidRPr="00DA2F21">
        <w:rPr>
          <w:rFonts w:ascii="Times New Roman" w:hAnsi="Times New Roman" w:cs="Times New Roman"/>
          <w:lang w:val="en-US"/>
        </w:rPr>
        <w:t xml:space="preserve">. </w:t>
      </w:r>
      <w:commentRangeEnd w:id="6"/>
      <w:r>
        <w:rPr>
          <w:rStyle w:val="CommentReference"/>
        </w:rPr>
        <w:commentReference w:id="6"/>
      </w:r>
      <w:commentRangeEnd w:id="7"/>
      <w:r>
        <w:rPr>
          <w:rStyle w:val="CommentReference"/>
        </w:rPr>
        <w:commentReference w:id="7"/>
      </w:r>
    </w:p>
    <w:p w14:paraId="512F3F15" w14:textId="77777777" w:rsidR="00937CBC" w:rsidRDefault="00937CBC" w:rsidP="00937CBC">
      <w:pPr>
        <w:spacing w:after="0" w:line="276" w:lineRule="auto"/>
        <w:jc w:val="both"/>
        <w:rPr>
          <w:rFonts w:ascii="Times New Roman" w:hAnsi="Times New Roman" w:cs="Times New Roman"/>
          <w:lang w:val="en-US"/>
        </w:rPr>
      </w:pPr>
    </w:p>
    <w:p w14:paraId="1C93FC8C" w14:textId="77777777" w:rsidR="00937CBC" w:rsidRPr="00DA2F21" w:rsidRDefault="00937CBC" w:rsidP="00937CBC">
      <w:pPr>
        <w:spacing w:after="0" w:line="276" w:lineRule="auto"/>
        <w:jc w:val="both"/>
        <w:rPr>
          <w:rFonts w:ascii="Times New Roman" w:hAnsi="Times New Roman" w:cs="Times New Roman"/>
          <w:lang w:val="en-US"/>
        </w:rPr>
      </w:pPr>
      <w:r w:rsidRPr="00DA2F21">
        <w:rPr>
          <w:rFonts w:ascii="Times New Roman" w:hAnsi="Times New Roman" w:cs="Times New Roman"/>
          <w:lang w:val="en-US"/>
        </w:rPr>
        <w:t xml:space="preserve">Fisheries are among those marine sectors where extreme weather events have a complex series of impacts, ranging from indirect effects due to the alteration of the marine ecosystem to the direct </w:t>
      </w:r>
      <w:r>
        <w:rPr>
          <w:rFonts w:ascii="Times New Roman" w:hAnsi="Times New Roman" w:cs="Times New Roman"/>
          <w:lang w:val="en-US"/>
        </w:rPr>
        <w:t>impact on</w:t>
      </w:r>
      <w:r w:rsidRPr="00DA2F21">
        <w:rPr>
          <w:rFonts w:ascii="Times New Roman" w:hAnsi="Times New Roman" w:cs="Times New Roman"/>
          <w:lang w:val="en-US"/>
        </w:rPr>
        <w:t xml:space="preserve"> physical infrastructures</w:t>
      </w:r>
      <w:r>
        <w:rPr>
          <w:rFonts w:ascii="Times New Roman" w:hAnsi="Times New Roman" w:cs="Times New Roman"/>
          <w:lang w:val="en-US"/>
        </w:rPr>
        <w:t xml:space="preserve"> and fisheries opportunities</w:t>
      </w:r>
      <w:r w:rsidRPr="00DA2F21">
        <w:rPr>
          <w:rFonts w:ascii="Times New Roman" w:hAnsi="Times New Roman" w:cs="Times New Roman"/>
          <w:lang w:val="en-US"/>
        </w:rPr>
        <w:t>.</w:t>
      </w:r>
      <w:r>
        <w:rPr>
          <w:rFonts w:ascii="Times New Roman" w:hAnsi="Times New Roman" w:cs="Times New Roman"/>
          <w:lang w:val="en-US"/>
        </w:rPr>
        <w:t xml:space="preserve"> A few examples here?</w:t>
      </w:r>
    </w:p>
    <w:bookmarkEnd w:id="3"/>
    <w:p w14:paraId="744C3A42" w14:textId="77777777" w:rsidR="00937CBC" w:rsidRPr="00DA2F21" w:rsidRDefault="00937CBC" w:rsidP="00937CBC">
      <w:pPr>
        <w:spacing w:after="0" w:line="276" w:lineRule="auto"/>
        <w:jc w:val="both"/>
        <w:rPr>
          <w:rFonts w:ascii="Times New Roman" w:hAnsi="Times New Roman" w:cs="Times New Roman"/>
          <w:lang w:val="en-US"/>
        </w:rPr>
      </w:pPr>
    </w:p>
    <w:p w14:paraId="2B63E70C" w14:textId="77777777" w:rsidR="00937CBC" w:rsidRPr="00E33197" w:rsidRDefault="00937CBC" w:rsidP="00937CBC">
      <w:pPr>
        <w:pStyle w:val="ListParagraph"/>
        <w:numPr>
          <w:ilvl w:val="0"/>
          <w:numId w:val="2"/>
        </w:numPr>
        <w:spacing w:after="0" w:line="276" w:lineRule="auto"/>
        <w:jc w:val="both"/>
        <w:rPr>
          <w:rFonts w:ascii="Times New Roman" w:hAnsi="Times New Roman" w:cs="Times New Roman"/>
          <w:lang w:val="en-US"/>
        </w:rPr>
      </w:pPr>
      <w:commentRangeStart w:id="11"/>
      <w:r w:rsidRPr="00E33197">
        <w:rPr>
          <w:rFonts w:ascii="Times New Roman" w:hAnsi="Times New Roman" w:cs="Times New Roman"/>
          <w:lang w:val="en-GB"/>
        </w:rPr>
        <w:t>Need to adapt. Diversity of people makes diversity of impacts</w:t>
      </w:r>
      <w:commentRangeEnd w:id="11"/>
      <w:r>
        <w:rPr>
          <w:rStyle w:val="CommentReference"/>
        </w:rPr>
        <w:commentReference w:id="11"/>
      </w:r>
    </w:p>
    <w:p w14:paraId="32A36E95" w14:textId="77777777" w:rsidR="00937CBC" w:rsidRDefault="00937CBC" w:rsidP="00937CBC">
      <w:pPr>
        <w:spacing w:after="0" w:line="276" w:lineRule="auto"/>
        <w:jc w:val="both"/>
        <w:rPr>
          <w:rFonts w:ascii="Times New Roman" w:hAnsi="Times New Roman" w:cs="Times New Roman"/>
          <w:lang w:val="en-US"/>
        </w:rPr>
      </w:pPr>
    </w:p>
    <w:p w14:paraId="42D61EF3" w14:textId="77777777" w:rsidR="00937CBC" w:rsidRDefault="00937CBC" w:rsidP="00937CBC">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potential danger that climate change, including extreme weather events, can pose on fisheries made many to re-think to the notion of sustainability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{"citationID":"2aEveBOe","properties":{"formattedCitation":"(Harvey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US"/>
        </w:rPr>
        <w:fldChar w:fldCharType="separate"/>
      </w:r>
      <w:r w:rsidRPr="00EA77AF">
        <w:rPr>
          <w:rFonts w:ascii="Times New Roman" w:hAnsi="Times New Roman" w:cs="Times New Roman"/>
          <w:lang w:val="en-GB"/>
        </w:rPr>
        <w:t>(Harvey et al., 2025)</w:t>
      </w:r>
      <w:r>
        <w:rPr>
          <w:rFonts w:ascii="Times New Roman" w:hAnsi="Times New Roman" w:cs="Times New Roman"/>
          <w:lang w:val="en-US"/>
        </w:rPr>
        <w:fldChar w:fldCharType="end"/>
      </w:r>
      <w:r>
        <w:rPr>
          <w:rFonts w:ascii="Times New Roman" w:hAnsi="Times New Roman" w:cs="Times New Roman"/>
          <w:lang w:val="en-US"/>
        </w:rPr>
        <w:t xml:space="preserve">. Part of new sustainability paradigm also comprehend effort devoted the development of strategies to support climate adaptation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{"citationID":"gSF3nbIt","properties":{"formattedCitation":"(Harvey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US"/>
        </w:rPr>
        <w:fldChar w:fldCharType="separate"/>
      </w:r>
      <w:r w:rsidRPr="00EA77AF">
        <w:rPr>
          <w:rFonts w:ascii="Times New Roman" w:hAnsi="Times New Roman" w:cs="Times New Roman"/>
          <w:lang w:val="en-GB"/>
        </w:rPr>
        <w:t>(Harvey et al., 2025)</w:t>
      </w:r>
      <w:r>
        <w:rPr>
          <w:rFonts w:ascii="Times New Roman" w:hAnsi="Times New Roman" w:cs="Times New Roman"/>
          <w:lang w:val="en-US"/>
        </w:rPr>
        <w:fldChar w:fldCharType="end"/>
      </w:r>
      <w:r>
        <w:rPr>
          <w:rFonts w:ascii="Times New Roman" w:hAnsi="Times New Roman" w:cs="Times New Roman"/>
          <w:lang w:val="en-US"/>
        </w:rPr>
        <w:t>.</w:t>
      </w:r>
    </w:p>
    <w:p w14:paraId="2B6E1B6F" w14:textId="77777777" w:rsidR="00937CBC" w:rsidRDefault="00937CBC" w:rsidP="00937CBC">
      <w:pPr>
        <w:spacing w:after="0" w:line="276" w:lineRule="auto"/>
        <w:jc w:val="both"/>
        <w:rPr>
          <w:rFonts w:ascii="Times New Roman" w:hAnsi="Times New Roman" w:cs="Times New Roman"/>
          <w:lang w:val="en-US"/>
        </w:rPr>
      </w:pPr>
      <w:r>
        <w:rPr>
          <w:rFonts w:ascii="Times New Roman" w:hAnsi="Times New Roman" w:cs="Times New Roman"/>
          <w:lang w:val="en-US"/>
        </w:rPr>
        <w:t xml:space="preserve">To start with, fisheries system resilience to extreme weather events depends on their ability to adapt or cope to novel conditions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{"citationID":"vO7HEyoc","properties":{"formattedCitation":"(Green et al., 2021)","plainCitation":"(Green et al., 2021)","noteIndex":0},"citationItems":[{"id":1684,"uris":["http://zotero.org/users/6838574/items/SXN4TJ5H"],"itemData":{"id":1684,"type":"article-journal","abstract":"As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B."}],"issued":{"date-parts":[["2021",1,23]]}}}],"schema":"https://github.com/citation-style-language/schema/raw/master/csl-citation.json"} </w:instrText>
      </w:r>
      <w:r>
        <w:rPr>
          <w:rFonts w:ascii="Times New Roman" w:hAnsi="Times New Roman" w:cs="Times New Roman"/>
          <w:lang w:val="en-US"/>
        </w:rPr>
        <w:fldChar w:fldCharType="separate"/>
      </w:r>
      <w:r w:rsidRPr="004D25F0">
        <w:rPr>
          <w:rFonts w:ascii="Times New Roman" w:hAnsi="Times New Roman" w:cs="Times New Roman"/>
          <w:lang w:val="en-GB"/>
        </w:rPr>
        <w:t>(Green et al., 2021)</w:t>
      </w:r>
      <w:r>
        <w:rPr>
          <w:rFonts w:ascii="Times New Roman" w:hAnsi="Times New Roman" w:cs="Times New Roman"/>
          <w:lang w:val="en-US"/>
        </w:rPr>
        <w:fldChar w:fldCharType="end"/>
      </w:r>
      <w:r>
        <w:rPr>
          <w:rFonts w:ascii="Times New Roman" w:hAnsi="Times New Roman" w:cs="Times New Roman"/>
          <w:lang w:val="en-US"/>
        </w:rPr>
        <w:t xml:space="preserve">. </w:t>
      </w:r>
    </w:p>
    <w:p w14:paraId="3A1F2BEB" w14:textId="77777777" w:rsidR="00937CBC" w:rsidRDefault="00937CBC" w:rsidP="00937CBC">
      <w:pPr>
        <w:spacing w:after="0" w:line="276" w:lineRule="auto"/>
        <w:jc w:val="both"/>
        <w:rPr>
          <w:rFonts w:ascii="Times New Roman" w:hAnsi="Times New Roman" w:cs="Times New Roman"/>
          <w:lang w:val="en-US"/>
        </w:rPr>
      </w:pPr>
      <w:bookmarkStart w:id="12" w:name="_Hlk215490825"/>
      <w:r w:rsidRPr="00DF4132">
        <w:rPr>
          <w:rFonts w:ascii="Times New Roman" w:hAnsi="Times New Roman" w:cs="Times New Roman"/>
          <w:lang w:val="en-GB"/>
        </w:rPr>
        <w:t xml:space="preserve">Fisheries are complex </w:t>
      </w:r>
      <w:r>
        <w:rPr>
          <w:rFonts w:ascii="Times New Roman" w:hAnsi="Times New Roman" w:cs="Times New Roman"/>
          <w:lang w:val="en-GB"/>
        </w:rPr>
        <w:t>interactions of</w:t>
      </w:r>
      <w:r w:rsidRPr="00DF4132">
        <w:rPr>
          <w:rFonts w:ascii="Times New Roman" w:hAnsi="Times New Roman" w:cs="Times New Roman"/>
          <w:lang w:val="en-GB"/>
        </w:rPr>
        <w:t xml:space="preserve"> </w:t>
      </w:r>
      <w:r>
        <w:rPr>
          <w:rFonts w:ascii="Times New Roman" w:hAnsi="Times New Roman" w:cs="Times New Roman"/>
          <w:lang w:val="en-GB"/>
        </w:rPr>
        <w:t xml:space="preserve">dynamics from </w:t>
      </w:r>
      <w:r w:rsidRPr="00DF4132">
        <w:rPr>
          <w:rFonts w:ascii="Times New Roman" w:hAnsi="Times New Roman" w:cs="Times New Roman"/>
          <w:lang w:val="en-GB"/>
        </w:rPr>
        <w:t xml:space="preserve">ecological (the fish), </w:t>
      </w:r>
      <w:r>
        <w:rPr>
          <w:rFonts w:ascii="Times New Roman" w:hAnsi="Times New Roman" w:cs="Times New Roman"/>
          <w:lang w:val="en-GB"/>
        </w:rPr>
        <w:t>human</w:t>
      </w:r>
      <w:r w:rsidRPr="00DF4132">
        <w:rPr>
          <w:rFonts w:ascii="Times New Roman" w:hAnsi="Times New Roman" w:cs="Times New Roman"/>
          <w:lang w:val="en-GB"/>
        </w:rPr>
        <w:t xml:space="preserve"> (the fisher) and soci</w:t>
      </w:r>
      <w:r>
        <w:rPr>
          <w:rFonts w:ascii="Times New Roman" w:hAnsi="Times New Roman" w:cs="Times New Roman"/>
          <w:lang w:val="en-GB"/>
        </w:rPr>
        <w:t>o-economic</w:t>
      </w:r>
      <w:r w:rsidRPr="00DF4132">
        <w:rPr>
          <w:rFonts w:ascii="Times New Roman" w:hAnsi="Times New Roman" w:cs="Times New Roman"/>
          <w:lang w:val="en-GB"/>
        </w:rPr>
        <w:t xml:space="preserve"> (the society </w:t>
      </w:r>
      <w:r>
        <w:rPr>
          <w:rFonts w:ascii="Times New Roman" w:hAnsi="Times New Roman" w:cs="Times New Roman"/>
          <w:lang w:val="en-GB"/>
        </w:rPr>
        <w:t xml:space="preserve">and economy </w:t>
      </w:r>
      <w:r w:rsidRPr="00DF4132">
        <w:rPr>
          <w:rFonts w:ascii="Times New Roman" w:hAnsi="Times New Roman" w:cs="Times New Roman"/>
          <w:lang w:val="en-GB"/>
        </w:rPr>
        <w:t>where the fisher is included)</w:t>
      </w:r>
      <w:r>
        <w:rPr>
          <w:rFonts w:ascii="Times New Roman" w:hAnsi="Times New Roman" w:cs="Times New Roman"/>
          <w:lang w:val="en-GB"/>
        </w:rPr>
        <w:t>. All these spheres (</w:t>
      </w:r>
      <w:r>
        <w:rPr>
          <w:rFonts w:ascii="Times New Roman" w:hAnsi="Times New Roman" w:cs="Times New Roman"/>
          <w:lang w:val="en-US"/>
        </w:rPr>
        <w:t>economic, societal and individual attributes</w:t>
      </w:r>
      <w:r>
        <w:rPr>
          <w:rFonts w:ascii="Times New Roman" w:hAnsi="Times New Roman" w:cs="Times New Roman"/>
          <w:lang w:val="en-GB"/>
        </w:rPr>
        <w:t xml:space="preserve">) </w:t>
      </w:r>
      <w:r>
        <w:rPr>
          <w:rFonts w:ascii="Times New Roman" w:hAnsi="Times New Roman" w:cs="Times New Roman"/>
          <w:lang w:val="en-US"/>
        </w:rPr>
        <w:t xml:space="preserve">contribute to shape vulnerabilities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{"citationID":"dopSUsPW","properties":{"formattedCitation":"(Li et al., 2024)","plainCitation":"(Li et al., 2024)","noteIndex":0},"citationItems":[{"id":1887,"uris":["http://zotero.org/users/6838574/items/48UH4Z4B"],"itemData":{"id":1887,"type":"article-journal","abstract":"Climate change is a new disrupter to global fisheries systems and their governance frameworks. It poses a pressing management challenge, particularly in China, which is renowned as the world’s largest fishing country and seafood producer. As climate change continues to intensify in the region and climate awareness grows within the country’s national policy, the need to understand China’s fisheries’ resilience to the escalating climate crisis becomes paramount. In this study, we conduct an interdisciplinary analysis to assess the vulnerability and risk of China’s marine capture fisheries in response to climate change. This study employs a spatially explicit, indicator-based approach with a coupled social–ecological framework, focusing on 67 species and 11 coastal regions. By integrating diverse sets of climatic, ecological, economic, societal, and governance indicators and information, we elucidate the factors that could hinder climate adaptation, including a limited understanding of fish early life stages, uncertainty in seafood production, unequal allocation and accessibility of resources, and inadequate consideration of inclusive governance and adaptive management. Our results show that species, which have managed to survive the stress of overfishing, demonstrate a remarkable ability to adapt to climate change. However, collapsing stocks such as large yellow croaker face a high risk due to the synergistic effects of inherent biological traits and external management interventions. We emphasize the imperative to build institutional, scientific, and social capacity to support fisheries adaptation. The scientific insights provided by this study can inform fisheries management decisions and promote the operationalization of climate-resilient fisheries in China and other regions.","container-title":"Proceedings of the National Academy of Sciences","DOI":"10.1073/pnas.2313773120","issue":"1","note":"publisher: Proceedings of the National Academy of Sciences","page":"e2313773120","source":"pnas.org (Atypon)","title":"Social–ecological vulnerability and risk of China’s marine capture fisheries to climate change","volume":"121","author":[{"family":"Li","given":"Yunzhou"},{"family":"Sun","given":"Ming"},{"family":"Yang","given":"Xiangyan"},{"family":"Yang","given":"Molin"},{"family":"Kleisner","given":"Kristin M."},{"family":"Mills","given":"Katherine E."},{"family":"Tang","given":"Yi"},{"family":"Du","given":"Feiyan"},{"family":"Qiu","given":"Yongsong"},{"family":"Ren","given":"Yiping"},{"family":"Chen","given":"Yong"}],"issued":{"date-parts":[["2024",1,2]]}}}],"schema":"https://github.com/citation-style-language/schema/raw/master/csl-citation.json"} </w:instrText>
      </w:r>
      <w:r>
        <w:rPr>
          <w:rFonts w:ascii="Times New Roman" w:hAnsi="Times New Roman" w:cs="Times New Roman"/>
          <w:lang w:val="en-US"/>
        </w:rPr>
        <w:fldChar w:fldCharType="separate"/>
      </w:r>
      <w:r w:rsidRPr="00BB7C59">
        <w:rPr>
          <w:rFonts w:ascii="Times New Roman" w:hAnsi="Times New Roman" w:cs="Times New Roman"/>
          <w:lang w:val="en-GB"/>
        </w:rPr>
        <w:t>(Li et al., 2024)</w:t>
      </w:r>
      <w:r>
        <w:rPr>
          <w:rFonts w:ascii="Times New Roman" w:hAnsi="Times New Roman" w:cs="Times New Roman"/>
          <w:lang w:val="en-US"/>
        </w:rPr>
        <w:fldChar w:fldCharType="end"/>
      </w:r>
      <w:r>
        <w:rPr>
          <w:rFonts w:ascii="Times New Roman" w:hAnsi="Times New Roman" w:cs="Times New Roman"/>
          <w:lang w:val="en-US"/>
        </w:rPr>
        <w:t xml:space="preserve">, and have a key role in success or failure of adaptation strategies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{"citationID":"ufn5FVLn","properties":{"formattedCitation":"(Eurich et al., 2024; Free et al., 2023; Harvey et al., 2025)","plainCitation":"(Eurich et al., 2024; Free et al., 2023; Harvey et al., 2025)","noteIndex":0},"citationItems":[{"id":2327,"uris":["http://zotero.org/users/6838574/items/8Y95I5K3"],"itemData":{"id":2327,"type":"article-journal","abstract":"Both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US"/>
        </w:rPr>
        <w:fldChar w:fldCharType="separate"/>
      </w:r>
      <w:r w:rsidRPr="00186106">
        <w:rPr>
          <w:rFonts w:ascii="Times New Roman" w:hAnsi="Times New Roman" w:cs="Times New Roman"/>
          <w:lang w:val="en-GB"/>
        </w:rPr>
        <w:t>(Eurich et al., 2024; Free et al., 2023; Harvey et al., 2025)</w:t>
      </w:r>
      <w:r>
        <w:rPr>
          <w:rFonts w:ascii="Times New Roman" w:hAnsi="Times New Roman" w:cs="Times New Roman"/>
          <w:lang w:val="en-US"/>
        </w:rPr>
        <w:fldChar w:fldCharType="end"/>
      </w:r>
      <w:r>
        <w:rPr>
          <w:rFonts w:ascii="Times New Roman" w:hAnsi="Times New Roman" w:cs="Times New Roman"/>
          <w:lang w:val="en-US"/>
        </w:rPr>
        <w:t xml:space="preserve">. </w:t>
      </w:r>
    </w:p>
    <w:bookmarkEnd w:id="12"/>
    <w:p w14:paraId="58E4B1DB" w14:textId="77777777" w:rsidR="00937CBC" w:rsidRDefault="00937CBC" w:rsidP="00937CBC">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These attributes can greatly vary among fishing styles, which are not only characterized by different behaviors and capacities but also by diverse priorities and scopes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{"citationID":"U2OBWvhg","properties":{"formattedCitation":"(Boonstra &amp; Hentati-Sundberg, 2016; Wijermans et al., 2020)","plainCitation":"(Boonstra &amp; Hentati-Sundberg, 2016; Wijermans et al., 2020)","noteIndex":0},"citationItems":[{"id":1865,"uris":["http://zotero.org/users/6838574/items/CKBQTTLQ"],"itemData":{"id":1865,"type":"article-journal","abstract":"Abstract The study and classification of fishers' behaviour remains a much debated topic. There is a tension between detailed empirical studies, which highlight the variety and diversity of fisheries, and the parsimony and generalization required to satisfy science and policy demands. This study contributes to this debate. The first section reviews quantitative methods currently used for classifying fishing practices. The review uncovers significant weaknesses in quantitative classification methods, which, we argue, can be improved through the complementary use of qualitative methods. To this purpose, we introduce the concept of ?fishing style?, which integrates quantitative classification methods with qualitative analysis. We explain the scientific premises of the fishing-style concept, outline a general methodological framework and present a fishing-style analysis of Swedish Baltic Sea fisheries. Based on these results, we conclude that it is possible to classify fishing practices in a relatively uniform and limited number of styles that can highlight the rich, empirical diversity of fishers' behaviour. We therefore propose that fishing-style analysis, based on an integration of quantitative and qualitative methods, can be an important step towards more effective and sustainable fisheries management.","container-title":"Fish and Fisheries","DOI":"10.1111/faf.12092","ISSN":"1467-2960","issue":"1","note":"publisher: John Wiley &amp; Sons, Ltd","page":"78-100","source":"onlinelibrary.wiley.com (Atypon)","title":"Classifying fishers' behaviour. An invitation to fishing styles","volume":"17","author":[{"family":"Boonstra","given":"Wiebren J"},{"family":"Hentati-Sundberg","given":"Jonas"}],"issued":{"date-parts":[["2016",3]]}}},{"id":2159,"uris":["http://zotero.org/users/6838574/items/W543JLD3"],"itemData":{"id":2159,"type":"article-journal","abstract":"Despite improved knowledge and stricter regulations, numerous fish stocks remain overharvested. Previous research has shown that fisheries management may fail when the models and assessments used to inform management are based on unrealistic assumptions regarding fishers' decision-making and responses to policies. Improving the understanding of fisher behaviour requires addressing its diversity and complexity through the integration of social science knowledge into modelling. In our paper, we review and synthesize state-of-the-art research on both social science's understanding of fisher behaviour and the representation of fisher decision-making in scientific models. We then develop and experiment with an agent-based social–ecological fisheries model that formalizes three different fishing styles. Thereby we reflect on the implications of our incorporation of behavioural diversity and contrast it with the predominant assumption in fishery models: fishing practices being driven by rational profit maximizing. We envision a next generation of fisheries models and management that account for social scientific knowledge on individual and collective human behaviours. Through our agent-based model, we demonstrate how such an integration is possible and propose a scientific approach for reducing uncertainty based on human behavioural diversity in fisheries. This study serves to lay the foundations for a next generation of social–ecological fishery models that account for human behavioural diversity and social and ecological complexity that are relevant for a realistic assessment and management of fishery sustainability problems.","container-title":"Fish and Fisheries","DOI":"10.1111/faf.12466","ISSN":"1467-2979","issue":"5","language":"en","license":"© 2020 The Authors. Fish and Fisheries published by John Wiley &amp; Sons Ltd","note":"_eprint: https://onlinelibrary.wiley.com/doi/pdf/10.1111/faf.12466","page":"872-890","source":"Wiley Online Library","title":"Behavioural diversity in fishing—Towards a next generation of fishery models","volume":"21","author":[{"family":"Wijermans","given":"Nanda"},{"family":"Boonstra","given":"Wiebren J."},{"family":"Orach","given":"Kirill"},{"family":"Hentati-Sundberg","given":"Jonas"},{"family":"Schlüter","given":"Maja"}],"issued":{"date-parts":[["2020"]]}}}],"schema":"https://github.com/citation-style-language/schema/raw/master/csl-citation.json"} </w:instrText>
      </w:r>
      <w:r>
        <w:rPr>
          <w:rFonts w:ascii="Times New Roman" w:hAnsi="Times New Roman" w:cs="Times New Roman"/>
          <w:lang w:val="en-US"/>
        </w:rPr>
        <w:fldChar w:fldCharType="separate"/>
      </w:r>
      <w:r w:rsidRPr="002C018F">
        <w:rPr>
          <w:rFonts w:ascii="Times New Roman" w:hAnsi="Times New Roman" w:cs="Times New Roman"/>
          <w:lang w:val="en-GB"/>
        </w:rPr>
        <w:t>(Boonstra &amp; Hentati-Sundberg, 2016; Wijermans et al., 2020)</w:t>
      </w:r>
      <w:r>
        <w:rPr>
          <w:rFonts w:ascii="Times New Roman" w:hAnsi="Times New Roman" w:cs="Times New Roman"/>
          <w:lang w:val="en-US"/>
        </w:rPr>
        <w:fldChar w:fldCharType="end"/>
      </w:r>
      <w:r>
        <w:rPr>
          <w:rFonts w:ascii="Times New Roman" w:hAnsi="Times New Roman" w:cs="Times New Roman"/>
          <w:lang w:val="en-US"/>
        </w:rPr>
        <w:t xml:space="preserve">. </w:t>
      </w:r>
    </w:p>
    <w:p w14:paraId="58881671" w14:textId="77777777" w:rsidR="00937CBC" w:rsidRDefault="00937CBC" w:rsidP="00937CBC">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Therefore, there is a need for a range of adaptation strategies that fit the different needs. </w:t>
      </w:r>
    </w:p>
    <w:p w14:paraId="77D1DEDD" w14:textId="77777777" w:rsidR="00937CBC" w:rsidRDefault="00937CBC" w:rsidP="00937CBC">
      <w:pPr>
        <w:spacing w:after="0" w:line="276" w:lineRule="auto"/>
        <w:jc w:val="both"/>
        <w:rPr>
          <w:rFonts w:ascii="Times New Roman" w:hAnsi="Times New Roman" w:cs="Times New Roman"/>
          <w:lang w:val="en-US"/>
        </w:rPr>
      </w:pPr>
      <w:r w:rsidRPr="00DA2F21">
        <w:rPr>
          <w:rFonts w:ascii="Times New Roman" w:hAnsi="Times New Roman" w:cs="Times New Roman"/>
          <w:lang w:val="en-GB"/>
        </w:rPr>
        <w:lastRenderedPageBreak/>
        <w:t xml:space="preserve">Small scale fisheries especially requires transdisciplinary </w:t>
      </w:r>
      <w:r w:rsidRPr="00DA2F21">
        <w:rPr>
          <w:rFonts w:ascii="Times New Roman" w:hAnsi="Times New Roman" w:cs="Times New Roman"/>
          <w:lang w:val="en-GB"/>
        </w:rPr>
        <w:fldChar w:fldCharType="begin"/>
      </w:r>
      <w:r w:rsidRPr="00DA2F21">
        <w:rPr>
          <w:rFonts w:ascii="Times New Roman" w:hAnsi="Times New Roman" w:cs="Times New Roman"/>
          <w:lang w:val="en-GB"/>
        </w:rPr>
        <w:instrText xml:space="preserve"> ADDIN ZOTERO_ITEM CSL_CITATION {"citationID":"94WNhOa9","properties":{"formattedCitation":"(Jentoft &amp; Chuenpagdee, 2019)","plainCitation":"(Jentoft &amp; Chuenpagdee, 2019)","noteIndex":0},"citationItems":[{"id":2099,"uris":["http://zotero.org/users/6838574/items/NDLG8J5Z"],"itemData":{"id":2099,"type":"chapter","abstract":"This chapter introduces the contributions and topics raised in this book by authors from around the world. It stresses the relevance of small-scale fisheries for sustainable livelihoods and communities, food security, and poverty eradication, as also emphasized in the ‘Voluntary Guidelines for Securing Sustainable Small-Scale Fisheries’ endorsed by FAO member states in 2014. The chapter advocates the need for an analytical lens and a theoretical approach to small-scale fisheries governance. ‘Interactive governance’ is held up as a useful tool for recognizing the ‘wicked problems’ that are commonly associated with the governance and governability of small-scale fisheries. The chapter lays out an argument for why it is essential to cross the disciplinary boundaries of sciences, and to ground it in the local knowledge and practice of small-scale fisheries stakeholders. Thus, the governance of small-scale fisheries must be founded on transdisciplinary perspectives in order to effectively address the multiple concerns associated with the wellbeing, viability and sustainability of small-scale fisheries and fisheries communities, which are the basic conditions for their ability to fulfill their potentials and contributions to society. The chapter also includes an overview and summary of the book contents.","container-title":"Transdisciplinarity for Small-Scale Fisheries Governance: Analysis and Practice","event-place":"Cham","ISBN":"978-3-319-94938-3","language":"en","note":"DOI: 10.1007/978-3-319-94938-3_1","page":"3-14","publisher":"Springer International Publishing","publisher-place":"Cham","source":"Springer Link","title":"The Quest for Transdisciplinarity in Small-Scale Fisheries Governance","URL":"https://doi.org/10.1007/978-3-319-94938-3_1","author":[{"family":"Jentoft","given":"Svein"},{"family":"Chuenpagdee","given":"Ratana"}],"editor":[{"family":"Chuenpagdee","given":"Ratana"},{"family":"Jentoft","given":"Svein"}],"accessed":{"date-parts":[["2025",5,23]]},"issued":{"date-parts":[["2019"]]}}}],"schema":"https://github.com/citation-style-language/schema/raw/master/csl-citation.json"} </w:instrText>
      </w:r>
      <w:r w:rsidRPr="00DA2F21">
        <w:rPr>
          <w:rFonts w:ascii="Times New Roman" w:hAnsi="Times New Roman" w:cs="Times New Roman"/>
          <w:lang w:val="en-GB"/>
        </w:rPr>
        <w:fldChar w:fldCharType="separate"/>
      </w:r>
      <w:r w:rsidRPr="00DA2F21">
        <w:rPr>
          <w:rFonts w:ascii="Times New Roman" w:hAnsi="Times New Roman" w:cs="Times New Roman"/>
          <w:lang w:val="en-GB"/>
        </w:rPr>
        <w:t>(Jentoft &amp; Chuenpagdee, 2019)</w:t>
      </w:r>
      <w:r w:rsidRPr="00DA2F21">
        <w:rPr>
          <w:rFonts w:ascii="Times New Roman" w:hAnsi="Times New Roman" w:cs="Times New Roman"/>
          <w:lang w:val="en-GB"/>
        </w:rPr>
        <w:fldChar w:fldCharType="end"/>
      </w:r>
    </w:p>
    <w:p w14:paraId="495FC11E" w14:textId="77777777" w:rsidR="00937CBC" w:rsidRDefault="00937CBC" w:rsidP="00937CBC">
      <w:pPr>
        <w:spacing w:after="0" w:line="276" w:lineRule="auto"/>
        <w:jc w:val="both"/>
        <w:rPr>
          <w:rFonts w:ascii="Times New Roman" w:hAnsi="Times New Roman" w:cs="Times New Roman"/>
          <w:lang w:val="en-US"/>
        </w:rPr>
      </w:pPr>
    </w:p>
    <w:p w14:paraId="7980670C" w14:textId="77777777" w:rsidR="00937CBC" w:rsidRPr="004D25F0" w:rsidRDefault="00937CBC" w:rsidP="00937CBC">
      <w:pPr>
        <w:spacing w:after="0" w:line="276" w:lineRule="auto"/>
        <w:jc w:val="both"/>
        <w:rPr>
          <w:rFonts w:ascii="Times New Roman" w:hAnsi="Times New Roman" w:cs="Times New Roman"/>
          <w:lang w:val="en-US"/>
        </w:rPr>
      </w:pPr>
    </w:p>
    <w:p w14:paraId="4DFE3EAE" w14:textId="77777777" w:rsidR="00937CBC" w:rsidRDefault="00937CBC" w:rsidP="00937CBC">
      <w:pPr>
        <w:pStyle w:val="ListParagraph"/>
        <w:numPr>
          <w:ilvl w:val="0"/>
          <w:numId w:val="2"/>
        </w:numPr>
        <w:spacing w:after="0" w:line="276" w:lineRule="auto"/>
        <w:jc w:val="both"/>
        <w:rPr>
          <w:rFonts w:ascii="Times New Roman" w:hAnsi="Times New Roman" w:cs="Times New Roman"/>
          <w:lang w:val="en-US"/>
        </w:rPr>
      </w:pPr>
      <w:r w:rsidRPr="00DA2F21">
        <w:rPr>
          <w:rFonts w:ascii="Times New Roman" w:hAnsi="Times New Roman" w:cs="Times New Roman"/>
          <w:lang w:val="en-US"/>
        </w:rPr>
        <w:t>Highlighting poor knowledge of the relation between weather events and fishing practice</w:t>
      </w:r>
    </w:p>
    <w:p w14:paraId="2DB774DA" w14:textId="77777777" w:rsidR="00937CBC" w:rsidRDefault="00937CBC" w:rsidP="00937CBC">
      <w:pPr>
        <w:spacing w:after="0" w:line="276" w:lineRule="auto"/>
        <w:jc w:val="both"/>
        <w:rPr>
          <w:rFonts w:ascii="Times New Roman" w:hAnsi="Times New Roman" w:cs="Times New Roman"/>
          <w:lang w:val="en-US"/>
        </w:rPr>
      </w:pPr>
      <w:r>
        <w:rPr>
          <w:rFonts w:ascii="Times New Roman" w:hAnsi="Times New Roman" w:cs="Times New Roman"/>
          <w:lang w:val="en-US"/>
        </w:rPr>
        <w:t xml:space="preserve">The heatwaves in the pacific coast of the unites states triggered several studies on the effects of extreme events on fisheries systems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{"citationID":"l1vznFcB","properties":{"formattedCitation":"(Eurich et al., 2024; Free et al., 2023)","plainCitation":"(Eurich et al., 2024; Free et al., 2023)","noteIndex":0},"citationItems":[{"id":2327,"uris":["http://zotero.org/users/6838574/items/8Y95I5K3"],"itemData":{"id":2327,"type":"article-journal","abstract":"Both the ecological and social dimensions of fisheries are being affected by climate change. As a result, policymakers, managers, scientists and fishing communities are seeking guidance on how to holistically build resilience to climate change. Numerous studies have highlighted key attributes of resilience in fisheries, yet concrete examples that explicitly link these attributes to social-ecological outcomes are lacking. To better understand climate resilience, we assembled 18 case studies spanning ecological, socio-economic, governance and geographic contexts. Using a novel framework for evaluating 38 resilience attributes, the case studies were systematically assessed to understand how attributes enable or inhibit resilience to a given climate stressor. We found population abundance, learning capacity, and responsive governance were the most important attributes for conferring resilience, with ecosystem connectivity, place attachment, and accountable governance scoring the strongest across the climate-resilient fisheries. We used these responses to develop an attribute typology that describes robust sources of resilience, actionable priority attributes and attributes that are case specific or require research. We identified five fishery archetypes to guide stakeholders as they set long-term goals and prioritize actions to improve resilience. Lastly, we found evidence for two pathways to resilience: (1) building ecological assets and strengthening communities, which we observed in rural and small-scale fisheries, and (2) building economic assets and improving effective governance, which was demonstrated in urban and wealthy fisheries. Our synthesis presents a novel framework that can be directly applied to identify approaches, pathways and actionable levers for improving climate resilience in fishery systems.","container-title":"Fish and Fisheries","DOI":"10.1111/faf.12790","ISSN":"1467-2979","issue":"1","language":"en","license":"© 2023 The Authors. Fish and Fisheries published by John Wiley &amp; Sons Ltd.","note":"_eprint: https://onlinelibrary.wiley.com/doi/pdf/10.1111/faf.12790","page":"38-59","source":"Wiley Online Library","title":"Diverse pathways for climate resilience in marine fishery systems","volume":"25","author":[{"family":"Eurich","given":"Jacob G."},{"family":"Friedman","given":"Whitney R."},{"family":"Kleisner","given":"Kristin M."},{"family":"Zhao","given":"Lily Z."},{"family":"Free","given":"Christopher M."},{"family":"Fletcher","given":"Meghan"},{"family":"Mason","given":"Julia G."},{"family":"Tokunaga","given":"Kanae"},{"family":"Aguion","given":"Alba"},{"family":"Dell'Apa","given":"Andrea"},{"family":"Dickey-Collas","given":"Mark"},{"family":"Fujita","given":"Rod"},{"family":"Golden","given":"Christopher D."},{"family":"Hollowed","given":"Anne B."},{"family":"Ishimura","given":"Gakushi"},{"family":"Karr","given":"Kendra A."},{"family":"Kasperski","given":"Stephen"},{"family":"Kisara","given":"Yuga"},{"family":"Lau","given":"Jacqueline D."},{"family":"Mangubhai","given":"Sangeeta"},{"family":"Osman","given":"Layla"},{"family":"Pecl","given":"Gretta T."},{"family":"Schmidt","given":"Jörn O."},{"family":"Allison","given":"Edward H."},{"family":"Sullivan","given":"Patrick J."},{"family":"Cinner","given":"Joshua E."},{"family":"Griffis","given":"Roger B."},{"family":"McClanahan","given":"Timothy R."},{"family":"Stedman","given":"Richard C."},{"family":"Mills","given":"Katherine E."}],"issued":{"date-parts":[["2024"]]}}},{"id":1839,"uris":["http://zotero.org/users/6838574/items/IC26K2ZV"],"itemData":{"id":1839,"type":"article-journal","abstract":"Marine heatwaves are increasingly affecting marine ecosystems, with cascading impacts on coastal economies, communities, and food systems. Studies of heatwaves provide crucial insights into potential ecosystem shifts under future climate change and put fisheries social-ecological systems through “stress tests” that expose both vulnerabilities and resilience. The 2014–16 Northeast Pacific heatwave was the strongest and longest marine heatwave on record and resulted in profound ecological changes that impacted fisheries, fisheries management, and human livelihoods. Here, we synthesize the impacts of the 2014–2016 marine heatwave on US and Canada West Coast fisheries and extract key lessons for preparing global fisheries science, management, and industries for the future. We set the stage with a brief review of the impacts of the heatwave on marine ecosystems and the first systematic analysis of the economic impacts of these changes on commercial and recreational fisheries. We then examine ten key case studies that provide instructive examples of the complex and surprising challenges that heatwaves pose to fisheries social-ecological systems. These reveal important insights into improving the resilience of monitoring and management and increasing adaptive capacity to future stressors. Key recommendations include: (1) expanding monitoring to enhance mechanistic understanding, provide early warning signals, and improve predictions of impacts; (2) increasing the flexibility, adaptiveness, and inclusiveness of management where possible; (3) using simulation testing to help guide management decisions; and (4) enhancing the adaptive capacity of fishing communities by promoting engagement, flexibility, experimentation, and failsafes. These advancements are important as global fisheries prepare for a changing ocean.","container-title":"Fish and Fisheries","DOI":"10.1111/faf.12753","ISSN":"1467-2979","issue":"4","language":"en","note":"_eprint: https://onlinelibrary.wiley.com/doi/pdf/10.1111/faf.12753","page":"652-674","source":"Wiley Online Library","title":"Impact of the 2014–2016 marine heatwave on US and Canada West Coast fisheries: Surprises and lessons from key case studies","title-short":"Impact of the 2014–2016 marine heatwave on US and Canada West Coast fisheries","volume":"24","author":[{"family":"Free","given":"Christopher M."},{"family":"Anderson","given":"Sean C."},{"family":"Hellmers","given":"Elizabeth A."},{"family":"Muhling","given":"Barbara A."},{"family":"Navarro","given":"Michael O."},{"family":"Richerson","given":"Kate"},{"family":"Rogers","given":"Lauren A."},{"family":"Satterthwaite","given":"William H."},{"family":"Thompson","given":"Andrew R."},{"family":"Burt","given":"Jenn M."},{"family":"Gaines","given":"Steven D."},{"family":"Marshall","given":"Kristin N."},{"family":"White","given":"J. Wilson"},{"family":"Bellquist","given":"Lyall F."}],"issued":{"date-parts":[["2023"]]}}}],"schema":"https://github.com/citation-style-language/schema/raw/master/csl-citation.json"} </w:instrText>
      </w:r>
      <w:r>
        <w:rPr>
          <w:rFonts w:ascii="Times New Roman" w:hAnsi="Times New Roman" w:cs="Times New Roman"/>
          <w:lang w:val="en-US"/>
        </w:rPr>
        <w:fldChar w:fldCharType="separate"/>
      </w:r>
      <w:r w:rsidRPr="002C018F">
        <w:rPr>
          <w:rFonts w:ascii="Times New Roman" w:hAnsi="Times New Roman" w:cs="Times New Roman"/>
          <w:lang w:val="en-GB"/>
        </w:rPr>
        <w:t>(Eurich et al., 2024; Free et al., 2023)</w:t>
      </w:r>
      <w:r>
        <w:rPr>
          <w:rFonts w:ascii="Times New Roman" w:hAnsi="Times New Roman" w:cs="Times New Roman"/>
          <w:lang w:val="en-US"/>
        </w:rPr>
        <w:fldChar w:fldCharType="end"/>
      </w:r>
      <w:r>
        <w:rPr>
          <w:rFonts w:ascii="Times New Roman" w:hAnsi="Times New Roman" w:cs="Times New Roman"/>
          <w:lang w:val="en-US"/>
        </w:rPr>
        <w:t xml:space="preserve">. </w:t>
      </w:r>
      <w:commentRangeStart w:id="13"/>
      <w:commentRangeStart w:id="14"/>
      <w:r>
        <w:rPr>
          <w:rFonts w:ascii="Times New Roman" w:hAnsi="Times New Roman" w:cs="Times New Roman"/>
          <w:lang w:val="en-US"/>
        </w:rPr>
        <w:t xml:space="preserve">The knowledge is uneven: lots for heatwaves, large scale fisheries, coastal fisheries. </w:t>
      </w:r>
      <w:commentRangeStart w:id="15"/>
      <w:r>
        <w:rPr>
          <w:rFonts w:ascii="Times New Roman" w:hAnsi="Times New Roman" w:cs="Times New Roman"/>
          <w:lang w:val="en-US"/>
        </w:rPr>
        <w:t xml:space="preserve">Knowledge gaps in other events, recreational fisheries, fishing guides. </w:t>
      </w:r>
      <w:commentRangeEnd w:id="15"/>
      <w:r>
        <w:rPr>
          <w:rStyle w:val="CommentReference"/>
        </w:rPr>
        <w:commentReference w:id="15"/>
      </w:r>
      <w:r>
        <w:rPr>
          <w:rFonts w:ascii="Times New Roman" w:hAnsi="Times New Roman" w:cs="Times New Roman"/>
          <w:lang w:val="en-US"/>
        </w:rPr>
        <w:t xml:space="preserve">. </w:t>
      </w:r>
      <w:commentRangeEnd w:id="13"/>
      <w:r>
        <w:rPr>
          <w:rStyle w:val="CommentReference"/>
        </w:rPr>
        <w:commentReference w:id="13"/>
      </w:r>
      <w:commentRangeEnd w:id="14"/>
      <w:r>
        <w:rPr>
          <w:rStyle w:val="CommentReference"/>
        </w:rPr>
        <w:commentReference w:id="14"/>
      </w:r>
      <w:r>
        <w:rPr>
          <w:rFonts w:ascii="Times New Roman" w:hAnsi="Times New Roman" w:cs="Times New Roman"/>
          <w:lang w:val="en-US"/>
        </w:rPr>
        <w:t xml:space="preserve"> There is need to incorporate social and economic information to evaluate fishing management and to assess readiness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{"citationID":"YQam4wGP","properties":{"formattedCitation":"(Harvey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US"/>
        </w:rPr>
        <w:fldChar w:fldCharType="separate"/>
      </w:r>
      <w:r w:rsidRPr="00EA77AF">
        <w:rPr>
          <w:rFonts w:ascii="Times New Roman" w:hAnsi="Times New Roman" w:cs="Times New Roman"/>
          <w:lang w:val="en-GB"/>
        </w:rPr>
        <w:t>(Harvey et al., 2025)</w:t>
      </w:r>
      <w:r>
        <w:rPr>
          <w:rFonts w:ascii="Times New Roman" w:hAnsi="Times New Roman" w:cs="Times New Roman"/>
          <w:lang w:val="en-US"/>
        </w:rPr>
        <w:fldChar w:fldCharType="end"/>
      </w:r>
    </w:p>
    <w:p w14:paraId="720A884A" w14:textId="77777777" w:rsidR="00937CBC" w:rsidRDefault="00937CBC" w:rsidP="00937CBC">
      <w:pPr>
        <w:spacing w:after="0" w:line="276" w:lineRule="auto"/>
        <w:jc w:val="both"/>
        <w:rPr>
          <w:rFonts w:ascii="Times New Roman" w:hAnsi="Times New Roman" w:cs="Times New Roman"/>
          <w:lang w:val="en-US"/>
        </w:rPr>
      </w:pPr>
    </w:p>
    <w:p w14:paraId="191B6876" w14:textId="77777777" w:rsidR="00937CBC" w:rsidRPr="007F46A2" w:rsidRDefault="00937CBC" w:rsidP="00937CBC">
      <w:pPr>
        <w:pStyle w:val="ListParagraph"/>
        <w:numPr>
          <w:ilvl w:val="0"/>
          <w:numId w:val="2"/>
        </w:numPr>
        <w:spacing w:after="0" w:line="276" w:lineRule="auto"/>
        <w:jc w:val="both"/>
        <w:rPr>
          <w:rFonts w:ascii="Times New Roman" w:hAnsi="Times New Roman" w:cs="Times New Roman"/>
          <w:lang w:val="en-US"/>
        </w:rPr>
      </w:pPr>
      <w:bookmarkStart w:id="16" w:name="_Hlk215487696"/>
      <w:r>
        <w:rPr>
          <w:rFonts w:ascii="Times New Roman" w:hAnsi="Times New Roman" w:cs="Times New Roman"/>
          <w:lang w:val="en-US"/>
        </w:rPr>
        <w:t>Research question</w:t>
      </w:r>
    </w:p>
    <w:p w14:paraId="4B8327CC" w14:textId="77777777" w:rsidR="00937CBC" w:rsidRDefault="00937CBC" w:rsidP="00937CBC">
      <w:pPr>
        <w:spacing w:after="0" w:line="276" w:lineRule="auto"/>
        <w:jc w:val="both"/>
        <w:rPr>
          <w:rFonts w:ascii="Times New Roman" w:hAnsi="Times New Roman" w:cs="Times New Roman"/>
          <w:lang w:val="en-US"/>
        </w:rPr>
      </w:pPr>
      <w:bookmarkStart w:id="17" w:name="_Hlk215487702"/>
      <w:bookmarkEnd w:id="16"/>
      <w:r>
        <w:rPr>
          <w:rFonts w:ascii="Times New Roman" w:hAnsi="Times New Roman" w:cs="Times New Roman"/>
          <w:lang w:val="en-US"/>
        </w:rPr>
        <w:t xml:space="preserve">The extreme weather events unpredictability and the fisheries systems complexity </w:t>
      </w:r>
      <w:r>
        <w:rPr>
          <w:rFonts w:ascii="Times New Roman" w:hAnsi="Times New Roman" w:cs="Times New Roman"/>
          <w:lang w:val="en-GB"/>
        </w:rPr>
        <w:t xml:space="preserve">pose a challenge to understand what can happen in future. </w:t>
      </w:r>
      <w:r w:rsidRPr="00A45927">
        <w:rPr>
          <w:rFonts w:ascii="Times New Roman" w:hAnsi="Times New Roman" w:cs="Times New Roman"/>
          <w:lang w:val="en-US"/>
        </w:rPr>
        <w:t xml:space="preserve">Creation of a conceptual framework to describe the causal pathways of the climatic impact on fisheries </w:t>
      </w:r>
      <w:r>
        <w:rPr>
          <w:rFonts w:ascii="Times New Roman" w:hAnsi="Times New Roman" w:cs="Times New Roman"/>
          <w:lang w:val="en-US"/>
        </w:rPr>
        <w:t>is helpful</w:t>
      </w:r>
      <w:r w:rsidRPr="00A45927">
        <w:rPr>
          <w:rFonts w:ascii="Times New Roman" w:hAnsi="Times New Roman" w:cs="Times New Roman"/>
          <w:lang w:val="en-US"/>
        </w:rPr>
        <w:t xml:space="preserve"> </w:t>
      </w:r>
      <w:r w:rsidRPr="00A45927">
        <w:rPr>
          <w:rFonts w:ascii="Times New Roman" w:hAnsi="Times New Roman" w:cs="Times New Roman"/>
          <w:lang w:val="en-US"/>
        </w:rPr>
        <w:fldChar w:fldCharType="begin"/>
      </w:r>
      <w:r w:rsidRPr="00A45927">
        <w:rPr>
          <w:rFonts w:ascii="Times New Roman" w:hAnsi="Times New Roman" w:cs="Times New Roman"/>
          <w:lang w:val="en-US"/>
        </w:rPr>
        <w:instrText xml:space="preserve"> ADDIN ZOTERO_ITEM CSL_CITATION {"citationID":"29VQuWlR","properties":{"formattedCitation":"(de Carvalho et al., 2023)","plainCitation":"(de Carvalho et al., 2023)","noteIndex":0},"citationItems":[{"id":1625,"uris":["http://zotero.org/users/6838574/items/WLG92JLZ"],"itemData":{"id":1625,"type":"article-journal","abstract":"Climate change has had profound effects on coastal ecosystems, including sea level rise, ocean acidification, and extreme weather events. These impacts have left vulnerable populations in coastal areas, particularly fishing communities, struggling to maintain their livelihoods, subsistence, and cultural practices that rely on a healthy ecosystem. The existing body of research has examined the impacts of climate change on fishing communities and their perceptions and responses to environmental issues. However, these studies have employed diverse conceptual and methodological approaches. Therefore, our study aimed to identify the key concepts, frameworks, challenges, and trends evident in these previous studies. To achieve this objective, we conducted a comprehensive literature review of 34 papers and employed both quantitative and qualitative analyses to evaluate them. Our analysis revealed several primary challenges encountered in these studies, including insufficient data availability, variations in data quality, difficulties in effective communication with local communities, and inadequate inclusion of women's knowledge and perspectives. By recognizing these challenges, we can highlight areas for improvement and further research. The findings of our study indicate that the most prevalent frameworks utilized in the selected studies can be classified into three groups: “Local knowledge,” which focused on understanding the perceptions of climate change impacts among small-scale fishers; “Vulnerability,” which aimed to comprehend the components and measurements of vulnerability in fishing communities; and “Adaptation and Resilience,” which explored how these communities respond to climatic events. Furthermore, our study identified emerging trends in the development of research on local knowledge, gender roles, and adaptive capacity within fishing communities. In conclusion, this study serves as a general guide and starting point for refining and enhancing frameworks used to investigate the effects of climate change on small-scale fisheries.","container-title":"Ocean &amp; Coastal Management","DOI":"10.1016/j.ocecoaman.2023.106754","ISSN":"0964-5691","journalAbbreviation":"Ocean &amp; Coastal Management","page":"106754","source":"ScienceDirect","title":"Climate change adaptation frameworks in fishing communities: A systematic review","title-short":"Climate change adaptation frameworks in fishing communities","volume":"243","author":[{"family":"Carvalho","given":"Danielle Almeida","non-dropping-particle":"de"},{"family":"Amaral","given":"Silvana"},{"family":"Alves","given":"Lincoln Muniz"}],"issued":{"date-parts":[["2023",9,1]]}}}],"schema":"https://github.com/citation-style-language/schema/raw/master/csl-citation.json"} </w:instrText>
      </w:r>
      <w:r w:rsidRPr="00A45927">
        <w:rPr>
          <w:rFonts w:ascii="Times New Roman" w:hAnsi="Times New Roman" w:cs="Times New Roman"/>
          <w:lang w:val="en-US"/>
        </w:rPr>
        <w:fldChar w:fldCharType="separate"/>
      </w:r>
      <w:r w:rsidRPr="00A45927">
        <w:rPr>
          <w:rFonts w:ascii="Times New Roman" w:hAnsi="Times New Roman" w:cs="Times New Roman"/>
          <w:lang w:val="en-GB"/>
        </w:rPr>
        <w:t>(de Carvalho et al., 2023)</w:t>
      </w:r>
      <w:r w:rsidRPr="00A45927">
        <w:rPr>
          <w:rFonts w:ascii="Times New Roman" w:hAnsi="Times New Roman" w:cs="Times New Roman"/>
          <w:lang w:val="en-US"/>
        </w:rPr>
        <w:fldChar w:fldCharType="end"/>
      </w:r>
      <w:r>
        <w:rPr>
          <w:rFonts w:ascii="Times New Roman" w:hAnsi="Times New Roman" w:cs="Times New Roman"/>
          <w:lang w:val="en-US"/>
        </w:rPr>
        <w:t xml:space="preserve">. </w:t>
      </w:r>
    </w:p>
    <w:p w14:paraId="019A880B" w14:textId="77777777" w:rsidR="00937CBC" w:rsidRDefault="00937CBC" w:rsidP="00937CBC">
      <w:pPr>
        <w:spacing w:after="0" w:line="276" w:lineRule="auto"/>
        <w:jc w:val="both"/>
        <w:rPr>
          <w:rFonts w:ascii="Times New Roman" w:hAnsi="Times New Roman" w:cs="Times New Roman"/>
          <w:lang w:val="en-US"/>
        </w:rPr>
      </w:pPr>
      <w:commentRangeStart w:id="18"/>
      <w:commentRangeStart w:id="19"/>
      <w:commentRangeStart w:id="20"/>
      <w:r>
        <w:rPr>
          <w:rFonts w:ascii="Times New Roman" w:hAnsi="Times New Roman" w:cs="Times New Roman"/>
          <w:lang w:val="en-US"/>
        </w:rPr>
        <w:t>Research question</w:t>
      </w:r>
      <w:commentRangeEnd w:id="18"/>
      <w:r>
        <w:rPr>
          <w:rStyle w:val="CommentReference"/>
        </w:rPr>
        <w:commentReference w:id="18"/>
      </w:r>
      <w:commentRangeEnd w:id="19"/>
      <w:r>
        <w:rPr>
          <w:rStyle w:val="CommentReference"/>
        </w:rPr>
        <w:commentReference w:id="19"/>
      </w:r>
      <w:commentRangeEnd w:id="20"/>
      <w:r>
        <w:rPr>
          <w:rStyle w:val="CommentReference"/>
        </w:rPr>
        <w:commentReference w:id="20"/>
      </w:r>
      <w:r>
        <w:rPr>
          <w:rFonts w:ascii="Times New Roman" w:hAnsi="Times New Roman" w:cs="Times New Roman"/>
          <w:lang w:val="en-US"/>
        </w:rPr>
        <w:t xml:space="preserve">(s): </w:t>
      </w:r>
      <w:commentRangeStart w:id="21"/>
      <w:r>
        <w:rPr>
          <w:rFonts w:ascii="Times New Roman" w:hAnsi="Times New Roman" w:cs="Times New Roman"/>
          <w:lang w:val="en-US"/>
        </w:rPr>
        <w:t xml:space="preserve">how </w:t>
      </w:r>
      <w:commentRangeEnd w:id="21"/>
      <w:r>
        <w:rPr>
          <w:rStyle w:val="CommentReference"/>
        </w:rPr>
        <w:commentReference w:id="21"/>
      </w:r>
      <w:r w:rsidRPr="0054471D">
        <w:rPr>
          <w:rFonts w:ascii="Times New Roman" w:hAnsi="Times New Roman" w:cs="Times New Roman"/>
          <w:lang w:val="en-US"/>
        </w:rPr>
        <w:t xml:space="preserve"> </w:t>
      </w:r>
      <w:r>
        <w:rPr>
          <w:rFonts w:ascii="Times New Roman" w:hAnsi="Times New Roman" w:cs="Times New Roman"/>
          <w:lang w:val="en-US"/>
        </w:rPr>
        <w:t>Are the direct effects of extreme weather events</w:t>
      </w:r>
      <w:r w:rsidRPr="00223961">
        <w:rPr>
          <w:rFonts w:ascii="Times New Roman" w:hAnsi="Times New Roman" w:cs="Times New Roman"/>
          <w:lang w:val="en-US"/>
        </w:rPr>
        <w:t xml:space="preserve"> </w:t>
      </w:r>
      <w:r>
        <w:rPr>
          <w:rFonts w:ascii="Times New Roman" w:hAnsi="Times New Roman" w:cs="Times New Roman"/>
          <w:lang w:val="en-US"/>
        </w:rPr>
        <w:t>on</w:t>
      </w:r>
      <w:r w:rsidRPr="00223961">
        <w:rPr>
          <w:rFonts w:ascii="Times New Roman" w:hAnsi="Times New Roman" w:cs="Times New Roman"/>
          <w:lang w:val="en-US"/>
        </w:rPr>
        <w:t xml:space="preserve"> Swedish fisheries</w:t>
      </w:r>
      <w:r>
        <w:rPr>
          <w:rFonts w:ascii="Times New Roman" w:hAnsi="Times New Roman" w:cs="Times New Roman"/>
          <w:lang w:val="en-US"/>
        </w:rPr>
        <w:t xml:space="preserve"> an economic, or a non-monetary risk</w:t>
      </w:r>
      <w:r w:rsidRPr="00223961">
        <w:rPr>
          <w:rFonts w:ascii="Times New Roman" w:hAnsi="Times New Roman" w:cs="Times New Roman"/>
          <w:lang w:val="en-US"/>
        </w:rPr>
        <w:t xml:space="preserve">? Which fishing styles are mostly exposed to </w:t>
      </w:r>
      <w:r>
        <w:rPr>
          <w:rFonts w:ascii="Times New Roman" w:hAnsi="Times New Roman" w:cs="Times New Roman"/>
          <w:lang w:val="en-US"/>
        </w:rPr>
        <w:t xml:space="preserve">the direct effects of </w:t>
      </w:r>
      <w:r w:rsidRPr="00223961">
        <w:rPr>
          <w:rFonts w:ascii="Times New Roman" w:hAnsi="Times New Roman" w:cs="Times New Roman"/>
          <w:lang w:val="en-US"/>
        </w:rPr>
        <w:t xml:space="preserve">extreme weather events? </w:t>
      </w:r>
      <w:r>
        <w:rPr>
          <w:rFonts w:ascii="Times New Roman" w:hAnsi="Times New Roman" w:cs="Times New Roman"/>
          <w:lang w:val="en-US"/>
        </w:rPr>
        <w:t>Is implementing more flexible management helping to reduce the direct effects of extreme weather events? Extra: is it reducing the risks of the direct effect of a shortage of credits? Is any adaptation strategy meaningful if the stock status is not good?</w:t>
      </w:r>
    </w:p>
    <w:p w14:paraId="2061B3B0" w14:textId="77777777" w:rsidR="00937CBC" w:rsidRDefault="00937CBC" w:rsidP="00937CBC">
      <w:pPr>
        <w:spacing w:after="0" w:line="276" w:lineRule="auto"/>
        <w:jc w:val="both"/>
        <w:rPr>
          <w:rFonts w:ascii="Times New Roman" w:hAnsi="Times New Roman" w:cs="Times New Roman"/>
          <w:lang w:val="en-US"/>
        </w:rPr>
      </w:pPr>
    </w:p>
    <w:p w14:paraId="5F37286D" w14:textId="77777777" w:rsidR="00937CBC" w:rsidRDefault="00937CBC" w:rsidP="00937CBC">
      <w:pPr>
        <w:spacing w:after="0" w:line="276" w:lineRule="auto"/>
        <w:jc w:val="both"/>
        <w:rPr>
          <w:rFonts w:ascii="Times New Roman" w:hAnsi="Times New Roman" w:cs="Times New Roman"/>
          <w:b/>
          <w:bCs/>
          <w:lang w:val="en-GB"/>
        </w:rPr>
      </w:pPr>
      <w:r>
        <w:rPr>
          <w:rFonts w:ascii="Times New Roman" w:hAnsi="Times New Roman" w:cs="Times New Roman"/>
          <w:b/>
          <w:bCs/>
          <w:lang w:val="en-GB"/>
        </w:rPr>
        <w:t>We set out to explore h</w:t>
      </w:r>
      <w:r w:rsidRPr="009678EF">
        <w:rPr>
          <w:rFonts w:ascii="Times New Roman" w:hAnsi="Times New Roman" w:cs="Times New Roman"/>
          <w:b/>
          <w:bCs/>
          <w:lang w:val="en-GB"/>
        </w:rPr>
        <w:t>ow do extreme weather events affect fisheries operation</w:t>
      </w:r>
      <w:r>
        <w:rPr>
          <w:rFonts w:ascii="Times New Roman" w:hAnsi="Times New Roman" w:cs="Times New Roman"/>
          <w:b/>
          <w:bCs/>
          <w:lang w:val="en-GB"/>
        </w:rPr>
        <w:t xml:space="preserve"> in a comprehensive set of fishing styles. The </w:t>
      </w:r>
    </w:p>
    <w:p w14:paraId="6216B97F" w14:textId="77777777" w:rsidR="00937CBC" w:rsidRPr="009678EF" w:rsidRDefault="00937CBC" w:rsidP="00937CBC">
      <w:pPr>
        <w:spacing w:after="0" w:line="276" w:lineRule="auto"/>
        <w:jc w:val="both"/>
        <w:rPr>
          <w:rFonts w:ascii="Times New Roman" w:hAnsi="Times New Roman" w:cs="Times New Roman"/>
          <w:b/>
          <w:bCs/>
          <w:lang w:val="en-GB"/>
        </w:rPr>
      </w:pPr>
      <w:r>
        <w:rPr>
          <w:rFonts w:ascii="Times New Roman" w:hAnsi="Times New Roman" w:cs="Times New Roman"/>
          <w:b/>
          <w:bCs/>
          <w:lang w:val="en-GB"/>
        </w:rPr>
        <w:t>A</w:t>
      </w:r>
      <w:r w:rsidRPr="009678EF">
        <w:rPr>
          <w:rFonts w:ascii="Times New Roman" w:hAnsi="Times New Roman" w:cs="Times New Roman"/>
          <w:b/>
          <w:bCs/>
          <w:lang w:val="en-GB"/>
        </w:rPr>
        <w:t xml:space="preserve">re the economic, individual and societal </w:t>
      </w:r>
      <w:r>
        <w:rPr>
          <w:rFonts w:ascii="Times New Roman" w:hAnsi="Times New Roman" w:cs="Times New Roman"/>
          <w:b/>
          <w:bCs/>
          <w:lang w:val="en-GB"/>
        </w:rPr>
        <w:t xml:space="preserve">values at </w:t>
      </w:r>
      <w:r w:rsidRPr="009678EF">
        <w:rPr>
          <w:rFonts w:ascii="Times New Roman" w:hAnsi="Times New Roman" w:cs="Times New Roman"/>
          <w:b/>
          <w:bCs/>
          <w:lang w:val="en-GB"/>
        </w:rPr>
        <w:t>risks</w:t>
      </w:r>
      <w:r>
        <w:rPr>
          <w:rFonts w:ascii="Times New Roman" w:hAnsi="Times New Roman" w:cs="Times New Roman"/>
          <w:b/>
          <w:bCs/>
          <w:lang w:val="en-GB"/>
        </w:rPr>
        <w:t>? How is this</w:t>
      </w:r>
      <w:r w:rsidRPr="009678EF">
        <w:rPr>
          <w:rFonts w:ascii="Times New Roman" w:hAnsi="Times New Roman" w:cs="Times New Roman"/>
          <w:b/>
          <w:bCs/>
          <w:lang w:val="en-GB"/>
        </w:rPr>
        <w:t xml:space="preserve"> influenced by management, credits and stock status?</w:t>
      </w:r>
    </w:p>
    <w:bookmarkEnd w:id="17"/>
    <w:p w14:paraId="4F57A74C" w14:textId="77777777" w:rsidR="00E64A08" w:rsidRDefault="00E64A08" w:rsidP="00510511">
      <w:pPr>
        <w:rPr>
          <w:lang w:val="en-GB"/>
        </w:rPr>
      </w:pPr>
    </w:p>
    <w:p w14:paraId="3B2249DD" w14:textId="77777777" w:rsidR="00510511" w:rsidRDefault="00510511" w:rsidP="00510511">
      <w:pPr>
        <w:rPr>
          <w:lang w:val="en-GB"/>
        </w:rPr>
      </w:pPr>
    </w:p>
    <w:p w14:paraId="7EC1B032" w14:textId="77777777" w:rsidR="00510511" w:rsidRDefault="00510511" w:rsidP="00510511">
      <w:pPr>
        <w:rPr>
          <w:lang w:val="en-GB"/>
        </w:rPr>
      </w:pPr>
    </w:p>
    <w:p w14:paraId="392E55E0" w14:textId="77777777" w:rsidR="006C7A83" w:rsidRDefault="006C7A83" w:rsidP="006C7A83">
      <w:pPr>
        <w:spacing w:after="0" w:line="276" w:lineRule="auto"/>
        <w:rPr>
          <w:rFonts w:ascii="Times New Roman" w:hAnsi="Times New Roman" w:cs="Times New Roman"/>
          <w:lang w:val="en-GB"/>
        </w:rPr>
      </w:pPr>
      <w:r>
        <w:rPr>
          <w:rFonts w:ascii="Times New Roman" w:hAnsi="Times New Roman" w:cs="Times New Roman"/>
          <w:lang w:val="en-GB"/>
        </w:rPr>
        <w:t xml:space="preserve">Social complexity and capabilities of diverse fishing systems can shape their adaptive capacity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{"citationID":"0kMqrRrG","properties":{"formattedCitation":"(Harvey et al., 2025)","plainCitation":"(Harvey et al., 2025)","noteIndex":0},"citationItems":[{"id":2699,"uris":["http://zotero.org/users/6838574/items/YBTGQA3A"],"itemData":{"id":2699,"type":"article-journal","abstract":"Climate variability and change are having dramatic effects on marine species, fisheries, and fishing communities. Climate perturbations elicit fishery management responses intended to mitigate negative effects, but the responses often do not account for the complexity of fisheries systems, leading to unintended consequences. However, including more diverse forms of ecological, economic, and social information reveals elements of system structure that could lead to more climate-adaptive management approaches and better outcomes. Here, we examine four U.S. case studies that span a range of climate-fisheries interactions: target species distribution shifts; bycatch of juvenile fish; harmful algal blooms that delay fishery openings; and offshore wind energy development on fishing grounds. In each example, as management actions or plans were undertaken to mitigate climate impacts, subsequent quantitative and qualitative indicators and knowledge revealed potential system feedbacks, fishery participant responses, and/or undesirable fishery outcomes. These case studies highlight the complex and iterative nature of developing climate-adaptive strategies for fisheries management. They also illustrate that how we define “fishing community” is a key determinant of both the outcomes of climate-driven management actions and how those outcomes are perceived. Finally, they underscore the value of engagement and knowledge exchange among participants, scientists and managers, and provide insight as to how to more rigorously apply “best available science” to climate-ready fisheries management, in accordance with fishery policies and laws that emphasize both biological and social outcomes.","container-title":"Reviews in Fish Biology and Fisheries","DOI":"10.1007/s11160-025-09926-x","ISSN":"1573-5184","issue":"2","journalAbbreviation":"Rev Fish Biol Fisheries","language":"en","page":"633-658","source":"Springer Link","title":"Embracing social-ecological system complexity to promote climate-ready fisheries","volume":"35","author":[{"family":"Harvey","given":"Chris J."},{"family":"Clay","given":"Patricia M."},{"family":"Selden","given":"Rebecca"},{"family":"Moore","given":"Stephanie K."},{"family":"Andrews","given":"Kelly S."},{"family":"deReynier","given":"Yvonne L."},{"family":"Beaudreau","given":"Anne H."},{"family":"Liu","given":"Owen R."},{"family":"Norman","given":"Karma C."},{"family":"Samhouri","given":"Jameal F."},{"family":"Bellquist","given":"Lyall"},{"family":"Burden","given":"Merrick"},{"family":"Colburn","given":"Lisa L."},{"family":"Haltuch","given":"Melissa A."},{"family":"Harley","given":"Abigail"},{"family":"Kaplan","given":"Isaac C."},{"family":"Kasperski","given":"Stephen"},{"family":"Klajbor","given":"Willem"},{"family":"Lewis-Smith","given":"Connor"},{"family":"Tolimieri","given":"Nick"},{"family":"Watson","given":"Jessica L."},{"family":"Wise","given":"Sarah"}],"issued":{"date-parts":[["2025",6,1]]}}}],"schema":"https://github.com/citation-style-language/schema/raw/master/csl-citation.json"} </w:instrText>
      </w:r>
      <w:r>
        <w:rPr>
          <w:rFonts w:ascii="Times New Roman" w:hAnsi="Times New Roman" w:cs="Times New Roman"/>
          <w:lang w:val="en-GB"/>
        </w:rPr>
        <w:fldChar w:fldCharType="separate"/>
      </w:r>
      <w:r w:rsidRPr="00CB5341">
        <w:rPr>
          <w:rFonts w:ascii="Times New Roman" w:hAnsi="Times New Roman" w:cs="Times New Roman"/>
          <w:lang w:val="en-GB"/>
        </w:rPr>
        <w:t>(Harvey et al., 2025)</w:t>
      </w:r>
      <w:r>
        <w:rPr>
          <w:rFonts w:ascii="Times New Roman" w:hAnsi="Times New Roman" w:cs="Times New Roman"/>
          <w:lang w:val="en-GB"/>
        </w:rPr>
        <w:fldChar w:fldCharType="end"/>
      </w:r>
      <w:r>
        <w:rPr>
          <w:rFonts w:ascii="Times New Roman" w:hAnsi="Times New Roman" w:cs="Times New Roman"/>
          <w:lang w:val="en-GB"/>
        </w:rPr>
        <w:t xml:space="preserve">. </w:t>
      </w:r>
    </w:p>
    <w:p w14:paraId="41A152CF" w14:textId="77777777" w:rsidR="006C7A83" w:rsidRDefault="006C7A83" w:rsidP="006C7A83">
      <w:pPr>
        <w:spacing w:after="0" w:line="276" w:lineRule="auto"/>
        <w:rPr>
          <w:rFonts w:ascii="Times New Roman" w:hAnsi="Times New Roman" w:cs="Times New Roman"/>
          <w:lang w:val="en-GB"/>
        </w:rPr>
      </w:pPr>
      <w:r>
        <w:rPr>
          <w:rFonts w:ascii="Times New Roman" w:hAnsi="Times New Roman" w:cs="Times New Roman"/>
          <w:lang w:val="en-GB"/>
        </w:rPr>
        <w:t xml:space="preserve">Drafting a social ecological risk assessment can give the foundation to base decision making on </w:t>
      </w:r>
      <w:proofErr w:type="spellStart"/>
      <w:r>
        <w:rPr>
          <w:rFonts w:ascii="Times New Roman" w:hAnsi="Times New Roman" w:cs="Times New Roman"/>
          <w:lang w:val="en-GB"/>
        </w:rPr>
        <w:t>sience</w:t>
      </w:r>
      <w:proofErr w:type="spellEnd"/>
    </w:p>
    <w:p w14:paraId="50132B9A" w14:textId="77777777" w:rsidR="00510511" w:rsidRDefault="00510511" w:rsidP="00510511">
      <w:pPr>
        <w:rPr>
          <w:lang w:val="en-GB"/>
        </w:rPr>
      </w:pPr>
    </w:p>
    <w:p w14:paraId="768DFF8C" w14:textId="6A6507D5" w:rsidR="00510511" w:rsidRPr="00510511" w:rsidRDefault="00510511" w:rsidP="00510511">
      <w:pPr>
        <w:rPr>
          <w:lang w:val="en-GB"/>
        </w:rPr>
      </w:pPr>
      <w:r w:rsidRPr="00510511">
        <w:rPr>
          <w:lang w:val="en-GB"/>
        </w:rPr>
        <w:t>Some notes on the p</w:t>
      </w:r>
      <w:r>
        <w:rPr>
          <w:lang w:val="en-GB"/>
        </w:rPr>
        <w:t>rocess of adapting the BN to the second round of interviews</w:t>
      </w:r>
    </w:p>
    <w:p w14:paraId="7E05954D" w14:textId="77777777" w:rsidR="009C5B72" w:rsidRDefault="009C5B72" w:rsidP="009C5B72">
      <w:pPr>
        <w:pStyle w:val="ListParagraph"/>
        <w:numPr>
          <w:ilvl w:val="1"/>
          <w:numId w:val="1"/>
        </w:numPr>
        <w:rPr>
          <w:rFonts w:ascii="Times New Roman" w:hAnsi="Times New Roman" w:cs="Times New Roman"/>
          <w:sz w:val="22"/>
          <w:szCs w:val="22"/>
          <w:highlight w:val="yellow"/>
          <w:lang w:val="en-GB"/>
        </w:rPr>
      </w:pPr>
      <w:r w:rsidRPr="00772147">
        <w:rPr>
          <w:rFonts w:ascii="Times New Roman" w:hAnsi="Times New Roman" w:cs="Times New Roman"/>
          <w:b/>
          <w:bCs/>
          <w:i/>
          <w:iCs/>
          <w:u w:val="single"/>
          <w:lang w:val="en-GB"/>
        </w:rPr>
        <w:t>Interpretation of answer not providing a number</w:t>
      </w:r>
      <w:r w:rsidRPr="00772147">
        <w:rPr>
          <w:rFonts w:ascii="Times New Roman" w:hAnsi="Times New Roman" w:cs="Times New Roman"/>
          <w:sz w:val="22"/>
          <w:szCs w:val="22"/>
          <w:lang w:val="en-GB"/>
        </w:rPr>
        <w:t>: the text for unclear answers was revised to extract the main</w:t>
      </w:r>
      <w:r w:rsidRPr="00F429F1">
        <w:rPr>
          <w:rFonts w:ascii="Times New Roman" w:hAnsi="Times New Roman" w:cs="Times New Roman"/>
          <w:sz w:val="22"/>
          <w:szCs w:val="22"/>
          <w:lang w:val="en-GB"/>
        </w:rPr>
        <w:t xml:space="preserve"> keywords (i.e.: most people say; I think it does not affect so much etc.). The keywords were pooled based on the expected type of answer (e.g.:). Three researchers revised the whole pool of wording and scored them. Maybe this can also </w:t>
      </w:r>
      <w:r w:rsidRPr="00F429F1">
        <w:rPr>
          <w:rFonts w:ascii="Times New Roman" w:hAnsi="Times New Roman" w:cs="Times New Roman"/>
          <w:sz w:val="22"/>
          <w:szCs w:val="22"/>
          <w:highlight w:val="yellow"/>
          <w:lang w:val="en-GB"/>
        </w:rPr>
        <w:t>help us to look for coherency</w:t>
      </w:r>
      <w:r w:rsidRPr="00F429F1">
        <w:rPr>
          <w:rFonts w:ascii="Times New Roman" w:hAnsi="Times New Roman" w:cs="Times New Roman"/>
          <w:sz w:val="22"/>
          <w:szCs w:val="22"/>
          <w:lang w:val="en-GB"/>
        </w:rPr>
        <w:t xml:space="preserve">. A few other scores were missing because it </w:t>
      </w:r>
      <w:r w:rsidRPr="00F429F1">
        <w:rPr>
          <w:rFonts w:ascii="Times New Roman" w:hAnsi="Times New Roman" w:cs="Times New Roman"/>
          <w:sz w:val="22"/>
          <w:szCs w:val="22"/>
          <w:lang w:val="en-GB"/>
        </w:rPr>
        <w:lastRenderedPageBreak/>
        <w:t>was not possible to summarise then in a single keyword. For this we used ChatGPT. The LLM was trained with the scores that researchers assigned to keyword. Then the text anonymised and deprived of sensible content (e.g.: quantities</w:t>
      </w:r>
      <w:r>
        <w:rPr>
          <w:rFonts w:ascii="Times New Roman" w:hAnsi="Times New Roman" w:cs="Times New Roman"/>
          <w:sz w:val="22"/>
          <w:szCs w:val="22"/>
          <w:lang w:val="en-GB"/>
        </w:rPr>
        <w:t>, economics, names) was submitted and scored. File answers_for_interpretation.docx</w:t>
      </w:r>
    </w:p>
    <w:p w14:paraId="373DB3CB" w14:textId="77777777" w:rsidR="009C5B72" w:rsidRPr="006021A9" w:rsidRDefault="009C5B72" w:rsidP="009C5B72">
      <w:pPr>
        <w:pStyle w:val="ListParagraph"/>
        <w:ind w:left="1440"/>
        <w:rPr>
          <w:rFonts w:ascii="Times New Roman" w:hAnsi="Times New Roman" w:cs="Times New Roman"/>
          <w:sz w:val="22"/>
          <w:szCs w:val="22"/>
          <w:highlight w:val="yellow"/>
          <w:lang w:val="en-GB"/>
        </w:rPr>
      </w:pPr>
    </w:p>
    <w:p w14:paraId="5527404C" w14:textId="77777777" w:rsidR="009C5B72" w:rsidRDefault="009C5B72" w:rsidP="009C5B72">
      <w:pPr>
        <w:pStyle w:val="ListParagraph"/>
        <w:numPr>
          <w:ilvl w:val="1"/>
          <w:numId w:val="1"/>
        </w:numPr>
        <w:rPr>
          <w:rFonts w:ascii="Times New Roman" w:hAnsi="Times New Roman" w:cs="Times New Roman"/>
          <w:sz w:val="22"/>
          <w:szCs w:val="22"/>
          <w:lang w:val="en-GB"/>
        </w:rPr>
      </w:pPr>
      <w:r>
        <w:rPr>
          <w:rFonts w:ascii="Times New Roman" w:hAnsi="Times New Roman" w:cs="Times New Roman"/>
          <w:b/>
          <w:bCs/>
          <w:i/>
          <w:iCs/>
          <w:u w:val="single"/>
          <w:lang w:val="en-GB"/>
        </w:rPr>
        <w:t>The “does not apply”</w:t>
      </w:r>
      <w:r w:rsidRPr="0079078F">
        <w:rPr>
          <w:rFonts w:ascii="Times New Roman" w:hAnsi="Times New Roman" w:cs="Times New Roman"/>
          <w:sz w:val="22"/>
          <w:szCs w:val="22"/>
          <w:lang w:val="en-GB"/>
        </w:rPr>
        <w:t>:</w:t>
      </w:r>
      <w:r>
        <w:rPr>
          <w:rFonts w:ascii="Times New Roman" w:hAnsi="Times New Roman" w:cs="Times New Roman"/>
          <w:sz w:val="22"/>
          <w:szCs w:val="22"/>
          <w:lang w:val="en-GB"/>
        </w:rPr>
        <w:t xml:space="preserve"> answers of the kind “this event does not apply” were scored -999. When the “does not apply” was coming from questions 2 and 3, the combination of fishing style-event was excluded from further analysis. When the “does not apply” was referring to other questions, this was closely inspected. </w:t>
      </w:r>
    </w:p>
    <w:p w14:paraId="5DDA7D5F" w14:textId="77777777" w:rsidR="009C5B72" w:rsidRPr="00182A61" w:rsidRDefault="009C5B72" w:rsidP="009C5B72">
      <w:pPr>
        <w:pStyle w:val="ListParagraph"/>
        <w:ind w:left="1440"/>
        <w:rPr>
          <w:rFonts w:ascii="Times New Roman" w:hAnsi="Times New Roman" w:cs="Times New Roman"/>
          <w:sz w:val="22"/>
          <w:szCs w:val="22"/>
          <w:lang w:val="en-GB"/>
        </w:rPr>
      </w:pPr>
    </w:p>
    <w:p w14:paraId="22089695" w14:textId="77777777" w:rsidR="009C5B72" w:rsidRDefault="009C5B72" w:rsidP="009C5B72">
      <w:pPr>
        <w:pStyle w:val="ListParagraph"/>
        <w:numPr>
          <w:ilvl w:val="1"/>
          <w:numId w:val="1"/>
        </w:numPr>
        <w:jc w:val="both"/>
        <w:rPr>
          <w:rFonts w:ascii="Times New Roman" w:hAnsi="Times New Roman" w:cs="Times New Roman"/>
          <w:sz w:val="22"/>
          <w:szCs w:val="22"/>
          <w:lang w:val="en-GB"/>
        </w:rPr>
      </w:pPr>
      <w:r>
        <w:rPr>
          <w:rFonts w:ascii="Times New Roman" w:hAnsi="Times New Roman" w:cs="Times New Roman"/>
          <w:b/>
          <w:bCs/>
          <w:i/>
          <w:iCs/>
          <w:u w:val="single"/>
          <w:lang w:val="en-GB"/>
        </w:rPr>
        <w:t>The “I don’t know” (b</w:t>
      </w:r>
      <w:r w:rsidRPr="00424BA9">
        <w:rPr>
          <w:rFonts w:ascii="Times New Roman" w:hAnsi="Times New Roman" w:cs="Times New Roman"/>
          <w:b/>
          <w:bCs/>
          <w:i/>
          <w:iCs/>
          <w:u w:val="single"/>
          <w:lang w:val="en-GB"/>
        </w:rPr>
        <w:t>orrowing from others</w:t>
      </w:r>
      <w:r>
        <w:rPr>
          <w:rFonts w:ascii="Times New Roman" w:hAnsi="Times New Roman" w:cs="Times New Roman"/>
          <w:b/>
          <w:bCs/>
          <w:i/>
          <w:iCs/>
          <w:u w:val="single"/>
          <w:lang w:val="en-GB"/>
        </w:rPr>
        <w:t>):</w:t>
      </w:r>
      <w:r w:rsidRPr="00424BA9">
        <w:rPr>
          <w:rFonts w:ascii="Times New Roman" w:hAnsi="Times New Roman" w:cs="Times New Roman"/>
          <w:sz w:val="22"/>
          <w:szCs w:val="22"/>
          <w:lang w:val="en-GB"/>
        </w:rPr>
        <w:t xml:space="preserve"> </w:t>
      </w:r>
      <w:r>
        <w:rPr>
          <w:rFonts w:ascii="Times New Roman" w:hAnsi="Times New Roman" w:cs="Times New Roman"/>
          <w:sz w:val="22"/>
          <w:szCs w:val="22"/>
          <w:lang w:val="en-GB"/>
        </w:rPr>
        <w:t xml:space="preserve">in many cases people did not attempt answer questions regarding scenarios where they have never been into (i.e.: if during a storm you never go out, you might don’t know about how catchability changes). In this case </w:t>
      </w:r>
      <w:r w:rsidRPr="00424BA9">
        <w:rPr>
          <w:rFonts w:ascii="Times New Roman" w:hAnsi="Times New Roman" w:cs="Times New Roman"/>
          <w:sz w:val="22"/>
          <w:szCs w:val="22"/>
          <w:lang w:val="en-GB"/>
        </w:rPr>
        <w:t>answer</w:t>
      </w:r>
      <w:r>
        <w:rPr>
          <w:rFonts w:ascii="Times New Roman" w:hAnsi="Times New Roman" w:cs="Times New Roman"/>
          <w:sz w:val="22"/>
          <w:szCs w:val="22"/>
          <w:lang w:val="en-GB"/>
        </w:rPr>
        <w:t>s</w:t>
      </w:r>
      <w:r w:rsidRPr="00424BA9">
        <w:rPr>
          <w:rFonts w:ascii="Times New Roman" w:hAnsi="Times New Roman" w:cs="Times New Roman"/>
          <w:sz w:val="22"/>
          <w:szCs w:val="22"/>
          <w:lang w:val="en-GB"/>
        </w:rPr>
        <w:t xml:space="preserve"> </w:t>
      </w:r>
      <w:r>
        <w:rPr>
          <w:rFonts w:ascii="Times New Roman" w:hAnsi="Times New Roman" w:cs="Times New Roman"/>
          <w:sz w:val="22"/>
          <w:szCs w:val="22"/>
          <w:lang w:val="en-GB"/>
        </w:rPr>
        <w:t>are</w:t>
      </w:r>
      <w:r w:rsidRPr="00424BA9">
        <w:rPr>
          <w:rFonts w:ascii="Times New Roman" w:hAnsi="Times New Roman" w:cs="Times New Roman"/>
          <w:sz w:val="22"/>
          <w:szCs w:val="22"/>
          <w:lang w:val="en-GB"/>
        </w:rPr>
        <w:t xml:space="preserve"> pooled</w:t>
      </w:r>
      <w:r>
        <w:rPr>
          <w:rFonts w:ascii="Times New Roman" w:hAnsi="Times New Roman" w:cs="Times New Roman"/>
          <w:sz w:val="22"/>
          <w:szCs w:val="22"/>
          <w:lang w:val="en-GB"/>
        </w:rPr>
        <w:t>,</w:t>
      </w:r>
      <w:r w:rsidRPr="00424BA9">
        <w:rPr>
          <w:rFonts w:ascii="Times New Roman" w:hAnsi="Times New Roman" w:cs="Times New Roman"/>
          <w:sz w:val="22"/>
          <w:szCs w:val="22"/>
          <w:lang w:val="en-GB"/>
        </w:rPr>
        <w:t xml:space="preserve"> with supervision</w:t>
      </w:r>
      <w:r>
        <w:rPr>
          <w:rFonts w:ascii="Times New Roman" w:hAnsi="Times New Roman" w:cs="Times New Roman"/>
          <w:sz w:val="22"/>
          <w:szCs w:val="22"/>
          <w:lang w:val="en-GB"/>
        </w:rPr>
        <w:t>, based on the domain of the answer and the sub-categories of responders</w:t>
      </w:r>
      <w:r w:rsidRPr="00424BA9">
        <w:rPr>
          <w:rFonts w:ascii="Times New Roman" w:hAnsi="Times New Roman" w:cs="Times New Roman"/>
          <w:sz w:val="22"/>
          <w:szCs w:val="22"/>
          <w:lang w:val="en-GB"/>
        </w:rPr>
        <w:t>.</w:t>
      </w:r>
      <w:r>
        <w:rPr>
          <w:rFonts w:ascii="Times New Roman" w:hAnsi="Times New Roman" w:cs="Times New Roman"/>
          <w:sz w:val="22"/>
          <w:szCs w:val="22"/>
          <w:lang w:val="en-GB"/>
        </w:rPr>
        <w:t xml:space="preserve"> The domain of the answers was: human, metier, fish, descriptive. The human domain regards aspects that depend on the specific category and can be pooled only across the same fishing style or closely related. The metier category regards catchability and can be pooled for similar gears and seasons. The fish category regards aspects of the fish in the water and can be grouped by fish type and season.</w:t>
      </w:r>
      <w:r w:rsidRPr="00424BA9">
        <w:rPr>
          <w:rFonts w:ascii="Times New Roman" w:hAnsi="Times New Roman" w:cs="Times New Roman"/>
          <w:sz w:val="22"/>
          <w:szCs w:val="22"/>
          <w:lang w:val="en-GB"/>
        </w:rPr>
        <w:t xml:space="preserve"> </w:t>
      </w:r>
      <w:r w:rsidRPr="001E51D8">
        <w:rPr>
          <w:rFonts w:ascii="Times New Roman" w:hAnsi="Times New Roman" w:cs="Times New Roman"/>
          <w:sz w:val="22"/>
          <w:szCs w:val="22"/>
          <w:lang w:val="en-GB"/>
        </w:rPr>
        <w:t xml:space="preserve">For example, the species composition is not so specific of the fisherman, is rather specific of the gear/area. If some could not answer of the answer was not considered reliable, we can use other people perspective. </w:t>
      </w:r>
    </w:p>
    <w:p w14:paraId="3E858947" w14:textId="77777777" w:rsidR="009C5B72" w:rsidRPr="00424BA9" w:rsidRDefault="009C5B72" w:rsidP="009C5B72">
      <w:pPr>
        <w:pStyle w:val="ListParagraph"/>
        <w:ind w:left="1440"/>
        <w:rPr>
          <w:rFonts w:ascii="Times New Roman" w:hAnsi="Times New Roman" w:cs="Times New Roman"/>
          <w:sz w:val="22"/>
          <w:szCs w:val="22"/>
          <w:lang w:val="en-GB"/>
        </w:rPr>
      </w:pPr>
    </w:p>
    <w:p w14:paraId="23F036A5" w14:textId="77777777" w:rsidR="009C5B72" w:rsidRPr="00B07D7E" w:rsidRDefault="009C5B72" w:rsidP="009C5B72">
      <w:pPr>
        <w:pStyle w:val="ListParagraph"/>
        <w:numPr>
          <w:ilvl w:val="1"/>
          <w:numId w:val="1"/>
        </w:numPr>
        <w:rPr>
          <w:rFonts w:ascii="Times New Roman" w:hAnsi="Times New Roman" w:cs="Times New Roman"/>
          <w:sz w:val="22"/>
          <w:szCs w:val="22"/>
          <w:highlight w:val="yellow"/>
          <w:lang w:val="en-GB"/>
        </w:rPr>
      </w:pPr>
      <w:r w:rsidRPr="00911653">
        <w:rPr>
          <w:rFonts w:ascii="Times New Roman" w:hAnsi="Times New Roman" w:cs="Times New Roman"/>
          <w:b/>
          <w:bCs/>
          <w:i/>
          <w:iCs/>
          <w:highlight w:val="yellow"/>
          <w:u w:val="single"/>
          <w:lang w:val="en-GB"/>
        </w:rPr>
        <w:t>Interaction between answer and experience: case when the “I am not going there” is predominant</w:t>
      </w:r>
      <w:r w:rsidRPr="00911653">
        <w:rPr>
          <w:rFonts w:ascii="Times New Roman" w:hAnsi="Times New Roman" w:cs="Times New Roman"/>
          <w:sz w:val="22"/>
          <w:szCs w:val="22"/>
          <w:highlight w:val="yellow"/>
          <w:lang w:val="en-GB"/>
        </w:rPr>
        <w:t xml:space="preserve">: what to do with questions not answered because they don’t go out and so they don’t know? Address the issue of people talking about safety when they already know they will not be there. In some cases they are saying opinion for things that does not happen (e.g.: Teija with </w:t>
      </w:r>
      <w:proofErr w:type="spellStart"/>
      <w:r w:rsidRPr="00911653">
        <w:rPr>
          <w:rFonts w:ascii="Times New Roman" w:hAnsi="Times New Roman" w:cs="Times New Roman"/>
          <w:sz w:val="22"/>
          <w:szCs w:val="22"/>
          <w:highlight w:val="yellow"/>
          <w:lang w:val="en-GB"/>
        </w:rPr>
        <w:t>algalbloom</w:t>
      </w:r>
      <w:proofErr w:type="spellEnd"/>
      <w:r w:rsidRPr="00911653">
        <w:rPr>
          <w:rFonts w:ascii="Times New Roman" w:hAnsi="Times New Roman" w:cs="Times New Roman"/>
          <w:sz w:val="22"/>
          <w:szCs w:val="22"/>
          <w:highlight w:val="yellow"/>
          <w:lang w:val="en-GB"/>
        </w:rPr>
        <w:t xml:space="preserve"> on fish condition. </w:t>
      </w:r>
      <w:proofErr w:type="spellStart"/>
      <w:r w:rsidRPr="00911653">
        <w:rPr>
          <w:rFonts w:ascii="Times New Roman" w:hAnsi="Times New Roman" w:cs="Times New Roman"/>
          <w:sz w:val="22"/>
          <w:szCs w:val="22"/>
          <w:highlight w:val="yellow"/>
        </w:rPr>
        <w:t>How</w:t>
      </w:r>
      <w:proofErr w:type="spellEnd"/>
      <w:r w:rsidRPr="00911653">
        <w:rPr>
          <w:rFonts w:ascii="Times New Roman" w:hAnsi="Times New Roman" w:cs="Times New Roman"/>
          <w:sz w:val="22"/>
          <w:szCs w:val="22"/>
          <w:highlight w:val="yellow"/>
        </w:rPr>
        <w:t xml:space="preserve"> do </w:t>
      </w:r>
      <w:proofErr w:type="spellStart"/>
      <w:r w:rsidRPr="00911653">
        <w:rPr>
          <w:rFonts w:ascii="Times New Roman" w:hAnsi="Times New Roman" w:cs="Times New Roman"/>
          <w:sz w:val="22"/>
          <w:szCs w:val="22"/>
          <w:highlight w:val="yellow"/>
        </w:rPr>
        <w:t>we</w:t>
      </w:r>
      <w:proofErr w:type="spellEnd"/>
      <w:r w:rsidRPr="00911653">
        <w:rPr>
          <w:rFonts w:ascii="Times New Roman" w:hAnsi="Times New Roman" w:cs="Times New Roman"/>
          <w:sz w:val="22"/>
          <w:szCs w:val="22"/>
          <w:highlight w:val="yellow"/>
        </w:rPr>
        <w:t xml:space="preserve"> </w:t>
      </w:r>
      <w:proofErr w:type="spellStart"/>
      <w:r w:rsidRPr="00911653">
        <w:rPr>
          <w:rFonts w:ascii="Times New Roman" w:hAnsi="Times New Roman" w:cs="Times New Roman"/>
          <w:sz w:val="22"/>
          <w:szCs w:val="22"/>
          <w:highlight w:val="yellow"/>
        </w:rPr>
        <w:t>use</w:t>
      </w:r>
      <w:proofErr w:type="spellEnd"/>
      <w:r w:rsidRPr="00911653">
        <w:rPr>
          <w:rFonts w:ascii="Times New Roman" w:hAnsi="Times New Roman" w:cs="Times New Roman"/>
          <w:sz w:val="22"/>
          <w:szCs w:val="22"/>
          <w:highlight w:val="yellow"/>
        </w:rPr>
        <w:t xml:space="preserve"> </w:t>
      </w:r>
      <w:proofErr w:type="spellStart"/>
      <w:r w:rsidRPr="00911653">
        <w:rPr>
          <w:rFonts w:ascii="Times New Roman" w:hAnsi="Times New Roman" w:cs="Times New Roman"/>
          <w:sz w:val="22"/>
          <w:szCs w:val="22"/>
          <w:highlight w:val="yellow"/>
        </w:rPr>
        <w:t>this</w:t>
      </w:r>
      <w:proofErr w:type="spellEnd"/>
      <w:r w:rsidRPr="00911653">
        <w:rPr>
          <w:rFonts w:ascii="Times New Roman" w:hAnsi="Times New Roman" w:cs="Times New Roman"/>
          <w:sz w:val="22"/>
          <w:szCs w:val="22"/>
          <w:highlight w:val="yellow"/>
        </w:rPr>
        <w:t>?)</w:t>
      </w:r>
    </w:p>
    <w:p w14:paraId="516D2737" w14:textId="77777777" w:rsidR="009C5B72" w:rsidRDefault="009C5B72" w:rsidP="009C5B72">
      <w:pPr>
        <w:pStyle w:val="ListParagraph"/>
        <w:numPr>
          <w:ilvl w:val="1"/>
          <w:numId w:val="1"/>
        </w:numPr>
        <w:rPr>
          <w:rFonts w:ascii="Times New Roman" w:hAnsi="Times New Roman" w:cs="Times New Roman"/>
          <w:sz w:val="22"/>
          <w:szCs w:val="22"/>
          <w:lang w:val="en-GB"/>
        </w:rPr>
      </w:pPr>
      <w:proofErr w:type="spellStart"/>
      <w:r w:rsidRPr="00424BA9">
        <w:rPr>
          <w:rFonts w:ascii="Times New Roman" w:hAnsi="Times New Roman" w:cs="Times New Roman"/>
          <w:b/>
          <w:bCs/>
          <w:i/>
          <w:iCs/>
          <w:u w:val="single"/>
          <w:lang w:val="en-GB"/>
        </w:rPr>
        <w:t>Halfpoint</w:t>
      </w:r>
      <w:proofErr w:type="spellEnd"/>
      <w:r w:rsidRPr="00424BA9">
        <w:rPr>
          <w:rFonts w:ascii="Times New Roman" w:hAnsi="Times New Roman" w:cs="Times New Roman"/>
          <w:sz w:val="22"/>
          <w:szCs w:val="22"/>
          <w:lang w:val="en-GB"/>
        </w:rPr>
        <w:t xml:space="preserve">: </w:t>
      </w:r>
      <w:r>
        <w:rPr>
          <w:rFonts w:ascii="Times New Roman" w:hAnsi="Times New Roman" w:cs="Times New Roman"/>
          <w:sz w:val="22"/>
          <w:szCs w:val="22"/>
          <w:lang w:val="en-GB"/>
        </w:rPr>
        <w:t>in case the interviewee provided two scores (e.g.:</w:t>
      </w:r>
      <w:r w:rsidRPr="00424BA9">
        <w:rPr>
          <w:rFonts w:ascii="Times New Roman" w:hAnsi="Times New Roman" w:cs="Times New Roman"/>
          <w:sz w:val="22"/>
          <w:szCs w:val="22"/>
          <w:lang w:val="en-GB"/>
        </w:rPr>
        <w:t xml:space="preserve"> 4 or 5</w:t>
      </w:r>
      <w:r>
        <w:rPr>
          <w:rFonts w:ascii="Times New Roman" w:hAnsi="Times New Roman" w:cs="Times New Roman"/>
          <w:sz w:val="22"/>
          <w:szCs w:val="22"/>
          <w:lang w:val="en-GB"/>
        </w:rPr>
        <w:t>), it was used the average (</w:t>
      </w:r>
      <w:r w:rsidRPr="00792DD2">
        <w:rPr>
          <w:rFonts w:ascii="Times New Roman" w:hAnsi="Times New Roman" w:cs="Times New Roman"/>
          <w:sz w:val="22"/>
          <w:szCs w:val="22"/>
          <w:lang w:val="en-GB"/>
        </w:rPr>
        <w:t>4.5</w:t>
      </w:r>
      <w:r>
        <w:rPr>
          <w:rFonts w:ascii="Times New Roman" w:hAnsi="Times New Roman" w:cs="Times New Roman"/>
          <w:sz w:val="22"/>
          <w:szCs w:val="22"/>
          <w:lang w:val="en-GB"/>
        </w:rPr>
        <w:t>).</w:t>
      </w:r>
    </w:p>
    <w:p w14:paraId="63864990" w14:textId="77777777" w:rsidR="009C5B72" w:rsidRPr="00B07D7E" w:rsidRDefault="009C5B72" w:rsidP="009C5B72">
      <w:pPr>
        <w:pStyle w:val="ListParagraph"/>
        <w:numPr>
          <w:ilvl w:val="1"/>
          <w:numId w:val="1"/>
        </w:numPr>
        <w:rPr>
          <w:rFonts w:ascii="Times New Roman" w:hAnsi="Times New Roman" w:cs="Times New Roman"/>
          <w:sz w:val="22"/>
          <w:szCs w:val="22"/>
          <w:lang w:val="en-GB"/>
        </w:rPr>
      </w:pPr>
      <w:r>
        <w:rPr>
          <w:rFonts w:ascii="Times New Roman" w:hAnsi="Times New Roman" w:cs="Times New Roman"/>
          <w:b/>
          <w:bCs/>
          <w:i/>
          <w:iCs/>
          <w:u w:val="single"/>
          <w:lang w:val="en-GB"/>
        </w:rPr>
        <w:t>Mentions to probabilities</w:t>
      </w:r>
      <w:r w:rsidRPr="004C33C7">
        <w:rPr>
          <w:rFonts w:ascii="Times New Roman" w:hAnsi="Times New Roman" w:cs="Times New Roman"/>
          <w:sz w:val="22"/>
          <w:szCs w:val="22"/>
          <w:lang w:val="en-GB"/>
        </w:rPr>
        <w:t>:</w:t>
      </w:r>
      <w:r>
        <w:rPr>
          <w:rFonts w:ascii="Times New Roman" w:hAnsi="Times New Roman" w:cs="Times New Roman"/>
          <w:sz w:val="22"/>
          <w:szCs w:val="22"/>
          <w:lang w:val="en-GB"/>
        </w:rPr>
        <w:t xml:space="preserve"> some mentions a spectrum of possibilities, especially for damages (e.g.: can cause minor damage or destroy)</w:t>
      </w:r>
    </w:p>
    <w:p w14:paraId="31C0F853" w14:textId="77777777" w:rsidR="009C5B72" w:rsidRPr="00B07D7E" w:rsidRDefault="009C5B72" w:rsidP="009C5B72">
      <w:pPr>
        <w:pStyle w:val="ListParagraph"/>
        <w:numPr>
          <w:ilvl w:val="1"/>
          <w:numId w:val="1"/>
        </w:numPr>
        <w:rPr>
          <w:rFonts w:ascii="Times New Roman" w:hAnsi="Times New Roman" w:cs="Times New Roman"/>
          <w:sz w:val="22"/>
          <w:szCs w:val="22"/>
          <w:lang w:val="en-GB"/>
        </w:rPr>
      </w:pPr>
      <w:r w:rsidRPr="00424BA9">
        <w:rPr>
          <w:rFonts w:ascii="Times New Roman" w:hAnsi="Times New Roman" w:cs="Times New Roman"/>
          <w:b/>
          <w:bCs/>
          <w:i/>
          <w:iCs/>
          <w:u w:val="single"/>
          <w:lang w:val="en-GB"/>
        </w:rPr>
        <w:t>Multi gear/multispecies/multiarea</w:t>
      </w:r>
      <w:r w:rsidRPr="00424BA9">
        <w:rPr>
          <w:rFonts w:ascii="Times New Roman" w:hAnsi="Times New Roman" w:cs="Times New Roman"/>
          <w:sz w:val="22"/>
          <w:szCs w:val="22"/>
          <w:lang w:val="en-GB"/>
        </w:rPr>
        <w:t>: The event can cause to switch gear, and the alternative gear has different implications (this is not very easy to do) – we might just code this as switch area; to cope with bad conditions people go to fish elsewhere instead of applying some special handling; This thing of the switching gear/species is particularly relevant for sport fisherman and it can be coupled in case study 2.</w:t>
      </w:r>
      <w:r w:rsidRPr="00424BA9">
        <w:rPr>
          <w:rFonts w:ascii="Times New Roman" w:hAnsi="Times New Roman" w:cs="Times New Roman"/>
          <w:sz w:val="22"/>
          <w:szCs w:val="22"/>
          <w:highlight w:val="yellow"/>
          <w:lang w:val="en-GB"/>
        </w:rPr>
        <w:t xml:space="preserve"> </w:t>
      </w:r>
      <w:r w:rsidRPr="001E51D8">
        <w:rPr>
          <w:rFonts w:ascii="Times New Roman" w:hAnsi="Times New Roman" w:cs="Times New Roman"/>
          <w:sz w:val="22"/>
          <w:szCs w:val="22"/>
          <w:highlight w:val="yellow"/>
          <w:lang w:val="en-GB"/>
        </w:rPr>
        <w:t>Incorporate multispecies</w:t>
      </w:r>
      <w:r w:rsidRPr="001E51D8">
        <w:rPr>
          <w:rFonts w:ascii="Times New Roman" w:hAnsi="Times New Roman" w:cs="Times New Roman"/>
          <w:sz w:val="22"/>
          <w:szCs w:val="22"/>
          <w:lang w:val="en-GB"/>
        </w:rPr>
        <w:t xml:space="preserve">: this can come in two levels. On the summary of fisherman, this can be a matter of variability (just a Dirichlet with prior for each species). </w:t>
      </w:r>
      <w:r w:rsidRPr="00424BA9">
        <w:rPr>
          <w:rFonts w:ascii="Times New Roman" w:hAnsi="Times New Roman" w:cs="Times New Roman"/>
          <w:sz w:val="22"/>
          <w:szCs w:val="22"/>
          <w:lang w:val="en-GB"/>
        </w:rPr>
        <w:t>Then this comes handy when (hopefully) we would link to a model</w:t>
      </w:r>
      <w:r>
        <w:rPr>
          <w:rFonts w:ascii="Times New Roman" w:hAnsi="Times New Roman" w:cs="Times New Roman"/>
          <w:sz w:val="22"/>
          <w:szCs w:val="22"/>
          <w:lang w:val="en-GB"/>
        </w:rPr>
        <w:t>. In terms of species we might limit to the most important and shared, which are perch, pike, herring, whitefish, sea trout, salmon. Some people mention other species. Like zander, vendace, eel, bream</w:t>
      </w:r>
    </w:p>
    <w:p w14:paraId="530347EA" w14:textId="77777777" w:rsidR="009C5B72" w:rsidRPr="00B07D7E" w:rsidRDefault="009C5B72" w:rsidP="009C5B72">
      <w:pPr>
        <w:pStyle w:val="ListParagraph"/>
        <w:numPr>
          <w:ilvl w:val="1"/>
          <w:numId w:val="1"/>
        </w:numPr>
        <w:jc w:val="both"/>
        <w:rPr>
          <w:rFonts w:ascii="Times New Roman" w:hAnsi="Times New Roman" w:cs="Times New Roman"/>
          <w:sz w:val="22"/>
          <w:szCs w:val="22"/>
          <w:lang w:val="en-GB"/>
        </w:rPr>
      </w:pPr>
      <w:r>
        <w:rPr>
          <w:rFonts w:ascii="Times New Roman" w:hAnsi="Times New Roman" w:cs="Times New Roman"/>
          <w:b/>
          <w:bCs/>
          <w:i/>
          <w:iCs/>
          <w:u w:val="single"/>
          <w:lang w:val="en-GB"/>
        </w:rPr>
        <w:t>Interactions</w:t>
      </w:r>
      <w:r w:rsidRPr="000B2A7D">
        <w:rPr>
          <w:rFonts w:ascii="Times New Roman" w:hAnsi="Times New Roman" w:cs="Times New Roman"/>
          <w:sz w:val="22"/>
          <w:szCs w:val="22"/>
          <w:lang w:val="en-GB"/>
        </w:rPr>
        <w:t>:</w:t>
      </w:r>
      <w:r>
        <w:rPr>
          <w:rFonts w:ascii="Times New Roman" w:hAnsi="Times New Roman" w:cs="Times New Roman"/>
          <w:sz w:val="22"/>
          <w:szCs w:val="22"/>
          <w:lang w:val="en-GB"/>
        </w:rPr>
        <w:t xml:space="preserve"> the only relevant interactions mentioned were wind with rain (summer) or ice (winter). It was not mentioned often a quantitative answer for this interaction but in general people says that became more dangerous and less likely to go fishing.</w:t>
      </w:r>
    </w:p>
    <w:p w14:paraId="3FEACBF3" w14:textId="77777777" w:rsidR="009C5B72" w:rsidRPr="00B07D7E" w:rsidRDefault="009C5B72" w:rsidP="009C5B72">
      <w:pPr>
        <w:pStyle w:val="ListParagraph"/>
        <w:numPr>
          <w:ilvl w:val="1"/>
          <w:numId w:val="1"/>
        </w:numPr>
        <w:jc w:val="both"/>
        <w:rPr>
          <w:rFonts w:ascii="Times New Roman" w:hAnsi="Times New Roman" w:cs="Times New Roman"/>
          <w:sz w:val="22"/>
          <w:szCs w:val="22"/>
          <w:lang w:val="en-GB"/>
        </w:rPr>
      </w:pPr>
      <w:r w:rsidRPr="004C33C7">
        <w:rPr>
          <w:rFonts w:ascii="Times New Roman" w:hAnsi="Times New Roman" w:cs="Times New Roman"/>
          <w:b/>
          <w:bCs/>
          <w:i/>
          <w:iCs/>
          <w:sz w:val="22"/>
          <w:szCs w:val="22"/>
          <w:u w:val="single"/>
          <w:lang w:val="en-GB"/>
        </w:rPr>
        <w:lastRenderedPageBreak/>
        <w:t>The wind direction</w:t>
      </w:r>
      <w:r w:rsidRPr="004C33C7">
        <w:rPr>
          <w:rFonts w:ascii="Times New Roman" w:hAnsi="Times New Roman" w:cs="Times New Roman"/>
          <w:b/>
          <w:bCs/>
          <w:sz w:val="22"/>
          <w:szCs w:val="22"/>
          <w:lang w:val="en-GB"/>
        </w:rPr>
        <w:t>:</w:t>
      </w:r>
      <w:r>
        <w:rPr>
          <w:rFonts w:ascii="Times New Roman" w:hAnsi="Times New Roman" w:cs="Times New Roman"/>
          <w:sz w:val="22"/>
          <w:szCs w:val="22"/>
          <w:lang w:val="en-GB"/>
        </w:rPr>
        <w:t xml:space="preserve"> they mention it so much that it might be worth.</w:t>
      </w:r>
    </w:p>
    <w:p w14:paraId="2D9F115B" w14:textId="77777777" w:rsidR="009C5B72" w:rsidRPr="00B07D7E" w:rsidRDefault="009C5B72" w:rsidP="009C5B72">
      <w:pPr>
        <w:pStyle w:val="ListParagraph"/>
        <w:numPr>
          <w:ilvl w:val="1"/>
          <w:numId w:val="1"/>
        </w:numPr>
        <w:rPr>
          <w:rFonts w:ascii="Times New Roman" w:hAnsi="Times New Roman" w:cs="Times New Roman"/>
          <w:sz w:val="22"/>
          <w:szCs w:val="22"/>
          <w:lang w:val="en-GB"/>
        </w:rPr>
      </w:pPr>
      <w:r>
        <w:rPr>
          <w:rFonts w:ascii="Times New Roman" w:hAnsi="Times New Roman" w:cs="Times New Roman"/>
          <w:b/>
          <w:bCs/>
          <w:i/>
          <w:iCs/>
          <w:u w:val="single"/>
          <w:lang w:val="en-GB"/>
        </w:rPr>
        <w:t>L</w:t>
      </w:r>
      <w:r w:rsidRPr="00424BA9">
        <w:rPr>
          <w:rFonts w:ascii="Times New Roman" w:hAnsi="Times New Roman" w:cs="Times New Roman"/>
          <w:b/>
          <w:bCs/>
          <w:i/>
          <w:iCs/>
          <w:u w:val="single"/>
          <w:lang w:val="en-GB"/>
        </w:rPr>
        <w:t>ag effect</w:t>
      </w:r>
      <w:r w:rsidRPr="00424BA9">
        <w:rPr>
          <w:rFonts w:ascii="Times New Roman" w:hAnsi="Times New Roman" w:cs="Times New Roman"/>
          <w:sz w:val="22"/>
          <w:szCs w:val="22"/>
          <w:lang w:val="en-GB"/>
        </w:rPr>
        <w:t xml:space="preserve">. </w:t>
      </w:r>
      <w:r>
        <w:rPr>
          <w:rFonts w:ascii="Times New Roman" w:hAnsi="Times New Roman" w:cs="Times New Roman"/>
          <w:sz w:val="22"/>
          <w:szCs w:val="22"/>
          <w:lang w:val="en-GB"/>
        </w:rPr>
        <w:t>The main lag effect mentioned is what happen after a storm. Depending on the wind direction the catchability can improve or not the days after the event.</w:t>
      </w:r>
    </w:p>
    <w:p w14:paraId="4A698F00" w14:textId="77777777" w:rsidR="009C5B72" w:rsidRDefault="009C5B72" w:rsidP="009C5B72">
      <w:pPr>
        <w:pStyle w:val="ListParagraph"/>
        <w:numPr>
          <w:ilvl w:val="1"/>
          <w:numId w:val="1"/>
        </w:numPr>
        <w:rPr>
          <w:rFonts w:ascii="Times New Roman" w:hAnsi="Times New Roman" w:cs="Times New Roman"/>
          <w:sz w:val="22"/>
          <w:szCs w:val="22"/>
        </w:rPr>
      </w:pPr>
      <w:r w:rsidRPr="00424BA9">
        <w:rPr>
          <w:rFonts w:ascii="Times New Roman" w:hAnsi="Times New Roman" w:cs="Times New Roman"/>
          <w:b/>
          <w:bCs/>
          <w:i/>
          <w:iCs/>
          <w:u w:val="single"/>
          <w:lang w:val="en-GB"/>
        </w:rPr>
        <w:t>Create a price list if possible, and consider personal time as a variable</w:t>
      </w:r>
      <w:r w:rsidRPr="00424BA9">
        <w:rPr>
          <w:rFonts w:ascii="Times New Roman" w:hAnsi="Times New Roman" w:cs="Times New Roman"/>
          <w:sz w:val="22"/>
          <w:szCs w:val="22"/>
          <w:lang w:val="en-GB"/>
        </w:rPr>
        <w:t xml:space="preserve">: the prices (so far) has been quite detailed reported. </w:t>
      </w:r>
      <w:r w:rsidRPr="001E51D8">
        <w:rPr>
          <w:rFonts w:ascii="Times New Roman" w:hAnsi="Times New Roman" w:cs="Times New Roman"/>
          <w:sz w:val="22"/>
          <w:szCs w:val="22"/>
          <w:lang w:val="en-GB"/>
        </w:rPr>
        <w:t xml:space="preserve">This can help us in doing better. When you get the numbers, see if possible to talk with </w:t>
      </w:r>
      <w:proofErr w:type="spellStart"/>
      <w:r w:rsidRPr="001E51D8">
        <w:rPr>
          <w:rFonts w:ascii="Times New Roman" w:hAnsi="Times New Roman" w:cs="Times New Roman"/>
          <w:sz w:val="22"/>
          <w:szCs w:val="22"/>
          <w:lang w:val="en-GB"/>
        </w:rPr>
        <w:t>edconomists</w:t>
      </w:r>
      <w:proofErr w:type="spellEnd"/>
      <w:r w:rsidRPr="001E51D8">
        <w:rPr>
          <w:rFonts w:ascii="Times New Roman" w:hAnsi="Times New Roman" w:cs="Times New Roman"/>
          <w:sz w:val="22"/>
          <w:szCs w:val="22"/>
          <w:lang w:val="en-GB"/>
        </w:rPr>
        <w:t xml:space="preserve">. This can also maybe include the cost per work per hour. Is this too much? Or we can </w:t>
      </w:r>
      <w:proofErr w:type="spellStart"/>
      <w:r w:rsidRPr="001E51D8">
        <w:rPr>
          <w:rFonts w:ascii="Times New Roman" w:hAnsi="Times New Roman" w:cs="Times New Roman"/>
          <w:sz w:val="22"/>
          <w:szCs w:val="22"/>
          <w:lang w:val="en-GB"/>
        </w:rPr>
        <w:t>ghather</w:t>
      </w:r>
      <w:proofErr w:type="spellEnd"/>
      <w:r w:rsidRPr="001E51D8">
        <w:rPr>
          <w:rFonts w:ascii="Times New Roman" w:hAnsi="Times New Roman" w:cs="Times New Roman"/>
          <w:sz w:val="22"/>
          <w:szCs w:val="22"/>
          <w:lang w:val="en-GB"/>
        </w:rPr>
        <w:t xml:space="preserve"> this as </w:t>
      </w:r>
      <w:proofErr w:type="spellStart"/>
      <w:r w:rsidRPr="001E51D8">
        <w:rPr>
          <w:rFonts w:ascii="Times New Roman" w:hAnsi="Times New Roman" w:cs="Times New Roman"/>
          <w:sz w:val="22"/>
          <w:szCs w:val="22"/>
          <w:lang w:val="en-GB"/>
        </w:rPr>
        <w:t>a</w:t>
      </w:r>
      <w:proofErr w:type="spellEnd"/>
      <w:r w:rsidRPr="001E51D8">
        <w:rPr>
          <w:rFonts w:ascii="Times New Roman" w:hAnsi="Times New Roman" w:cs="Times New Roman"/>
          <w:sz w:val="22"/>
          <w:szCs w:val="22"/>
          <w:lang w:val="en-GB"/>
        </w:rPr>
        <w:t xml:space="preserve"> extra variable (personal time?). Question on gear cleaning always unclear. On the extra fuel: in some case is just the extra, in other is the total for the long travel. </w:t>
      </w:r>
      <w:r w:rsidRPr="00424BA9">
        <w:rPr>
          <w:rFonts w:ascii="Times New Roman" w:hAnsi="Times New Roman" w:cs="Times New Roman"/>
          <w:sz w:val="22"/>
          <w:szCs w:val="22"/>
        </w:rPr>
        <w:t xml:space="preserve">Double check and </w:t>
      </w:r>
      <w:proofErr w:type="spellStart"/>
      <w:r w:rsidRPr="00424BA9">
        <w:rPr>
          <w:rFonts w:ascii="Times New Roman" w:hAnsi="Times New Roman" w:cs="Times New Roman"/>
          <w:sz w:val="22"/>
          <w:szCs w:val="22"/>
        </w:rPr>
        <w:t>harminise</w:t>
      </w:r>
      <w:proofErr w:type="spellEnd"/>
      <w:r w:rsidRPr="00424BA9">
        <w:rPr>
          <w:rFonts w:ascii="Times New Roman" w:hAnsi="Times New Roman" w:cs="Times New Roman"/>
          <w:sz w:val="22"/>
          <w:szCs w:val="22"/>
        </w:rPr>
        <w:t xml:space="preserve"> </w:t>
      </w:r>
      <w:proofErr w:type="spellStart"/>
      <w:r w:rsidRPr="00424BA9">
        <w:rPr>
          <w:rFonts w:ascii="Times New Roman" w:hAnsi="Times New Roman" w:cs="Times New Roman"/>
          <w:sz w:val="22"/>
          <w:szCs w:val="22"/>
        </w:rPr>
        <w:t>this</w:t>
      </w:r>
      <w:proofErr w:type="spellEnd"/>
    </w:p>
    <w:p w14:paraId="4E9FBCA7" w14:textId="77777777" w:rsidR="009C5B72" w:rsidRDefault="009C5B72" w:rsidP="009C5B72">
      <w:pPr>
        <w:pStyle w:val="ListParagraph"/>
        <w:numPr>
          <w:ilvl w:val="1"/>
          <w:numId w:val="1"/>
        </w:numPr>
        <w:rPr>
          <w:rFonts w:ascii="Times New Roman" w:hAnsi="Times New Roman" w:cs="Times New Roman"/>
          <w:sz w:val="22"/>
          <w:szCs w:val="22"/>
        </w:rPr>
      </w:pPr>
      <w:r w:rsidRPr="00424BA9">
        <w:rPr>
          <w:rFonts w:ascii="Times New Roman" w:hAnsi="Times New Roman" w:cs="Times New Roman"/>
          <w:b/>
          <w:bCs/>
          <w:i/>
          <w:iCs/>
          <w:u w:val="single"/>
          <w:lang w:val="en-GB"/>
        </w:rPr>
        <w:t>Extra consequences</w:t>
      </w:r>
      <w:r w:rsidRPr="00424BA9">
        <w:rPr>
          <w:rFonts w:ascii="Times New Roman" w:hAnsi="Times New Roman" w:cs="Times New Roman"/>
          <w:sz w:val="22"/>
          <w:szCs w:val="22"/>
          <w:lang w:val="en-GB"/>
        </w:rPr>
        <w:t xml:space="preserve">: They also keep mentioning that wind can blow things away, this was not really initially considered. </w:t>
      </w:r>
      <w:r w:rsidRPr="001E51D8">
        <w:rPr>
          <w:rFonts w:ascii="Times New Roman" w:hAnsi="Times New Roman" w:cs="Times New Roman"/>
          <w:sz w:val="22"/>
          <w:szCs w:val="22"/>
          <w:lang w:val="en-GB"/>
        </w:rPr>
        <w:t xml:space="preserve">Many mention the positive effect of wind when it blows from certain directions. </w:t>
      </w:r>
      <w:proofErr w:type="spellStart"/>
      <w:r w:rsidRPr="00424BA9">
        <w:rPr>
          <w:rFonts w:ascii="Times New Roman" w:hAnsi="Times New Roman" w:cs="Times New Roman"/>
          <w:sz w:val="22"/>
          <w:szCs w:val="22"/>
        </w:rPr>
        <w:t>This</w:t>
      </w:r>
      <w:proofErr w:type="spellEnd"/>
      <w:r w:rsidRPr="00424BA9">
        <w:rPr>
          <w:rFonts w:ascii="Times New Roman" w:hAnsi="Times New Roman" w:cs="Times New Roman"/>
          <w:sz w:val="22"/>
          <w:szCs w:val="22"/>
        </w:rPr>
        <w:t xml:space="preserve"> is kind </w:t>
      </w:r>
      <w:proofErr w:type="spellStart"/>
      <w:r w:rsidRPr="00424BA9">
        <w:rPr>
          <w:rFonts w:ascii="Times New Roman" w:hAnsi="Times New Roman" w:cs="Times New Roman"/>
          <w:sz w:val="22"/>
          <w:szCs w:val="22"/>
        </w:rPr>
        <w:t>of</w:t>
      </w:r>
      <w:proofErr w:type="spellEnd"/>
      <w:r w:rsidRPr="00424BA9">
        <w:rPr>
          <w:rFonts w:ascii="Times New Roman" w:hAnsi="Times New Roman" w:cs="Times New Roman"/>
          <w:sz w:val="22"/>
          <w:szCs w:val="22"/>
        </w:rPr>
        <w:t xml:space="preserve"> a long term </w:t>
      </w:r>
      <w:proofErr w:type="spellStart"/>
      <w:r w:rsidRPr="00424BA9">
        <w:rPr>
          <w:rFonts w:ascii="Times New Roman" w:hAnsi="Times New Roman" w:cs="Times New Roman"/>
          <w:sz w:val="22"/>
          <w:szCs w:val="22"/>
        </w:rPr>
        <w:t>effect</w:t>
      </w:r>
      <w:proofErr w:type="spellEnd"/>
    </w:p>
    <w:p w14:paraId="611541B6" w14:textId="77777777" w:rsidR="009C5B72" w:rsidRDefault="009C5B72" w:rsidP="009C5B72">
      <w:pPr>
        <w:rPr>
          <w:rFonts w:ascii="Times New Roman" w:hAnsi="Times New Roman" w:cs="Times New Roman"/>
          <w:sz w:val="22"/>
          <w:szCs w:val="22"/>
          <w:lang w:val="en-GB"/>
        </w:rPr>
      </w:pPr>
      <w:r w:rsidRPr="00F534CE">
        <w:rPr>
          <w:rFonts w:ascii="Times New Roman" w:hAnsi="Times New Roman" w:cs="Times New Roman"/>
          <w:sz w:val="22"/>
          <w:szCs w:val="22"/>
          <w:highlight w:val="yellow"/>
          <w:lang w:val="en-GB"/>
        </w:rPr>
        <w:t xml:space="preserve">I am </w:t>
      </w:r>
      <w:proofErr w:type="spellStart"/>
      <w:r w:rsidRPr="00F534CE">
        <w:rPr>
          <w:rFonts w:ascii="Times New Roman" w:hAnsi="Times New Roman" w:cs="Times New Roman"/>
          <w:sz w:val="22"/>
          <w:szCs w:val="22"/>
          <w:highlight w:val="yellow"/>
          <w:lang w:val="en-GB"/>
        </w:rPr>
        <w:t>relabeling</w:t>
      </w:r>
      <w:proofErr w:type="spellEnd"/>
      <w:r w:rsidRPr="00F534CE">
        <w:rPr>
          <w:rFonts w:ascii="Times New Roman" w:hAnsi="Times New Roman" w:cs="Times New Roman"/>
          <w:sz w:val="22"/>
          <w:szCs w:val="22"/>
          <w:highlight w:val="yellow"/>
          <w:lang w:val="en-GB"/>
        </w:rPr>
        <w:t xml:space="preserve"> the answers: the node to be used for the probability of Cope Adapt React is labelled in the column strategy</w:t>
      </w:r>
    </w:p>
    <w:p w14:paraId="0786C44E" w14:textId="77777777" w:rsidR="009C5B72" w:rsidRPr="00F534CE" w:rsidRDefault="009C5B72" w:rsidP="009C5B72">
      <w:pPr>
        <w:rPr>
          <w:rFonts w:ascii="Times New Roman" w:hAnsi="Times New Roman" w:cs="Times New Roman"/>
          <w:sz w:val="22"/>
          <w:szCs w:val="22"/>
          <w:lang w:val="en-GB"/>
        </w:rPr>
      </w:pPr>
      <w:bookmarkStart w:id="22" w:name="_Hlk212973320"/>
      <w:r w:rsidRPr="00F534CE">
        <w:rPr>
          <w:rFonts w:ascii="Times New Roman" w:hAnsi="Times New Roman" w:cs="Times New Roman"/>
          <w:sz w:val="22"/>
          <w:szCs w:val="22"/>
          <w:lang w:val="en-GB"/>
        </w:rPr>
        <w:t>The answer to this is supposed to be avoidance. Sometimes is elsewhere. Answers are manually coded as react, cope and adapt.</w:t>
      </w:r>
    </w:p>
    <w:bookmarkEnd w:id="22"/>
    <w:p w14:paraId="2A3152ED" w14:textId="77777777" w:rsidR="00E9395C" w:rsidRPr="009C5B72" w:rsidRDefault="00E9395C">
      <w:pPr>
        <w:rPr>
          <w:lang w:val="en-GB"/>
        </w:rPr>
      </w:pPr>
    </w:p>
    <w:sectPr w:rsidR="00E9395C" w:rsidRPr="009C5B7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ns Olsson" w:date="2025-10-31T07:36:00Z" w:initials="JO">
    <w:p w14:paraId="1CD721D8" w14:textId="77777777" w:rsidR="00937CBC" w:rsidRDefault="00937CBC" w:rsidP="00937CBC">
      <w:r>
        <w:rPr>
          <w:rStyle w:val="CommentReference"/>
        </w:rPr>
        <w:annotationRef/>
      </w:r>
      <w:r>
        <w:rPr>
          <w:sz w:val="20"/>
          <w:szCs w:val="20"/>
        </w:rPr>
        <w:t>An alternative here is to first focus on impact of extreme weather on ecosystems in general and associated natural resource use (also terrestrial). Then describe the marine environment and fisheries and how important it is for food provisioning and socio-cultural values. And also how potentieally sensitive the sector is to climate extreme events.</w:t>
      </w:r>
    </w:p>
    <w:p w14:paraId="043A13BE" w14:textId="77777777" w:rsidR="00937CBC" w:rsidRDefault="00937CBC" w:rsidP="00937CBC">
      <w:r>
        <w:rPr>
          <w:sz w:val="20"/>
          <w:szCs w:val="20"/>
        </w:rPr>
        <w:t>Then the unknowns that we aim to resolve in this paper.</w:t>
      </w:r>
    </w:p>
  </w:comment>
  <w:comment w:id="5" w:author="Enrico Nicola Armelloni" w:date="2025-11-28T09:29:00Z" w:initials="EA">
    <w:p w14:paraId="4314234F" w14:textId="77777777" w:rsidR="00937CBC" w:rsidRDefault="00937CBC" w:rsidP="00937CBC">
      <w:pPr>
        <w:pStyle w:val="CommentText"/>
      </w:pPr>
      <w:r>
        <w:rPr>
          <w:rStyle w:val="CommentReference"/>
        </w:rPr>
        <w:annotationRef/>
      </w:r>
      <w:r>
        <w:t>I think we kind of follow this reasoning</w:t>
      </w:r>
    </w:p>
  </w:comment>
  <w:comment w:id="9" w:author="Jens Olsson" w:date="2025-10-31T07:30:00Z" w:initials="JO">
    <w:p w14:paraId="769B6BE2" w14:textId="77777777" w:rsidR="00937CBC" w:rsidRDefault="00937CBC" w:rsidP="00937CBC">
      <w:r>
        <w:rPr>
          <w:rStyle w:val="CommentReference"/>
        </w:rPr>
        <w:annotationRef/>
      </w:r>
      <w:r>
        <w:rPr>
          <w:sz w:val="20"/>
          <w:szCs w:val="20"/>
        </w:rPr>
        <w:t>which are these besides fisheries? Tourism, shipping, oil and gas extraction? More? MY point here is how novel is our study?</w:t>
      </w:r>
    </w:p>
  </w:comment>
  <w:comment w:id="10" w:author="Jens Olsson" w:date="2025-10-31T07:32:00Z" w:initials="JO">
    <w:p w14:paraId="4386A34E" w14:textId="77777777" w:rsidR="00937CBC" w:rsidRDefault="00937CBC" w:rsidP="00937CBC">
      <w:r>
        <w:rPr>
          <w:rStyle w:val="CommentReference"/>
        </w:rPr>
        <w:annotationRef/>
      </w:r>
      <w:r>
        <w:rPr>
          <w:sz w:val="20"/>
          <w:szCs w:val="20"/>
        </w:rPr>
        <w:t>The two references cited are on fisheries, so perhaps reword and to focus on fisheries and lift something that is novel with our study?</w:t>
      </w:r>
    </w:p>
  </w:comment>
  <w:comment w:id="6" w:author="Anna Gårdmark" w:date="2025-10-30T16:32:00Z" w:initials="AG">
    <w:p w14:paraId="1F33B7E3" w14:textId="77777777" w:rsidR="00937CBC" w:rsidRDefault="00937CBC" w:rsidP="00937CBC">
      <w:pPr>
        <w:pStyle w:val="CommentText"/>
      </w:pPr>
      <w:r>
        <w:rPr>
          <w:rStyle w:val="CommentReference"/>
        </w:rPr>
        <w:annotationRef/>
      </w:r>
      <w:r>
        <w:t>Here important to distinguish between studies *suggesting* a *potential* high impact (i.e., for example modelling studies such as Vianneys, or reviews of modelling) and those studies that actually have measured the impact on sectors (fisheries) that depend on marine ecosystems</w:t>
      </w:r>
    </w:p>
  </w:comment>
  <w:comment w:id="7" w:author="Enrico Nicola Armelloni" w:date="2025-11-28T09:32:00Z" w:initials="EA">
    <w:p w14:paraId="1E223D0F" w14:textId="77777777" w:rsidR="00937CBC" w:rsidRDefault="00937CBC" w:rsidP="00937CBC">
      <w:pPr>
        <w:pStyle w:val="CommentText"/>
      </w:pPr>
      <w:r>
        <w:rPr>
          <w:rStyle w:val="CommentReference"/>
        </w:rPr>
        <w:annotationRef/>
      </w:r>
      <w:r>
        <w:t>Good point and nice hook to the need of risk assessment</w:t>
      </w:r>
    </w:p>
  </w:comment>
  <w:comment w:id="11" w:author="Jens Olsson" w:date="2025-10-31T07:45:00Z" w:initials="JO">
    <w:p w14:paraId="228D27C4" w14:textId="77777777" w:rsidR="00937CBC" w:rsidRDefault="00937CBC" w:rsidP="00937CBC">
      <w:r>
        <w:rPr>
          <w:rStyle w:val="CommentReference"/>
        </w:rPr>
        <w:annotationRef/>
      </w:r>
      <w:r>
        <w:rPr>
          <w:sz w:val="20"/>
          <w:szCs w:val="20"/>
        </w:rPr>
        <w:t>Also justify why this is of importance to study. I.e. how should/must fisheries adapt to more intense extreme weather, and what is the potential for and consequences of this. Also how management should be responsive for sustainable futire exploitation while still considering viable fisheries and food provisioning?</w:t>
      </w:r>
    </w:p>
  </w:comment>
  <w:comment w:id="15" w:author="Jens Olsson" w:date="2025-10-31T07:43:00Z" w:initials="JO">
    <w:p w14:paraId="1C3B5057" w14:textId="77777777" w:rsidR="00937CBC" w:rsidRDefault="00937CBC" w:rsidP="00937CBC">
      <w:r>
        <w:rPr>
          <w:rStyle w:val="CommentReference"/>
        </w:rPr>
        <w:annotationRef/>
      </w:r>
      <w:r>
        <w:rPr>
          <w:sz w:val="20"/>
          <w:szCs w:val="20"/>
        </w:rPr>
        <w:t xml:space="preserve">and no comprehensive study of a social-ecoligcal system where different sectors target a shared resoucres (i.e. the Baltic Sea)? And where different metiers/fishiers are considered in concert? </w:t>
      </w:r>
    </w:p>
  </w:comment>
  <w:comment w:id="13" w:author="Anna Gårdmark" w:date="2025-10-30T16:35:00Z" w:initials="AG">
    <w:p w14:paraId="2A85CDAF" w14:textId="77777777" w:rsidR="00937CBC" w:rsidRDefault="00937CBC" w:rsidP="00937CBC">
      <w:pPr>
        <w:pStyle w:val="CommentText"/>
      </w:pPr>
      <w:r>
        <w:rPr>
          <w:rStyle w:val="CommentReference"/>
        </w:rPr>
        <w:annotationRef/>
      </w:r>
      <w:r>
        <w:t>For coastal &amp; large-scale fisheries, are the causal pathways from heatwaves to effects on fisheries also known? Else that is another knowledge gap that this study also would address</w:t>
      </w:r>
    </w:p>
  </w:comment>
  <w:comment w:id="14" w:author="Enrico Nicola Armelloni" w:date="2025-11-02T16:06:00Z" w:initials="EA">
    <w:p w14:paraId="6A306F44" w14:textId="77777777" w:rsidR="00937CBC" w:rsidRDefault="00937CBC" w:rsidP="00937CBC">
      <w:pPr>
        <w:pStyle w:val="CommentText"/>
      </w:pPr>
      <w:r>
        <w:rPr>
          <w:rStyle w:val="CommentReference"/>
        </w:rPr>
        <w:annotationRef/>
      </w:r>
      <w:r>
        <w:t>Each system is very specific, and so it is the level of details that each study provide. I am afraid it is hard to generally consider heatwaves risk pathways on small scale fisherman a knowledge gap (see DOI: 10.1111/faf.12790). But probably detail of how the fishing operations changes is not so known. I need to elaborate more on this to make sure to balance the claim to the available literature</w:t>
      </w:r>
    </w:p>
  </w:comment>
  <w:comment w:id="18" w:author="Enrico Nicola Armelloni" w:date="2025-11-02T16:28:00Z" w:initials="EA">
    <w:p w14:paraId="5F29627C" w14:textId="77777777" w:rsidR="00937CBC" w:rsidRDefault="00937CBC" w:rsidP="00937CBC">
      <w:pPr>
        <w:pStyle w:val="CommentText"/>
      </w:pPr>
      <w:r>
        <w:rPr>
          <w:rStyle w:val="CommentReference"/>
        </w:rPr>
        <w:annotationRef/>
      </w:r>
      <w:r>
        <w:t>I have hard time in thinking on just one question. I see too many combinations. Here I tried to provide some synthetic questions. In the material and methods I report a list of scenarios and associated research questions.</w:t>
      </w:r>
    </w:p>
  </w:comment>
  <w:comment w:id="19" w:author="Anna Gårdmark" w:date="2025-11-03T07:54:00Z" w:initials="AG">
    <w:p w14:paraId="51B426A2" w14:textId="77777777" w:rsidR="00937CBC" w:rsidRDefault="00937CBC" w:rsidP="00937CBC">
      <w:pPr>
        <w:pStyle w:val="CommentText"/>
      </w:pPr>
      <w:r>
        <w:rPr>
          <w:rStyle w:val="CommentReference"/>
        </w:rPr>
        <w:annotationRef/>
      </w:r>
      <w:r>
        <w:t xml:space="preserve">Good that you started on the RQs now. I suggest we can phrase the initial question simpler and merge some to get only two questions overall.; I would phrase it something like: </w:t>
      </w:r>
    </w:p>
    <w:p w14:paraId="073AEACC" w14:textId="77777777" w:rsidR="00937CBC" w:rsidRDefault="00937CBC" w:rsidP="00937CBC">
      <w:pPr>
        <w:pStyle w:val="CommentText"/>
        <w:numPr>
          <w:ilvl w:val="0"/>
          <w:numId w:val="3"/>
        </w:numPr>
      </w:pPr>
      <w:r>
        <w:rPr>
          <w:b/>
          <w:bCs/>
        </w:rPr>
        <w:t xml:space="preserve">How do extreme weather events affect fisheries operations and influence risks to Swedish fisheries?      </w:t>
      </w:r>
    </w:p>
    <w:p w14:paraId="7A4E54B2" w14:textId="77777777" w:rsidR="00937CBC" w:rsidRDefault="00937CBC" w:rsidP="00937CBC">
      <w:pPr>
        <w:pStyle w:val="CommentText"/>
        <w:numPr>
          <w:ilvl w:val="0"/>
          <w:numId w:val="3"/>
        </w:numPr>
      </w:pPr>
      <w:r>
        <w:rPr>
          <w:b/>
          <w:bCs/>
        </w:rPr>
        <w:t>How are these economic, individual and societal risks influenced by management, credits and stock status?</w:t>
      </w:r>
    </w:p>
  </w:comment>
  <w:comment w:id="20" w:author="Anna Gårdmark" w:date="2025-11-03T08:22:00Z" w:initials="AG">
    <w:p w14:paraId="2A142089" w14:textId="77777777" w:rsidR="00937CBC" w:rsidRDefault="00937CBC" w:rsidP="00937CBC">
      <w:pPr>
        <w:pStyle w:val="CommentText"/>
      </w:pPr>
      <w:r>
        <w:rPr>
          <w:rStyle w:val="CommentReference"/>
        </w:rPr>
        <w:annotationRef/>
      </w:r>
      <w:r>
        <w:t>One more thing: if we need to skip some part of this, I suggest skipping the credits, and focus the second question on management and stock status</w:t>
      </w:r>
    </w:p>
  </w:comment>
  <w:comment w:id="21" w:author="Anna Gårdmark" w:date="2025-10-30T16:44:00Z" w:initials="AG">
    <w:p w14:paraId="6130E296" w14:textId="77777777" w:rsidR="00937CBC" w:rsidRDefault="00937CBC" w:rsidP="00937CBC">
      <w:pPr>
        <w:pStyle w:val="CommentText"/>
      </w:pPr>
      <w:r>
        <w:rPr>
          <w:rStyle w:val="CommentReference"/>
        </w:rPr>
        <w:annotationRef/>
      </w:r>
      <w:r>
        <w:t>Worth thinking a bit on exactly how we would like to phrase the research question. For example, as we’re only addressing direct effects (i.e. not indirect effects via food web changes), it would be good to indicate that in the question. (Especially as we want to set the stage for our future paper including the ecosystem effects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3A13BE" w15:done="0"/>
  <w15:commentEx w15:paraId="4314234F" w15:paraIdParent="043A13BE" w15:done="0"/>
  <w15:commentEx w15:paraId="769B6BE2" w15:done="0"/>
  <w15:commentEx w15:paraId="4386A34E" w15:paraIdParent="769B6BE2" w15:done="0"/>
  <w15:commentEx w15:paraId="1F33B7E3" w15:done="0"/>
  <w15:commentEx w15:paraId="1E223D0F" w15:paraIdParent="1F33B7E3" w15:done="0"/>
  <w15:commentEx w15:paraId="228D27C4" w15:done="0"/>
  <w15:commentEx w15:paraId="1C3B5057" w15:done="0"/>
  <w15:commentEx w15:paraId="2A85CDAF" w15:done="0"/>
  <w15:commentEx w15:paraId="6A306F44" w15:paraIdParent="2A85CDAF" w15:done="0"/>
  <w15:commentEx w15:paraId="5F29627C" w15:done="1"/>
  <w15:commentEx w15:paraId="7A4E54B2" w15:paraIdParent="5F29627C" w15:done="1"/>
  <w15:commentEx w15:paraId="2A142089" w15:paraIdParent="5F29627C" w15:done="1"/>
  <w15:commentEx w15:paraId="6130E2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A4553B" w16cex:dateUtc="2025-10-31T06:36:00Z"/>
  <w16cex:commentExtensible w16cex:durableId="697699D1" w16cex:dateUtc="2025-11-28T08:29:00Z"/>
  <w16cex:commentExtensible w16cex:durableId="08775C1A" w16cex:dateUtc="2025-10-31T06:30:00Z"/>
  <w16cex:commentExtensible w16cex:durableId="32D54FE5" w16cex:dateUtc="2025-10-31T06:32:00Z"/>
  <w16cex:commentExtensible w16cex:durableId="1AC52780" w16cex:dateUtc="2025-10-30T15:32:00Z">
    <w16cex:extLst>
      <w16:ext w16:uri="{CE6994B0-6A32-4C9F-8C6B-6E91EDA988CE}">
        <cr:reactions xmlns:cr="http://schemas.microsoft.com/office/comments/2020/reactions">
          <cr:reaction reactionType="1">
            <cr:reactionInfo dateUtc="2025-11-28T08:30:00Z">
              <cr:user userId="S::enrico.armelloni@slu.se::6643312a-f239-4e28-a8ba-eb2dde7d0cec" userProvider="AD" userName="Enrico Nicola Armelloni"/>
            </cr:reactionInfo>
          </cr:reaction>
        </cr:reactions>
      </w16:ext>
    </w16cex:extLst>
  </w16cex:commentExtensible>
  <w16cex:commentExtensible w16cex:durableId="23CB1D42" w16cex:dateUtc="2025-11-28T08:32:00Z"/>
  <w16cex:commentExtensible w16cex:durableId="11F26B30" w16cex:dateUtc="2025-10-31T06:45:00Z"/>
  <w16cex:commentExtensible w16cex:durableId="1DBFF8B5" w16cex:dateUtc="2025-10-31T06:43:00Z"/>
  <w16cex:commentExtensible w16cex:durableId="10E741F8" w16cex:dateUtc="2025-10-30T15:35:00Z"/>
  <w16cex:commentExtensible w16cex:durableId="103DA30B" w16cex:dateUtc="2025-11-02T15:06:00Z"/>
  <w16cex:commentExtensible w16cex:durableId="25493781" w16cex:dateUtc="2025-11-02T15:28:00Z"/>
  <w16cex:commentExtensible w16cex:durableId="734721BE" w16cex:dateUtc="2025-11-03T06:54:00Z">
    <w16cex:extLst>
      <w16:ext w16:uri="{CE6994B0-6A32-4C9F-8C6B-6E91EDA988CE}">
        <cr:reactions xmlns:cr="http://schemas.microsoft.com/office/comments/2020/reactions">
          <cr:reaction reactionType="1">
            <cr:reactionInfo dateUtc="2025-11-05T14:38:28Z">
              <cr:user userId="S::enrico.armelloni@slu.se::6643312a-f239-4e28-a8ba-eb2dde7d0cec" userProvider="AD" userName="Enrico Nicola Armelloni"/>
            </cr:reactionInfo>
          </cr:reaction>
        </cr:reactions>
      </w16:ext>
    </w16cex:extLst>
  </w16cex:commentExtensible>
  <w16cex:commentExtensible w16cex:durableId="5814C0FD" w16cex:dateUtc="2025-11-03T07:22:00Z"/>
  <w16cex:commentExtensible w16cex:durableId="69274C4D" w16cex:dateUtc="2025-10-30T15:44:00Z">
    <w16cex:extLst>
      <w16:ext w16:uri="{CE6994B0-6A32-4C9F-8C6B-6E91EDA988CE}">
        <cr:reactions xmlns:cr="http://schemas.microsoft.com/office/comments/2020/reactions">
          <cr:reaction reactionType="1">
            <cr:reactionInfo dateUtc="2025-11-11T16:14:55Z">
              <cr:user userId="S::enrico.armelloni@slu.se::6643312a-f239-4e28-a8ba-eb2dde7d0cec" userProvider="AD" userName="Enrico Nicola Armellon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3A13BE" w16cid:durableId="40A4553B"/>
  <w16cid:commentId w16cid:paraId="4314234F" w16cid:durableId="697699D1"/>
  <w16cid:commentId w16cid:paraId="769B6BE2" w16cid:durableId="08775C1A"/>
  <w16cid:commentId w16cid:paraId="4386A34E" w16cid:durableId="32D54FE5"/>
  <w16cid:commentId w16cid:paraId="1F33B7E3" w16cid:durableId="1AC52780"/>
  <w16cid:commentId w16cid:paraId="1E223D0F" w16cid:durableId="23CB1D42"/>
  <w16cid:commentId w16cid:paraId="228D27C4" w16cid:durableId="11F26B30"/>
  <w16cid:commentId w16cid:paraId="1C3B5057" w16cid:durableId="1DBFF8B5"/>
  <w16cid:commentId w16cid:paraId="2A85CDAF" w16cid:durableId="10E741F8"/>
  <w16cid:commentId w16cid:paraId="6A306F44" w16cid:durableId="103DA30B"/>
  <w16cid:commentId w16cid:paraId="5F29627C" w16cid:durableId="25493781"/>
  <w16cid:commentId w16cid:paraId="7A4E54B2" w16cid:durableId="734721BE"/>
  <w16cid:commentId w16cid:paraId="2A142089" w16cid:durableId="5814C0FD"/>
  <w16cid:commentId w16cid:paraId="6130E296" w16cid:durableId="69274C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016"/>
    <w:multiLevelType w:val="hybridMultilevel"/>
    <w:tmpl w:val="DB9EF71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FA7279C"/>
    <w:multiLevelType w:val="hybridMultilevel"/>
    <w:tmpl w:val="9C4EE8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4FF23350"/>
    <w:multiLevelType w:val="hybridMultilevel"/>
    <w:tmpl w:val="77E63E74"/>
    <w:lvl w:ilvl="0" w:tplc="7556F268">
      <w:start w:val="1"/>
      <w:numFmt w:val="decimal"/>
      <w:lvlText w:val="%1."/>
      <w:lvlJc w:val="left"/>
      <w:pPr>
        <w:ind w:left="1020" w:hanging="360"/>
      </w:pPr>
    </w:lvl>
    <w:lvl w:ilvl="1" w:tplc="3B1023AC">
      <w:start w:val="1"/>
      <w:numFmt w:val="decimal"/>
      <w:lvlText w:val="%2."/>
      <w:lvlJc w:val="left"/>
      <w:pPr>
        <w:ind w:left="1020" w:hanging="360"/>
      </w:pPr>
    </w:lvl>
    <w:lvl w:ilvl="2" w:tplc="C7D6F10E">
      <w:start w:val="1"/>
      <w:numFmt w:val="decimal"/>
      <w:lvlText w:val="%3."/>
      <w:lvlJc w:val="left"/>
      <w:pPr>
        <w:ind w:left="1020" w:hanging="360"/>
      </w:pPr>
    </w:lvl>
    <w:lvl w:ilvl="3" w:tplc="2FB46584">
      <w:start w:val="1"/>
      <w:numFmt w:val="decimal"/>
      <w:lvlText w:val="%4."/>
      <w:lvlJc w:val="left"/>
      <w:pPr>
        <w:ind w:left="1020" w:hanging="360"/>
      </w:pPr>
    </w:lvl>
    <w:lvl w:ilvl="4" w:tplc="006C707E">
      <w:start w:val="1"/>
      <w:numFmt w:val="decimal"/>
      <w:lvlText w:val="%5."/>
      <w:lvlJc w:val="left"/>
      <w:pPr>
        <w:ind w:left="1020" w:hanging="360"/>
      </w:pPr>
    </w:lvl>
    <w:lvl w:ilvl="5" w:tplc="0114AD94">
      <w:start w:val="1"/>
      <w:numFmt w:val="decimal"/>
      <w:lvlText w:val="%6."/>
      <w:lvlJc w:val="left"/>
      <w:pPr>
        <w:ind w:left="1020" w:hanging="360"/>
      </w:pPr>
    </w:lvl>
    <w:lvl w:ilvl="6" w:tplc="721E80AC">
      <w:start w:val="1"/>
      <w:numFmt w:val="decimal"/>
      <w:lvlText w:val="%7."/>
      <w:lvlJc w:val="left"/>
      <w:pPr>
        <w:ind w:left="1020" w:hanging="360"/>
      </w:pPr>
    </w:lvl>
    <w:lvl w:ilvl="7" w:tplc="D8BE88A6">
      <w:start w:val="1"/>
      <w:numFmt w:val="decimal"/>
      <w:lvlText w:val="%8."/>
      <w:lvlJc w:val="left"/>
      <w:pPr>
        <w:ind w:left="1020" w:hanging="360"/>
      </w:pPr>
    </w:lvl>
    <w:lvl w:ilvl="8" w:tplc="BDF0463A">
      <w:start w:val="1"/>
      <w:numFmt w:val="decimal"/>
      <w:lvlText w:val="%9."/>
      <w:lvlJc w:val="left"/>
      <w:pPr>
        <w:ind w:left="1020" w:hanging="360"/>
      </w:pPr>
    </w:lvl>
  </w:abstractNum>
  <w:num w:numId="1" w16cid:durableId="737820215">
    <w:abstractNumId w:val="0"/>
  </w:num>
  <w:num w:numId="2" w16cid:durableId="474566949">
    <w:abstractNumId w:val="1"/>
  </w:num>
  <w:num w:numId="3" w16cid:durableId="9080744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s Olsson">
    <w15:presenceInfo w15:providerId="None" w15:userId="Jens Olsson"/>
  </w15:person>
  <w15:person w15:author="Enrico Nicola Armelloni">
    <w15:presenceInfo w15:providerId="AD" w15:userId="S::enrico.armelloni@slu.se::6643312a-f239-4e28-a8ba-eb2dde7d0cec"/>
  </w15:person>
  <w15:person w15:author="Anna Gårdmark">
    <w15:presenceInfo w15:providerId="AD" w15:userId="S::anna.gardmark@slu.se::5da02c49-2e4e-41db-af8f-110b41dbc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A2"/>
    <w:rsid w:val="0004016C"/>
    <w:rsid w:val="0021569F"/>
    <w:rsid w:val="002E7346"/>
    <w:rsid w:val="00465FA2"/>
    <w:rsid w:val="00510511"/>
    <w:rsid w:val="00642DEE"/>
    <w:rsid w:val="006C7A83"/>
    <w:rsid w:val="006D4BBD"/>
    <w:rsid w:val="00735090"/>
    <w:rsid w:val="00806B1C"/>
    <w:rsid w:val="008F38B3"/>
    <w:rsid w:val="00937CBC"/>
    <w:rsid w:val="009C5B72"/>
    <w:rsid w:val="00B15809"/>
    <w:rsid w:val="00B7281A"/>
    <w:rsid w:val="00B85152"/>
    <w:rsid w:val="00CC0D1E"/>
    <w:rsid w:val="00E64A08"/>
    <w:rsid w:val="00E9395C"/>
    <w:rsid w:val="00F66F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704F"/>
  <w15:chartTrackingRefBased/>
  <w15:docId w15:val="{16153B56-FBB2-49E9-B13B-99B5A1579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B72"/>
  </w:style>
  <w:style w:type="paragraph" w:styleId="Heading1">
    <w:name w:val="heading 1"/>
    <w:basedOn w:val="Normal"/>
    <w:next w:val="Normal"/>
    <w:link w:val="Heading1Char"/>
    <w:uiPriority w:val="9"/>
    <w:qFormat/>
    <w:rsid w:val="00465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FA2"/>
    <w:rPr>
      <w:rFonts w:eastAsiaTheme="majorEastAsia" w:cstheme="majorBidi"/>
      <w:color w:val="272727" w:themeColor="text1" w:themeTint="D8"/>
    </w:rPr>
  </w:style>
  <w:style w:type="paragraph" w:styleId="Title">
    <w:name w:val="Title"/>
    <w:basedOn w:val="Normal"/>
    <w:next w:val="Normal"/>
    <w:link w:val="TitleChar"/>
    <w:uiPriority w:val="10"/>
    <w:qFormat/>
    <w:rsid w:val="00465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FA2"/>
    <w:pPr>
      <w:spacing w:before="160"/>
      <w:jc w:val="center"/>
    </w:pPr>
    <w:rPr>
      <w:i/>
      <w:iCs/>
      <w:color w:val="404040" w:themeColor="text1" w:themeTint="BF"/>
    </w:rPr>
  </w:style>
  <w:style w:type="character" w:customStyle="1" w:styleId="QuoteChar">
    <w:name w:val="Quote Char"/>
    <w:basedOn w:val="DefaultParagraphFont"/>
    <w:link w:val="Quote"/>
    <w:uiPriority w:val="29"/>
    <w:rsid w:val="00465FA2"/>
    <w:rPr>
      <w:i/>
      <w:iCs/>
      <w:color w:val="404040" w:themeColor="text1" w:themeTint="BF"/>
    </w:rPr>
  </w:style>
  <w:style w:type="paragraph" w:styleId="ListParagraph">
    <w:name w:val="List Paragraph"/>
    <w:basedOn w:val="Normal"/>
    <w:uiPriority w:val="34"/>
    <w:qFormat/>
    <w:rsid w:val="00465FA2"/>
    <w:pPr>
      <w:ind w:left="720"/>
      <w:contextualSpacing/>
    </w:pPr>
  </w:style>
  <w:style w:type="character" w:styleId="IntenseEmphasis">
    <w:name w:val="Intense Emphasis"/>
    <w:basedOn w:val="DefaultParagraphFont"/>
    <w:uiPriority w:val="21"/>
    <w:qFormat/>
    <w:rsid w:val="00465FA2"/>
    <w:rPr>
      <w:i/>
      <w:iCs/>
      <w:color w:val="0F4761" w:themeColor="accent1" w:themeShade="BF"/>
    </w:rPr>
  </w:style>
  <w:style w:type="paragraph" w:styleId="IntenseQuote">
    <w:name w:val="Intense Quote"/>
    <w:basedOn w:val="Normal"/>
    <w:next w:val="Normal"/>
    <w:link w:val="IntenseQuoteChar"/>
    <w:uiPriority w:val="30"/>
    <w:qFormat/>
    <w:rsid w:val="00465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FA2"/>
    <w:rPr>
      <w:i/>
      <w:iCs/>
      <w:color w:val="0F4761" w:themeColor="accent1" w:themeShade="BF"/>
    </w:rPr>
  </w:style>
  <w:style w:type="character" w:styleId="IntenseReference">
    <w:name w:val="Intense Reference"/>
    <w:basedOn w:val="DefaultParagraphFont"/>
    <w:uiPriority w:val="32"/>
    <w:qFormat/>
    <w:rsid w:val="00465FA2"/>
    <w:rPr>
      <w:b/>
      <w:bCs/>
      <w:smallCaps/>
      <w:color w:val="0F4761" w:themeColor="accent1" w:themeShade="BF"/>
      <w:spacing w:val="5"/>
    </w:rPr>
  </w:style>
  <w:style w:type="character" w:styleId="CommentReference">
    <w:name w:val="annotation reference"/>
    <w:basedOn w:val="DefaultParagraphFont"/>
    <w:uiPriority w:val="99"/>
    <w:semiHidden/>
    <w:unhideWhenUsed/>
    <w:rsid w:val="00937CBC"/>
    <w:rPr>
      <w:sz w:val="16"/>
      <w:szCs w:val="16"/>
    </w:rPr>
  </w:style>
  <w:style w:type="paragraph" w:styleId="CommentText">
    <w:name w:val="annotation text"/>
    <w:basedOn w:val="Normal"/>
    <w:link w:val="CommentTextChar"/>
    <w:uiPriority w:val="99"/>
    <w:unhideWhenUsed/>
    <w:rsid w:val="00937CBC"/>
    <w:pPr>
      <w:spacing w:line="240" w:lineRule="auto"/>
    </w:pPr>
    <w:rPr>
      <w:sz w:val="20"/>
      <w:szCs w:val="20"/>
    </w:rPr>
  </w:style>
  <w:style w:type="character" w:customStyle="1" w:styleId="CommentTextChar">
    <w:name w:val="Comment Text Char"/>
    <w:basedOn w:val="DefaultParagraphFont"/>
    <w:link w:val="CommentText"/>
    <w:uiPriority w:val="99"/>
    <w:rsid w:val="00937CB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12813</Words>
  <Characters>67909</Characters>
  <Application>Microsoft Office Word</Application>
  <DocSecurity>0</DocSecurity>
  <Lines>565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Nicola Armelloni</dc:creator>
  <cp:keywords/>
  <dc:description/>
  <cp:lastModifiedBy>Enrico Nicola Armelloni</cp:lastModifiedBy>
  <cp:revision>5</cp:revision>
  <dcterms:created xsi:type="dcterms:W3CDTF">2025-11-02T16:02:00Z</dcterms:created>
  <dcterms:modified xsi:type="dcterms:W3CDTF">2025-12-01T15:50:00Z</dcterms:modified>
</cp:coreProperties>
</file>