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1C2D7" w14:textId="77777777" w:rsidR="0017154C" w:rsidRPr="00FA75AB" w:rsidRDefault="0017154C" w:rsidP="0017154C">
      <w:pPr>
        <w:tabs>
          <w:tab w:val="clear" w:pos="3068"/>
        </w:tabs>
        <w:rPr>
          <w:rFonts w:asciiTheme="minorHAnsi" w:hAnsiTheme="minorHAnsi" w:cstheme="minorHAnsi"/>
          <w:szCs w:val="22"/>
        </w:rPr>
      </w:pPr>
    </w:p>
    <w:p w14:paraId="2C9C7997" w14:textId="77777777" w:rsidR="0017154C" w:rsidRPr="00FA75AB" w:rsidRDefault="0017154C" w:rsidP="0017154C">
      <w:pPr>
        <w:tabs>
          <w:tab w:val="clear" w:pos="3068"/>
        </w:tabs>
        <w:rPr>
          <w:rFonts w:asciiTheme="minorHAnsi" w:hAnsiTheme="minorHAnsi" w:cstheme="minorHAnsi"/>
          <w:szCs w:val="22"/>
        </w:rPr>
      </w:pPr>
    </w:p>
    <w:p w14:paraId="09F15446" w14:textId="77777777" w:rsidR="0017154C" w:rsidRDefault="0017154C" w:rsidP="0017154C">
      <w:pPr>
        <w:tabs>
          <w:tab w:val="clear" w:pos="3068"/>
        </w:tabs>
        <w:rPr>
          <w:rFonts w:asciiTheme="minorHAnsi" w:hAnsiTheme="minorHAnsi" w:cstheme="minorHAnsi"/>
          <w:szCs w:val="22"/>
        </w:rPr>
      </w:pPr>
    </w:p>
    <w:p w14:paraId="1CA0A217" w14:textId="60D4FB71" w:rsidR="005D4500" w:rsidRPr="00FA75AB" w:rsidRDefault="00E826EC" w:rsidP="00CC186E">
      <w:pPr>
        <w:pStyle w:val="Title"/>
      </w:pPr>
      <w:r w:rsidRPr="00E826EC">
        <w:t>A Meta-Review of Meta-Analyses on Cognitive Performance in ADHD and Developmental Dyslexia</w:t>
      </w:r>
    </w:p>
    <w:p w14:paraId="0AFE45A7" w14:textId="77777777" w:rsidR="0017154C" w:rsidRPr="00FA75AB" w:rsidRDefault="0017154C" w:rsidP="0017154C">
      <w:pPr>
        <w:tabs>
          <w:tab w:val="clear" w:pos="3068"/>
        </w:tabs>
        <w:rPr>
          <w:rFonts w:asciiTheme="minorHAnsi" w:hAnsiTheme="minorHAnsi" w:cstheme="minorHAnsi"/>
          <w:szCs w:val="22"/>
        </w:rPr>
      </w:pPr>
    </w:p>
    <w:p w14:paraId="57C2CFDD" w14:textId="3902D893" w:rsidR="0017154C" w:rsidRPr="00443C51" w:rsidRDefault="00DB663D" w:rsidP="0017154C">
      <w:pPr>
        <w:tabs>
          <w:tab w:val="clear" w:pos="3068"/>
        </w:tabs>
        <w:ind w:firstLine="0"/>
        <w:jc w:val="center"/>
        <w:rPr>
          <w:rFonts w:asciiTheme="minorHAnsi" w:hAnsiTheme="minorHAnsi" w:cstheme="minorHAnsi"/>
          <w:szCs w:val="22"/>
          <w:lang w:val="it-IT"/>
        </w:rPr>
      </w:pPr>
      <w:r w:rsidRPr="00443C51">
        <w:rPr>
          <w:rFonts w:asciiTheme="minorHAnsi" w:hAnsiTheme="minorHAnsi" w:cstheme="minorHAnsi"/>
          <w:szCs w:val="22"/>
          <w:lang w:val="it-IT"/>
        </w:rPr>
        <w:t>Enrico Toffalini</w:t>
      </w:r>
      <w:r w:rsidR="009A1DB3" w:rsidRPr="00443C51">
        <w:rPr>
          <w:rFonts w:asciiTheme="minorHAnsi" w:hAnsiTheme="minorHAnsi" w:cstheme="minorHAnsi"/>
          <w:szCs w:val="22"/>
          <w:vertAlign w:val="superscript"/>
          <w:lang w:val="it-IT"/>
        </w:rPr>
        <w:t>1</w:t>
      </w:r>
      <w:r w:rsidR="00443C51" w:rsidRPr="00596C71">
        <w:rPr>
          <w:rFonts w:asciiTheme="minorHAnsi" w:hAnsiTheme="minorHAnsi" w:cstheme="minorHAnsi"/>
          <w:szCs w:val="22"/>
          <w:lang w:val="it-IT"/>
        </w:rPr>
        <w:t xml:space="preserve">, </w:t>
      </w:r>
      <w:r w:rsidR="00443C51" w:rsidRPr="00443C51">
        <w:rPr>
          <w:rFonts w:asciiTheme="minorHAnsi" w:hAnsiTheme="minorHAnsi" w:cstheme="minorHAnsi"/>
          <w:szCs w:val="22"/>
          <w:lang w:val="it-IT"/>
        </w:rPr>
        <w:t>Laura Sità</w:t>
      </w:r>
      <w:r w:rsidR="00443C51" w:rsidRPr="00443C51">
        <w:rPr>
          <w:rFonts w:asciiTheme="minorHAnsi" w:hAnsiTheme="minorHAnsi" w:cstheme="minorHAnsi"/>
          <w:szCs w:val="22"/>
          <w:vertAlign w:val="superscript"/>
          <w:lang w:val="it-IT"/>
        </w:rPr>
        <w:t>1</w:t>
      </w:r>
      <w:r w:rsidR="00443C51" w:rsidRPr="00596C71">
        <w:rPr>
          <w:rFonts w:asciiTheme="minorHAnsi" w:hAnsiTheme="minorHAnsi" w:cstheme="minorHAnsi"/>
          <w:szCs w:val="22"/>
          <w:lang w:val="it-IT"/>
        </w:rPr>
        <w:t xml:space="preserve">, </w:t>
      </w:r>
      <w:proofErr w:type="spellStart"/>
      <w:r w:rsidR="00443C51" w:rsidRPr="00443C51">
        <w:rPr>
          <w:rFonts w:asciiTheme="minorHAnsi" w:hAnsiTheme="minorHAnsi" w:cstheme="minorHAnsi"/>
          <w:szCs w:val="22"/>
          <w:lang w:val="it-IT"/>
        </w:rPr>
        <w:t>Sayedeh</w:t>
      </w:r>
      <w:proofErr w:type="spellEnd"/>
      <w:r w:rsidR="00443C51" w:rsidRPr="00443C51">
        <w:rPr>
          <w:rFonts w:asciiTheme="minorHAnsi" w:hAnsiTheme="minorHAnsi" w:cstheme="minorHAnsi"/>
          <w:szCs w:val="22"/>
          <w:lang w:val="it-IT"/>
        </w:rPr>
        <w:t xml:space="preserve"> </w:t>
      </w:r>
      <w:proofErr w:type="spellStart"/>
      <w:r w:rsidR="00443C51" w:rsidRPr="00443C51">
        <w:rPr>
          <w:rFonts w:asciiTheme="minorHAnsi" w:hAnsiTheme="minorHAnsi" w:cstheme="minorHAnsi"/>
          <w:szCs w:val="22"/>
          <w:lang w:val="it-IT"/>
        </w:rPr>
        <w:t>Mohaddeseh</w:t>
      </w:r>
      <w:proofErr w:type="spellEnd"/>
      <w:r w:rsidR="00443C51" w:rsidRPr="00443C51">
        <w:rPr>
          <w:rFonts w:asciiTheme="minorHAnsi" w:hAnsiTheme="minorHAnsi" w:cstheme="minorHAnsi"/>
          <w:szCs w:val="22"/>
          <w:lang w:val="it-IT"/>
        </w:rPr>
        <w:t xml:space="preserve"> Badri</w:t>
      </w:r>
      <w:r w:rsidR="00443C51" w:rsidRPr="00443C51">
        <w:rPr>
          <w:rFonts w:asciiTheme="minorHAnsi" w:hAnsiTheme="minorHAnsi" w:cstheme="minorHAnsi"/>
          <w:szCs w:val="22"/>
          <w:vertAlign w:val="superscript"/>
          <w:lang w:val="it-IT"/>
        </w:rPr>
        <w:t>1</w:t>
      </w:r>
      <w:r w:rsidR="00443C51" w:rsidRPr="00596C71">
        <w:rPr>
          <w:rFonts w:asciiTheme="minorHAnsi" w:hAnsiTheme="minorHAnsi" w:cstheme="minorHAnsi"/>
          <w:szCs w:val="22"/>
          <w:lang w:val="it-IT"/>
        </w:rPr>
        <w:t xml:space="preserve">, </w:t>
      </w:r>
      <w:r w:rsidR="00443C51">
        <w:rPr>
          <w:rFonts w:asciiTheme="minorHAnsi" w:hAnsiTheme="minorHAnsi" w:cstheme="minorHAnsi"/>
          <w:szCs w:val="22"/>
          <w:lang w:val="it-IT"/>
        </w:rPr>
        <w:t>Valentina Tobia2</w:t>
      </w:r>
      <w:r w:rsidR="00443C51" w:rsidRPr="00443C51">
        <w:rPr>
          <w:rFonts w:asciiTheme="minorHAnsi" w:hAnsiTheme="minorHAnsi" w:cstheme="minorHAnsi"/>
          <w:szCs w:val="22"/>
          <w:lang w:val="it-IT"/>
        </w:rPr>
        <w:t xml:space="preserve"> </w:t>
      </w:r>
    </w:p>
    <w:p w14:paraId="7AAF6D08" w14:textId="224A9876" w:rsidR="0017154C" w:rsidRDefault="0017154C" w:rsidP="00097898">
      <w:pPr>
        <w:tabs>
          <w:tab w:val="clear" w:pos="3068"/>
        </w:tabs>
        <w:jc w:val="center"/>
        <w:rPr>
          <w:rFonts w:asciiTheme="minorHAnsi" w:hAnsiTheme="minorHAnsi" w:cstheme="minorHAnsi"/>
          <w:szCs w:val="22"/>
        </w:rPr>
      </w:pPr>
      <w:r w:rsidRPr="00FA75AB">
        <w:rPr>
          <w:rFonts w:asciiTheme="minorHAnsi" w:hAnsiTheme="minorHAnsi" w:cstheme="minorHAnsi"/>
          <w:szCs w:val="22"/>
          <w:vertAlign w:val="superscript"/>
        </w:rPr>
        <w:t xml:space="preserve">1 </w:t>
      </w:r>
      <w:r w:rsidR="00097898">
        <w:rPr>
          <w:rFonts w:asciiTheme="minorHAnsi" w:hAnsiTheme="minorHAnsi" w:cstheme="minorHAnsi"/>
          <w:szCs w:val="22"/>
        </w:rPr>
        <w:t>Department of General Psychology, University of Padua, Italy</w:t>
      </w:r>
    </w:p>
    <w:p w14:paraId="665E6ADE" w14:textId="45F725E4" w:rsidR="00443C51" w:rsidRPr="00C54AEB" w:rsidRDefault="00443C51" w:rsidP="00443C51">
      <w:pPr>
        <w:tabs>
          <w:tab w:val="clear" w:pos="3068"/>
        </w:tabs>
        <w:jc w:val="center"/>
        <w:rPr>
          <w:rFonts w:asciiTheme="minorHAnsi" w:hAnsiTheme="minorHAnsi" w:cstheme="minorHAnsi"/>
          <w:szCs w:val="22"/>
          <w:lang w:val="it-IT"/>
        </w:rPr>
      </w:pPr>
      <w:r w:rsidRPr="00C54AEB">
        <w:rPr>
          <w:rFonts w:asciiTheme="minorHAnsi" w:hAnsiTheme="minorHAnsi" w:cstheme="minorHAnsi"/>
          <w:szCs w:val="22"/>
          <w:vertAlign w:val="superscript"/>
          <w:lang w:val="it-IT"/>
        </w:rPr>
        <w:t xml:space="preserve">2 </w:t>
      </w:r>
      <w:r w:rsidR="00C54AEB" w:rsidRPr="00C54AEB">
        <w:rPr>
          <w:rFonts w:asciiTheme="minorHAnsi" w:hAnsiTheme="minorHAnsi" w:cstheme="minorHAnsi"/>
          <w:szCs w:val="22"/>
          <w:lang w:val="it-IT"/>
        </w:rPr>
        <w:t xml:space="preserve">University Vita-Salute San Raffaele, Milan, </w:t>
      </w:r>
      <w:proofErr w:type="spellStart"/>
      <w:r w:rsidR="00C54AEB" w:rsidRPr="00C54AEB">
        <w:rPr>
          <w:rFonts w:asciiTheme="minorHAnsi" w:hAnsiTheme="minorHAnsi" w:cstheme="minorHAnsi"/>
          <w:szCs w:val="22"/>
          <w:lang w:val="it-IT"/>
        </w:rPr>
        <w:t>Italy</w:t>
      </w:r>
      <w:proofErr w:type="spellEnd"/>
    </w:p>
    <w:p w14:paraId="36CD0B3A" w14:textId="77777777" w:rsidR="0017154C" w:rsidRPr="00C54AEB" w:rsidRDefault="0017154C" w:rsidP="0017154C">
      <w:pPr>
        <w:tabs>
          <w:tab w:val="clear" w:pos="3068"/>
        </w:tabs>
        <w:rPr>
          <w:rFonts w:asciiTheme="minorHAnsi" w:hAnsiTheme="minorHAnsi" w:cstheme="minorHAnsi"/>
          <w:szCs w:val="22"/>
          <w:lang w:val="it-IT"/>
        </w:rPr>
      </w:pPr>
    </w:p>
    <w:p w14:paraId="1B510333" w14:textId="77777777" w:rsidR="0017154C" w:rsidRPr="00C54AEB" w:rsidRDefault="0017154C" w:rsidP="0017154C">
      <w:pPr>
        <w:tabs>
          <w:tab w:val="clear" w:pos="3068"/>
        </w:tabs>
        <w:rPr>
          <w:rFonts w:asciiTheme="minorHAnsi" w:hAnsiTheme="minorHAnsi" w:cstheme="minorHAnsi"/>
          <w:szCs w:val="22"/>
          <w:lang w:val="it-IT"/>
        </w:rPr>
      </w:pPr>
    </w:p>
    <w:p w14:paraId="0DF47C7E" w14:textId="77777777" w:rsidR="0017154C" w:rsidRPr="00C54AEB" w:rsidRDefault="0017154C" w:rsidP="0017154C">
      <w:pPr>
        <w:tabs>
          <w:tab w:val="clear" w:pos="3068"/>
        </w:tabs>
        <w:rPr>
          <w:rFonts w:asciiTheme="minorHAnsi" w:hAnsiTheme="minorHAnsi" w:cstheme="minorHAnsi"/>
          <w:szCs w:val="22"/>
          <w:lang w:val="it-IT"/>
        </w:rPr>
      </w:pPr>
    </w:p>
    <w:p w14:paraId="7758B3C1" w14:textId="77777777" w:rsidR="0017154C" w:rsidRPr="00FA75AB" w:rsidRDefault="0017154C" w:rsidP="00CC186E">
      <w:pPr>
        <w:pStyle w:val="Heading1"/>
      </w:pPr>
      <w:r w:rsidRPr="00FA75AB">
        <w:t>Author Note</w:t>
      </w:r>
    </w:p>
    <w:p w14:paraId="555FB7C5" w14:textId="77777777" w:rsidR="0020688C" w:rsidRDefault="0020688C" w:rsidP="0020688C">
      <w:pPr>
        <w:tabs>
          <w:tab w:val="clear" w:pos="3068"/>
        </w:tabs>
        <w:rPr>
          <w:rFonts w:asciiTheme="minorHAnsi" w:hAnsiTheme="minorHAnsi" w:cstheme="minorHAnsi"/>
          <w:szCs w:val="22"/>
        </w:rPr>
      </w:pPr>
      <w:r>
        <w:rPr>
          <w:rFonts w:asciiTheme="minorHAnsi" w:hAnsiTheme="minorHAnsi" w:cstheme="minorHAnsi"/>
          <w:szCs w:val="22"/>
        </w:rPr>
        <w:t>Whis work was supported by</w:t>
      </w:r>
      <w:r w:rsidRPr="00B775D1">
        <w:rPr>
          <w:rFonts w:asciiTheme="minorHAnsi" w:hAnsiTheme="minorHAnsi" w:cstheme="minorHAnsi"/>
          <w:szCs w:val="22"/>
        </w:rPr>
        <w:t xml:space="preserve"> Project 2022KBW99S “Tails or types? Testing the dimensional hypothesis in neurodevelopmental disorders”, </w:t>
      </w:r>
      <w:r>
        <w:rPr>
          <w:rFonts w:asciiTheme="minorHAnsi" w:hAnsiTheme="minorHAnsi" w:cstheme="minorHAnsi"/>
          <w:szCs w:val="22"/>
        </w:rPr>
        <w:t xml:space="preserve">funded by </w:t>
      </w:r>
      <w:r w:rsidRPr="00B775D1">
        <w:rPr>
          <w:rFonts w:asciiTheme="minorHAnsi" w:hAnsiTheme="minorHAnsi" w:cstheme="minorHAnsi"/>
          <w:szCs w:val="22"/>
        </w:rPr>
        <w:t>Next Generation EU, Mission 4, Component 1, CUP C53D23004210006</w:t>
      </w:r>
    </w:p>
    <w:p w14:paraId="01DD3D67" w14:textId="076C4055" w:rsidR="003452B1" w:rsidRDefault="0020688C" w:rsidP="003452B1">
      <w:pPr>
        <w:tabs>
          <w:tab w:val="clear" w:pos="3068"/>
        </w:tabs>
        <w:ind w:firstLine="0"/>
        <w:rPr>
          <w:rFonts w:asciiTheme="minorHAnsi" w:hAnsiTheme="minorHAnsi" w:cstheme="minorHAnsi"/>
          <w:szCs w:val="22"/>
        </w:rPr>
      </w:pPr>
      <w:r w:rsidRPr="0020688C">
        <w:rPr>
          <w:rFonts w:asciiTheme="minorHAnsi" w:hAnsiTheme="minorHAnsi" w:cstheme="minorHAnsi"/>
          <w:szCs w:val="22"/>
        </w:rPr>
        <w:t>The preregistered protocol is available at</w:t>
      </w:r>
      <w:r w:rsidR="00AD47A7">
        <w:rPr>
          <w:rFonts w:asciiTheme="minorHAnsi" w:hAnsiTheme="minorHAnsi" w:cstheme="minorHAnsi"/>
          <w:szCs w:val="22"/>
        </w:rPr>
        <w:t>:</w:t>
      </w:r>
      <w:r>
        <w:rPr>
          <w:rFonts w:asciiTheme="minorHAnsi" w:hAnsiTheme="minorHAnsi" w:cstheme="minorHAnsi"/>
          <w:szCs w:val="22"/>
        </w:rPr>
        <w:t xml:space="preserve"> </w:t>
      </w:r>
      <w:hyperlink r:id="rId8" w:history="1">
        <w:r w:rsidR="00DB11DD" w:rsidRPr="002A6984">
          <w:rPr>
            <w:rStyle w:val="Hyperlink"/>
            <w:rFonts w:asciiTheme="minorHAnsi" w:hAnsiTheme="minorHAnsi" w:cstheme="minorHAnsi"/>
            <w:szCs w:val="22"/>
          </w:rPr>
          <w:t>https://osf.io/fxzgy/</w:t>
        </w:r>
      </w:hyperlink>
    </w:p>
    <w:p w14:paraId="28589070" w14:textId="7A3E0F62" w:rsidR="009F2268" w:rsidRPr="00252C41" w:rsidRDefault="003452B1" w:rsidP="00DB11DD">
      <w:pPr>
        <w:tabs>
          <w:tab w:val="clear" w:pos="3068"/>
        </w:tabs>
        <w:ind w:firstLine="0"/>
        <w:rPr>
          <w:rFonts w:asciiTheme="minorHAnsi" w:hAnsiTheme="minorHAnsi" w:cstheme="minorHAnsi"/>
          <w:szCs w:val="22"/>
          <w:lang w:val="en-GB"/>
        </w:rPr>
      </w:pPr>
      <w:r>
        <w:rPr>
          <w:rFonts w:asciiTheme="minorHAnsi" w:hAnsiTheme="minorHAnsi" w:cstheme="minorHAnsi"/>
          <w:szCs w:val="22"/>
        </w:rPr>
        <w:t>D</w:t>
      </w:r>
      <w:r w:rsidRPr="003452B1">
        <w:rPr>
          <w:rFonts w:asciiTheme="minorHAnsi" w:hAnsiTheme="minorHAnsi" w:cstheme="minorHAnsi"/>
          <w:szCs w:val="22"/>
        </w:rPr>
        <w:t xml:space="preserve">ata, code, and materials used in this meta-review </w:t>
      </w:r>
      <w:r w:rsidR="00844504">
        <w:rPr>
          <w:rFonts w:asciiTheme="minorHAnsi" w:hAnsiTheme="minorHAnsi" w:cstheme="minorHAnsi"/>
          <w:szCs w:val="22"/>
        </w:rPr>
        <w:t xml:space="preserve">are available in the </w:t>
      </w:r>
      <w:r w:rsidR="00B775D1" w:rsidRPr="00B775D1">
        <w:rPr>
          <w:rFonts w:asciiTheme="minorHAnsi" w:hAnsiTheme="minorHAnsi" w:cstheme="minorHAnsi"/>
          <w:szCs w:val="22"/>
        </w:rPr>
        <w:t>GitHub repository:</w:t>
      </w:r>
      <w:r w:rsidR="004854A6">
        <w:rPr>
          <w:rFonts w:asciiTheme="minorHAnsi" w:hAnsiTheme="minorHAnsi" w:cstheme="minorHAnsi"/>
          <w:szCs w:val="22"/>
        </w:rPr>
        <w:t xml:space="preserve"> </w:t>
      </w:r>
      <w:hyperlink r:id="rId9" w:history="1">
        <w:r w:rsidR="004854A6" w:rsidRPr="002A6984">
          <w:rPr>
            <w:rStyle w:val="Hyperlink"/>
            <w:rFonts w:asciiTheme="minorHAnsi" w:hAnsiTheme="minorHAnsi" w:cstheme="minorHAnsi"/>
            <w:szCs w:val="22"/>
          </w:rPr>
          <w:t>https://github.com/EnricoToffalini/Meta-review-cognitive-profiles-ADHD-Dyslexia</w:t>
        </w:r>
      </w:hyperlink>
      <w:r w:rsidR="009F2268">
        <w:rPr>
          <w:rFonts w:asciiTheme="minorHAnsi" w:hAnsiTheme="minorHAnsi" w:cstheme="minorHAnsi"/>
          <w:szCs w:val="22"/>
        </w:rPr>
        <w:t xml:space="preserve"> , and </w:t>
      </w:r>
      <w:r w:rsidR="00E75CFD">
        <w:rPr>
          <w:rFonts w:asciiTheme="minorHAnsi" w:hAnsiTheme="minorHAnsi" w:cstheme="minorHAnsi"/>
          <w:szCs w:val="22"/>
        </w:rPr>
        <w:t xml:space="preserve">are publicly archived </w:t>
      </w:r>
      <w:r w:rsidR="009F2268">
        <w:rPr>
          <w:rFonts w:asciiTheme="minorHAnsi" w:hAnsiTheme="minorHAnsi" w:cstheme="minorHAnsi"/>
          <w:szCs w:val="22"/>
        </w:rPr>
        <w:t xml:space="preserve">on </w:t>
      </w:r>
      <w:r w:rsidR="009F2268" w:rsidRPr="00252C41">
        <w:rPr>
          <w:rFonts w:asciiTheme="minorHAnsi" w:hAnsiTheme="minorHAnsi" w:cstheme="minorHAnsi"/>
          <w:szCs w:val="22"/>
          <w:lang w:val="en-GB"/>
        </w:rPr>
        <w:t xml:space="preserve">OSF: </w:t>
      </w:r>
      <w:hyperlink r:id="rId10" w:history="1">
        <w:r w:rsidR="009F2268" w:rsidRPr="00252C41">
          <w:rPr>
            <w:rStyle w:val="Hyperlink"/>
            <w:rFonts w:asciiTheme="minorHAnsi" w:hAnsiTheme="minorHAnsi" w:cstheme="minorHAnsi"/>
            <w:szCs w:val="22"/>
            <w:lang w:val="en-GB"/>
          </w:rPr>
          <w:t>https://doi.org/10.17605/OSF.IO/QEWCH</w:t>
        </w:r>
      </w:hyperlink>
    </w:p>
    <w:p w14:paraId="098AE949" w14:textId="1E33127A" w:rsidR="001A6792" w:rsidRPr="00FA75AB" w:rsidRDefault="0017154C" w:rsidP="00DB11DD">
      <w:pPr>
        <w:tabs>
          <w:tab w:val="clear" w:pos="3068"/>
        </w:tabs>
        <w:ind w:firstLine="0"/>
        <w:rPr>
          <w:rFonts w:asciiTheme="minorHAnsi" w:hAnsiTheme="minorHAnsi" w:cstheme="minorHAnsi"/>
          <w:b/>
          <w:szCs w:val="22"/>
        </w:rPr>
      </w:pPr>
      <w:r w:rsidRPr="00FA75AB">
        <w:rPr>
          <w:rFonts w:asciiTheme="minorHAnsi" w:hAnsiTheme="minorHAnsi" w:cstheme="minorHAnsi"/>
          <w:szCs w:val="22"/>
        </w:rPr>
        <w:t xml:space="preserve">Correspondence concerning this article should be addressed to </w:t>
      </w:r>
      <w:r w:rsidR="007D30C0">
        <w:rPr>
          <w:rFonts w:asciiTheme="minorHAnsi" w:hAnsiTheme="minorHAnsi" w:cstheme="minorHAnsi"/>
          <w:szCs w:val="22"/>
        </w:rPr>
        <w:t>Enrico Toffalini, Department of General Psychology, University of Padua, Via Venezia, 8, 35131, Padua, Italy. Email: enrico.toffalini@unipd.it</w:t>
      </w:r>
      <w:r w:rsidR="001A6792" w:rsidRPr="00FA75AB">
        <w:rPr>
          <w:rFonts w:asciiTheme="minorHAnsi" w:hAnsiTheme="minorHAnsi" w:cstheme="minorHAnsi"/>
          <w:b/>
          <w:szCs w:val="22"/>
        </w:rPr>
        <w:br w:type="page"/>
      </w:r>
    </w:p>
    <w:p w14:paraId="3E30800D" w14:textId="77777777" w:rsidR="0017154C" w:rsidRPr="00FA75AB" w:rsidRDefault="0017154C" w:rsidP="00CC186E">
      <w:pPr>
        <w:pStyle w:val="Heading1"/>
      </w:pPr>
      <w:r w:rsidRPr="00CC186E">
        <w:lastRenderedPageBreak/>
        <w:t>Abstract</w:t>
      </w:r>
    </w:p>
    <w:p w14:paraId="1A50B1B4" w14:textId="66A42F84" w:rsidR="00567C96" w:rsidRDefault="004A4D01" w:rsidP="004A4D01">
      <w:pPr>
        <w:tabs>
          <w:tab w:val="clear" w:pos="3068"/>
        </w:tabs>
        <w:ind w:firstLine="0"/>
        <w:rPr>
          <w:rFonts w:asciiTheme="minorHAnsi" w:hAnsiTheme="minorHAnsi" w:cstheme="minorHAnsi"/>
          <w:szCs w:val="22"/>
        </w:rPr>
      </w:pPr>
      <w:r w:rsidRPr="004A4D01">
        <w:rPr>
          <w:rFonts w:asciiTheme="minorHAnsi" w:hAnsiTheme="minorHAnsi" w:cstheme="minorHAnsi"/>
          <w:szCs w:val="22"/>
        </w:rPr>
        <w:t>Attention-deficit/hyperactivity disorder (ADHD) and developmental dyslexia are often discussed in terms of disorder-specific cognitive deficits, yet both conditions can be more parsimoniously interpreted as extremes on continuous, correlated traits. We conducted a meta-review of published quantitative meta-analyses to map cognitive performance differences in ADHD and dyslexia across broad cognitive domains within a dimensional and transdiagnostic framework. Searches of PubMed, PsycINFO, Scopus, and Web of Science identified 1,457 records; 49 additional records were assembled from supplementary methods. After screening, 87 meta-analyses met inclusion criteria (1998–202</w:t>
      </w:r>
      <w:r w:rsidR="0000435B">
        <w:rPr>
          <w:rFonts w:asciiTheme="minorHAnsi" w:hAnsiTheme="minorHAnsi" w:cstheme="minorHAnsi"/>
          <w:szCs w:val="22"/>
        </w:rPr>
        <w:t>5</w:t>
      </w:r>
      <w:r w:rsidRPr="004A4D01">
        <w:rPr>
          <w:rFonts w:asciiTheme="minorHAnsi" w:hAnsiTheme="minorHAnsi" w:cstheme="minorHAnsi"/>
          <w:szCs w:val="22"/>
        </w:rPr>
        <w:t xml:space="preserve">). From these, 591 pooled estimates were extracted and coded using a consistent direction (negative values indicate worse performance in the clinical group); 523 pooled estimates were retained after prespecified effect-level exclusions. Results were </w:t>
      </w:r>
      <w:proofErr w:type="spellStart"/>
      <w:r w:rsidRPr="004A4D01">
        <w:rPr>
          <w:rFonts w:asciiTheme="minorHAnsi" w:hAnsiTheme="minorHAnsi" w:cstheme="minorHAnsi"/>
          <w:szCs w:val="22"/>
        </w:rPr>
        <w:t>organised</w:t>
      </w:r>
      <w:proofErr w:type="spellEnd"/>
      <w:r w:rsidRPr="004A4D01">
        <w:rPr>
          <w:rFonts w:asciiTheme="minorHAnsi" w:hAnsiTheme="minorHAnsi" w:cstheme="minorHAnsi"/>
          <w:szCs w:val="22"/>
        </w:rPr>
        <w:t xml:space="preserve"> into domain-based evidence maps, with domain-level overlays obtained using multilevel summaries to reduce over-representation of meta-analyses reporting many closely related outcomes; these overlays are treated as descriptive, not as higher-order pooled estimates, given overlap of primary studies and construct heterogeneity.</w:t>
      </w:r>
      <w:r>
        <w:rPr>
          <w:rFonts w:asciiTheme="minorHAnsi" w:hAnsiTheme="minorHAnsi" w:cstheme="minorHAnsi"/>
          <w:szCs w:val="22"/>
        </w:rPr>
        <w:t xml:space="preserve"> </w:t>
      </w:r>
      <w:r w:rsidRPr="004A4D01">
        <w:rPr>
          <w:rFonts w:asciiTheme="minorHAnsi" w:hAnsiTheme="minorHAnsi" w:cstheme="minorHAnsi"/>
          <w:szCs w:val="22"/>
        </w:rPr>
        <w:t xml:space="preserve">Across both disorders, cognitive differences were predominantly negative and broadly distributed. In ADHD, small-to-moderate negative differences were observed across attention, executive functions, working memory, processing speed, and related domains (including timing/decision-related measures), with no single domain or executive subcomponent emerging as uniquely dominant. In dyslexia, larger negative differences were most prominent in reading-proximal domains, particularly phonological </w:t>
      </w:r>
      <w:proofErr w:type="gramStart"/>
      <w:r w:rsidRPr="004A4D01">
        <w:rPr>
          <w:rFonts w:asciiTheme="minorHAnsi" w:hAnsiTheme="minorHAnsi" w:cstheme="minorHAnsi"/>
          <w:szCs w:val="22"/>
        </w:rPr>
        <w:t>processing</w:t>
      </w:r>
      <w:proofErr w:type="gramEnd"/>
      <w:r w:rsidRPr="004A4D01">
        <w:rPr>
          <w:rFonts w:asciiTheme="minorHAnsi" w:hAnsiTheme="minorHAnsi" w:cstheme="minorHAnsi"/>
          <w:szCs w:val="22"/>
        </w:rPr>
        <w:t xml:space="preserve"> and rapid automatized naming, embedded within broader negative differences across working memory, attention-related measures, processing speed, and general cognition. Overall, the meta-analytic literature is more compatible with graded, multivariate shifts with relative prominences than with sharply selective, disorder-specific cognitive signatures.</w:t>
      </w:r>
      <w:r w:rsidR="0017154C" w:rsidRPr="00FA75AB">
        <w:rPr>
          <w:rFonts w:asciiTheme="minorHAnsi" w:hAnsiTheme="minorHAnsi" w:cstheme="minorHAnsi"/>
          <w:szCs w:val="22"/>
        </w:rPr>
        <w:tab/>
      </w:r>
    </w:p>
    <w:p w14:paraId="2FED3746" w14:textId="3041D254" w:rsidR="00E102C3" w:rsidRPr="00FA75AB" w:rsidRDefault="0017154C" w:rsidP="003B215A">
      <w:pPr>
        <w:tabs>
          <w:tab w:val="clear" w:pos="3068"/>
        </w:tabs>
        <w:ind w:firstLine="0"/>
        <w:rPr>
          <w:rFonts w:asciiTheme="minorHAnsi" w:hAnsiTheme="minorHAnsi" w:cstheme="minorHAnsi"/>
          <w:szCs w:val="22"/>
        </w:rPr>
      </w:pPr>
      <w:r w:rsidRPr="00FA75AB">
        <w:rPr>
          <w:rFonts w:asciiTheme="minorHAnsi" w:hAnsiTheme="minorHAnsi" w:cstheme="minorHAnsi"/>
          <w:i/>
          <w:szCs w:val="22"/>
        </w:rPr>
        <w:lastRenderedPageBreak/>
        <w:t>Keywords</w:t>
      </w:r>
      <w:r w:rsidRPr="002272D2">
        <w:rPr>
          <w:rFonts w:asciiTheme="minorHAnsi" w:hAnsiTheme="minorHAnsi" w:cstheme="minorHAnsi"/>
          <w:i/>
          <w:szCs w:val="22"/>
        </w:rPr>
        <w:t>:</w:t>
      </w:r>
      <w:r w:rsidRPr="00FA75AB">
        <w:rPr>
          <w:rFonts w:asciiTheme="minorHAnsi" w:hAnsiTheme="minorHAnsi" w:cstheme="minorHAnsi"/>
          <w:szCs w:val="22"/>
        </w:rPr>
        <w:t xml:space="preserve"> </w:t>
      </w:r>
      <w:r w:rsidR="005F6CFC" w:rsidRPr="005F6CFC">
        <w:rPr>
          <w:rFonts w:asciiTheme="minorHAnsi" w:hAnsiTheme="minorHAnsi" w:cstheme="minorHAnsi"/>
          <w:szCs w:val="22"/>
        </w:rPr>
        <w:t>attention-deficit/hyperactivity disorder; developmental dyslexia; cognition; meta-review; dimensional model</w:t>
      </w:r>
      <w:r w:rsidR="00E102C3" w:rsidRPr="00FA75AB">
        <w:rPr>
          <w:rFonts w:asciiTheme="minorHAnsi" w:hAnsiTheme="minorHAnsi" w:cstheme="minorHAnsi"/>
          <w:szCs w:val="22"/>
        </w:rPr>
        <w:br w:type="page"/>
      </w:r>
    </w:p>
    <w:p w14:paraId="3A6E430F" w14:textId="04E97132" w:rsidR="00E102C3" w:rsidRPr="00FA75AB" w:rsidRDefault="0052057A" w:rsidP="00CC186E">
      <w:pPr>
        <w:pStyle w:val="Heading1"/>
      </w:pPr>
      <w:r w:rsidRPr="00E826EC">
        <w:lastRenderedPageBreak/>
        <w:t>A Meta-Review of Meta-Analyses on Cognitive Performance in ADHD and Developmental Dyslexia</w:t>
      </w:r>
    </w:p>
    <w:p w14:paraId="02754613" w14:textId="4EA5380F"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ADHD and developmental dyslexia are among the most frequently studied neurodevelopmental conditions, and both are associated, on average, with measurable differences in cognitive performance across development. At the same time, categorical diagnostic practice is well known to face scientific challenges, including high co-occurrence, substantial within-diagnosis heterogeneity, and boundaries that are partly conventional rather than biologically privileged (Coghill &amp; </w:t>
      </w:r>
      <w:proofErr w:type="spellStart"/>
      <w:r w:rsidRPr="00990F50">
        <w:rPr>
          <w:rFonts w:asciiTheme="minorHAnsi" w:hAnsiTheme="minorHAnsi" w:cstheme="minorHAnsi"/>
          <w:szCs w:val="22"/>
        </w:rPr>
        <w:t>Sonuga</w:t>
      </w:r>
      <w:proofErr w:type="spellEnd"/>
      <w:r w:rsidRPr="00990F50">
        <w:rPr>
          <w:rFonts w:asciiTheme="minorHAnsi" w:hAnsiTheme="minorHAnsi" w:cstheme="minorHAnsi"/>
          <w:szCs w:val="22"/>
        </w:rPr>
        <w:t>-Barke, 2012; Astle et al., 2022). These features make it difficult to interpret case</w:t>
      </w:r>
      <w:r w:rsidR="00C64BE7">
        <w:rPr>
          <w:rFonts w:asciiTheme="minorHAnsi" w:hAnsiTheme="minorHAnsi" w:cstheme="minorHAnsi"/>
          <w:szCs w:val="22"/>
        </w:rPr>
        <w:t>-</w:t>
      </w:r>
      <w:r w:rsidRPr="00990F50">
        <w:rPr>
          <w:rFonts w:asciiTheme="minorHAnsi" w:hAnsiTheme="minorHAnsi" w:cstheme="minorHAnsi"/>
          <w:szCs w:val="22"/>
        </w:rPr>
        <w:t xml:space="preserve">control differences as evidence for disorder-specific cognitive mechanisms, especially when effects are </w:t>
      </w:r>
      <w:r w:rsidR="00F57919" w:rsidRPr="00990F50">
        <w:rPr>
          <w:rFonts w:asciiTheme="minorHAnsi" w:hAnsiTheme="minorHAnsi" w:cstheme="minorHAnsi"/>
          <w:szCs w:val="22"/>
        </w:rPr>
        <w:t>modest,</w:t>
      </w:r>
      <w:r w:rsidRPr="00990F50">
        <w:rPr>
          <w:rFonts w:asciiTheme="minorHAnsi" w:hAnsiTheme="minorHAnsi" w:cstheme="minorHAnsi"/>
          <w:szCs w:val="22"/>
        </w:rPr>
        <w:t xml:space="preserve"> and measurement is noisy.</w:t>
      </w:r>
    </w:p>
    <w:p w14:paraId="7DA3F1E1" w14:textId="113DB8C0"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The cognitive literature has therefore produced </w:t>
      </w:r>
      <w:r w:rsidR="00F57919" w:rsidRPr="00990F50">
        <w:rPr>
          <w:rFonts w:asciiTheme="minorHAnsi" w:hAnsiTheme="minorHAnsi" w:cstheme="minorHAnsi"/>
          <w:szCs w:val="22"/>
        </w:rPr>
        <w:t>many</w:t>
      </w:r>
      <w:r w:rsidRPr="00990F50">
        <w:rPr>
          <w:rFonts w:asciiTheme="minorHAnsi" w:hAnsiTheme="minorHAnsi" w:cstheme="minorHAnsi"/>
          <w:szCs w:val="22"/>
        </w:rPr>
        <w:t xml:space="preserve"> partially overlapping narratives, often </w:t>
      </w:r>
      <w:r w:rsidR="004E740C" w:rsidRPr="00990F50">
        <w:rPr>
          <w:rFonts w:asciiTheme="minorHAnsi" w:hAnsiTheme="minorHAnsi" w:cstheme="minorHAnsi"/>
          <w:szCs w:val="22"/>
        </w:rPr>
        <w:t>organized</w:t>
      </w:r>
      <w:r w:rsidRPr="00990F50">
        <w:rPr>
          <w:rFonts w:asciiTheme="minorHAnsi" w:hAnsiTheme="minorHAnsi" w:cstheme="minorHAnsi"/>
          <w:szCs w:val="22"/>
        </w:rPr>
        <w:t xml:space="preserve"> around “core deficit” proposals, for example executive dysfunction in ADHD or phonological deficits in dyslexia. While these hypotheses have been empirically productive, they have also encouraged a construct-by-construct research culture, where conceptual conclusions are sometimes broader than what any single task family or meta-analysis can sustain (Pennington, 2006). The practical result is a meta-analytic landscape that is increasingly extensive but </w:t>
      </w:r>
      <w:r w:rsidR="00F57919" w:rsidRPr="00990F50">
        <w:rPr>
          <w:rFonts w:asciiTheme="minorHAnsi" w:hAnsiTheme="minorHAnsi" w:cstheme="minorHAnsi"/>
          <w:szCs w:val="22"/>
        </w:rPr>
        <w:t>compartmentalized</w:t>
      </w:r>
      <w:r w:rsidRPr="00990F50">
        <w:rPr>
          <w:rFonts w:asciiTheme="minorHAnsi" w:hAnsiTheme="minorHAnsi" w:cstheme="minorHAnsi"/>
          <w:szCs w:val="22"/>
        </w:rPr>
        <w:t>, with many domain-specific syntheses and relatively limited integration across domains and disorders.</w:t>
      </w:r>
    </w:p>
    <w:p w14:paraId="68C1DA3E" w14:textId="279A4887" w:rsidR="00990F50" w:rsidRPr="00830B3E" w:rsidRDefault="00830B3E" w:rsidP="00830B3E">
      <w:pPr>
        <w:tabs>
          <w:tab w:val="clear" w:pos="3068"/>
        </w:tabs>
        <w:ind w:firstLine="0"/>
        <w:rPr>
          <w:rFonts w:asciiTheme="minorHAnsi" w:hAnsiTheme="minorHAnsi" w:cstheme="minorHAnsi"/>
          <w:b/>
          <w:bCs/>
          <w:szCs w:val="22"/>
        </w:rPr>
      </w:pPr>
      <w:r>
        <w:rPr>
          <w:rFonts w:asciiTheme="minorHAnsi" w:hAnsiTheme="minorHAnsi" w:cstheme="minorHAnsi"/>
          <w:b/>
          <w:bCs/>
          <w:szCs w:val="22"/>
        </w:rPr>
        <w:t>A D</w:t>
      </w:r>
      <w:r w:rsidR="00990F50" w:rsidRPr="00830B3E">
        <w:rPr>
          <w:rFonts w:asciiTheme="minorHAnsi" w:hAnsiTheme="minorHAnsi" w:cstheme="minorHAnsi"/>
          <w:b/>
          <w:bCs/>
          <w:szCs w:val="22"/>
        </w:rPr>
        <w:t xml:space="preserve">imensional and </w:t>
      </w:r>
      <w:r w:rsidR="00980E77">
        <w:rPr>
          <w:rFonts w:asciiTheme="minorHAnsi" w:hAnsiTheme="minorHAnsi" w:cstheme="minorHAnsi"/>
          <w:b/>
          <w:bCs/>
          <w:szCs w:val="22"/>
        </w:rPr>
        <w:t>T</w:t>
      </w:r>
      <w:r w:rsidR="00990F50" w:rsidRPr="00830B3E">
        <w:rPr>
          <w:rFonts w:asciiTheme="minorHAnsi" w:hAnsiTheme="minorHAnsi" w:cstheme="minorHAnsi"/>
          <w:b/>
          <w:bCs/>
          <w:szCs w:val="22"/>
        </w:rPr>
        <w:t xml:space="preserve">ransdiagnostic </w:t>
      </w:r>
      <w:r w:rsidR="00980E77">
        <w:rPr>
          <w:rFonts w:asciiTheme="minorHAnsi" w:hAnsiTheme="minorHAnsi" w:cstheme="minorHAnsi"/>
          <w:b/>
          <w:bCs/>
          <w:szCs w:val="22"/>
        </w:rPr>
        <w:t>F</w:t>
      </w:r>
      <w:r w:rsidR="00990F50" w:rsidRPr="00830B3E">
        <w:rPr>
          <w:rFonts w:asciiTheme="minorHAnsi" w:hAnsiTheme="minorHAnsi" w:cstheme="minorHAnsi"/>
          <w:b/>
          <w:bCs/>
          <w:szCs w:val="22"/>
        </w:rPr>
        <w:t>ramework</w:t>
      </w:r>
    </w:p>
    <w:p w14:paraId="43613464" w14:textId="77777777"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This report adopts a dimensional and transdiagnostic framework. Under this view, ADHD and dyslexia are treated as extremes of continuous, correlated traits, rather than as natural categories with qualitatively distinct cognitive signatures (Coghill &amp; </w:t>
      </w:r>
      <w:proofErr w:type="spellStart"/>
      <w:r w:rsidRPr="00990F50">
        <w:rPr>
          <w:rFonts w:asciiTheme="minorHAnsi" w:hAnsiTheme="minorHAnsi" w:cstheme="minorHAnsi"/>
          <w:szCs w:val="22"/>
        </w:rPr>
        <w:t>Sonuga</w:t>
      </w:r>
      <w:proofErr w:type="spellEnd"/>
      <w:r w:rsidRPr="00990F50">
        <w:rPr>
          <w:rFonts w:asciiTheme="minorHAnsi" w:hAnsiTheme="minorHAnsi" w:cstheme="minorHAnsi"/>
          <w:szCs w:val="22"/>
        </w:rPr>
        <w:t>-Barke, 2012; Astle et al., 2022). Two background constraints make this stance theoretically plausible and methodologically useful.</w:t>
      </w:r>
    </w:p>
    <w:p w14:paraId="2936CB65" w14:textId="0289B9D5"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First, polygenicity suggests that </w:t>
      </w:r>
      <w:r w:rsidR="00F57919" w:rsidRPr="00990F50">
        <w:rPr>
          <w:rFonts w:asciiTheme="minorHAnsi" w:hAnsiTheme="minorHAnsi" w:cstheme="minorHAnsi"/>
          <w:szCs w:val="22"/>
        </w:rPr>
        <w:t>behavioral</w:t>
      </w:r>
      <w:r w:rsidRPr="00990F50">
        <w:rPr>
          <w:rFonts w:asciiTheme="minorHAnsi" w:hAnsiTheme="minorHAnsi" w:cstheme="minorHAnsi"/>
          <w:szCs w:val="22"/>
        </w:rPr>
        <w:t xml:space="preserve"> and cognitive traits are influenced by many genetic variants of very small effect, which makes single-cause explanations unlikely in most typical samples (Chabris et al., 2015). Second, pleiotropy and “generalist genes” arguments imply that many genetic influences are shared across cognitive domains and learning-related outcomes, limiting the extent to </w:t>
      </w:r>
      <w:r w:rsidRPr="00990F50">
        <w:rPr>
          <w:rFonts w:asciiTheme="minorHAnsi" w:hAnsiTheme="minorHAnsi" w:cstheme="minorHAnsi"/>
          <w:szCs w:val="22"/>
        </w:rPr>
        <w:lastRenderedPageBreak/>
        <w:t>which sharp cognitive specificity should be expected (Kovas &amp; Plomin, 2006; Plomin &amp; Deary, 2015). Within this framework, the absence of a single dominant deficit is not treated as a failure of theory, but as an anticipated pattern when outcomes reflect broad, correlated liabilities rather than modular impairments.</w:t>
      </w:r>
    </w:p>
    <w:p w14:paraId="5D174A6D" w14:textId="0CEF45B5"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Consistent with this reasoning, classic psychometric and epidemiological arguments in reading have long suggested that dyslexia </w:t>
      </w:r>
      <w:r w:rsidR="00785231" w:rsidRPr="00990F50">
        <w:rPr>
          <w:rFonts w:asciiTheme="minorHAnsi" w:hAnsiTheme="minorHAnsi" w:cstheme="minorHAnsi"/>
          <w:szCs w:val="22"/>
        </w:rPr>
        <w:t>reflect</w:t>
      </w:r>
      <w:r w:rsidRPr="00990F50">
        <w:rPr>
          <w:rFonts w:asciiTheme="minorHAnsi" w:hAnsiTheme="minorHAnsi" w:cstheme="minorHAnsi"/>
          <w:szCs w:val="22"/>
        </w:rPr>
        <w:t xml:space="preserve"> the lower tail of a continuous distribution of reading skill, with diagnostic cutoffs functioning primarily as pragmatic thresholds (Rodgers, 1983; </w:t>
      </w:r>
      <w:proofErr w:type="spellStart"/>
      <w:r w:rsidRPr="00990F50">
        <w:rPr>
          <w:rFonts w:asciiTheme="minorHAnsi" w:hAnsiTheme="minorHAnsi" w:cstheme="minorHAnsi"/>
          <w:szCs w:val="22"/>
        </w:rPr>
        <w:t>Shaywitz</w:t>
      </w:r>
      <w:proofErr w:type="spellEnd"/>
      <w:r w:rsidRPr="00990F50">
        <w:rPr>
          <w:rFonts w:asciiTheme="minorHAnsi" w:hAnsiTheme="minorHAnsi" w:cstheme="minorHAnsi"/>
          <w:szCs w:val="22"/>
        </w:rPr>
        <w:t xml:space="preserve"> et al., 1992; Peterson &amp; Pennington, 2015). Analogous dimensional arguments have also been advanced for childhood psychiatric phenotypes more broadly, including ADHD, and have motivated proposals to soften strict adherence to categorical nosology in </w:t>
      </w:r>
      <w:r w:rsidR="00785231" w:rsidRPr="00990F50">
        <w:rPr>
          <w:rFonts w:asciiTheme="minorHAnsi" w:hAnsiTheme="minorHAnsi" w:cstheme="minorHAnsi"/>
          <w:szCs w:val="22"/>
        </w:rPr>
        <w:t>favor</w:t>
      </w:r>
      <w:r w:rsidRPr="00990F50">
        <w:rPr>
          <w:rFonts w:asciiTheme="minorHAnsi" w:hAnsiTheme="minorHAnsi" w:cstheme="minorHAnsi"/>
          <w:szCs w:val="22"/>
        </w:rPr>
        <w:t xml:space="preserve"> of dimensional descriptions (Coghill &amp; </w:t>
      </w:r>
      <w:proofErr w:type="spellStart"/>
      <w:r w:rsidRPr="00990F50">
        <w:rPr>
          <w:rFonts w:asciiTheme="minorHAnsi" w:hAnsiTheme="minorHAnsi" w:cstheme="minorHAnsi"/>
          <w:szCs w:val="22"/>
        </w:rPr>
        <w:t>Sonuga</w:t>
      </w:r>
      <w:proofErr w:type="spellEnd"/>
      <w:r w:rsidRPr="00990F50">
        <w:rPr>
          <w:rFonts w:asciiTheme="minorHAnsi" w:hAnsiTheme="minorHAnsi" w:cstheme="minorHAnsi"/>
          <w:szCs w:val="22"/>
        </w:rPr>
        <w:t>-Barke, 2012; Astle et al., 2022).</w:t>
      </w:r>
    </w:p>
    <w:p w14:paraId="4B8265FE" w14:textId="5075EE89"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Throughout this report, latent cognitive constructs such as executive functions, working memory, or general cognitive ability are treated pragmatically, as useful summaries of performance covariance rather than as ontological entities. This is important because task impurity and construct overlap can make apparent “specificity” contingent on measurement choices, selection rules, and covariate adjustments (Pennington, 2006).</w:t>
      </w:r>
    </w:p>
    <w:p w14:paraId="648FA59A" w14:textId="38652292" w:rsidR="00990F50" w:rsidRPr="00CF54D6" w:rsidRDefault="002A3AC9" w:rsidP="002A3AC9">
      <w:pPr>
        <w:tabs>
          <w:tab w:val="clear" w:pos="3068"/>
        </w:tabs>
        <w:ind w:firstLine="0"/>
        <w:rPr>
          <w:rFonts w:asciiTheme="minorHAnsi" w:hAnsiTheme="minorHAnsi" w:cstheme="minorHAnsi"/>
          <w:b/>
          <w:bCs/>
          <w:szCs w:val="22"/>
        </w:rPr>
      </w:pPr>
      <w:r w:rsidRPr="00CF54D6">
        <w:rPr>
          <w:rFonts w:asciiTheme="minorHAnsi" w:hAnsiTheme="minorHAnsi" w:cstheme="minorHAnsi"/>
          <w:b/>
          <w:bCs/>
          <w:szCs w:val="22"/>
        </w:rPr>
        <w:t>A</w:t>
      </w:r>
      <w:r w:rsidR="00990F50" w:rsidRPr="00CF54D6">
        <w:rPr>
          <w:rFonts w:asciiTheme="minorHAnsi" w:hAnsiTheme="minorHAnsi" w:cstheme="minorHAnsi"/>
          <w:b/>
          <w:bCs/>
          <w:szCs w:val="22"/>
        </w:rPr>
        <w:t xml:space="preserve"> </w:t>
      </w:r>
      <w:r w:rsidRPr="00CF54D6">
        <w:rPr>
          <w:rFonts w:asciiTheme="minorHAnsi" w:hAnsiTheme="minorHAnsi" w:cstheme="minorHAnsi"/>
          <w:b/>
          <w:bCs/>
          <w:szCs w:val="22"/>
        </w:rPr>
        <w:t>M</w:t>
      </w:r>
      <w:r w:rsidR="00990F50" w:rsidRPr="00CF54D6">
        <w:rPr>
          <w:rFonts w:asciiTheme="minorHAnsi" w:hAnsiTheme="minorHAnsi" w:cstheme="minorHAnsi"/>
          <w:b/>
          <w:bCs/>
          <w:szCs w:val="22"/>
        </w:rPr>
        <w:t>eta-</w:t>
      </w:r>
      <w:r w:rsidRPr="00CF54D6">
        <w:rPr>
          <w:rFonts w:asciiTheme="minorHAnsi" w:hAnsiTheme="minorHAnsi" w:cstheme="minorHAnsi"/>
          <w:b/>
          <w:bCs/>
          <w:szCs w:val="22"/>
        </w:rPr>
        <w:t>R</w:t>
      </w:r>
      <w:r w:rsidR="00990F50" w:rsidRPr="00CF54D6">
        <w:rPr>
          <w:rFonts w:asciiTheme="minorHAnsi" w:hAnsiTheme="minorHAnsi" w:cstheme="minorHAnsi"/>
          <w:b/>
          <w:bCs/>
          <w:szCs w:val="22"/>
        </w:rPr>
        <w:t xml:space="preserve">eview of </w:t>
      </w:r>
      <w:r w:rsidRPr="00CF54D6">
        <w:rPr>
          <w:rFonts w:asciiTheme="minorHAnsi" w:hAnsiTheme="minorHAnsi" w:cstheme="minorHAnsi"/>
          <w:b/>
          <w:bCs/>
          <w:szCs w:val="22"/>
        </w:rPr>
        <w:t>M</w:t>
      </w:r>
      <w:r w:rsidR="00990F50" w:rsidRPr="00CF54D6">
        <w:rPr>
          <w:rFonts w:asciiTheme="minorHAnsi" w:hAnsiTheme="minorHAnsi" w:cstheme="minorHAnsi"/>
          <w:b/>
          <w:bCs/>
          <w:szCs w:val="22"/>
        </w:rPr>
        <w:t>eta-</w:t>
      </w:r>
      <w:r w:rsidRPr="00CF54D6">
        <w:rPr>
          <w:rFonts w:asciiTheme="minorHAnsi" w:hAnsiTheme="minorHAnsi" w:cstheme="minorHAnsi"/>
          <w:b/>
          <w:bCs/>
          <w:szCs w:val="22"/>
        </w:rPr>
        <w:t>A</w:t>
      </w:r>
      <w:r w:rsidR="00990F50" w:rsidRPr="00CF54D6">
        <w:rPr>
          <w:rFonts w:asciiTheme="minorHAnsi" w:hAnsiTheme="minorHAnsi" w:cstheme="minorHAnsi"/>
          <w:b/>
          <w:bCs/>
          <w:szCs w:val="22"/>
        </w:rPr>
        <w:t>nalyses</w:t>
      </w:r>
    </w:p>
    <w:p w14:paraId="6A3EA855" w14:textId="04BE4FFC"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Quantitative meta-analyses are central to this literature because they </w:t>
      </w:r>
      <w:r w:rsidR="001E66A9" w:rsidRPr="00990F50">
        <w:rPr>
          <w:rFonts w:asciiTheme="minorHAnsi" w:hAnsiTheme="minorHAnsi" w:cstheme="minorHAnsi"/>
          <w:szCs w:val="22"/>
        </w:rPr>
        <w:t>synthesize</w:t>
      </w:r>
      <w:r w:rsidRPr="00990F50">
        <w:rPr>
          <w:rFonts w:asciiTheme="minorHAnsi" w:hAnsiTheme="minorHAnsi" w:cstheme="minorHAnsi"/>
          <w:szCs w:val="22"/>
        </w:rPr>
        <w:t xml:space="preserve"> large corpora of case</w:t>
      </w:r>
      <w:r w:rsidR="00C64BE7">
        <w:rPr>
          <w:rFonts w:asciiTheme="minorHAnsi" w:hAnsiTheme="minorHAnsi" w:cstheme="minorHAnsi"/>
          <w:szCs w:val="22"/>
        </w:rPr>
        <w:t>-</w:t>
      </w:r>
      <w:r w:rsidRPr="00990F50">
        <w:rPr>
          <w:rFonts w:asciiTheme="minorHAnsi" w:hAnsiTheme="minorHAnsi" w:cstheme="minorHAnsi"/>
          <w:szCs w:val="22"/>
        </w:rPr>
        <w:t>control findings and quantify heterogeneity. However, individual meta-analyses typically target specific task families or narrow constructs. The volume of published meta-analyses is now large enough that a second-order synthesis is warranted, not to re-estimate population parameters, but to clarify broad regularities, relative magnitudes across domains, and the degree of convergence versus dispersion in reported effects.</w:t>
      </w:r>
    </w:p>
    <w:p w14:paraId="00CCC7A2" w14:textId="77777777" w:rsidR="00990F50" w:rsidRPr="00990F50" w:rsidRDefault="00990F50" w:rsidP="00990F50">
      <w:pPr>
        <w:tabs>
          <w:tab w:val="clear" w:pos="3068"/>
        </w:tabs>
        <w:rPr>
          <w:rFonts w:asciiTheme="minorHAnsi" w:hAnsiTheme="minorHAnsi" w:cstheme="minorHAnsi"/>
          <w:szCs w:val="22"/>
        </w:rPr>
      </w:pPr>
    </w:p>
    <w:p w14:paraId="4B1343E7" w14:textId="77777777"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lastRenderedPageBreak/>
        <w:t>A meta-review can address questions that are difficult to answer from single-domain meta-analyses, including: whether cognitive differences appear broad or sharply concentrated, how similar the overall profiles are across ADHD and dyslexia, and whether prominent effects align more with diagnostic definitions and selection practices than with uniquely informative mechanisms (Pennington, 2006). This is especially relevant in dyslexia research, where many meta-analyses implement IQ-based selection or covariate control, a practice that can, by design, accentuate apparent domain specificity by removing shared variance with general cognition (Peterson &amp; Pennington, 2015).</w:t>
      </w:r>
    </w:p>
    <w:p w14:paraId="4A9A0189" w14:textId="46CCE82F" w:rsidR="00990F50" w:rsidRPr="00990F50" w:rsidRDefault="00834DB3" w:rsidP="00990F50">
      <w:pPr>
        <w:tabs>
          <w:tab w:val="clear" w:pos="3068"/>
        </w:tabs>
        <w:rPr>
          <w:rFonts w:asciiTheme="minorHAnsi" w:hAnsiTheme="minorHAnsi" w:cstheme="minorHAnsi"/>
          <w:szCs w:val="22"/>
        </w:rPr>
      </w:pPr>
      <w:r>
        <w:rPr>
          <w:rFonts w:asciiTheme="minorHAnsi" w:hAnsiTheme="minorHAnsi" w:cstheme="minorHAnsi"/>
          <w:szCs w:val="22"/>
        </w:rPr>
        <w:t>The present</w:t>
      </w:r>
      <w:r w:rsidR="00990F50" w:rsidRPr="00990F50">
        <w:rPr>
          <w:rFonts w:asciiTheme="minorHAnsi" w:hAnsiTheme="minorHAnsi" w:cstheme="minorHAnsi"/>
          <w:szCs w:val="22"/>
        </w:rPr>
        <w:t xml:space="preserve"> meta-review </w:t>
      </w:r>
      <w:r w:rsidR="000E3CA0" w:rsidRPr="00990F50">
        <w:rPr>
          <w:rFonts w:asciiTheme="minorHAnsi" w:hAnsiTheme="minorHAnsi" w:cstheme="minorHAnsi"/>
          <w:szCs w:val="22"/>
        </w:rPr>
        <w:t>synthesizes</w:t>
      </w:r>
      <w:r w:rsidR="00990F50" w:rsidRPr="00990F50">
        <w:rPr>
          <w:rFonts w:asciiTheme="minorHAnsi" w:hAnsiTheme="minorHAnsi" w:cstheme="minorHAnsi"/>
          <w:szCs w:val="22"/>
        </w:rPr>
        <w:t xml:space="preserve"> published quantitative meta-analyses on cognitive characteristics associated with ADHD and developmental dyslexia. The project was preregistered, and the original protocol framed the meta-review as one component of a broader </w:t>
      </w:r>
      <w:r w:rsidR="000E3CA0" w:rsidRPr="00990F50">
        <w:rPr>
          <w:rFonts w:asciiTheme="minorHAnsi" w:hAnsiTheme="minorHAnsi" w:cstheme="minorHAnsi"/>
          <w:szCs w:val="22"/>
        </w:rPr>
        <w:t>program</w:t>
      </w:r>
      <w:r w:rsidR="00990F50" w:rsidRPr="00990F50">
        <w:rPr>
          <w:rFonts w:asciiTheme="minorHAnsi" w:hAnsiTheme="minorHAnsi" w:cstheme="minorHAnsi"/>
          <w:szCs w:val="22"/>
        </w:rPr>
        <w:t xml:space="preserve"> oriented toward dimensional versus categorical interpretations. During the review process, the number of eligible meta-analyses substantially exceeded expectations, motivating a reorientation toward reporting the meta-review as a standalone contribution, with an explicit emphasis on structured description and cautious interpretation.</w:t>
      </w:r>
    </w:p>
    <w:p w14:paraId="02E5526C" w14:textId="684466D8" w:rsidR="00990F50" w:rsidRPr="00990F50"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Accordingly, the report has three objectives:</w:t>
      </w:r>
      <w:r w:rsidR="000401C5">
        <w:rPr>
          <w:rFonts w:asciiTheme="minorHAnsi" w:hAnsiTheme="minorHAnsi" w:cstheme="minorHAnsi"/>
          <w:szCs w:val="22"/>
        </w:rPr>
        <w:t xml:space="preserve"> </w:t>
      </w:r>
      <w:proofErr w:type="spellStart"/>
      <w:r w:rsidR="000401C5">
        <w:rPr>
          <w:rFonts w:asciiTheme="minorHAnsi" w:hAnsiTheme="minorHAnsi" w:cstheme="minorHAnsi"/>
          <w:szCs w:val="22"/>
        </w:rPr>
        <w:t>i</w:t>
      </w:r>
      <w:proofErr w:type="spellEnd"/>
      <w:r w:rsidR="000401C5">
        <w:rPr>
          <w:rFonts w:asciiTheme="minorHAnsi" w:hAnsiTheme="minorHAnsi" w:cstheme="minorHAnsi"/>
          <w:szCs w:val="22"/>
        </w:rPr>
        <w:t xml:space="preserve">) </w:t>
      </w:r>
      <w:r w:rsidR="004E0C26">
        <w:rPr>
          <w:rFonts w:asciiTheme="minorHAnsi" w:hAnsiTheme="minorHAnsi" w:cstheme="minorHAnsi"/>
          <w:szCs w:val="22"/>
        </w:rPr>
        <w:t>t</w:t>
      </w:r>
      <w:r w:rsidRPr="00990F50">
        <w:rPr>
          <w:rFonts w:asciiTheme="minorHAnsi" w:hAnsiTheme="minorHAnsi" w:cstheme="minorHAnsi"/>
          <w:szCs w:val="22"/>
        </w:rPr>
        <w:t xml:space="preserve">o </w:t>
      </w:r>
      <w:r w:rsidR="004E0C26" w:rsidRPr="00990F50">
        <w:rPr>
          <w:rFonts w:asciiTheme="minorHAnsi" w:hAnsiTheme="minorHAnsi" w:cstheme="minorHAnsi"/>
          <w:szCs w:val="22"/>
        </w:rPr>
        <w:t>summarize</w:t>
      </w:r>
      <w:r w:rsidRPr="00990F50">
        <w:rPr>
          <w:rFonts w:asciiTheme="minorHAnsi" w:hAnsiTheme="minorHAnsi" w:cstheme="minorHAnsi"/>
          <w:szCs w:val="22"/>
        </w:rPr>
        <w:t xml:space="preserve"> the direction and approximate magnitude of cognitive differences reported across published meta-analyses for ADHD and dyslexia</w:t>
      </w:r>
      <w:r w:rsidR="000401C5">
        <w:rPr>
          <w:rFonts w:asciiTheme="minorHAnsi" w:hAnsiTheme="minorHAnsi" w:cstheme="minorHAnsi"/>
          <w:szCs w:val="22"/>
        </w:rPr>
        <w:t xml:space="preserve">; ii) </w:t>
      </w:r>
      <w:r w:rsidR="004E0C26">
        <w:rPr>
          <w:rFonts w:asciiTheme="minorHAnsi" w:hAnsiTheme="minorHAnsi" w:cstheme="minorHAnsi"/>
          <w:szCs w:val="22"/>
        </w:rPr>
        <w:t>t</w:t>
      </w:r>
      <w:r w:rsidRPr="00990F50">
        <w:rPr>
          <w:rFonts w:asciiTheme="minorHAnsi" w:hAnsiTheme="minorHAnsi" w:cstheme="minorHAnsi"/>
          <w:szCs w:val="22"/>
        </w:rPr>
        <w:t xml:space="preserve">o </w:t>
      </w:r>
      <w:r w:rsidR="004E0C26" w:rsidRPr="00990F50">
        <w:rPr>
          <w:rFonts w:asciiTheme="minorHAnsi" w:hAnsiTheme="minorHAnsi" w:cstheme="minorHAnsi"/>
          <w:szCs w:val="22"/>
        </w:rPr>
        <w:t>characterize</w:t>
      </w:r>
      <w:r w:rsidRPr="00990F50">
        <w:rPr>
          <w:rFonts w:asciiTheme="minorHAnsi" w:hAnsiTheme="minorHAnsi" w:cstheme="minorHAnsi"/>
          <w:szCs w:val="22"/>
        </w:rPr>
        <w:t xml:space="preserve"> breadth versus relative prominence across cognitive domains, without assuming singular or “core” deficits unless consistently supported</w:t>
      </w:r>
      <w:r w:rsidR="004E0C26">
        <w:rPr>
          <w:rFonts w:asciiTheme="minorHAnsi" w:hAnsiTheme="minorHAnsi" w:cstheme="minorHAnsi"/>
          <w:szCs w:val="22"/>
        </w:rPr>
        <w:t>; iii) t</w:t>
      </w:r>
      <w:r w:rsidRPr="00990F50">
        <w:rPr>
          <w:rFonts w:asciiTheme="minorHAnsi" w:hAnsiTheme="minorHAnsi" w:cstheme="minorHAnsi"/>
          <w:szCs w:val="22"/>
        </w:rPr>
        <w:t>o interpret the overall pattern under a dimensional and transdiagnostic framework, explicitly considering heterogeneity, construct overlap, and dependence between evidence streams.</w:t>
      </w:r>
    </w:p>
    <w:p w14:paraId="7BDA231F" w14:textId="01256426" w:rsidR="00E102C3" w:rsidRPr="00FA75AB" w:rsidRDefault="00990F50" w:rsidP="00990F50">
      <w:pPr>
        <w:tabs>
          <w:tab w:val="clear" w:pos="3068"/>
        </w:tabs>
        <w:rPr>
          <w:rFonts w:asciiTheme="minorHAnsi" w:hAnsiTheme="minorHAnsi" w:cstheme="minorHAnsi"/>
          <w:szCs w:val="22"/>
        </w:rPr>
      </w:pPr>
      <w:r w:rsidRPr="00990F50">
        <w:rPr>
          <w:rFonts w:asciiTheme="minorHAnsi" w:hAnsiTheme="minorHAnsi" w:cstheme="minorHAnsi"/>
          <w:szCs w:val="22"/>
        </w:rPr>
        <w:t xml:space="preserve">Where cross-meta-analytic summaries or displays combine results across meta-analyses, these are used descriptively and heuristically, to make broad patterns visible. They are not treated as formal higher-order meta-analytic inference, because assumptions such as statistical independence and </w:t>
      </w:r>
      <w:r w:rsidRPr="00990F50">
        <w:rPr>
          <w:rFonts w:asciiTheme="minorHAnsi" w:hAnsiTheme="minorHAnsi" w:cstheme="minorHAnsi"/>
          <w:szCs w:val="22"/>
        </w:rPr>
        <w:lastRenderedPageBreak/>
        <w:t>construct homogeneity are frequently violated when multiple meta-analyses draw on overlapping primary studies and partially overlapping constructs.</w:t>
      </w:r>
    </w:p>
    <w:p w14:paraId="7A826886" w14:textId="77777777" w:rsidR="00E102C3" w:rsidRPr="00FA75AB" w:rsidRDefault="00E102C3" w:rsidP="00CC186E">
      <w:pPr>
        <w:pStyle w:val="Heading1"/>
      </w:pPr>
      <w:r w:rsidRPr="00CC186E">
        <w:t>Method</w:t>
      </w:r>
    </w:p>
    <w:p w14:paraId="2CC1107C" w14:textId="5E8C3D50" w:rsidR="003773E7" w:rsidRPr="003773E7" w:rsidRDefault="003773E7" w:rsidP="003773E7">
      <w:pPr>
        <w:ind w:firstLine="0"/>
        <w:rPr>
          <w:rFonts w:asciiTheme="minorHAnsi" w:hAnsiTheme="minorHAnsi" w:cstheme="minorHAnsi"/>
          <w:b/>
          <w:bCs/>
          <w:szCs w:val="22"/>
        </w:rPr>
      </w:pPr>
      <w:r w:rsidRPr="003773E7">
        <w:rPr>
          <w:rFonts w:asciiTheme="minorHAnsi" w:hAnsiTheme="minorHAnsi" w:cstheme="minorHAnsi"/>
          <w:b/>
          <w:bCs/>
          <w:szCs w:val="22"/>
        </w:rPr>
        <w:t>Protocol and Reporting</w:t>
      </w:r>
    </w:p>
    <w:p w14:paraId="3CFD2E0A" w14:textId="319AB780" w:rsidR="003773E7" w:rsidRPr="003773E7" w:rsidRDefault="003773E7" w:rsidP="003773E7">
      <w:pPr>
        <w:rPr>
          <w:rFonts w:asciiTheme="minorHAnsi" w:hAnsiTheme="minorHAnsi" w:cstheme="minorHAnsi"/>
          <w:szCs w:val="22"/>
        </w:rPr>
      </w:pPr>
      <w:r w:rsidRPr="003773E7">
        <w:rPr>
          <w:rFonts w:asciiTheme="minorHAnsi" w:hAnsiTheme="minorHAnsi" w:cstheme="minorHAnsi"/>
          <w:szCs w:val="22"/>
        </w:rPr>
        <w:t>The protocol for this meta-review was preregistered prior to data extraction (see preregistration document). The preregistration specified the conceptual framework, eligibility criteria, search strategy, screening procedures, and data extraction plan. Reporting was guided by the PRISMA 2020 statement, adapted where necessary to the specific context of a meta-review of published quantitative meta-analyses (Page et al., 2021).</w:t>
      </w:r>
    </w:p>
    <w:p w14:paraId="1FBABC6B" w14:textId="57DC183D" w:rsidR="00E102C3" w:rsidRDefault="003773E7" w:rsidP="003773E7">
      <w:pPr>
        <w:rPr>
          <w:rFonts w:asciiTheme="minorHAnsi" w:hAnsiTheme="minorHAnsi" w:cstheme="minorHAnsi"/>
          <w:szCs w:val="22"/>
        </w:rPr>
      </w:pPr>
      <w:r w:rsidRPr="003773E7">
        <w:rPr>
          <w:rFonts w:asciiTheme="minorHAnsi" w:hAnsiTheme="minorHAnsi" w:cstheme="minorHAnsi"/>
          <w:szCs w:val="22"/>
        </w:rPr>
        <w:t xml:space="preserve">The preregistered project originally framed the meta-review as part of a broader program aimed at evaluating dimensional versus categorical interpretations using </w:t>
      </w:r>
      <w:proofErr w:type="spellStart"/>
      <w:r w:rsidRPr="003773E7">
        <w:rPr>
          <w:rFonts w:asciiTheme="minorHAnsi" w:hAnsiTheme="minorHAnsi" w:cstheme="minorHAnsi"/>
          <w:szCs w:val="22"/>
        </w:rPr>
        <w:t>taxometric</w:t>
      </w:r>
      <w:proofErr w:type="spellEnd"/>
      <w:r w:rsidRPr="003773E7">
        <w:rPr>
          <w:rFonts w:asciiTheme="minorHAnsi" w:hAnsiTheme="minorHAnsi" w:cstheme="minorHAnsi"/>
          <w:szCs w:val="22"/>
        </w:rPr>
        <w:t>-like reasoning. During the review process, the number of eligible meta-analyses substantially exceeded expectations. For this reason, the meta-review is reported here as a standalone synthesis. This shift affected the organization and emphasis of the report, but did not change the preregistered eligibility criteria, screening criteria, or data extraction rules.</w:t>
      </w:r>
    </w:p>
    <w:p w14:paraId="26E0F0B5" w14:textId="293B581D" w:rsidR="00B67C78" w:rsidRPr="00B67C78" w:rsidRDefault="00B67C78" w:rsidP="00B67C78">
      <w:pPr>
        <w:ind w:firstLine="0"/>
        <w:rPr>
          <w:rFonts w:asciiTheme="minorHAnsi" w:hAnsiTheme="minorHAnsi" w:cstheme="minorHAnsi"/>
          <w:b/>
          <w:bCs/>
          <w:szCs w:val="22"/>
        </w:rPr>
      </w:pPr>
      <w:r w:rsidRPr="00B67C78">
        <w:rPr>
          <w:rFonts w:asciiTheme="minorHAnsi" w:hAnsiTheme="minorHAnsi" w:cstheme="minorHAnsi"/>
          <w:b/>
          <w:bCs/>
          <w:szCs w:val="22"/>
        </w:rPr>
        <w:t xml:space="preserve">Eligibility </w:t>
      </w:r>
      <w:r>
        <w:rPr>
          <w:rFonts w:asciiTheme="minorHAnsi" w:hAnsiTheme="minorHAnsi" w:cstheme="minorHAnsi"/>
          <w:b/>
          <w:bCs/>
          <w:szCs w:val="22"/>
        </w:rPr>
        <w:t>C</w:t>
      </w:r>
      <w:r w:rsidRPr="00B67C78">
        <w:rPr>
          <w:rFonts w:asciiTheme="minorHAnsi" w:hAnsiTheme="minorHAnsi" w:cstheme="minorHAnsi"/>
          <w:b/>
          <w:bCs/>
          <w:szCs w:val="22"/>
        </w:rPr>
        <w:t>riteria</w:t>
      </w:r>
    </w:p>
    <w:p w14:paraId="4F1A7A77" w14:textId="259250EE" w:rsidR="009A622A" w:rsidRPr="009A622A" w:rsidRDefault="009A622A" w:rsidP="009A622A">
      <w:pPr>
        <w:rPr>
          <w:rFonts w:asciiTheme="minorHAnsi" w:hAnsiTheme="minorHAnsi" w:cstheme="minorHAnsi"/>
          <w:szCs w:val="22"/>
        </w:rPr>
      </w:pPr>
      <w:r w:rsidRPr="009A622A">
        <w:rPr>
          <w:rFonts w:asciiTheme="minorHAnsi" w:hAnsiTheme="minorHAnsi" w:cstheme="minorHAnsi"/>
          <w:szCs w:val="22"/>
        </w:rPr>
        <w:t>Eligible articles were quantitative meta-analyses, or systematic reviews including at least one quantitative meta-analysis, that examined cognitive characteristics associated with ADHD and/or developmental dyslexia.</w:t>
      </w:r>
      <w:r>
        <w:rPr>
          <w:rFonts w:asciiTheme="minorHAnsi" w:hAnsiTheme="minorHAnsi" w:cstheme="minorHAnsi"/>
          <w:szCs w:val="22"/>
        </w:rPr>
        <w:t xml:space="preserve"> </w:t>
      </w:r>
      <w:r w:rsidRPr="009A622A">
        <w:rPr>
          <w:rFonts w:asciiTheme="minorHAnsi" w:hAnsiTheme="minorHAnsi" w:cstheme="minorHAnsi"/>
          <w:szCs w:val="22"/>
        </w:rPr>
        <w:t>Studies were included if they met all of the following criteria:</w:t>
      </w:r>
      <w:r>
        <w:rPr>
          <w:rFonts w:asciiTheme="minorHAnsi" w:hAnsiTheme="minorHAnsi" w:cstheme="minorHAnsi"/>
          <w:szCs w:val="22"/>
        </w:rPr>
        <w:t xml:space="preserve"> </w:t>
      </w:r>
      <w:proofErr w:type="spellStart"/>
      <w:r>
        <w:rPr>
          <w:rFonts w:asciiTheme="minorHAnsi" w:hAnsiTheme="minorHAnsi" w:cstheme="minorHAnsi"/>
          <w:szCs w:val="22"/>
        </w:rPr>
        <w:t>i</w:t>
      </w:r>
      <w:proofErr w:type="spellEnd"/>
      <w:r>
        <w:rPr>
          <w:rFonts w:asciiTheme="minorHAnsi" w:hAnsiTheme="minorHAnsi" w:cstheme="minorHAnsi"/>
          <w:szCs w:val="22"/>
        </w:rPr>
        <w:t xml:space="preserve">) </w:t>
      </w:r>
      <w:r w:rsidRPr="009A622A">
        <w:rPr>
          <w:rFonts w:asciiTheme="minorHAnsi" w:hAnsiTheme="minorHAnsi" w:cstheme="minorHAnsi"/>
          <w:szCs w:val="22"/>
        </w:rPr>
        <w:t>Study type: quantitative meta-analysis (pooled effect sizes synthesizing multiple primary studies)</w:t>
      </w:r>
      <w:r>
        <w:rPr>
          <w:rFonts w:asciiTheme="minorHAnsi" w:hAnsiTheme="minorHAnsi" w:cstheme="minorHAnsi"/>
          <w:szCs w:val="22"/>
        </w:rPr>
        <w:t xml:space="preserve">; ii) </w:t>
      </w:r>
      <w:r w:rsidRPr="009A622A">
        <w:rPr>
          <w:rFonts w:asciiTheme="minorHAnsi" w:hAnsiTheme="minorHAnsi" w:cstheme="minorHAnsi"/>
          <w:szCs w:val="22"/>
        </w:rPr>
        <w:t>Target condition: ADHD and/or developmental dyslexia (explicitly analyzed)</w:t>
      </w:r>
      <w:r>
        <w:rPr>
          <w:rFonts w:asciiTheme="minorHAnsi" w:hAnsiTheme="minorHAnsi" w:cstheme="minorHAnsi"/>
          <w:szCs w:val="22"/>
        </w:rPr>
        <w:t xml:space="preserve">; iii) </w:t>
      </w:r>
      <w:r w:rsidRPr="009A622A">
        <w:rPr>
          <w:rFonts w:asciiTheme="minorHAnsi" w:hAnsiTheme="minorHAnsi" w:cstheme="minorHAnsi"/>
          <w:szCs w:val="22"/>
        </w:rPr>
        <w:t>Outcomes: at least one cognitive or neuropsychological domain (e.g., attention, executive functions, working memory, processing speed, phonological processing, rapid automatized naming, reading-related cognition, or related constructs)</w:t>
      </w:r>
      <w:r>
        <w:rPr>
          <w:rFonts w:asciiTheme="minorHAnsi" w:hAnsiTheme="minorHAnsi" w:cstheme="minorHAnsi"/>
          <w:szCs w:val="22"/>
        </w:rPr>
        <w:t xml:space="preserve">; iv) </w:t>
      </w:r>
      <w:r w:rsidRPr="009A622A">
        <w:rPr>
          <w:rFonts w:asciiTheme="minorHAnsi" w:hAnsiTheme="minorHAnsi" w:cstheme="minorHAnsi"/>
          <w:szCs w:val="22"/>
        </w:rPr>
        <w:t>Analytical framework: either</w:t>
      </w:r>
      <w:r>
        <w:rPr>
          <w:rFonts w:asciiTheme="minorHAnsi" w:hAnsiTheme="minorHAnsi" w:cstheme="minorHAnsi"/>
          <w:szCs w:val="22"/>
        </w:rPr>
        <w:t xml:space="preserve"> </w:t>
      </w:r>
      <w:r w:rsidRPr="009A622A">
        <w:rPr>
          <w:rFonts w:asciiTheme="minorHAnsi" w:hAnsiTheme="minorHAnsi" w:cstheme="minorHAnsi"/>
          <w:szCs w:val="22"/>
        </w:rPr>
        <w:t>(a) a categorical case</w:t>
      </w:r>
      <w:r w:rsidR="00C64BE7">
        <w:rPr>
          <w:rFonts w:asciiTheme="minorHAnsi" w:hAnsiTheme="minorHAnsi" w:cstheme="minorHAnsi"/>
          <w:szCs w:val="22"/>
        </w:rPr>
        <w:t>-</w:t>
      </w:r>
      <w:r w:rsidRPr="009A622A">
        <w:rPr>
          <w:rFonts w:asciiTheme="minorHAnsi" w:hAnsiTheme="minorHAnsi" w:cstheme="minorHAnsi"/>
          <w:szCs w:val="22"/>
        </w:rPr>
        <w:t xml:space="preserve">control contrast comparing </w:t>
      </w:r>
      <w:r w:rsidRPr="009A622A">
        <w:rPr>
          <w:rFonts w:asciiTheme="minorHAnsi" w:hAnsiTheme="minorHAnsi" w:cstheme="minorHAnsi"/>
          <w:szCs w:val="22"/>
        </w:rPr>
        <w:lastRenderedPageBreak/>
        <w:t>ADHD/dyslexia groups to neurotypical controls, or</w:t>
      </w:r>
      <w:r>
        <w:rPr>
          <w:rFonts w:asciiTheme="minorHAnsi" w:hAnsiTheme="minorHAnsi" w:cstheme="minorHAnsi"/>
          <w:szCs w:val="22"/>
        </w:rPr>
        <w:t xml:space="preserve"> </w:t>
      </w:r>
      <w:r w:rsidRPr="009A622A">
        <w:rPr>
          <w:rFonts w:asciiTheme="minorHAnsi" w:hAnsiTheme="minorHAnsi" w:cstheme="minorHAnsi"/>
          <w:szCs w:val="22"/>
        </w:rPr>
        <w:t>(b) a dimensional synthesis relating continuous ADHD or reading-related traits to cognitive outcomes in broadly sampled datasets.</w:t>
      </w:r>
    </w:p>
    <w:p w14:paraId="34DA75B6" w14:textId="5F087882" w:rsidR="009A622A" w:rsidRPr="009A622A" w:rsidRDefault="009A622A" w:rsidP="009A622A">
      <w:pPr>
        <w:rPr>
          <w:rFonts w:asciiTheme="minorHAnsi" w:hAnsiTheme="minorHAnsi" w:cstheme="minorHAnsi"/>
          <w:szCs w:val="22"/>
        </w:rPr>
      </w:pPr>
      <w:r w:rsidRPr="009A622A">
        <w:rPr>
          <w:rFonts w:asciiTheme="minorHAnsi" w:hAnsiTheme="minorHAnsi" w:cstheme="minorHAnsi"/>
          <w:szCs w:val="22"/>
        </w:rPr>
        <w:t>Studies were excluded if they:</w:t>
      </w:r>
      <w:r w:rsidR="0055438D">
        <w:rPr>
          <w:rFonts w:asciiTheme="minorHAnsi" w:hAnsiTheme="minorHAnsi" w:cstheme="minorHAnsi"/>
          <w:szCs w:val="22"/>
        </w:rPr>
        <w:t xml:space="preserve"> </w:t>
      </w:r>
      <w:proofErr w:type="spellStart"/>
      <w:r w:rsidR="0055438D">
        <w:rPr>
          <w:rFonts w:asciiTheme="minorHAnsi" w:hAnsiTheme="minorHAnsi" w:cstheme="minorHAnsi"/>
          <w:szCs w:val="22"/>
        </w:rPr>
        <w:t>i</w:t>
      </w:r>
      <w:proofErr w:type="spellEnd"/>
      <w:r w:rsidR="0055438D">
        <w:rPr>
          <w:rFonts w:asciiTheme="minorHAnsi" w:hAnsiTheme="minorHAnsi" w:cstheme="minorHAnsi"/>
          <w:szCs w:val="22"/>
        </w:rPr>
        <w:t xml:space="preserve">) </w:t>
      </w:r>
      <w:r w:rsidRPr="009A622A">
        <w:rPr>
          <w:rFonts w:asciiTheme="minorHAnsi" w:hAnsiTheme="minorHAnsi" w:cstheme="minorHAnsi"/>
          <w:szCs w:val="22"/>
        </w:rPr>
        <w:t>Focused on intervention or treatment effects (e.g., medication, training, rehabilitation, therapy)</w:t>
      </w:r>
      <w:r w:rsidR="00CD322B">
        <w:rPr>
          <w:rFonts w:asciiTheme="minorHAnsi" w:hAnsiTheme="minorHAnsi" w:cstheme="minorHAnsi"/>
          <w:szCs w:val="22"/>
        </w:rPr>
        <w:t xml:space="preserve">; ii) </w:t>
      </w:r>
      <w:r w:rsidRPr="009A622A">
        <w:rPr>
          <w:rFonts w:asciiTheme="minorHAnsi" w:hAnsiTheme="minorHAnsi" w:cstheme="minorHAnsi"/>
          <w:szCs w:val="22"/>
        </w:rPr>
        <w:t>Focused only on prevalence, diagnostic criteria, or symptoms without cognitive outcomes</w:t>
      </w:r>
      <w:r w:rsidR="00CD322B">
        <w:rPr>
          <w:rFonts w:asciiTheme="minorHAnsi" w:hAnsiTheme="minorHAnsi" w:cstheme="minorHAnsi"/>
          <w:szCs w:val="22"/>
        </w:rPr>
        <w:t xml:space="preserve">; iii) </w:t>
      </w:r>
      <w:r w:rsidRPr="009A622A">
        <w:rPr>
          <w:rFonts w:asciiTheme="minorHAnsi" w:hAnsiTheme="minorHAnsi" w:cstheme="minorHAnsi"/>
          <w:szCs w:val="22"/>
        </w:rPr>
        <w:t>Used exclusively non-neurotypical comparators or clinical-only contrasts (unless separable eligible neurotypical comparisons were reported)</w:t>
      </w:r>
      <w:r w:rsidR="00CD322B">
        <w:rPr>
          <w:rFonts w:asciiTheme="minorHAnsi" w:hAnsiTheme="minorHAnsi" w:cstheme="minorHAnsi"/>
          <w:szCs w:val="22"/>
        </w:rPr>
        <w:t xml:space="preserve">; iv) </w:t>
      </w:r>
      <w:r w:rsidRPr="009A622A">
        <w:rPr>
          <w:rFonts w:asciiTheme="minorHAnsi" w:hAnsiTheme="minorHAnsi" w:cstheme="minorHAnsi"/>
          <w:szCs w:val="22"/>
        </w:rPr>
        <w:t>Relied exclusively on reading-level matched comparisons in a way that removed the neurotypical contrast relevant to the target inference.</w:t>
      </w:r>
    </w:p>
    <w:p w14:paraId="6BBC68F8" w14:textId="75EB012B" w:rsidR="00B67C78" w:rsidRPr="00FA75AB" w:rsidRDefault="009A622A" w:rsidP="009A622A">
      <w:pPr>
        <w:rPr>
          <w:rFonts w:asciiTheme="minorHAnsi" w:hAnsiTheme="minorHAnsi" w:cstheme="minorHAnsi"/>
          <w:szCs w:val="22"/>
        </w:rPr>
      </w:pPr>
      <w:r w:rsidRPr="009A622A">
        <w:rPr>
          <w:rFonts w:asciiTheme="minorHAnsi" w:hAnsiTheme="minorHAnsi" w:cstheme="minorHAnsi"/>
          <w:szCs w:val="22"/>
        </w:rPr>
        <w:t xml:space="preserve">Although dimensional associations were eligible in principle, the final corpus of extracted pooled effects consisted </w:t>
      </w:r>
      <w:r w:rsidR="006E5B09">
        <w:rPr>
          <w:rFonts w:asciiTheme="minorHAnsi" w:hAnsiTheme="minorHAnsi" w:cstheme="minorHAnsi"/>
          <w:szCs w:val="22"/>
        </w:rPr>
        <w:t>exclusively</w:t>
      </w:r>
      <w:r w:rsidRPr="009A622A">
        <w:rPr>
          <w:rFonts w:asciiTheme="minorHAnsi" w:hAnsiTheme="minorHAnsi" w:cstheme="minorHAnsi"/>
          <w:szCs w:val="22"/>
        </w:rPr>
        <w:t xml:space="preserve"> of categorical case</w:t>
      </w:r>
      <w:r w:rsidR="00E8759A">
        <w:rPr>
          <w:rFonts w:asciiTheme="minorHAnsi" w:hAnsiTheme="minorHAnsi" w:cstheme="minorHAnsi"/>
          <w:szCs w:val="22"/>
        </w:rPr>
        <w:t>-</w:t>
      </w:r>
      <w:r w:rsidRPr="009A622A">
        <w:rPr>
          <w:rFonts w:asciiTheme="minorHAnsi" w:hAnsiTheme="minorHAnsi" w:cstheme="minorHAnsi"/>
          <w:szCs w:val="22"/>
        </w:rPr>
        <w:t xml:space="preserve">control </w:t>
      </w:r>
      <w:r w:rsidR="00E8759A">
        <w:rPr>
          <w:rFonts w:asciiTheme="minorHAnsi" w:hAnsiTheme="minorHAnsi" w:cstheme="minorHAnsi"/>
          <w:szCs w:val="22"/>
        </w:rPr>
        <w:t>comparisons</w:t>
      </w:r>
      <w:r w:rsidRPr="009A622A">
        <w:rPr>
          <w:rFonts w:asciiTheme="minorHAnsi" w:hAnsiTheme="minorHAnsi" w:cstheme="minorHAnsi"/>
          <w:szCs w:val="22"/>
        </w:rPr>
        <w:t xml:space="preserve">, </w:t>
      </w:r>
      <w:r w:rsidR="000E3EEE">
        <w:rPr>
          <w:rFonts w:asciiTheme="minorHAnsi" w:hAnsiTheme="minorHAnsi" w:cstheme="minorHAnsi"/>
          <w:szCs w:val="22"/>
        </w:rPr>
        <w:t>as no</w:t>
      </w:r>
      <w:r w:rsidRPr="009A622A">
        <w:rPr>
          <w:rFonts w:asciiTheme="minorHAnsi" w:hAnsiTheme="minorHAnsi" w:cstheme="minorHAnsi"/>
          <w:szCs w:val="22"/>
        </w:rPr>
        <w:t xml:space="preserve"> dimensional meta-analytic associations </w:t>
      </w:r>
      <w:r w:rsidR="000E3EEE">
        <w:rPr>
          <w:rFonts w:asciiTheme="minorHAnsi" w:hAnsiTheme="minorHAnsi" w:cstheme="minorHAnsi"/>
          <w:szCs w:val="22"/>
        </w:rPr>
        <w:t>emerged among</w:t>
      </w:r>
      <w:r w:rsidRPr="009A622A">
        <w:rPr>
          <w:rFonts w:asciiTheme="minorHAnsi" w:hAnsiTheme="minorHAnsi" w:cstheme="minorHAnsi"/>
          <w:szCs w:val="22"/>
        </w:rPr>
        <w:t xml:space="preserve"> eligible effects.</w:t>
      </w:r>
    </w:p>
    <w:p w14:paraId="607BC98F" w14:textId="333F0FEC" w:rsidR="00520D42" w:rsidRDefault="00520D42" w:rsidP="00520D42">
      <w:pPr>
        <w:pStyle w:val="Heading1"/>
        <w:jc w:val="left"/>
      </w:pPr>
      <w:r>
        <w:t>Search Strategy and Study Identification</w:t>
      </w:r>
    </w:p>
    <w:p w14:paraId="14A2D7C4" w14:textId="77777777" w:rsidR="00613FD3" w:rsidRDefault="00613FD3" w:rsidP="00613FD3">
      <w:r>
        <w:t>A broad database search was conducted in PubMed, PsycINFO, Scopus, and Web of Science. No publication date restrictions were applied. The preregistered search string combined disorder terms, cognitive-domain terms, and meta-analytic methodology terms, and it excluded intervention-related terms. The search string was refined iteratively to balance coverage and specificity, consistent with the preregistration. The full search syntax is provided in the preregistration and supplementary materials.</w:t>
      </w:r>
    </w:p>
    <w:p w14:paraId="245BCA21" w14:textId="5B015F1C" w:rsidR="00613FD3" w:rsidRDefault="00613FD3" w:rsidP="00613FD3">
      <w:r>
        <w:t xml:space="preserve">Records were imported into a reference management system (Zotero was used in practice) to manage references and remove duplicates. In addition to database searching, reference lists of relevant reviews were inspected to identify additional eligible meta-analyses. Although the preregistered framing emphasized children, the preregistered search strategy was not </w:t>
      </w:r>
      <w:proofErr w:type="gramStart"/>
      <w:r>
        <w:t>age-restricted</w:t>
      </w:r>
      <w:proofErr w:type="gramEnd"/>
      <w:r>
        <w:t>. Therefore, eligible meta-analyses across the lifespan were retained, and age group was coded descriptively rather than used as an exclusion criterion.</w:t>
      </w:r>
      <w:r w:rsidR="00BE760D">
        <w:t xml:space="preserve"> </w:t>
      </w:r>
    </w:p>
    <w:p w14:paraId="51DB2523" w14:textId="4CE0C32C" w:rsidR="00BE760D" w:rsidRDefault="00BE760D" w:rsidP="00613FD3">
      <w:r>
        <w:lastRenderedPageBreak/>
        <w:t>Another series of targeted searches were conducted</w:t>
      </w:r>
      <w:r w:rsidR="000D1FD1">
        <w:t xml:space="preserve"> (both before and after the main search) involving</w:t>
      </w:r>
      <w:r>
        <w:t xml:space="preserve"> </w:t>
      </w:r>
      <w:r w:rsidR="000D1FD1">
        <w:t xml:space="preserve">Google Scholar, citation searches, </w:t>
      </w:r>
      <w:r w:rsidR="00FF50BF">
        <w:t xml:space="preserve">database searches, </w:t>
      </w:r>
      <w:r w:rsidR="000D1FD1">
        <w:t xml:space="preserve">and personal knowledge of relevant articles, </w:t>
      </w:r>
      <w:r>
        <w:t xml:space="preserve">in an unsystematic way. These </w:t>
      </w:r>
      <w:r w:rsidR="00FF50BF">
        <w:t xml:space="preserve">results </w:t>
      </w:r>
      <w:r>
        <w:t>were assembled and reused under the “identification of studies via supplementary search and other methods” branch of the PRISMA flowchart. Some of them were</w:t>
      </w:r>
      <w:r w:rsidR="00FF50BF">
        <w:t xml:space="preserve"> found to be</w:t>
      </w:r>
      <w:r>
        <w:t xml:space="preserve"> redundant with the main analysis or </w:t>
      </w:r>
      <w:r w:rsidR="00FF50BF">
        <w:t xml:space="preserve">were </w:t>
      </w:r>
      <w:r>
        <w:t>excluded for other reasons upon careful full-text eligibility check</w:t>
      </w:r>
      <w:r w:rsidR="006D033E">
        <w:t xml:space="preserve"> (e.g., did not actually contain meta-analytic estimates)</w:t>
      </w:r>
      <w:r>
        <w:t xml:space="preserve">; the </w:t>
      </w:r>
      <w:r w:rsidR="006D033E">
        <w:t>remaining</w:t>
      </w:r>
      <w:r>
        <w:t xml:space="preserve"> were merged in the final review.</w:t>
      </w:r>
    </w:p>
    <w:p w14:paraId="324A6616" w14:textId="379403E5" w:rsidR="009B1985" w:rsidRPr="00D8666B" w:rsidRDefault="009B1985" w:rsidP="009B1985">
      <w:pPr>
        <w:ind w:firstLine="0"/>
        <w:rPr>
          <w:b/>
          <w:bCs/>
        </w:rPr>
      </w:pPr>
      <w:r w:rsidRPr="00D8666B">
        <w:rPr>
          <w:b/>
          <w:bCs/>
        </w:rPr>
        <w:t>Screening and Selection Procedure</w:t>
      </w:r>
    </w:p>
    <w:p w14:paraId="51B5DBF3" w14:textId="03FD8DE6" w:rsidR="00D8666B" w:rsidRDefault="00D8666B" w:rsidP="00D8666B">
      <w:r>
        <w:t>Screening proceeded in two stages, consistent with the preregistered plan and PRISMA logic: (1) title and abstract screening, followed by (2) full-text screening. At the title and abstract stage, records were excluded when clearly ineligible (e.g., not a meta-analysis, not ADHD/dyslexia, not cognitive outcomes, intervention-focused). Full-text screening assessed eligibility against the predefined inclusion and exclusion criteria, including confirmation that at least one quantitative pooled effect was reported.</w:t>
      </w:r>
    </w:p>
    <w:p w14:paraId="1E6C9635" w14:textId="77777777" w:rsidR="00D8666B" w:rsidRDefault="00D8666B" w:rsidP="00D8666B">
      <w:r>
        <w:t>Screening was supported by AI-assisted tools using protocol-bound prompts, under close human supervision. AI outputs were used to increase throughput and enforce consistency with preregistered decision rules, but final inclusion and exclusion decisions were reviewed and validated by the researchers. Reasons for exclusion at full text were recorded. A PRISMA flow diagram summarizes identification, screening, exclusions (with reasons), and inclusion.</w:t>
      </w:r>
    </w:p>
    <w:p w14:paraId="7B2FE159" w14:textId="13C1D9EF" w:rsidR="009B1985" w:rsidRPr="00613FD3" w:rsidRDefault="00D8666B" w:rsidP="00D8666B">
      <w:r>
        <w:t>AI-assisted screening was not specified in the preregistered workflow. It was introduced as a procedural aid under human oversight</w:t>
      </w:r>
      <w:r w:rsidR="009706FF">
        <w:t xml:space="preserve"> and without changing any</w:t>
      </w:r>
      <w:r>
        <w:t xml:space="preserve"> eligibility rules.</w:t>
      </w:r>
    </w:p>
    <w:p w14:paraId="246EA34E" w14:textId="7EFDADC6" w:rsidR="00162B4A" w:rsidRDefault="00162B4A" w:rsidP="00162B4A">
      <w:pPr>
        <w:pStyle w:val="Heading1"/>
        <w:jc w:val="left"/>
      </w:pPr>
      <w:r>
        <w:t>Data Extraction and Coding</w:t>
      </w:r>
    </w:p>
    <w:p w14:paraId="75959ED5" w14:textId="3DD47A08" w:rsidR="00056101" w:rsidRDefault="00056101" w:rsidP="00056101">
      <w:r>
        <w:t xml:space="preserve">Data extraction followed a standardized coding scheme specified in the preregistration. The unit of extraction was one pooled meta-analytic estimate per row. When a meta-analysis reported multiple </w:t>
      </w:r>
      <w:r>
        <w:lastRenderedPageBreak/>
        <w:t>pooled effects (e.g., multiple domains, subdomains, tasks, or subgroup-specific estimates), each eligible pooled estimate was extracted as a separate row.</w:t>
      </w:r>
    </w:p>
    <w:p w14:paraId="07FB3B42" w14:textId="77777777" w:rsidR="00056101" w:rsidRDefault="00056101" w:rsidP="004D7E7F">
      <w:pPr>
        <w:ind w:firstLine="0"/>
      </w:pPr>
      <w:r>
        <w:t>For each included meta-analysis, we extracted:</w:t>
      </w:r>
    </w:p>
    <w:p w14:paraId="0E993852" w14:textId="77777777" w:rsidR="00056101" w:rsidRDefault="00056101" w:rsidP="00836BD3">
      <w:pPr>
        <w:pStyle w:val="ListParagraph"/>
        <w:numPr>
          <w:ilvl w:val="0"/>
          <w:numId w:val="2"/>
        </w:numPr>
      </w:pPr>
      <w:r>
        <w:t>bibliographic information (authors, year, journal),</w:t>
      </w:r>
    </w:p>
    <w:p w14:paraId="03867897" w14:textId="77777777" w:rsidR="00056101" w:rsidRDefault="00056101" w:rsidP="00836BD3">
      <w:pPr>
        <w:pStyle w:val="ListParagraph"/>
        <w:numPr>
          <w:ilvl w:val="0"/>
          <w:numId w:val="2"/>
        </w:numPr>
      </w:pPr>
      <w:r>
        <w:t>target disorder (ADHD, dyslexia, or both),</w:t>
      </w:r>
    </w:p>
    <w:p w14:paraId="464EA4AD" w14:textId="77777777" w:rsidR="00056101" w:rsidRDefault="00056101" w:rsidP="00836BD3">
      <w:pPr>
        <w:pStyle w:val="ListParagraph"/>
        <w:numPr>
          <w:ilvl w:val="0"/>
          <w:numId w:val="2"/>
        </w:numPr>
      </w:pPr>
      <w:r>
        <w:t>age range and age group,</w:t>
      </w:r>
    </w:p>
    <w:p w14:paraId="56A7F84D" w14:textId="77777777" w:rsidR="00056101" w:rsidRDefault="00056101" w:rsidP="00836BD3">
      <w:pPr>
        <w:pStyle w:val="ListParagraph"/>
        <w:numPr>
          <w:ilvl w:val="0"/>
          <w:numId w:val="2"/>
        </w:numPr>
      </w:pPr>
      <w:r>
        <w:t>cognitive outcome labels and their mapping to harmonized cognitive domains,</w:t>
      </w:r>
    </w:p>
    <w:p w14:paraId="26B66099" w14:textId="77777777" w:rsidR="00056101" w:rsidRDefault="00056101" w:rsidP="00836BD3">
      <w:pPr>
        <w:pStyle w:val="ListParagraph"/>
        <w:numPr>
          <w:ilvl w:val="0"/>
          <w:numId w:val="2"/>
        </w:numPr>
      </w:pPr>
      <w:r>
        <w:t>effect size metric and pooled effect estimate,</w:t>
      </w:r>
    </w:p>
    <w:p w14:paraId="6CCF58E9" w14:textId="77777777" w:rsidR="00056101" w:rsidRDefault="00056101" w:rsidP="00836BD3">
      <w:pPr>
        <w:pStyle w:val="ListParagraph"/>
        <w:numPr>
          <w:ilvl w:val="0"/>
          <w:numId w:val="2"/>
        </w:numPr>
      </w:pPr>
      <w:r>
        <w:t>uncertainty information (standard error and/or confidence interval),</w:t>
      </w:r>
    </w:p>
    <w:p w14:paraId="3F77DA39" w14:textId="77777777" w:rsidR="00056101" w:rsidRDefault="00056101" w:rsidP="00836BD3">
      <w:pPr>
        <w:pStyle w:val="ListParagraph"/>
        <w:numPr>
          <w:ilvl w:val="0"/>
          <w:numId w:val="2"/>
        </w:numPr>
      </w:pPr>
      <w:r>
        <w:t>number of primary studies contributing to each pooled effect (k) where available,</w:t>
      </w:r>
    </w:p>
    <w:p w14:paraId="1469BA71" w14:textId="77777777" w:rsidR="00056101" w:rsidRDefault="00056101" w:rsidP="00836BD3">
      <w:pPr>
        <w:pStyle w:val="ListParagraph"/>
        <w:numPr>
          <w:ilvl w:val="0"/>
          <w:numId w:val="2"/>
        </w:numPr>
      </w:pPr>
      <w:r>
        <w:t xml:space="preserve">heterogeneity indices </w:t>
      </w:r>
      <w:proofErr w:type="spellStart"/>
      <w:r>
        <w:t>where</w:t>
      </w:r>
      <w:proofErr w:type="spellEnd"/>
      <w:r>
        <w:t xml:space="preserve"> reported,</w:t>
      </w:r>
    </w:p>
    <w:p w14:paraId="3770E344" w14:textId="77777777" w:rsidR="00056101" w:rsidRDefault="00056101" w:rsidP="00836BD3">
      <w:pPr>
        <w:pStyle w:val="ListParagraph"/>
        <w:numPr>
          <w:ilvl w:val="0"/>
          <w:numId w:val="2"/>
        </w:numPr>
      </w:pPr>
      <w:r>
        <w:t xml:space="preserve">publication-bias assessments and any adjusted estimates </w:t>
      </w:r>
      <w:proofErr w:type="spellStart"/>
      <w:r>
        <w:t>where</w:t>
      </w:r>
      <w:proofErr w:type="spellEnd"/>
      <w:r>
        <w:t xml:space="preserve"> reported,</w:t>
      </w:r>
    </w:p>
    <w:p w14:paraId="19274F54" w14:textId="30D309A0" w:rsidR="00056101" w:rsidRDefault="00056101" w:rsidP="00836BD3">
      <w:pPr>
        <w:pStyle w:val="ListParagraph"/>
        <w:numPr>
          <w:ilvl w:val="0"/>
          <w:numId w:val="2"/>
        </w:numPr>
      </w:pPr>
      <w:r>
        <w:t>selected methodological features as per preregistration.</w:t>
      </w:r>
    </w:p>
    <w:p w14:paraId="6AE6F3C1" w14:textId="3D3AE4E0" w:rsidR="00056101" w:rsidRDefault="00056101" w:rsidP="00056101">
      <w:r>
        <w:t>To facilitate cross-meta-analytic synthesis, cognitive outcomes were mapped into a hierarchical domain structure (broad domain, specific subdomain). Effect sizes were stored using a consistent sign convention so that negative values indicate worse performance in the clinical group relative to controls. When standard errors were not reported but 95% confidence intervals were reported on an approximately normal scale, standard errors were derived deterministically from the interval width, and flagged accordingly in the dataset.</w:t>
      </w:r>
    </w:p>
    <w:p w14:paraId="0A7B9A9A" w14:textId="093E8DCC" w:rsidR="00E31719" w:rsidRDefault="00E31719" w:rsidP="00056101">
      <w:r>
        <w:t xml:space="preserve">In addition, </w:t>
      </w:r>
      <w:r w:rsidRPr="00E31719">
        <w:t xml:space="preserve">we coded </w:t>
      </w:r>
      <w:r>
        <w:t>some</w:t>
      </w:r>
      <w:r w:rsidRPr="00E31719">
        <w:t xml:space="preserve"> objective methodological indicators from each included meta-analysis: whether a protocol was preregistered, whether search databases and search dates were reported, whether inclusion and exclusion criteria were explicit, the meta-analytic model type (random-effects, fixed-effect, or both), whether heterogeneity was reported and which metrics were provided, whether publication bias was assessed and which methods were used, and whether dependence </w:t>
      </w:r>
      <w:r w:rsidRPr="00E31719">
        <w:lastRenderedPageBreak/>
        <w:t>handling was reported. These indicators were used descriptively to characterize the corpus and motivate caution in interpretation. They were not used to exclude studies post hoc or to weight results quantitatively.</w:t>
      </w:r>
    </w:p>
    <w:p w14:paraId="11D292C1" w14:textId="1C1CCB47" w:rsidR="00056101" w:rsidRDefault="00056101" w:rsidP="00056101">
      <w:r>
        <w:t xml:space="preserve">Deviation from preregistration: </w:t>
      </w:r>
      <w:r w:rsidR="00D113EB">
        <w:t>Data extraction was supported by AI-assisted tools using protocol-bound prompts, with repeated checks and final human validation. As for the screening, this was not</w:t>
      </w:r>
      <w:r>
        <w:t xml:space="preserve"> specified in the preregistered workflow. It was introduced as a procedural aid under human oversight </w:t>
      </w:r>
      <w:r w:rsidR="00AB1363">
        <w:t>without modifying</w:t>
      </w:r>
      <w:r>
        <w:t xml:space="preserve"> the extraction </w:t>
      </w:r>
      <w:r w:rsidR="00BF0015">
        <w:t>criteria</w:t>
      </w:r>
      <w:r>
        <w:t>.</w:t>
      </w:r>
    </w:p>
    <w:p w14:paraId="02798695" w14:textId="78D9D81B" w:rsidR="00C40410" w:rsidRDefault="007D04F1" w:rsidP="00C40410">
      <w:pPr>
        <w:ind w:firstLine="0"/>
        <w:rPr>
          <w:b/>
          <w:bCs/>
        </w:rPr>
      </w:pPr>
      <w:r>
        <w:rPr>
          <w:b/>
          <w:bCs/>
        </w:rPr>
        <w:t>Synthesis Strategy</w:t>
      </w:r>
    </w:p>
    <w:p w14:paraId="1B954358" w14:textId="77777777" w:rsidR="008925E0" w:rsidRDefault="008925E0" w:rsidP="008925E0">
      <w:pPr>
        <w:ind w:firstLine="709"/>
      </w:pPr>
      <w:r>
        <w:t>Synthesis was designed to summarize what the existing quantitative meta-analytic literature reports across disorders and cognitive domains, without conducting new meta-analyses of primary studies. The unit of evidence in this review is the pooled estimate reported by each included meta-analysis (e.g., standardized mean differences for case–control contrasts, or pooled associations where relevant), not the underlying primary-study effects. Results are organized by disorder and by a hierarchically coded domain structure (broad domains and, where relevant, subdomains), with an emphasis on direction and approximate magnitude, dispersion across meta-analyses, and the extent to which effects appear broadly distributed versus relatively more prominent in some domains.</w:t>
      </w:r>
    </w:p>
    <w:p w14:paraId="22DA3959" w14:textId="77777777" w:rsidR="008925E0" w:rsidRDefault="008925E0" w:rsidP="008925E0">
      <w:pPr>
        <w:ind w:firstLine="709"/>
      </w:pPr>
      <w:r>
        <w:t>All extracted pooled estimates were stored using a consistent sign convention such that negative values indicate worse performance in the clinical group relative to neurotypical controls (or an association compatible with higher symptom burden and poorer performance, where applicable). When standard errors were not directly reported but confidence intervals were available on an approximately normal scale, standard errors were derived deterministically from the interval width and flagged in the dataset. These steps were intended to standardize reporting and enable coherent cross-study visualization, not to re-estimate primary-study parameters.</w:t>
      </w:r>
    </w:p>
    <w:p w14:paraId="528DCF6C" w14:textId="77777777" w:rsidR="008925E0" w:rsidRDefault="008925E0" w:rsidP="008925E0">
      <w:pPr>
        <w:ind w:firstLine="709"/>
      </w:pPr>
      <w:r>
        <w:lastRenderedPageBreak/>
        <w:t>To make cross-meta-analytic patterns visible, we used descriptive evidence maps that plot the full set of extracted pooled estimates by domain, alongside compact domain summaries. Because many meta-analyses report multiple pooled estimates within the same domain (often for closely related tasks or outcomes), and because those estimates are not statistically independent, domain summaries were generated using multilevel models applied to the extracted pooled estimates within each domain. Specifically, for each domain we fit a three-level random-effects model with effects nested within meta-analysis, so that clustering of multiple estimates from the same meta-analysis is represented in the model structure. In addition, we specified a working dependence structure for sampling errors within meta-analysis (i.e., allowing correlated sampling error among multiple pooled estimates reported by the same meta-analysis). These modeling choices were used to reduce the risk that domains dominated by a few meta-analyses reporting many closely related estimates would visually and numerically overwhelm the broader pattern.</w:t>
      </w:r>
    </w:p>
    <w:p w14:paraId="3922DD12" w14:textId="7CB51165" w:rsidR="008925E0" w:rsidRDefault="008925E0" w:rsidP="008925E0">
      <w:pPr>
        <w:ind w:firstLine="709"/>
      </w:pPr>
      <w:r>
        <w:t xml:space="preserve">Crucially, these multilevel summaries do not “solve” the broader dependence and construct-overlap problems inherent to a meta-review. Meta-analyses may include overlapping sets of primary studies, may target partially overlapping but non-identical constructs, and may differ in subgroup handling (e.g., children vs adults, mixed samples, different inclusion criteria, or different operationalizations of outcomes). Such features violate key assumptions required for valid higher-order meta-analytic inference, particularly statistical </w:t>
      </w:r>
      <w:proofErr w:type="gramStart"/>
      <w:r>
        <w:t>independence</w:t>
      </w:r>
      <w:proofErr w:type="gramEnd"/>
      <w:r>
        <w:t xml:space="preserve"> and construct homogeneity. The dependence specification used for within–meta-analysis clustering is therefore best interpreted as a pragmatic adjustment to support clearer descriptive summaries, not as a basis for confirmatory inference. Accordingly, all cross-meta-analytic summaries (including model-based overlays)</w:t>
      </w:r>
      <w:r w:rsidR="00CB45C9">
        <w:t xml:space="preserve"> must be</w:t>
      </w:r>
      <w:r>
        <w:t xml:space="preserve"> treated as </w:t>
      </w:r>
      <w:r w:rsidR="00CB45C9">
        <w:t xml:space="preserve">merely </w:t>
      </w:r>
      <w:r>
        <w:t>descriptive and heuristic, and we avoid language implying valid pooled population estimates at the level of meta-analyses.</w:t>
      </w:r>
    </w:p>
    <w:p w14:paraId="7FC4E86C" w14:textId="0987CCEA" w:rsidR="00C40410" w:rsidRPr="00056101" w:rsidRDefault="008925E0" w:rsidP="008925E0">
      <w:pPr>
        <w:ind w:firstLine="709"/>
      </w:pPr>
      <w:r>
        <w:lastRenderedPageBreak/>
        <w:t>Deviation from preregistration: The preregistration stated that no new meta-analyses would be conducted. Consistent with that constraint, we did not meta-analyze primary-study effect sizes. However, to facilitate compact visualization and to reduce over-representation of meta-analyses that reported many related pooled estimates, we generated domain-level descriptive summaries using multilevel models fitted to the extracted meta-analytic pooled estimates. These summaries are explicitly treated as descriptive evidence maps rather than higher-order pooled estimates, given likely study overlap and construct heterogeneity.</w:t>
      </w:r>
    </w:p>
    <w:p w14:paraId="59DB18FB" w14:textId="012931F8" w:rsidR="00E102C3" w:rsidRPr="00FA75AB" w:rsidRDefault="00E102C3" w:rsidP="00CC186E">
      <w:pPr>
        <w:pStyle w:val="Heading1"/>
      </w:pPr>
      <w:r w:rsidRPr="00FA75AB">
        <w:t>Results</w:t>
      </w:r>
    </w:p>
    <w:p w14:paraId="525E01AA" w14:textId="3623FE15" w:rsidR="0076012F" w:rsidRPr="0076012F" w:rsidRDefault="0076012F" w:rsidP="0076012F">
      <w:pPr>
        <w:ind w:firstLine="0"/>
        <w:rPr>
          <w:rFonts w:asciiTheme="minorHAnsi" w:hAnsiTheme="minorHAnsi" w:cstheme="minorHAnsi"/>
          <w:b/>
          <w:bCs/>
          <w:szCs w:val="22"/>
        </w:rPr>
      </w:pPr>
      <w:r w:rsidRPr="0076012F">
        <w:rPr>
          <w:rFonts w:asciiTheme="minorHAnsi" w:hAnsiTheme="minorHAnsi" w:cstheme="minorHAnsi"/>
          <w:b/>
          <w:bCs/>
          <w:szCs w:val="22"/>
        </w:rPr>
        <w:t>Study Selection</w:t>
      </w:r>
      <w:r w:rsidR="00C232F9">
        <w:rPr>
          <w:rFonts w:asciiTheme="minorHAnsi" w:hAnsiTheme="minorHAnsi" w:cstheme="minorHAnsi"/>
          <w:b/>
          <w:bCs/>
          <w:szCs w:val="22"/>
        </w:rPr>
        <w:t xml:space="preserve"> and Characteristics</w:t>
      </w:r>
    </w:p>
    <w:p w14:paraId="7ABD1DB0" w14:textId="1378A926" w:rsidR="006305C1" w:rsidRPr="006305C1" w:rsidRDefault="006305C1" w:rsidP="006305C1">
      <w:pPr>
        <w:rPr>
          <w:rFonts w:asciiTheme="minorHAnsi" w:hAnsiTheme="minorHAnsi" w:cstheme="minorHAnsi"/>
          <w:szCs w:val="22"/>
        </w:rPr>
      </w:pPr>
      <w:r w:rsidRPr="006305C1">
        <w:rPr>
          <w:rFonts w:asciiTheme="minorHAnsi" w:hAnsiTheme="minorHAnsi" w:cstheme="minorHAnsi"/>
          <w:szCs w:val="22"/>
        </w:rPr>
        <w:t>Following deduplication, 1,094 unique records from the main database search entered title/abstract screening. From this stream, 92 reports were sought for retrieval; 5 could not be retrieved, leaving 77 full texts assessed for eligibility. In addition, 49 reports assembled from supplementary sources (previous targeted searches and other methods) were retrieved and assessed in full text. Overall, 126 full-text reports were assessed for eligibility, and 87 quantitative meta-analyses met inclusion criteria and were included in the meta-review (Figure 1). The most frequent reasons for full-text exclusion were the absence of a quantitative meta-analysis (e.g., narrative reviews or systematic reviews without pooled estimates), ineligible outcomes or contrasts/associations, or other eligibility mismatches identified at full text.</w:t>
      </w:r>
    </w:p>
    <w:p w14:paraId="710ED59D" w14:textId="6918DFF1" w:rsidR="006305C1" w:rsidRPr="006305C1" w:rsidRDefault="006305C1" w:rsidP="006305C1">
      <w:pPr>
        <w:rPr>
          <w:rFonts w:asciiTheme="minorHAnsi" w:hAnsiTheme="minorHAnsi" w:cstheme="minorHAnsi"/>
          <w:szCs w:val="22"/>
        </w:rPr>
      </w:pPr>
      <w:r w:rsidRPr="006305C1">
        <w:rPr>
          <w:rFonts w:asciiTheme="minorHAnsi" w:hAnsiTheme="minorHAnsi" w:cstheme="minorHAnsi"/>
          <w:szCs w:val="22"/>
        </w:rPr>
        <w:t>Included meta-analyses were published between 1998 and 202</w:t>
      </w:r>
      <w:r w:rsidR="000B0AF0">
        <w:rPr>
          <w:rFonts w:asciiTheme="minorHAnsi" w:hAnsiTheme="minorHAnsi" w:cstheme="minorHAnsi"/>
          <w:szCs w:val="22"/>
        </w:rPr>
        <w:t>5</w:t>
      </w:r>
      <w:r w:rsidRPr="006305C1">
        <w:rPr>
          <w:rFonts w:asciiTheme="minorHAnsi" w:hAnsiTheme="minorHAnsi" w:cstheme="minorHAnsi"/>
          <w:szCs w:val="22"/>
        </w:rPr>
        <w:t xml:space="preserve">, with most appearing </w:t>
      </w:r>
      <w:r w:rsidR="009E302B">
        <w:rPr>
          <w:rFonts w:asciiTheme="minorHAnsi" w:hAnsiTheme="minorHAnsi" w:cstheme="minorHAnsi"/>
          <w:szCs w:val="22"/>
        </w:rPr>
        <w:t>since 2010.</w:t>
      </w:r>
      <w:r w:rsidRPr="006305C1">
        <w:rPr>
          <w:rFonts w:asciiTheme="minorHAnsi" w:hAnsiTheme="minorHAnsi" w:cstheme="minorHAnsi"/>
          <w:szCs w:val="22"/>
        </w:rPr>
        <w:t xml:space="preserve"> At the meta-analysis level, 43 contributed eligible pooled estimates for ADHD, 45 for dyslexia, and one contributed eligible pooled </w:t>
      </w:r>
      <w:r w:rsidR="00610A74" w:rsidRPr="006305C1">
        <w:rPr>
          <w:rFonts w:asciiTheme="minorHAnsi" w:hAnsiTheme="minorHAnsi" w:cstheme="minorHAnsi"/>
          <w:szCs w:val="22"/>
        </w:rPr>
        <w:t>estimate</w:t>
      </w:r>
      <w:r w:rsidRPr="006305C1">
        <w:rPr>
          <w:rFonts w:asciiTheme="minorHAnsi" w:hAnsiTheme="minorHAnsi" w:cstheme="minorHAnsi"/>
          <w:szCs w:val="22"/>
        </w:rPr>
        <w:t xml:space="preserve"> to both disorders (hence disorder-specific counts exceed 87 when summed).</w:t>
      </w:r>
    </w:p>
    <w:p w14:paraId="065F5D15" w14:textId="77777777" w:rsidR="006305C1" w:rsidRPr="006305C1" w:rsidRDefault="006305C1" w:rsidP="006305C1">
      <w:pPr>
        <w:rPr>
          <w:rFonts w:asciiTheme="minorHAnsi" w:hAnsiTheme="minorHAnsi" w:cstheme="minorHAnsi"/>
          <w:szCs w:val="22"/>
        </w:rPr>
      </w:pPr>
      <w:r w:rsidRPr="006305C1">
        <w:rPr>
          <w:rFonts w:asciiTheme="minorHAnsi" w:hAnsiTheme="minorHAnsi" w:cstheme="minorHAnsi"/>
          <w:szCs w:val="22"/>
        </w:rPr>
        <w:t xml:space="preserve">Age coverage was predominantly developmental. Using a meta-analysis–level classification, 37 meta-analyses focused on children/adolescents, 9 on adults, and 39 included mixed-age samples; for 2 </w:t>
      </w:r>
      <w:r w:rsidRPr="006305C1">
        <w:rPr>
          <w:rFonts w:asciiTheme="minorHAnsi" w:hAnsiTheme="minorHAnsi" w:cstheme="minorHAnsi"/>
          <w:szCs w:val="22"/>
        </w:rPr>
        <w:lastRenderedPageBreak/>
        <w:t>meta-analyses, age group could not be coded with confidence from available reporting. These groupings were used descriptively to contextualize the evidence base rather than as eligibility restrictions.</w:t>
      </w:r>
    </w:p>
    <w:p w14:paraId="43D5F77D" w14:textId="27470D19" w:rsidR="006305C1" w:rsidRPr="006305C1" w:rsidRDefault="006305C1" w:rsidP="006305C1">
      <w:pPr>
        <w:rPr>
          <w:rFonts w:asciiTheme="minorHAnsi" w:hAnsiTheme="minorHAnsi" w:cstheme="minorHAnsi"/>
          <w:szCs w:val="22"/>
        </w:rPr>
      </w:pPr>
      <w:r w:rsidRPr="006305C1">
        <w:rPr>
          <w:rFonts w:asciiTheme="minorHAnsi" w:hAnsiTheme="minorHAnsi" w:cstheme="minorHAnsi"/>
          <w:szCs w:val="22"/>
        </w:rPr>
        <w:t>Across the 87 included meta-analyses, 591 pooled estimates were extracted (258 from ADHD contrasts and 333 from dyslexia contrasts). After applying prespecified effect-level inclusion rules, 523 pooled estimates were retained for synthesis displays; exclusions were due to predefined reasons recorded in the dataset (e.g., non-comparable control definitions or other effect-level constraints). Nearly all retained effects could be mapped to the prespecified domain framework; a small number of extracted estimates could not be meaningfully assigned to a domain and were not included in domain-specific summaries. Effects were coded using a consistent sign convention such that negative values indicate worse performance in the clinical group relative to neurotypical controls; all summaries in this section are descriptive.</w:t>
      </w:r>
    </w:p>
    <w:p w14:paraId="5AC44212" w14:textId="02844490" w:rsidR="00DB0154" w:rsidRPr="00DB0154" w:rsidRDefault="006305C1" w:rsidP="006305C1">
      <w:pPr>
        <w:rPr>
          <w:rFonts w:asciiTheme="minorHAnsi" w:hAnsiTheme="minorHAnsi" w:cstheme="minorHAnsi"/>
          <w:szCs w:val="22"/>
        </w:rPr>
      </w:pPr>
      <w:r w:rsidRPr="006305C1">
        <w:rPr>
          <w:rFonts w:asciiTheme="minorHAnsi" w:hAnsiTheme="minorHAnsi" w:cstheme="minorHAnsi"/>
          <w:szCs w:val="22"/>
        </w:rPr>
        <w:t>Methodological and reporting features were coded descriptively to contextualize the corpus. Most meta-analyses reported heterogeneity (82/87), and random-effects models were the most common analytic choice (67/87; a further 6/87 reported both fixed- and random-effects), with model type unclear or otherwise not classifiable in 14/87. Publication-bias assessments were reported in 65/87 meta-analyses, whereas preregistered protocols were explicitly reported in 9/87 (often unclear from reporting). Explicit handling of dependence among multiple outcomes/effects within a meta-analysis was reported in 46/87, unclear in 34/87, and absent/not applicable in the remainder. A condensed overview of included meta-analyses (disorder, age group, domains covered, and key reporting indicators) is provided in Table S1.</w:t>
      </w:r>
    </w:p>
    <w:p w14:paraId="07C47ADF" w14:textId="79C56A66" w:rsidR="0076012F" w:rsidRDefault="00347CD1" w:rsidP="0076012F">
      <w:pPr>
        <w:ind w:firstLine="0"/>
        <w:rPr>
          <w:rFonts w:asciiTheme="minorHAnsi" w:hAnsiTheme="minorHAnsi" w:cstheme="minorHAnsi"/>
          <w:b/>
          <w:bCs/>
          <w:szCs w:val="22"/>
        </w:rPr>
      </w:pPr>
      <w:r>
        <w:rPr>
          <w:rFonts w:asciiTheme="minorHAnsi" w:hAnsiTheme="minorHAnsi" w:cstheme="minorHAnsi"/>
          <w:b/>
          <w:bCs/>
          <w:szCs w:val="22"/>
        </w:rPr>
        <w:t>Overview of Results</w:t>
      </w:r>
    </w:p>
    <w:p w14:paraId="0960AC1B" w14:textId="0AA24E67" w:rsidR="00114D14" w:rsidRPr="00114D14" w:rsidRDefault="00114D14" w:rsidP="00114D14">
      <w:pPr>
        <w:ind w:firstLine="426"/>
        <w:rPr>
          <w:rFonts w:asciiTheme="minorHAnsi" w:hAnsiTheme="minorHAnsi" w:cstheme="minorHAnsi"/>
          <w:szCs w:val="22"/>
        </w:rPr>
      </w:pPr>
      <w:r w:rsidRPr="00114D14">
        <w:rPr>
          <w:rFonts w:asciiTheme="minorHAnsi" w:hAnsiTheme="minorHAnsi" w:cstheme="minorHAnsi"/>
          <w:szCs w:val="22"/>
        </w:rPr>
        <w:t xml:space="preserve">Effect sizes are reported using a sign convention such that negative values indicate worse performance in the clinical group relative to neurotypical controls. The evidence maps (Figures 2–4) plot one point per extracted pooled estimate from each included quantitative meta-analysis. To aid </w:t>
      </w:r>
      <w:r w:rsidRPr="00114D14">
        <w:rPr>
          <w:rFonts w:asciiTheme="minorHAnsi" w:hAnsiTheme="minorHAnsi" w:cstheme="minorHAnsi"/>
          <w:szCs w:val="22"/>
        </w:rPr>
        <w:lastRenderedPageBreak/>
        <w:t>readability, domain-level overlays summarize central tendency within each domain using multilevel random-effects models that account for clustering of multiple estimates within the same meta-analysis; these overlays are intended as heuristic, descriptive summaries rather than higher-order meta-analytic inference.</w:t>
      </w:r>
      <w:r w:rsidR="009F1E65">
        <w:rPr>
          <w:rFonts w:asciiTheme="minorHAnsi" w:hAnsiTheme="minorHAnsi" w:cstheme="minorHAnsi"/>
          <w:szCs w:val="22"/>
        </w:rPr>
        <w:t xml:space="preserve"> A summary of the central tendencies for all SMDs and the number of articles and meta-analytic estimates on which they are based is reported in Table 1. </w:t>
      </w:r>
    </w:p>
    <w:p w14:paraId="7BC6588F" w14:textId="77777777" w:rsidR="00114D14" w:rsidRPr="00114D14" w:rsidRDefault="00114D14" w:rsidP="00114D14">
      <w:pPr>
        <w:ind w:firstLine="426"/>
        <w:rPr>
          <w:rFonts w:asciiTheme="minorHAnsi" w:hAnsiTheme="minorHAnsi" w:cstheme="minorHAnsi"/>
          <w:szCs w:val="22"/>
        </w:rPr>
      </w:pPr>
      <w:r w:rsidRPr="00114D14">
        <w:rPr>
          <w:rFonts w:asciiTheme="minorHAnsi" w:hAnsiTheme="minorHAnsi" w:cstheme="minorHAnsi"/>
          <w:szCs w:val="22"/>
        </w:rPr>
        <w:t>Across the extracted corpus, effects were predominantly negative, indicating broadly lower cognitive performance in both ADHD and dyslexia across many domains. Dispersion across pooled estimates was substantial in most domains, consistent with heterogeneity in tasks, operationalizations, samples, and meta-analytic inclusion rules. Domain patterns are therefore best read as broad shifts with relative peaks, rather than as evidence for sharply selective preservation or impairment.</w:t>
      </w:r>
    </w:p>
    <w:p w14:paraId="593F9078" w14:textId="14AFABA0" w:rsidR="00114D14" w:rsidRPr="00114D14" w:rsidRDefault="00114D14" w:rsidP="00114D14">
      <w:pPr>
        <w:ind w:firstLine="426"/>
        <w:rPr>
          <w:rFonts w:asciiTheme="minorHAnsi" w:hAnsiTheme="minorHAnsi" w:cstheme="minorHAnsi"/>
          <w:szCs w:val="22"/>
        </w:rPr>
      </w:pPr>
      <w:r w:rsidRPr="00114D14">
        <w:rPr>
          <w:rFonts w:asciiTheme="minorHAnsi" w:hAnsiTheme="minorHAnsi" w:cstheme="minorHAnsi"/>
          <w:szCs w:val="22"/>
        </w:rPr>
        <w:t xml:space="preserve">For ADHD (Figure 2), the profile was broadly distributed across partially correlated domains, with domain summaries typically in the small-to-moderate negative range. Domains supported by the largest number of contributing meta-analyses included executive functions (central tendency around </w:t>
      </w:r>
      <w:r w:rsidR="009B0639">
        <w:rPr>
          <w:rFonts w:asciiTheme="minorHAnsi" w:hAnsiTheme="minorHAnsi" w:cstheme="minorHAnsi"/>
          <w:szCs w:val="22"/>
        </w:rPr>
        <w:t>SMD =</w:t>
      </w:r>
      <w:r w:rsidRPr="00114D14">
        <w:rPr>
          <w:rFonts w:asciiTheme="minorHAnsi" w:hAnsiTheme="minorHAnsi" w:cstheme="minorHAnsi"/>
          <w:szCs w:val="22"/>
        </w:rPr>
        <w:t xml:space="preserve"> −0.46), attention (</w:t>
      </w:r>
      <w:r w:rsidR="009B0639">
        <w:rPr>
          <w:rFonts w:asciiTheme="minorHAnsi" w:hAnsiTheme="minorHAnsi" w:cstheme="minorHAnsi"/>
          <w:szCs w:val="22"/>
        </w:rPr>
        <w:t>SMD =</w:t>
      </w:r>
      <w:r w:rsidRPr="00114D14">
        <w:rPr>
          <w:rFonts w:asciiTheme="minorHAnsi" w:hAnsiTheme="minorHAnsi" w:cstheme="minorHAnsi"/>
          <w:szCs w:val="22"/>
        </w:rPr>
        <w:t xml:space="preserve"> −0.45), processing speed (</w:t>
      </w:r>
      <w:r w:rsidR="009B0639">
        <w:rPr>
          <w:rFonts w:asciiTheme="minorHAnsi" w:hAnsiTheme="minorHAnsi" w:cstheme="minorHAnsi"/>
          <w:szCs w:val="22"/>
        </w:rPr>
        <w:t>SMD =</w:t>
      </w:r>
      <w:r w:rsidRPr="00114D14">
        <w:rPr>
          <w:rFonts w:asciiTheme="minorHAnsi" w:hAnsiTheme="minorHAnsi" w:cstheme="minorHAnsi"/>
          <w:szCs w:val="22"/>
        </w:rPr>
        <w:t xml:space="preserve"> −0.36), and working memory (</w:t>
      </w:r>
      <w:r w:rsidR="009B0639">
        <w:rPr>
          <w:rFonts w:asciiTheme="minorHAnsi" w:hAnsiTheme="minorHAnsi" w:cstheme="minorHAnsi"/>
          <w:szCs w:val="22"/>
        </w:rPr>
        <w:t>SMD =</w:t>
      </w:r>
      <w:r w:rsidRPr="00114D14">
        <w:rPr>
          <w:rFonts w:asciiTheme="minorHAnsi" w:hAnsiTheme="minorHAnsi" w:cstheme="minorHAnsi"/>
          <w:szCs w:val="22"/>
        </w:rPr>
        <w:t xml:space="preserve"> −0.44 to −0.63 depending on working-memory subtype). Additional domains such as time perception (</w:t>
      </w:r>
      <w:r w:rsidR="009B0639">
        <w:rPr>
          <w:rFonts w:asciiTheme="minorHAnsi" w:hAnsiTheme="minorHAnsi" w:cstheme="minorHAnsi"/>
          <w:szCs w:val="22"/>
        </w:rPr>
        <w:t>SMD =</w:t>
      </w:r>
      <w:r w:rsidRPr="00114D14">
        <w:rPr>
          <w:rFonts w:asciiTheme="minorHAnsi" w:hAnsiTheme="minorHAnsi" w:cstheme="minorHAnsi"/>
          <w:szCs w:val="22"/>
        </w:rPr>
        <w:t xml:space="preserve"> −0.51) and decision-making / reinforcement learning (</w:t>
      </w:r>
      <w:r w:rsidR="009B0639">
        <w:rPr>
          <w:rFonts w:asciiTheme="minorHAnsi" w:hAnsiTheme="minorHAnsi" w:cstheme="minorHAnsi"/>
          <w:szCs w:val="22"/>
        </w:rPr>
        <w:t>SMD =</w:t>
      </w:r>
      <w:r w:rsidRPr="00114D14">
        <w:rPr>
          <w:rFonts w:asciiTheme="minorHAnsi" w:hAnsiTheme="minorHAnsi" w:cstheme="minorHAnsi"/>
          <w:szCs w:val="22"/>
        </w:rPr>
        <w:t xml:space="preserve"> −0.35) were represented by fewer meta-analyses but showed similarly negative central tendencies. Some domains were sparsely covered (e.g., language and social cognition, each largely driven by single meta-analyses), and learning and memory showed a comparatively small and imprecise average difference (central tendency close to −0.17 with confidence intervals spanning zero), highlighting variability rather than consistent selectivity.</w:t>
      </w:r>
    </w:p>
    <w:p w14:paraId="7860A4EB" w14:textId="5347FFA9" w:rsidR="00114D14" w:rsidRPr="00114D14" w:rsidRDefault="00114D14" w:rsidP="00114D14">
      <w:pPr>
        <w:ind w:firstLine="426"/>
        <w:rPr>
          <w:rFonts w:asciiTheme="minorHAnsi" w:hAnsiTheme="minorHAnsi" w:cstheme="minorHAnsi"/>
          <w:szCs w:val="22"/>
        </w:rPr>
      </w:pPr>
      <w:r w:rsidRPr="00114D14">
        <w:rPr>
          <w:rFonts w:asciiTheme="minorHAnsi" w:hAnsiTheme="minorHAnsi" w:cstheme="minorHAnsi"/>
          <w:szCs w:val="22"/>
        </w:rPr>
        <w:t xml:space="preserve">For developmental dyslexia (Figure 3), the pattern combined broad negative differences with pronounced peaks in reading-proximal cognitive domains. The largest negative summaries were observed for phonological processing (central tendency around </w:t>
      </w:r>
      <w:r w:rsidR="009B0639">
        <w:rPr>
          <w:rFonts w:asciiTheme="minorHAnsi" w:hAnsiTheme="minorHAnsi" w:cstheme="minorHAnsi"/>
          <w:szCs w:val="22"/>
        </w:rPr>
        <w:t>SMD =</w:t>
      </w:r>
      <w:r w:rsidRPr="00114D14">
        <w:rPr>
          <w:rFonts w:asciiTheme="minorHAnsi" w:hAnsiTheme="minorHAnsi" w:cstheme="minorHAnsi"/>
          <w:szCs w:val="22"/>
        </w:rPr>
        <w:t xml:space="preserve"> −1.12) and rapid automatized naming (</w:t>
      </w:r>
      <w:r w:rsidR="009B0639">
        <w:rPr>
          <w:rFonts w:asciiTheme="minorHAnsi" w:hAnsiTheme="minorHAnsi" w:cstheme="minorHAnsi"/>
          <w:szCs w:val="22"/>
        </w:rPr>
        <w:t>SMD =</w:t>
      </w:r>
      <w:r w:rsidRPr="00114D14">
        <w:rPr>
          <w:rFonts w:asciiTheme="minorHAnsi" w:hAnsiTheme="minorHAnsi" w:cstheme="minorHAnsi"/>
          <w:szCs w:val="22"/>
        </w:rPr>
        <w:t xml:space="preserve"> −1.11). Beyond these peaks, negative differences extended to language (</w:t>
      </w:r>
      <w:r w:rsidR="009B0639">
        <w:rPr>
          <w:rFonts w:asciiTheme="minorHAnsi" w:hAnsiTheme="minorHAnsi" w:cstheme="minorHAnsi"/>
          <w:szCs w:val="22"/>
        </w:rPr>
        <w:t>SMD =</w:t>
      </w:r>
      <w:r w:rsidRPr="00114D14">
        <w:rPr>
          <w:rFonts w:asciiTheme="minorHAnsi" w:hAnsiTheme="minorHAnsi" w:cstheme="minorHAnsi"/>
          <w:szCs w:val="22"/>
        </w:rPr>
        <w:t xml:space="preserve"> −0.92), </w:t>
      </w:r>
      <w:r w:rsidRPr="00114D14">
        <w:rPr>
          <w:rFonts w:asciiTheme="minorHAnsi" w:hAnsiTheme="minorHAnsi" w:cstheme="minorHAnsi"/>
          <w:szCs w:val="22"/>
        </w:rPr>
        <w:lastRenderedPageBreak/>
        <w:t>attention (</w:t>
      </w:r>
      <w:r w:rsidR="009B0639">
        <w:rPr>
          <w:rFonts w:asciiTheme="minorHAnsi" w:hAnsiTheme="minorHAnsi" w:cstheme="minorHAnsi"/>
          <w:szCs w:val="22"/>
        </w:rPr>
        <w:t>SMD =</w:t>
      </w:r>
      <w:r w:rsidRPr="00114D14">
        <w:rPr>
          <w:rFonts w:asciiTheme="minorHAnsi" w:hAnsiTheme="minorHAnsi" w:cstheme="minorHAnsi"/>
          <w:szCs w:val="22"/>
        </w:rPr>
        <w:t xml:space="preserve"> −0.83), processing speed (</w:t>
      </w:r>
      <w:r w:rsidR="009B0639">
        <w:rPr>
          <w:rFonts w:asciiTheme="minorHAnsi" w:hAnsiTheme="minorHAnsi" w:cstheme="minorHAnsi"/>
          <w:szCs w:val="22"/>
        </w:rPr>
        <w:t>SMD =</w:t>
      </w:r>
      <w:r w:rsidRPr="00114D14">
        <w:rPr>
          <w:rFonts w:asciiTheme="minorHAnsi" w:hAnsiTheme="minorHAnsi" w:cstheme="minorHAnsi"/>
          <w:szCs w:val="22"/>
        </w:rPr>
        <w:t xml:space="preserve"> −0.73), and working memory (notably verbal working memory, </w:t>
      </w:r>
      <w:r w:rsidR="009B0639">
        <w:rPr>
          <w:rFonts w:asciiTheme="minorHAnsi" w:hAnsiTheme="minorHAnsi" w:cstheme="minorHAnsi"/>
          <w:szCs w:val="22"/>
        </w:rPr>
        <w:t>SMD =</w:t>
      </w:r>
      <w:r w:rsidRPr="00114D14">
        <w:rPr>
          <w:rFonts w:asciiTheme="minorHAnsi" w:hAnsiTheme="minorHAnsi" w:cstheme="minorHAnsi"/>
          <w:szCs w:val="22"/>
        </w:rPr>
        <w:t xml:space="preserve"> −0.79). More moderate negative summaries were also observed for executive functions (</w:t>
      </w:r>
      <w:r w:rsidR="009B0639">
        <w:rPr>
          <w:rFonts w:asciiTheme="minorHAnsi" w:hAnsiTheme="minorHAnsi" w:cstheme="minorHAnsi"/>
          <w:szCs w:val="22"/>
        </w:rPr>
        <w:t>SMD =</w:t>
      </w:r>
      <w:r w:rsidRPr="00114D14">
        <w:rPr>
          <w:rFonts w:asciiTheme="minorHAnsi" w:hAnsiTheme="minorHAnsi" w:cstheme="minorHAnsi"/>
          <w:szCs w:val="22"/>
        </w:rPr>
        <w:t xml:space="preserve"> −0.54), learning and memory (</w:t>
      </w:r>
      <w:r w:rsidR="009B0639">
        <w:rPr>
          <w:rFonts w:asciiTheme="minorHAnsi" w:hAnsiTheme="minorHAnsi" w:cstheme="minorHAnsi"/>
          <w:szCs w:val="22"/>
        </w:rPr>
        <w:t>SMD =</w:t>
      </w:r>
      <w:r w:rsidRPr="00114D14">
        <w:rPr>
          <w:rFonts w:asciiTheme="minorHAnsi" w:hAnsiTheme="minorHAnsi" w:cstheme="minorHAnsi"/>
          <w:szCs w:val="22"/>
        </w:rPr>
        <w:t xml:space="preserve"> −0.42), and general cognition/intelligence (</w:t>
      </w:r>
      <w:r w:rsidR="009B0639">
        <w:rPr>
          <w:rFonts w:asciiTheme="minorHAnsi" w:hAnsiTheme="minorHAnsi" w:cstheme="minorHAnsi"/>
          <w:szCs w:val="22"/>
        </w:rPr>
        <w:t>SMD =</w:t>
      </w:r>
      <w:r w:rsidRPr="00114D14">
        <w:rPr>
          <w:rFonts w:asciiTheme="minorHAnsi" w:hAnsiTheme="minorHAnsi" w:cstheme="minorHAnsi"/>
          <w:szCs w:val="22"/>
        </w:rPr>
        <w:t xml:space="preserve"> −0.39). Several domains (e.g., oculomotor/motor control, social cognition, and some narrower working-memory subtypes) were supported by relatively few meta-analyses and showed wider uncertainty.</w:t>
      </w:r>
    </w:p>
    <w:p w14:paraId="5DB70D49" w14:textId="77777777" w:rsidR="00114D14" w:rsidRPr="00114D14" w:rsidRDefault="00114D14" w:rsidP="00114D14">
      <w:pPr>
        <w:ind w:firstLine="426"/>
        <w:rPr>
          <w:rFonts w:asciiTheme="minorHAnsi" w:hAnsiTheme="minorHAnsi" w:cstheme="minorHAnsi"/>
          <w:szCs w:val="22"/>
        </w:rPr>
      </w:pPr>
      <w:r w:rsidRPr="00114D14">
        <w:rPr>
          <w:rFonts w:asciiTheme="minorHAnsi" w:hAnsiTheme="minorHAnsi" w:cstheme="minorHAnsi"/>
          <w:szCs w:val="22"/>
        </w:rPr>
        <w:t>Viewed together, the two disorders showed substantial overlap in domains with negative differences (e.g., attention, executive functions, processing speed, and working memory), alongside differences in relative prominence: dyslexia showed much larger peaks in phonological processing and rapid automatized naming, whereas ADHD included additional domains emphasized in that literature such as time perception, delay gratification, and decision-making / reinforcement learning (Figure 2).</w:t>
      </w:r>
    </w:p>
    <w:p w14:paraId="400D716C" w14:textId="138E63D1" w:rsidR="0062657D" w:rsidRPr="0062657D" w:rsidRDefault="00114D14" w:rsidP="00114D14">
      <w:pPr>
        <w:ind w:firstLine="426"/>
        <w:rPr>
          <w:rFonts w:asciiTheme="minorHAnsi" w:hAnsiTheme="minorHAnsi" w:cstheme="minorHAnsi"/>
          <w:szCs w:val="22"/>
        </w:rPr>
      </w:pPr>
      <w:r w:rsidRPr="00114D14">
        <w:rPr>
          <w:rFonts w:asciiTheme="minorHAnsi" w:hAnsiTheme="minorHAnsi" w:cstheme="minorHAnsi"/>
          <w:szCs w:val="22"/>
        </w:rPr>
        <w:t xml:space="preserve">Given the prominence of executive-function accounts in ADHD, executive outcomes were additionally summarized at the subdomain level (Figure 4). Across executive subdomains, negative differences were again common, with the most robust evidence for response inhibition (central tendency around </w:t>
      </w:r>
      <w:r w:rsidR="009B0639">
        <w:rPr>
          <w:rFonts w:asciiTheme="minorHAnsi" w:hAnsiTheme="minorHAnsi" w:cstheme="minorHAnsi"/>
          <w:szCs w:val="22"/>
        </w:rPr>
        <w:t>SMD =</w:t>
      </w:r>
      <w:r w:rsidRPr="00114D14">
        <w:rPr>
          <w:rFonts w:asciiTheme="minorHAnsi" w:hAnsiTheme="minorHAnsi" w:cstheme="minorHAnsi"/>
          <w:szCs w:val="22"/>
        </w:rPr>
        <w:t xml:space="preserve"> −0.54, based on the largest number of contributing meta-analyses). Other subdomains (e.g., planning/organization and fluency) showed moderate negative summaries but were supported by few meta-analyses. In contrast, set shifting/cognitive flexibility, problem solving, and error monitoring showed smaller and/or less precise summaries, with confidence intervals often including zero. Overall, the subdomain pattern suggests broad executive involvement with substantial heterogeneity, rather than a single executive subcomponent consistently standing out.</w:t>
      </w:r>
    </w:p>
    <w:p w14:paraId="0E594364" w14:textId="77777777" w:rsidR="00B40BBE" w:rsidRPr="00FA75AB" w:rsidRDefault="00B40BBE" w:rsidP="00CC186E">
      <w:pPr>
        <w:pStyle w:val="Heading1"/>
      </w:pPr>
      <w:r w:rsidRPr="00FA75AB">
        <w:t>Discussion</w:t>
      </w:r>
    </w:p>
    <w:p w14:paraId="5296EEA7" w14:textId="3D238BDF" w:rsidR="00B648EE" w:rsidRPr="00B648EE" w:rsidRDefault="00B648EE" w:rsidP="00B648EE">
      <w:pPr>
        <w:rPr>
          <w:rFonts w:asciiTheme="minorHAnsi" w:hAnsiTheme="minorHAnsi" w:cstheme="minorHAnsi"/>
          <w:szCs w:val="22"/>
        </w:rPr>
      </w:pPr>
      <w:r w:rsidRPr="00B648EE">
        <w:rPr>
          <w:rFonts w:asciiTheme="minorHAnsi" w:hAnsiTheme="minorHAnsi" w:cstheme="minorHAnsi"/>
          <w:szCs w:val="22"/>
        </w:rPr>
        <w:t xml:space="preserve">Our present meta-review </w:t>
      </w:r>
      <w:proofErr w:type="spellStart"/>
      <w:r w:rsidRPr="00B648EE">
        <w:rPr>
          <w:rFonts w:asciiTheme="minorHAnsi" w:hAnsiTheme="minorHAnsi" w:cstheme="minorHAnsi"/>
          <w:szCs w:val="22"/>
        </w:rPr>
        <w:t>summarised</w:t>
      </w:r>
      <w:proofErr w:type="spellEnd"/>
      <w:r w:rsidRPr="00B648EE">
        <w:rPr>
          <w:rFonts w:asciiTheme="minorHAnsi" w:hAnsiTheme="minorHAnsi" w:cstheme="minorHAnsi"/>
          <w:szCs w:val="22"/>
        </w:rPr>
        <w:t xml:space="preserve"> published quantitative meta-analyses on cognitive performance in ADHD and developmental dyslexia, grouping outcomes into broad cognitive domains. Because meta-analyses may include overlapping primary studies, may focus on partly different constructs, and may differ in subgroup handling and analytic choices, we treated the cross-meta-analytic </w:t>
      </w:r>
      <w:r w:rsidRPr="00B648EE">
        <w:rPr>
          <w:rFonts w:asciiTheme="minorHAnsi" w:hAnsiTheme="minorHAnsi" w:cstheme="minorHAnsi"/>
          <w:szCs w:val="22"/>
        </w:rPr>
        <w:lastRenderedPageBreak/>
        <w:t xml:space="preserve">summaries as descriptive. The updated figures include domain overlays derived from multilevel models that partially account for clustering of multiple extracted estimates within the same meta-analysis, but these overlays remain best interpreted as heuristic summaries: they are useful to show convergence and relative magnitude, not as higher-order pooled estimates. </w:t>
      </w:r>
      <w:proofErr w:type="gramStart"/>
      <w:r w:rsidRPr="00B648EE">
        <w:rPr>
          <w:rFonts w:asciiTheme="minorHAnsi" w:hAnsiTheme="minorHAnsi" w:cstheme="minorHAnsi"/>
          <w:szCs w:val="22"/>
        </w:rPr>
        <w:t>With this in mind, the</w:t>
      </w:r>
      <w:proofErr w:type="gramEnd"/>
      <w:r w:rsidRPr="00B648EE">
        <w:rPr>
          <w:rFonts w:asciiTheme="minorHAnsi" w:hAnsiTheme="minorHAnsi" w:cstheme="minorHAnsi"/>
          <w:szCs w:val="22"/>
        </w:rPr>
        <w:t xml:space="preserve"> overall picture remains clear: cognitive differences are mostly negative and spread across many domains, while the largest deviations tend to appear in domains that are close to how the conditions are defined or that are operationally proximal to the defining phenotype (Figures 2–4).</w:t>
      </w:r>
    </w:p>
    <w:p w14:paraId="6F370C73" w14:textId="23BDA304" w:rsidR="00B648EE" w:rsidRPr="00B648EE" w:rsidRDefault="00B648EE" w:rsidP="00B648EE">
      <w:pPr>
        <w:rPr>
          <w:rFonts w:asciiTheme="minorHAnsi" w:hAnsiTheme="minorHAnsi" w:cstheme="minorHAnsi"/>
          <w:szCs w:val="22"/>
        </w:rPr>
      </w:pPr>
      <w:r w:rsidRPr="00B648EE">
        <w:rPr>
          <w:rFonts w:asciiTheme="minorHAnsi" w:hAnsiTheme="minorHAnsi" w:cstheme="minorHAnsi"/>
          <w:szCs w:val="22"/>
        </w:rPr>
        <w:t>This pattern fits well with a dimensional and transdiagnostic perspective. If ADHD traits and reading ability are continuously distributed and correlated, and if cognitive tasks also overlap in what they measure, then it is not surprising that the evidence does not point to one single, sharply specific deficit. A similar conclusion is also compatible with what we know from behavioral genetics. Polygenicity and pleiotropy make broad, partly shared influences plausible, rather than one-to-one links between a diagnosis and a single cognitive mechanism (Kovas &amp; Plomin, 2006; Plomin &amp; Deary, 2015; Plomin &amp; Kovas, 2005).</w:t>
      </w:r>
    </w:p>
    <w:p w14:paraId="2DE57C43" w14:textId="77777777" w:rsidR="00B648EE" w:rsidRPr="00B648EE" w:rsidRDefault="00B648EE" w:rsidP="00B648EE">
      <w:pPr>
        <w:rPr>
          <w:rFonts w:asciiTheme="minorHAnsi" w:hAnsiTheme="minorHAnsi" w:cstheme="minorHAnsi"/>
          <w:szCs w:val="22"/>
        </w:rPr>
      </w:pPr>
      <w:r w:rsidRPr="00B648EE">
        <w:rPr>
          <w:rFonts w:asciiTheme="minorHAnsi" w:hAnsiTheme="minorHAnsi" w:cstheme="minorHAnsi"/>
          <w:szCs w:val="22"/>
        </w:rPr>
        <w:t xml:space="preserve">Across domains, ADHD is associated with small-to-moderate negative differences in attention, executive functions, working memory, processing speed, and general cognition, with additional coverage in domains that are frequently discussed in contemporary ADHD accounts such as time perception and decision-making/reinforcement-learning outcomes (Figure 2). When we </w:t>
      </w:r>
      <w:proofErr w:type="spellStart"/>
      <w:r w:rsidRPr="00B648EE">
        <w:rPr>
          <w:rFonts w:asciiTheme="minorHAnsi" w:hAnsiTheme="minorHAnsi" w:cstheme="minorHAnsi"/>
          <w:szCs w:val="22"/>
        </w:rPr>
        <w:t>summarise</w:t>
      </w:r>
      <w:proofErr w:type="spellEnd"/>
      <w:r w:rsidRPr="00B648EE">
        <w:rPr>
          <w:rFonts w:asciiTheme="minorHAnsi" w:hAnsiTheme="minorHAnsi" w:cstheme="minorHAnsi"/>
          <w:szCs w:val="22"/>
        </w:rPr>
        <w:t xml:space="preserve"> results at the domain level, no single cognitive domain clearly stands out as consistently larger than the others; rather, central tendencies cluster in a relatively narrow band across multiple correlated domains. This also applies to executive functions, which often receive special emphasis. When executive functions are broken down into subcomponents, the updated evidence still does not suggest that one subcomponent is clearly and consistently more impaired than the others (Figure 4). Response inhibition is among the most robustly supported subdomains, but other executive subdomains show broadly </w:t>
      </w:r>
      <w:r w:rsidRPr="00B648EE">
        <w:rPr>
          <w:rFonts w:asciiTheme="minorHAnsi" w:hAnsiTheme="minorHAnsi" w:cstheme="minorHAnsi"/>
          <w:szCs w:val="22"/>
        </w:rPr>
        <w:lastRenderedPageBreak/>
        <w:t>comparable magnitudes when evidence is available, and several subdomains remain relatively uncertain due to sparse coverage. Overall, the most parsimonious interpretation is that ADHD is linked to a general shift across several correlated domains, rather than to one dominant cognitive deficit.</w:t>
      </w:r>
    </w:p>
    <w:p w14:paraId="1C6B5CEA" w14:textId="0AC0DBD1" w:rsidR="00B648EE" w:rsidRPr="00B648EE" w:rsidRDefault="00B648EE" w:rsidP="00B648EE">
      <w:pPr>
        <w:rPr>
          <w:rFonts w:asciiTheme="minorHAnsi" w:hAnsiTheme="minorHAnsi" w:cstheme="minorHAnsi"/>
          <w:szCs w:val="22"/>
        </w:rPr>
      </w:pPr>
      <w:r w:rsidRPr="00B648EE">
        <w:rPr>
          <w:rFonts w:asciiTheme="minorHAnsi" w:hAnsiTheme="minorHAnsi" w:cstheme="minorHAnsi"/>
          <w:szCs w:val="22"/>
        </w:rPr>
        <w:t>This conclusion is also coherent with basic measurement considerations. Executive-function tasks are well known to be “impure</w:t>
      </w:r>
      <w:proofErr w:type="gramStart"/>
      <w:r w:rsidRPr="00B648EE">
        <w:rPr>
          <w:rFonts w:asciiTheme="minorHAnsi" w:hAnsiTheme="minorHAnsi" w:cstheme="minorHAnsi"/>
          <w:szCs w:val="22"/>
        </w:rPr>
        <w:t>”, because</w:t>
      </w:r>
      <w:proofErr w:type="gramEnd"/>
      <w:r w:rsidRPr="00B648EE">
        <w:rPr>
          <w:rFonts w:asciiTheme="minorHAnsi" w:hAnsiTheme="minorHAnsi" w:cstheme="minorHAnsi"/>
          <w:szCs w:val="22"/>
        </w:rPr>
        <w:t xml:space="preserve"> they mix executive control with other demands such as processing speed, attention, and basic task performance. This makes it difficult to isolate clean, specific effects, and makes comparisons sensitive to task selection and scoring choices (Miyake et al., 2000; Miyake &amp; Friedman, 2012). The updated synthesis also highlights that apparent “peaks” in sparsely represented domains should be interpreted cautiously, because a small number of meta-analyses can dominate those regions of the evidence map, and domain labels may compress heterogeneous tasks into a single bin.</w:t>
      </w:r>
    </w:p>
    <w:p w14:paraId="4D358F46" w14:textId="05A0F417" w:rsidR="00B648EE" w:rsidRPr="00B648EE" w:rsidRDefault="00B648EE" w:rsidP="00B648EE">
      <w:pPr>
        <w:rPr>
          <w:rFonts w:asciiTheme="minorHAnsi" w:hAnsiTheme="minorHAnsi" w:cstheme="minorHAnsi"/>
          <w:szCs w:val="22"/>
        </w:rPr>
      </w:pPr>
      <w:r w:rsidRPr="00B648EE">
        <w:rPr>
          <w:rFonts w:asciiTheme="minorHAnsi" w:hAnsiTheme="minorHAnsi" w:cstheme="minorHAnsi"/>
          <w:szCs w:val="22"/>
        </w:rPr>
        <w:t xml:space="preserve">For dyslexia, the evidence map continues to show stronger negative differences in domains that are closely linked to reading, particularly phonological processing and rapid automatized naming (Figure 3). This is consistent with the defining phenotype, and it is also expected because these constructs are operationally close to reading skill. Therefore, these peaks are best read as relative prominence, not as proof of strict mechanistic specificity. At the same time, dyslexia </w:t>
      </w:r>
      <w:proofErr w:type="gramStart"/>
      <w:r w:rsidRPr="00B648EE">
        <w:rPr>
          <w:rFonts w:asciiTheme="minorHAnsi" w:hAnsiTheme="minorHAnsi" w:cstheme="minorHAnsi"/>
          <w:szCs w:val="22"/>
        </w:rPr>
        <w:t>is</w:t>
      </w:r>
      <w:proofErr w:type="gramEnd"/>
      <w:r w:rsidRPr="00B648EE">
        <w:rPr>
          <w:rFonts w:asciiTheme="minorHAnsi" w:hAnsiTheme="minorHAnsi" w:cstheme="minorHAnsi"/>
          <w:szCs w:val="22"/>
        </w:rPr>
        <w:t xml:space="preserve"> not limited to reading-proximal outcomes. Moderate negative differences also appear in broader domains, including working memory, attention-related measures, processing speed, and general cognition (Figure 3). This suggests that the dyslexia profile is not simply “specific” versus “non-specific”. It looks more like a pattern of stronger peaks within a broader network of correlated cognitive differences.</w:t>
      </w:r>
    </w:p>
    <w:p w14:paraId="1AC652E3" w14:textId="77777777" w:rsidR="00B648EE" w:rsidRPr="00B648EE" w:rsidRDefault="00B648EE" w:rsidP="00B648EE">
      <w:pPr>
        <w:rPr>
          <w:rFonts w:asciiTheme="minorHAnsi" w:hAnsiTheme="minorHAnsi" w:cstheme="minorHAnsi"/>
          <w:szCs w:val="22"/>
        </w:rPr>
      </w:pPr>
      <w:r w:rsidRPr="00B648EE">
        <w:rPr>
          <w:rFonts w:asciiTheme="minorHAnsi" w:hAnsiTheme="minorHAnsi" w:cstheme="minorHAnsi"/>
          <w:szCs w:val="22"/>
        </w:rPr>
        <w:t xml:space="preserve">Another important point is methodological. In the dyslexia literature, there is a long tradition of trying to separate reading difficulty from generalized low ability, using exclusion rules, matching, or statistical adjustment involving intelligence measures. These practices can reduce group differences in general cognition by design, while leaving reading-proximal differences comparatively large. In this way, </w:t>
      </w:r>
      <w:r w:rsidRPr="00B648EE">
        <w:rPr>
          <w:rFonts w:asciiTheme="minorHAnsi" w:hAnsiTheme="minorHAnsi" w:cstheme="minorHAnsi"/>
          <w:szCs w:val="22"/>
        </w:rPr>
        <w:lastRenderedPageBreak/>
        <w:t>part of the shape of the cognitive profile can be influenced by methodological conventions about what variance is allowed to remain in the dyslexia group. This does not mean that the reading-proximal peaks are trivial artifacts. It means that the contrast across domains can be partly structured by design choices. In this corpus, general cognition still tends to show a negative difference on average, which suggests that such controls are heterogeneous and not applied uniformly across studies and meta-analyses.</w:t>
      </w:r>
    </w:p>
    <w:p w14:paraId="34399E44" w14:textId="48F1F716" w:rsidR="00B648EE" w:rsidRPr="00B648EE" w:rsidRDefault="00B648EE" w:rsidP="00B648EE">
      <w:pPr>
        <w:rPr>
          <w:rFonts w:asciiTheme="minorHAnsi" w:hAnsiTheme="minorHAnsi" w:cstheme="minorHAnsi"/>
          <w:szCs w:val="22"/>
        </w:rPr>
      </w:pPr>
      <w:r w:rsidRPr="00B648EE">
        <w:rPr>
          <w:rFonts w:asciiTheme="minorHAnsi" w:hAnsiTheme="minorHAnsi" w:cstheme="minorHAnsi"/>
          <w:szCs w:val="22"/>
        </w:rPr>
        <w:t>Across both disorders, the literature does not strongly support sharply selective cognitive signatures. This is understandable when considering measurement, sampling, and etiological constraints together. Many cognitive measures are heterogeneous and share variance with general performance. This limits interpretability of domain specificity, especially for executive functions (Miyake et al., 2000; Miyake &amp; Friedman, 2012). Clinical sampling is also important. Referral pathways, thresholds, impairment criteria, and comorbidity can concentrate multiple correlated liabilities in the clinical group. Under these conditions, group contrasts will often look broad, even when some processes are more strongly related to the defining phenotype.</w:t>
      </w:r>
    </w:p>
    <w:p w14:paraId="21797377" w14:textId="77777777" w:rsidR="00B648EE" w:rsidRPr="00B648EE" w:rsidRDefault="00B648EE" w:rsidP="00B648EE">
      <w:pPr>
        <w:rPr>
          <w:rFonts w:asciiTheme="minorHAnsi" w:hAnsiTheme="minorHAnsi" w:cstheme="minorHAnsi"/>
          <w:szCs w:val="22"/>
        </w:rPr>
      </w:pPr>
      <w:r w:rsidRPr="00B648EE">
        <w:rPr>
          <w:rFonts w:asciiTheme="minorHAnsi" w:hAnsiTheme="minorHAnsi" w:cstheme="minorHAnsi"/>
          <w:szCs w:val="22"/>
        </w:rPr>
        <w:t>This pattern is consistent with multiple-deficit accounts, where developmental outcomes reflect probabilistic combinations of partially shared and partially specific risk factors, rather than a single necessary cause (Pennington, 2006). It is also compatible with genetic expectations. Polygenicity and pleiotropy make it plausible that influences are shared across cognitive systems and learning outcomes, which reduces the plausibility of sharply modular mappings between diagnoses and single cognitive mechanisms as the default explanation (Kovas &amp; Plomin, 2006; Plomin &amp; Deary, 2015; Plomin &amp; Kovas, 2005).</w:t>
      </w:r>
    </w:p>
    <w:p w14:paraId="41B3AABF" w14:textId="77777777" w:rsidR="00B648EE" w:rsidRPr="00B648EE" w:rsidRDefault="00B648EE" w:rsidP="00B648EE">
      <w:pPr>
        <w:rPr>
          <w:rFonts w:asciiTheme="minorHAnsi" w:hAnsiTheme="minorHAnsi" w:cstheme="minorHAnsi"/>
          <w:szCs w:val="22"/>
        </w:rPr>
      </w:pPr>
      <w:r w:rsidRPr="00B648EE">
        <w:rPr>
          <w:rFonts w:asciiTheme="minorHAnsi" w:hAnsiTheme="minorHAnsi" w:cstheme="minorHAnsi"/>
          <w:szCs w:val="22"/>
        </w:rPr>
        <w:t xml:space="preserve">Several domains show negative differences in both disorders, including working memory, attention-related measures, and some aspects of processing speed. Within a dimensional and transdiagnostic framework, this overlap does not require assuming a single shared “deficit”. It can reflect shared measurement demands, correlated liabilities, and broad developmental covariance. The </w:t>
      </w:r>
      <w:r w:rsidRPr="00B648EE">
        <w:rPr>
          <w:rFonts w:asciiTheme="minorHAnsi" w:hAnsiTheme="minorHAnsi" w:cstheme="minorHAnsi"/>
          <w:szCs w:val="22"/>
        </w:rPr>
        <w:lastRenderedPageBreak/>
        <w:t xml:space="preserve">strongest contrasts between disorders are expected where the domain is close to diagnostic </w:t>
      </w:r>
      <w:proofErr w:type="spellStart"/>
      <w:r w:rsidRPr="00B648EE">
        <w:rPr>
          <w:rFonts w:asciiTheme="minorHAnsi" w:hAnsiTheme="minorHAnsi" w:cstheme="minorHAnsi"/>
          <w:szCs w:val="22"/>
        </w:rPr>
        <w:t>operationalisation</w:t>
      </w:r>
      <w:proofErr w:type="spellEnd"/>
      <w:r w:rsidRPr="00B648EE">
        <w:rPr>
          <w:rFonts w:asciiTheme="minorHAnsi" w:hAnsiTheme="minorHAnsi" w:cstheme="minorHAnsi"/>
          <w:szCs w:val="22"/>
        </w:rPr>
        <w:t xml:space="preserve"> or closely aligned with defining criteria: reading-proximal domains for dyslexia (Figure 3), and a more evenly distributed profile across attention, executive, and timing/decision-related domains for ADHD (Figure 2). This also suggests caution when interpreting large effects in domains that are definitional, very close to selection criteria, or strongly downstream of multiple influences.</w:t>
      </w:r>
    </w:p>
    <w:p w14:paraId="5A7D6B0A" w14:textId="0A84A5D0" w:rsidR="00B648EE" w:rsidRPr="00B648EE" w:rsidRDefault="00B648EE" w:rsidP="00B648EE">
      <w:pPr>
        <w:rPr>
          <w:rFonts w:asciiTheme="minorHAnsi" w:hAnsiTheme="minorHAnsi" w:cstheme="minorHAnsi"/>
          <w:szCs w:val="22"/>
        </w:rPr>
      </w:pPr>
      <w:r w:rsidRPr="00B648EE">
        <w:rPr>
          <w:rFonts w:asciiTheme="minorHAnsi" w:hAnsiTheme="minorHAnsi" w:cstheme="minorHAnsi"/>
          <w:szCs w:val="22"/>
        </w:rPr>
        <w:t xml:space="preserve">This view is aligned with broader transdiagnostic perspectives, where diagnostic categories are useful but imperfect summaries of heterogeneous and overlapping developmental liabilities, and where progress may come from models that cut across diagnostic boundaries (Astle et al., 2022; Coghill &amp; </w:t>
      </w:r>
      <w:proofErr w:type="spellStart"/>
      <w:r w:rsidRPr="00B648EE">
        <w:rPr>
          <w:rFonts w:asciiTheme="minorHAnsi" w:hAnsiTheme="minorHAnsi" w:cstheme="minorHAnsi"/>
          <w:szCs w:val="22"/>
        </w:rPr>
        <w:t>Sonuga</w:t>
      </w:r>
      <w:proofErr w:type="spellEnd"/>
      <w:r w:rsidRPr="00B648EE">
        <w:rPr>
          <w:rFonts w:asciiTheme="minorHAnsi" w:hAnsiTheme="minorHAnsi" w:cstheme="minorHAnsi"/>
          <w:szCs w:val="22"/>
        </w:rPr>
        <w:t>-Barke, 2012). Two implications follow for future synthesis. First, meta-analyses should report selection and adjustment practices more explicitly, especially intelligence-related exclusion, matching, or covariate control in dyslexia, because these choices can influence cross-domain contrasts and the apparent degree of specificity. Second, more synthesis work that fits dimensional theory is needed, including meta-analyses of continuous associations in representative samples and designs that reduce circularity between selection criteria and outcomes. More generally, the evidence map suggests that future work may benefit from moving beyond single-domain narratives, and instead examining how multiple correlated risks, across cognitive and contextual domains, combine to predict functional outcomes.</w:t>
      </w:r>
    </w:p>
    <w:p w14:paraId="4FBA3BDF" w14:textId="1DD9D5F6" w:rsidR="00B40BBE" w:rsidRPr="00FA75AB" w:rsidRDefault="00B648EE" w:rsidP="00B648EE">
      <w:pPr>
        <w:rPr>
          <w:rFonts w:asciiTheme="minorHAnsi" w:hAnsiTheme="minorHAnsi" w:cstheme="minorHAnsi"/>
          <w:szCs w:val="22"/>
        </w:rPr>
      </w:pPr>
      <w:r w:rsidRPr="00B648EE">
        <w:rPr>
          <w:rFonts w:asciiTheme="minorHAnsi" w:hAnsiTheme="minorHAnsi" w:cstheme="minorHAnsi"/>
          <w:szCs w:val="22"/>
        </w:rPr>
        <w:t xml:space="preserve">To conclude, within the limits of a meta-review of meta-analyses, the updated evidence remains consistent with a dimensional interpretation where ADHD and dyslexia reflect extremes on continuous, correlated traits. ADHD shows broadly distributed cognitive differences without a uniquely dominant cognitive domain, including across executive subcomponents. Dyslexia shows stronger peaks in reading-proximal domains, embedded within broader cognitive covariance, and the contrast across domains is plausibly influenced in part by common intelligence-related selection and control practices. Overall, the meta-analytic literature does not support discrete cognitive signatures. Instead, it supports an </w:t>
      </w:r>
      <w:r w:rsidRPr="00B648EE">
        <w:rPr>
          <w:rFonts w:asciiTheme="minorHAnsi" w:hAnsiTheme="minorHAnsi" w:cstheme="minorHAnsi"/>
          <w:szCs w:val="22"/>
        </w:rPr>
        <w:lastRenderedPageBreak/>
        <w:t>interpretation in terms of graded shifts with relative prominences, rather than disorder-specific, single-mechanism deficits.</w:t>
      </w:r>
    </w:p>
    <w:p w14:paraId="3697B054" w14:textId="77777777" w:rsidR="00B40BBE" w:rsidRPr="00FA75AB" w:rsidRDefault="00B40BBE" w:rsidP="004E6B89">
      <w:pPr>
        <w:tabs>
          <w:tab w:val="clear" w:pos="3068"/>
        </w:tabs>
        <w:ind w:firstLine="0"/>
        <w:rPr>
          <w:rFonts w:asciiTheme="minorHAnsi" w:hAnsiTheme="minorHAnsi" w:cstheme="minorHAnsi"/>
          <w:szCs w:val="22"/>
        </w:rPr>
      </w:pPr>
      <w:r w:rsidRPr="00FA75AB">
        <w:rPr>
          <w:rFonts w:asciiTheme="minorHAnsi" w:hAnsiTheme="minorHAnsi" w:cstheme="minorHAnsi"/>
          <w:szCs w:val="22"/>
        </w:rPr>
        <w:br w:type="page"/>
      </w:r>
    </w:p>
    <w:p w14:paraId="745469F1" w14:textId="77777777" w:rsidR="00B40BBE" w:rsidRPr="00FA75AB" w:rsidRDefault="00B40BBE" w:rsidP="00CC186E">
      <w:pPr>
        <w:pStyle w:val="Heading1"/>
      </w:pPr>
      <w:r w:rsidRPr="00FA75AB">
        <w:lastRenderedPageBreak/>
        <w:t>References</w:t>
      </w:r>
    </w:p>
    <w:p w14:paraId="15BA2716" w14:textId="0F9C2E81" w:rsidR="00143E39" w:rsidRPr="003A799B" w:rsidRDefault="003A799B" w:rsidP="003A799B">
      <w:pPr>
        <w:tabs>
          <w:tab w:val="clear" w:pos="3068"/>
        </w:tabs>
        <w:ind w:firstLine="0"/>
        <w:rPr>
          <w:rFonts w:asciiTheme="minorHAnsi" w:hAnsiTheme="minorHAnsi" w:cstheme="minorHAnsi"/>
          <w:szCs w:val="22"/>
        </w:rPr>
      </w:pPr>
      <w:r>
        <w:rPr>
          <w:rFonts w:asciiTheme="minorHAnsi" w:hAnsiTheme="minorHAnsi" w:cstheme="minorHAnsi"/>
          <w:szCs w:val="22"/>
        </w:rPr>
        <w:t>*</w:t>
      </w:r>
      <w:r w:rsidR="003A1D61">
        <w:rPr>
          <w:rFonts w:asciiTheme="minorHAnsi" w:hAnsiTheme="minorHAnsi" w:cstheme="minorHAnsi"/>
          <w:szCs w:val="22"/>
        </w:rPr>
        <w:t>a</w:t>
      </w:r>
      <w:r w:rsidR="00143E39" w:rsidRPr="003A799B">
        <w:rPr>
          <w:rFonts w:asciiTheme="minorHAnsi" w:hAnsiTheme="minorHAnsi" w:cstheme="minorHAnsi"/>
          <w:szCs w:val="22"/>
        </w:rPr>
        <w:t xml:space="preserve"> full list of references of articles included in the meta-review is available as Supplementary online materials.</w:t>
      </w:r>
    </w:p>
    <w:p w14:paraId="01A42CAF" w14:textId="4C81417D"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 xml:space="preserve">American Psychiatric Association. (2013). Diagnostic and statistical manual of mental disorders (5th ed.). </w:t>
      </w:r>
    </w:p>
    <w:p w14:paraId="1252DC77" w14:textId="77777777"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Astle, D. E., Holmes, J., Kievit, R. A., &amp; Gathercole, S. E. (2022). Annual Research Review: The transdiagnostic revolution in neurodevelopmental disorders. Journal of Child Psychology and Psychiatry. https://doi.org/10.1111/jcpp.13481</w:t>
      </w:r>
    </w:p>
    <w:p w14:paraId="3279AEF4" w14:textId="77777777"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 xml:space="preserve">Chabris, C. F., Lee, J. J., Cesarini, D., Benjamin, D. J., &amp; </w:t>
      </w:r>
      <w:proofErr w:type="spellStart"/>
      <w:r w:rsidRPr="00CA168C">
        <w:rPr>
          <w:rFonts w:asciiTheme="minorHAnsi" w:hAnsiTheme="minorHAnsi" w:cstheme="minorHAnsi"/>
          <w:szCs w:val="22"/>
        </w:rPr>
        <w:t>Laibson</w:t>
      </w:r>
      <w:proofErr w:type="spellEnd"/>
      <w:r w:rsidRPr="00CA168C">
        <w:rPr>
          <w:rFonts w:asciiTheme="minorHAnsi" w:hAnsiTheme="minorHAnsi" w:cstheme="minorHAnsi"/>
          <w:szCs w:val="22"/>
        </w:rPr>
        <w:t>, D. I. (2015). The fourth law of behavior genetics. Current Directions in Psychological Science. https://doi.org/10.1177/0963721415580430</w:t>
      </w:r>
    </w:p>
    <w:p w14:paraId="1793F58A" w14:textId="2BE92CFA"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 xml:space="preserve">Coghill, D., &amp; </w:t>
      </w:r>
      <w:proofErr w:type="spellStart"/>
      <w:r w:rsidRPr="00CA168C">
        <w:rPr>
          <w:rFonts w:asciiTheme="minorHAnsi" w:hAnsiTheme="minorHAnsi" w:cstheme="minorHAnsi"/>
          <w:szCs w:val="22"/>
        </w:rPr>
        <w:t>Sonuga</w:t>
      </w:r>
      <w:proofErr w:type="spellEnd"/>
      <w:r w:rsidRPr="00CA168C">
        <w:rPr>
          <w:rFonts w:asciiTheme="minorHAnsi" w:hAnsiTheme="minorHAnsi" w:cstheme="minorHAnsi"/>
          <w:szCs w:val="22"/>
        </w:rPr>
        <w:t>-Barke, E. J. S. (2012). Annual Research Review: Categories versus dimensions in the classification and conceptualization of child and adolescent mental disorders, implications of recent empirical study. Journal of Child Psychology and Psychiatry, 53(5), 469</w:t>
      </w:r>
      <w:r w:rsidR="00C64BE7">
        <w:rPr>
          <w:rFonts w:asciiTheme="minorHAnsi" w:hAnsiTheme="minorHAnsi" w:cstheme="minorHAnsi"/>
          <w:szCs w:val="22"/>
        </w:rPr>
        <w:t>-</w:t>
      </w:r>
      <w:r w:rsidRPr="00CA168C">
        <w:rPr>
          <w:rFonts w:asciiTheme="minorHAnsi" w:hAnsiTheme="minorHAnsi" w:cstheme="minorHAnsi"/>
          <w:szCs w:val="22"/>
        </w:rPr>
        <w:t>489.</w:t>
      </w:r>
    </w:p>
    <w:p w14:paraId="76DA6F35" w14:textId="64AC65CB"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Kovas, Y., &amp; Plomin, R. (2006). Generalist genes: Implications for the cognitive sciences. Trends in Cognitive Sciences, 10(5), 198</w:t>
      </w:r>
      <w:r w:rsidR="00C64BE7">
        <w:rPr>
          <w:rFonts w:asciiTheme="minorHAnsi" w:hAnsiTheme="minorHAnsi" w:cstheme="minorHAnsi"/>
          <w:szCs w:val="22"/>
        </w:rPr>
        <w:t>-</w:t>
      </w:r>
      <w:r w:rsidRPr="00CA168C">
        <w:rPr>
          <w:rFonts w:asciiTheme="minorHAnsi" w:hAnsiTheme="minorHAnsi" w:cstheme="minorHAnsi"/>
          <w:szCs w:val="22"/>
        </w:rPr>
        <w:t>203.</w:t>
      </w:r>
    </w:p>
    <w:p w14:paraId="708A3590" w14:textId="15DFC951"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Martinussen, R., Hayden, J., Hogg-Johnson, S., &amp; Tannock, R. (2005). A meta-analysis of working memory impairments in children with attention-deficit/hyperactivity disorder. Journal of the American Academy of Child &amp; Adolescent Psychiatry, 44(4), 377</w:t>
      </w:r>
      <w:r w:rsidR="00C64BE7">
        <w:rPr>
          <w:rFonts w:asciiTheme="minorHAnsi" w:hAnsiTheme="minorHAnsi" w:cstheme="minorHAnsi"/>
          <w:szCs w:val="22"/>
        </w:rPr>
        <w:t>-</w:t>
      </w:r>
      <w:r w:rsidRPr="00CA168C">
        <w:rPr>
          <w:rFonts w:asciiTheme="minorHAnsi" w:hAnsiTheme="minorHAnsi" w:cstheme="minorHAnsi"/>
          <w:szCs w:val="22"/>
        </w:rPr>
        <w:t>384.</w:t>
      </w:r>
    </w:p>
    <w:p w14:paraId="084D264A" w14:textId="021DD009"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Melby-Lervåg, M., Lyster, S.-A. H., &amp; Hulme, C. (2012). Phonological skills and their role in learning to read: A meta-analytic review. Psychological Bulletin, 138(2), 322</w:t>
      </w:r>
      <w:r w:rsidR="00C64BE7">
        <w:rPr>
          <w:rFonts w:asciiTheme="minorHAnsi" w:hAnsiTheme="minorHAnsi" w:cstheme="minorHAnsi"/>
          <w:szCs w:val="22"/>
        </w:rPr>
        <w:t>-</w:t>
      </w:r>
      <w:r w:rsidRPr="00CA168C">
        <w:rPr>
          <w:rFonts w:asciiTheme="minorHAnsi" w:hAnsiTheme="minorHAnsi" w:cstheme="minorHAnsi"/>
          <w:szCs w:val="22"/>
        </w:rPr>
        <w:t>352. https://doi.org/10.1037/a0026744</w:t>
      </w:r>
    </w:p>
    <w:p w14:paraId="72CD6F07" w14:textId="62D5C81C" w:rsidR="00793CA0" w:rsidRPr="00793CA0" w:rsidRDefault="00793CA0" w:rsidP="00793CA0">
      <w:pPr>
        <w:tabs>
          <w:tab w:val="clear" w:pos="3068"/>
        </w:tabs>
        <w:ind w:left="720" w:hanging="720"/>
        <w:rPr>
          <w:rFonts w:asciiTheme="minorHAnsi" w:hAnsiTheme="minorHAnsi" w:cstheme="minorHAnsi"/>
          <w:szCs w:val="22"/>
        </w:rPr>
      </w:pPr>
      <w:r w:rsidRPr="00793CA0">
        <w:rPr>
          <w:rFonts w:asciiTheme="minorHAnsi" w:hAnsiTheme="minorHAnsi" w:cstheme="minorHAnsi"/>
          <w:szCs w:val="22"/>
        </w:rPr>
        <w:t>Miyake, A., &amp; Friedman, N. P. (2012). The nature and organization of individual differences in executive functions: Four general conclusions. Current Directions in Psychological Science, 21(1), 8</w:t>
      </w:r>
      <w:r w:rsidR="00C64BE7">
        <w:rPr>
          <w:rFonts w:asciiTheme="minorHAnsi" w:hAnsiTheme="minorHAnsi" w:cstheme="minorHAnsi"/>
          <w:szCs w:val="22"/>
        </w:rPr>
        <w:t>-</w:t>
      </w:r>
      <w:r w:rsidRPr="00793CA0">
        <w:rPr>
          <w:rFonts w:asciiTheme="minorHAnsi" w:hAnsiTheme="minorHAnsi" w:cstheme="minorHAnsi"/>
          <w:szCs w:val="22"/>
        </w:rPr>
        <w:t>14. https://doi.org/10.1177/0963721411429458</w:t>
      </w:r>
    </w:p>
    <w:p w14:paraId="4D310379" w14:textId="1F99BC7A" w:rsidR="00793CA0" w:rsidRDefault="00793CA0" w:rsidP="00793CA0">
      <w:pPr>
        <w:tabs>
          <w:tab w:val="clear" w:pos="3068"/>
        </w:tabs>
        <w:ind w:left="720" w:hanging="720"/>
        <w:rPr>
          <w:rFonts w:asciiTheme="minorHAnsi" w:hAnsiTheme="minorHAnsi" w:cstheme="minorHAnsi"/>
          <w:szCs w:val="22"/>
        </w:rPr>
      </w:pPr>
      <w:r w:rsidRPr="00793CA0">
        <w:rPr>
          <w:rFonts w:asciiTheme="minorHAnsi" w:hAnsiTheme="minorHAnsi" w:cstheme="minorHAnsi"/>
          <w:szCs w:val="22"/>
        </w:rPr>
        <w:lastRenderedPageBreak/>
        <w:t xml:space="preserve">Miyake, A., Friedman, N. P., Emerson, M. J., </w:t>
      </w:r>
      <w:proofErr w:type="spellStart"/>
      <w:r w:rsidRPr="00793CA0">
        <w:rPr>
          <w:rFonts w:asciiTheme="minorHAnsi" w:hAnsiTheme="minorHAnsi" w:cstheme="minorHAnsi"/>
          <w:szCs w:val="22"/>
        </w:rPr>
        <w:t>Witzki</w:t>
      </w:r>
      <w:proofErr w:type="spellEnd"/>
      <w:r w:rsidRPr="00793CA0">
        <w:rPr>
          <w:rFonts w:asciiTheme="minorHAnsi" w:hAnsiTheme="minorHAnsi" w:cstheme="minorHAnsi"/>
          <w:szCs w:val="22"/>
        </w:rPr>
        <w:t>, A. H., Howerter, A., &amp; Wager, T. D. (2000). The unity and diversity of executive functions and their contributions to complex “frontal lobe” tasks: A latent variable analysis. Cognitive Psychology, 41(1), 49</w:t>
      </w:r>
      <w:r w:rsidR="00C64BE7">
        <w:rPr>
          <w:rFonts w:asciiTheme="minorHAnsi" w:hAnsiTheme="minorHAnsi" w:cstheme="minorHAnsi"/>
          <w:szCs w:val="22"/>
        </w:rPr>
        <w:t>-</w:t>
      </w:r>
      <w:r w:rsidRPr="00793CA0">
        <w:rPr>
          <w:rFonts w:asciiTheme="minorHAnsi" w:hAnsiTheme="minorHAnsi" w:cstheme="minorHAnsi"/>
          <w:szCs w:val="22"/>
        </w:rPr>
        <w:t>100. https://doi.org/10.1006/cogp.1999.0734</w:t>
      </w:r>
    </w:p>
    <w:p w14:paraId="5A04304F" w14:textId="7BF6FC11" w:rsidR="004343BA" w:rsidRDefault="004343BA" w:rsidP="00CA168C">
      <w:pPr>
        <w:tabs>
          <w:tab w:val="clear" w:pos="3068"/>
        </w:tabs>
        <w:ind w:left="720" w:hanging="720"/>
        <w:rPr>
          <w:rFonts w:asciiTheme="minorHAnsi" w:hAnsiTheme="minorHAnsi" w:cstheme="minorHAnsi"/>
          <w:szCs w:val="22"/>
        </w:rPr>
      </w:pPr>
      <w:r w:rsidRPr="004343BA">
        <w:rPr>
          <w:rFonts w:asciiTheme="minorHAnsi" w:hAnsiTheme="minorHAnsi" w:cstheme="minorHAnsi"/>
          <w:szCs w:val="22"/>
        </w:rPr>
        <w:t xml:space="preserve">Page, M. J., McKenzie, J. E., Bossuyt, P. M., </w:t>
      </w:r>
      <w:proofErr w:type="spellStart"/>
      <w:r w:rsidRPr="004343BA">
        <w:rPr>
          <w:rFonts w:asciiTheme="minorHAnsi" w:hAnsiTheme="minorHAnsi" w:cstheme="minorHAnsi"/>
          <w:szCs w:val="22"/>
        </w:rPr>
        <w:t>Boutron</w:t>
      </w:r>
      <w:proofErr w:type="spellEnd"/>
      <w:r w:rsidRPr="004343BA">
        <w:rPr>
          <w:rFonts w:asciiTheme="minorHAnsi" w:hAnsiTheme="minorHAnsi" w:cstheme="minorHAnsi"/>
          <w:szCs w:val="22"/>
        </w:rPr>
        <w:t>, I., Hoffmann, T. C., Mulrow, C. D., et al. (2021). The PRISMA 2020 statement: An updated guideline for reporting systematic reviews. BMJ, 372, n71</w:t>
      </w:r>
    </w:p>
    <w:p w14:paraId="4DDA846A" w14:textId="26AFDAEC"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Pennington, B. F. (2006). From single to multiple deficit models of developmental disorders. Cognition, 101(2), 385</w:t>
      </w:r>
      <w:r w:rsidR="00C64BE7">
        <w:rPr>
          <w:rFonts w:asciiTheme="minorHAnsi" w:hAnsiTheme="minorHAnsi" w:cstheme="minorHAnsi"/>
          <w:szCs w:val="22"/>
        </w:rPr>
        <w:t>-</w:t>
      </w:r>
      <w:r w:rsidRPr="00CA168C">
        <w:rPr>
          <w:rFonts w:asciiTheme="minorHAnsi" w:hAnsiTheme="minorHAnsi" w:cstheme="minorHAnsi"/>
          <w:szCs w:val="22"/>
        </w:rPr>
        <w:t>413.</w:t>
      </w:r>
    </w:p>
    <w:p w14:paraId="29A47A74" w14:textId="7D53A3E4"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Peterson, R. L., &amp; Pennington, B. F. (2015). Developmental dyslexia. Annual Review of Clinical Psychology, 11, 283</w:t>
      </w:r>
      <w:r w:rsidR="00C64BE7">
        <w:rPr>
          <w:rFonts w:asciiTheme="minorHAnsi" w:hAnsiTheme="minorHAnsi" w:cstheme="minorHAnsi"/>
          <w:szCs w:val="22"/>
        </w:rPr>
        <w:t>-</w:t>
      </w:r>
      <w:r w:rsidRPr="00CA168C">
        <w:rPr>
          <w:rFonts w:asciiTheme="minorHAnsi" w:hAnsiTheme="minorHAnsi" w:cstheme="minorHAnsi"/>
          <w:szCs w:val="22"/>
        </w:rPr>
        <w:t>307. https://doi.org/10.1146/annurev-clinpsy-032814-112842</w:t>
      </w:r>
    </w:p>
    <w:p w14:paraId="1642BD96" w14:textId="3D8F0A59"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Plomin, R., &amp; Deary, I. J. (2015). Genetics and intelligence differences: Five special findings. Molecular Psychiatry, 20, 98</w:t>
      </w:r>
      <w:r w:rsidR="00C64BE7">
        <w:rPr>
          <w:rFonts w:asciiTheme="minorHAnsi" w:hAnsiTheme="minorHAnsi" w:cstheme="minorHAnsi"/>
          <w:szCs w:val="22"/>
        </w:rPr>
        <w:t>-</w:t>
      </w:r>
      <w:r w:rsidRPr="00CA168C">
        <w:rPr>
          <w:rFonts w:asciiTheme="minorHAnsi" w:hAnsiTheme="minorHAnsi" w:cstheme="minorHAnsi"/>
          <w:szCs w:val="22"/>
        </w:rPr>
        <w:t>108. https://doi.org/10.1038/mp.2014.105</w:t>
      </w:r>
    </w:p>
    <w:p w14:paraId="72CA776F" w14:textId="77777777" w:rsidR="00CA168C" w:rsidRPr="00CA168C"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Rodgers, B. (1983). The identification and prevalence of specific reading retardation. British Journal of Educational Psychology. https://doi.org/10.1111/j.2044-8279.1983.tb02570.x</w:t>
      </w:r>
    </w:p>
    <w:p w14:paraId="3F13D22B" w14:textId="3B0BE34E" w:rsidR="00CA168C" w:rsidRPr="00CA168C" w:rsidRDefault="00CA168C" w:rsidP="00CA168C">
      <w:pPr>
        <w:tabs>
          <w:tab w:val="clear" w:pos="3068"/>
        </w:tabs>
        <w:ind w:left="720" w:hanging="720"/>
        <w:rPr>
          <w:rFonts w:asciiTheme="minorHAnsi" w:hAnsiTheme="minorHAnsi" w:cstheme="minorHAnsi"/>
          <w:szCs w:val="22"/>
        </w:rPr>
      </w:pPr>
      <w:proofErr w:type="spellStart"/>
      <w:r w:rsidRPr="00CA168C">
        <w:rPr>
          <w:rFonts w:asciiTheme="minorHAnsi" w:hAnsiTheme="minorHAnsi" w:cstheme="minorHAnsi"/>
          <w:szCs w:val="22"/>
        </w:rPr>
        <w:t>Shaywitz</w:t>
      </w:r>
      <w:proofErr w:type="spellEnd"/>
      <w:r w:rsidRPr="00CA168C">
        <w:rPr>
          <w:rFonts w:asciiTheme="minorHAnsi" w:hAnsiTheme="minorHAnsi" w:cstheme="minorHAnsi"/>
          <w:szCs w:val="22"/>
        </w:rPr>
        <w:t xml:space="preserve">, S. E., </w:t>
      </w:r>
      <w:proofErr w:type="spellStart"/>
      <w:r w:rsidRPr="00CA168C">
        <w:rPr>
          <w:rFonts w:asciiTheme="minorHAnsi" w:hAnsiTheme="minorHAnsi" w:cstheme="minorHAnsi"/>
          <w:szCs w:val="22"/>
        </w:rPr>
        <w:t>Shaywitz</w:t>
      </w:r>
      <w:proofErr w:type="spellEnd"/>
      <w:r w:rsidRPr="00CA168C">
        <w:rPr>
          <w:rFonts w:asciiTheme="minorHAnsi" w:hAnsiTheme="minorHAnsi" w:cstheme="minorHAnsi"/>
          <w:szCs w:val="22"/>
        </w:rPr>
        <w:t>, B. A., Fletcher, J. M., &amp; Escobar, M. D. (1992). Evidence that dyslexia may represent the lower tail of a normal distribution of reading ability. The New England Journal of Medicine, 326(3), 145</w:t>
      </w:r>
      <w:r w:rsidR="00C64BE7">
        <w:rPr>
          <w:rFonts w:asciiTheme="minorHAnsi" w:hAnsiTheme="minorHAnsi" w:cstheme="minorHAnsi"/>
          <w:szCs w:val="22"/>
        </w:rPr>
        <w:t>-</w:t>
      </w:r>
      <w:r w:rsidRPr="00CA168C">
        <w:rPr>
          <w:rFonts w:asciiTheme="minorHAnsi" w:hAnsiTheme="minorHAnsi" w:cstheme="minorHAnsi"/>
          <w:szCs w:val="22"/>
        </w:rPr>
        <w:t>150. https://doi.org/10.1056/NEJM199201163260301</w:t>
      </w:r>
    </w:p>
    <w:p w14:paraId="2EF60747" w14:textId="77777777" w:rsidR="00CD3AC7" w:rsidRDefault="00CA168C" w:rsidP="00CA168C">
      <w:pPr>
        <w:tabs>
          <w:tab w:val="clear" w:pos="3068"/>
        </w:tabs>
        <w:ind w:left="720" w:hanging="720"/>
        <w:rPr>
          <w:rFonts w:asciiTheme="minorHAnsi" w:hAnsiTheme="minorHAnsi" w:cstheme="minorHAnsi"/>
          <w:szCs w:val="22"/>
        </w:rPr>
      </w:pPr>
      <w:r w:rsidRPr="00CA168C">
        <w:rPr>
          <w:rFonts w:asciiTheme="minorHAnsi" w:hAnsiTheme="minorHAnsi" w:cstheme="minorHAnsi"/>
          <w:szCs w:val="22"/>
        </w:rPr>
        <w:t>Willcutt, E. G., Doyle, A. E., Nigg, J. T., Faraone, S. V., &amp; Pennington, B. F. (2005). Validity of the executive function theory of attention-deficit/hyperactivity disorder: A meta-analytic review. Biological Psychiatry, 57(11), 1336</w:t>
      </w:r>
      <w:r w:rsidR="00C64BE7">
        <w:rPr>
          <w:rFonts w:asciiTheme="minorHAnsi" w:hAnsiTheme="minorHAnsi" w:cstheme="minorHAnsi"/>
          <w:szCs w:val="22"/>
        </w:rPr>
        <w:t>-</w:t>
      </w:r>
      <w:r w:rsidRPr="00CA168C">
        <w:rPr>
          <w:rFonts w:asciiTheme="minorHAnsi" w:hAnsiTheme="minorHAnsi" w:cstheme="minorHAnsi"/>
          <w:szCs w:val="22"/>
        </w:rPr>
        <w:t xml:space="preserve">1346. https://doi.org/10.1016/j.biopsych.2005.02.006 </w:t>
      </w:r>
    </w:p>
    <w:p w14:paraId="2705A964" w14:textId="77777777" w:rsidR="00CD3AC7" w:rsidRDefault="00CD3AC7">
      <w:pPr>
        <w:tabs>
          <w:tab w:val="clear" w:pos="3068"/>
        </w:tabs>
        <w:spacing w:after="160" w:line="259" w:lineRule="auto"/>
        <w:ind w:firstLine="0"/>
        <w:rPr>
          <w:rFonts w:asciiTheme="minorHAnsi" w:hAnsiTheme="minorHAnsi" w:cstheme="minorHAnsi"/>
          <w:szCs w:val="22"/>
        </w:rPr>
      </w:pPr>
      <w:r>
        <w:rPr>
          <w:rFonts w:asciiTheme="minorHAnsi" w:hAnsiTheme="minorHAnsi" w:cstheme="minorHAnsi"/>
          <w:szCs w:val="22"/>
        </w:rPr>
        <w:br w:type="page"/>
      </w:r>
    </w:p>
    <w:p w14:paraId="3DD4C200" w14:textId="77777777" w:rsidR="00CD3AC7" w:rsidRPr="00CD3AC7" w:rsidRDefault="00CD3AC7" w:rsidP="00CD3AC7">
      <w:pPr>
        <w:tabs>
          <w:tab w:val="clear" w:pos="3068"/>
        </w:tabs>
        <w:ind w:hanging="11"/>
        <w:rPr>
          <w:rFonts w:asciiTheme="minorHAnsi" w:hAnsiTheme="minorHAnsi" w:cstheme="minorHAnsi"/>
          <w:b/>
          <w:bCs/>
          <w:szCs w:val="22"/>
        </w:rPr>
      </w:pPr>
      <w:r w:rsidRPr="00CD3AC7">
        <w:rPr>
          <w:rFonts w:asciiTheme="minorHAnsi" w:hAnsiTheme="minorHAnsi" w:cstheme="minorHAnsi"/>
          <w:b/>
          <w:bCs/>
          <w:szCs w:val="22"/>
        </w:rPr>
        <w:lastRenderedPageBreak/>
        <w:t>Table 1</w:t>
      </w:r>
    </w:p>
    <w:p w14:paraId="724B1D9D" w14:textId="0ABADD9F" w:rsidR="00CD3AC7" w:rsidRPr="00CD3AC7" w:rsidRDefault="00CD3AC7" w:rsidP="00CD3AC7">
      <w:pPr>
        <w:tabs>
          <w:tab w:val="clear" w:pos="3068"/>
        </w:tabs>
        <w:ind w:hanging="11"/>
        <w:rPr>
          <w:rFonts w:asciiTheme="minorHAnsi" w:hAnsiTheme="minorHAnsi" w:cstheme="minorHAnsi"/>
          <w:i/>
          <w:iCs/>
          <w:szCs w:val="22"/>
        </w:rPr>
      </w:pPr>
      <w:r w:rsidRPr="00CD3AC7">
        <w:rPr>
          <w:rFonts w:asciiTheme="minorHAnsi" w:hAnsiTheme="minorHAnsi" w:cstheme="minorHAnsi"/>
          <w:i/>
          <w:iCs/>
          <w:szCs w:val="22"/>
        </w:rPr>
        <w:t>Domain-level central tendencies corresponding to the model-based overlays in the figures.</w:t>
      </w:r>
    </w:p>
    <w:p w14:paraId="35E97E8B" w14:textId="77777777" w:rsidR="00CD3AC7" w:rsidRDefault="00CD3AC7" w:rsidP="00CD3AC7">
      <w:pPr>
        <w:tabs>
          <w:tab w:val="clear" w:pos="3068"/>
        </w:tabs>
        <w:ind w:hanging="11"/>
        <w:rPr>
          <w:rFonts w:asciiTheme="minorHAnsi" w:hAnsiTheme="minorHAnsi" w:cstheme="minorHAnsi"/>
          <w:i/>
          <w:iCs/>
          <w:szCs w:val="22"/>
        </w:rPr>
      </w:pPr>
      <w:r w:rsidRPr="00CD3AC7">
        <w:rPr>
          <w:rFonts w:asciiTheme="minorHAnsi" w:hAnsiTheme="minorHAnsi" w:cstheme="minorHAnsi"/>
          <w:i/>
          <w:iCs/>
          <w:szCs w:val="22"/>
        </w:rPr>
        <w:t xml:space="preserve">Values are standardized mean differences (SMD; negative = lower performance in the clinical group). “Central tendency” and 95% CIs come from the multilevel summaries computed in the R output (with clustering of multiple pooled estimates within meta-analysis). </w:t>
      </w:r>
      <w:proofErr w:type="spellStart"/>
      <w:r w:rsidRPr="00CD3AC7">
        <w:rPr>
          <w:rFonts w:asciiTheme="minorHAnsi" w:hAnsiTheme="minorHAnsi" w:cstheme="minorHAnsi"/>
          <w:i/>
          <w:iCs/>
          <w:szCs w:val="22"/>
        </w:rPr>
        <w:t>k_effects</w:t>
      </w:r>
      <w:proofErr w:type="spellEnd"/>
      <w:r w:rsidRPr="00CD3AC7">
        <w:rPr>
          <w:rFonts w:asciiTheme="minorHAnsi" w:hAnsiTheme="minorHAnsi" w:cstheme="minorHAnsi"/>
          <w:i/>
          <w:iCs/>
          <w:szCs w:val="22"/>
        </w:rPr>
        <w:t xml:space="preserve"> = number of extracted pooled estimates contributing to that domain; </w:t>
      </w:r>
      <w:proofErr w:type="spellStart"/>
      <w:r w:rsidRPr="00CD3AC7">
        <w:rPr>
          <w:rFonts w:asciiTheme="minorHAnsi" w:hAnsiTheme="minorHAnsi" w:cstheme="minorHAnsi"/>
          <w:i/>
          <w:iCs/>
          <w:szCs w:val="22"/>
        </w:rPr>
        <w:t>k_meta</w:t>
      </w:r>
      <w:proofErr w:type="spellEnd"/>
      <w:r w:rsidRPr="00CD3AC7">
        <w:rPr>
          <w:rFonts w:asciiTheme="minorHAnsi" w:hAnsiTheme="minorHAnsi" w:cstheme="minorHAnsi"/>
          <w:i/>
          <w:iCs/>
          <w:szCs w:val="22"/>
        </w:rPr>
        <w:t xml:space="preserve"> = number of contributing meta-analyses.</w:t>
      </w:r>
    </w:p>
    <w:tbl>
      <w:tblPr>
        <w:tblW w:w="9772" w:type="dxa"/>
        <w:tblLook w:val="04A0" w:firstRow="1" w:lastRow="0" w:firstColumn="1" w:lastColumn="0" w:noHBand="0" w:noVBand="1"/>
      </w:tblPr>
      <w:tblGrid>
        <w:gridCol w:w="789"/>
        <w:gridCol w:w="3897"/>
        <w:gridCol w:w="1025"/>
        <w:gridCol w:w="1025"/>
        <w:gridCol w:w="1025"/>
        <w:gridCol w:w="1048"/>
        <w:gridCol w:w="1025"/>
      </w:tblGrid>
      <w:tr w:rsidR="00CD3AC7" w:rsidRPr="00CD3AC7" w14:paraId="4730A6A9" w14:textId="77777777" w:rsidTr="00CD3AC7">
        <w:trPr>
          <w:trHeight w:val="291"/>
        </w:trPr>
        <w:tc>
          <w:tcPr>
            <w:tcW w:w="746" w:type="dxa"/>
            <w:tcBorders>
              <w:top w:val="single" w:sz="4" w:space="0" w:color="auto"/>
              <w:left w:val="nil"/>
              <w:bottom w:val="single" w:sz="4" w:space="0" w:color="auto"/>
              <w:right w:val="nil"/>
            </w:tcBorders>
            <w:shd w:val="clear" w:color="000000" w:fill="FFFFFF"/>
            <w:vAlign w:val="center"/>
            <w:hideMark/>
          </w:tcPr>
          <w:p w14:paraId="3FA22F1F" w14:textId="77777777" w:rsidR="00CD3AC7" w:rsidRPr="00CD3AC7" w:rsidRDefault="00CD3AC7" w:rsidP="00CD3AC7">
            <w:pPr>
              <w:tabs>
                <w:tab w:val="clear" w:pos="3068"/>
              </w:tabs>
              <w:spacing w:line="240" w:lineRule="auto"/>
              <w:ind w:firstLine="0"/>
              <w:rPr>
                <w:rFonts w:eastAsia="Times New Roman" w:cs="Calibri"/>
                <w:b/>
                <w:bCs/>
                <w:szCs w:val="22"/>
                <w:shd w:val="clear" w:color="auto" w:fill="auto"/>
                <w:lang w:val="en-GB" w:eastAsia="en-GB"/>
              </w:rPr>
            </w:pPr>
            <w:r w:rsidRPr="00CD3AC7">
              <w:rPr>
                <w:rFonts w:eastAsia="Times New Roman" w:cs="Calibri"/>
                <w:b/>
                <w:bCs/>
                <w:szCs w:val="22"/>
                <w:shd w:val="clear" w:color="auto" w:fill="auto"/>
                <w:lang w:val="en-GB" w:eastAsia="en-GB"/>
              </w:rPr>
              <w:t>Group</w:t>
            </w:r>
          </w:p>
        </w:tc>
        <w:tc>
          <w:tcPr>
            <w:tcW w:w="3897" w:type="dxa"/>
            <w:tcBorders>
              <w:top w:val="single" w:sz="4" w:space="0" w:color="auto"/>
              <w:left w:val="nil"/>
              <w:bottom w:val="single" w:sz="4" w:space="0" w:color="auto"/>
              <w:right w:val="nil"/>
            </w:tcBorders>
            <w:shd w:val="clear" w:color="000000" w:fill="FFFFFF"/>
            <w:vAlign w:val="center"/>
            <w:hideMark/>
          </w:tcPr>
          <w:p w14:paraId="4BF67FAB" w14:textId="77777777" w:rsidR="00CD3AC7" w:rsidRPr="00CD3AC7" w:rsidRDefault="00CD3AC7" w:rsidP="00CD3AC7">
            <w:pPr>
              <w:tabs>
                <w:tab w:val="clear" w:pos="3068"/>
              </w:tabs>
              <w:spacing w:line="240" w:lineRule="auto"/>
              <w:ind w:firstLine="0"/>
              <w:jc w:val="center"/>
              <w:rPr>
                <w:rFonts w:eastAsia="Times New Roman" w:cs="Calibri"/>
                <w:b/>
                <w:bCs/>
                <w:szCs w:val="22"/>
                <w:shd w:val="clear" w:color="auto" w:fill="auto"/>
                <w:lang w:val="en-GB" w:eastAsia="en-GB"/>
              </w:rPr>
            </w:pPr>
            <w:r w:rsidRPr="00CD3AC7">
              <w:rPr>
                <w:rFonts w:eastAsia="Times New Roman" w:cs="Calibri"/>
                <w:b/>
                <w:bCs/>
                <w:szCs w:val="22"/>
                <w:shd w:val="clear" w:color="auto" w:fill="auto"/>
                <w:lang w:val="en-GB" w:eastAsia="en-GB"/>
              </w:rPr>
              <w:t>Domain / subdomain</w:t>
            </w:r>
          </w:p>
        </w:tc>
        <w:tc>
          <w:tcPr>
            <w:tcW w:w="1025" w:type="dxa"/>
            <w:tcBorders>
              <w:top w:val="single" w:sz="4" w:space="0" w:color="auto"/>
              <w:left w:val="nil"/>
              <w:bottom w:val="single" w:sz="4" w:space="0" w:color="auto"/>
              <w:right w:val="nil"/>
            </w:tcBorders>
            <w:shd w:val="clear" w:color="000000" w:fill="FFFFFF"/>
            <w:vAlign w:val="center"/>
            <w:hideMark/>
          </w:tcPr>
          <w:p w14:paraId="4A8CA0EE" w14:textId="77777777" w:rsidR="00CD3AC7" w:rsidRPr="00CD3AC7" w:rsidRDefault="00CD3AC7" w:rsidP="00CD3AC7">
            <w:pPr>
              <w:tabs>
                <w:tab w:val="clear" w:pos="3068"/>
              </w:tabs>
              <w:spacing w:line="240" w:lineRule="auto"/>
              <w:ind w:firstLine="0"/>
              <w:jc w:val="center"/>
              <w:rPr>
                <w:rFonts w:eastAsia="Times New Roman" w:cs="Calibri"/>
                <w:b/>
                <w:bCs/>
                <w:szCs w:val="22"/>
                <w:shd w:val="clear" w:color="auto" w:fill="auto"/>
                <w:lang w:val="en-GB" w:eastAsia="en-GB"/>
              </w:rPr>
            </w:pPr>
            <w:r w:rsidRPr="00CD3AC7">
              <w:rPr>
                <w:rFonts w:eastAsia="Times New Roman" w:cs="Calibri"/>
                <w:b/>
                <w:bCs/>
                <w:szCs w:val="22"/>
                <w:shd w:val="clear" w:color="auto" w:fill="auto"/>
                <w:lang w:val="en-GB" w:eastAsia="en-GB"/>
              </w:rPr>
              <w:t>SMD</w:t>
            </w:r>
          </w:p>
        </w:tc>
        <w:tc>
          <w:tcPr>
            <w:tcW w:w="1025" w:type="dxa"/>
            <w:tcBorders>
              <w:top w:val="single" w:sz="4" w:space="0" w:color="auto"/>
              <w:left w:val="nil"/>
              <w:bottom w:val="single" w:sz="4" w:space="0" w:color="auto"/>
              <w:right w:val="nil"/>
            </w:tcBorders>
            <w:shd w:val="clear" w:color="000000" w:fill="FFFFFF"/>
            <w:vAlign w:val="center"/>
            <w:hideMark/>
          </w:tcPr>
          <w:p w14:paraId="1006B430" w14:textId="77777777" w:rsidR="00CD3AC7" w:rsidRPr="00CD3AC7" w:rsidRDefault="00CD3AC7" w:rsidP="00CD3AC7">
            <w:pPr>
              <w:tabs>
                <w:tab w:val="clear" w:pos="3068"/>
              </w:tabs>
              <w:spacing w:line="240" w:lineRule="auto"/>
              <w:ind w:firstLine="0"/>
              <w:jc w:val="center"/>
              <w:rPr>
                <w:rFonts w:eastAsia="Times New Roman" w:cs="Calibri"/>
                <w:b/>
                <w:bCs/>
                <w:szCs w:val="22"/>
                <w:shd w:val="clear" w:color="auto" w:fill="auto"/>
                <w:lang w:val="en-GB" w:eastAsia="en-GB"/>
              </w:rPr>
            </w:pPr>
            <w:proofErr w:type="spellStart"/>
            <w:r w:rsidRPr="00CD3AC7">
              <w:rPr>
                <w:rFonts w:eastAsia="Times New Roman" w:cs="Calibri"/>
                <w:b/>
                <w:bCs/>
                <w:szCs w:val="22"/>
                <w:shd w:val="clear" w:color="auto" w:fill="auto"/>
                <w:lang w:val="en-GB" w:eastAsia="en-GB"/>
              </w:rPr>
              <w:t>ci_lb</w:t>
            </w:r>
            <w:proofErr w:type="spellEnd"/>
          </w:p>
        </w:tc>
        <w:tc>
          <w:tcPr>
            <w:tcW w:w="1025" w:type="dxa"/>
            <w:tcBorders>
              <w:top w:val="single" w:sz="4" w:space="0" w:color="auto"/>
              <w:left w:val="nil"/>
              <w:bottom w:val="single" w:sz="4" w:space="0" w:color="auto"/>
              <w:right w:val="nil"/>
            </w:tcBorders>
            <w:shd w:val="clear" w:color="000000" w:fill="FFFFFF"/>
            <w:vAlign w:val="center"/>
            <w:hideMark/>
          </w:tcPr>
          <w:p w14:paraId="6C3B543A" w14:textId="77777777" w:rsidR="00CD3AC7" w:rsidRPr="00CD3AC7" w:rsidRDefault="00CD3AC7" w:rsidP="00CD3AC7">
            <w:pPr>
              <w:tabs>
                <w:tab w:val="clear" w:pos="3068"/>
              </w:tabs>
              <w:spacing w:line="240" w:lineRule="auto"/>
              <w:ind w:firstLine="0"/>
              <w:jc w:val="center"/>
              <w:rPr>
                <w:rFonts w:eastAsia="Times New Roman" w:cs="Calibri"/>
                <w:b/>
                <w:bCs/>
                <w:szCs w:val="22"/>
                <w:shd w:val="clear" w:color="auto" w:fill="auto"/>
                <w:lang w:val="en-GB" w:eastAsia="en-GB"/>
              </w:rPr>
            </w:pPr>
            <w:proofErr w:type="spellStart"/>
            <w:r w:rsidRPr="00CD3AC7">
              <w:rPr>
                <w:rFonts w:eastAsia="Times New Roman" w:cs="Calibri"/>
                <w:b/>
                <w:bCs/>
                <w:szCs w:val="22"/>
                <w:shd w:val="clear" w:color="auto" w:fill="auto"/>
                <w:lang w:val="en-GB" w:eastAsia="en-GB"/>
              </w:rPr>
              <w:t>ci_ub</w:t>
            </w:r>
            <w:proofErr w:type="spellEnd"/>
          </w:p>
        </w:tc>
        <w:tc>
          <w:tcPr>
            <w:tcW w:w="1025" w:type="dxa"/>
            <w:tcBorders>
              <w:top w:val="single" w:sz="4" w:space="0" w:color="auto"/>
              <w:left w:val="nil"/>
              <w:bottom w:val="single" w:sz="4" w:space="0" w:color="auto"/>
              <w:right w:val="nil"/>
            </w:tcBorders>
            <w:shd w:val="clear" w:color="000000" w:fill="FFFFFF"/>
            <w:vAlign w:val="center"/>
            <w:hideMark/>
          </w:tcPr>
          <w:p w14:paraId="3B1B1727" w14:textId="77777777" w:rsidR="00CD3AC7" w:rsidRPr="00CD3AC7" w:rsidRDefault="00CD3AC7" w:rsidP="00CD3AC7">
            <w:pPr>
              <w:tabs>
                <w:tab w:val="clear" w:pos="3068"/>
              </w:tabs>
              <w:spacing w:line="240" w:lineRule="auto"/>
              <w:ind w:firstLine="0"/>
              <w:jc w:val="center"/>
              <w:rPr>
                <w:rFonts w:eastAsia="Times New Roman" w:cs="Calibri"/>
                <w:b/>
                <w:bCs/>
                <w:szCs w:val="22"/>
                <w:shd w:val="clear" w:color="auto" w:fill="auto"/>
                <w:lang w:val="en-GB" w:eastAsia="en-GB"/>
              </w:rPr>
            </w:pPr>
            <w:proofErr w:type="spellStart"/>
            <w:r w:rsidRPr="00CD3AC7">
              <w:rPr>
                <w:rFonts w:eastAsia="Times New Roman" w:cs="Calibri"/>
                <w:b/>
                <w:bCs/>
                <w:szCs w:val="22"/>
                <w:shd w:val="clear" w:color="auto" w:fill="auto"/>
                <w:lang w:val="en-GB" w:eastAsia="en-GB"/>
              </w:rPr>
              <w:t>k_effects</w:t>
            </w:r>
            <w:proofErr w:type="spellEnd"/>
          </w:p>
        </w:tc>
        <w:tc>
          <w:tcPr>
            <w:tcW w:w="1025" w:type="dxa"/>
            <w:tcBorders>
              <w:top w:val="single" w:sz="4" w:space="0" w:color="auto"/>
              <w:left w:val="nil"/>
              <w:bottom w:val="single" w:sz="4" w:space="0" w:color="auto"/>
              <w:right w:val="nil"/>
            </w:tcBorders>
            <w:shd w:val="clear" w:color="000000" w:fill="FFFFFF"/>
            <w:vAlign w:val="center"/>
            <w:hideMark/>
          </w:tcPr>
          <w:p w14:paraId="1954042B" w14:textId="77777777" w:rsidR="00CD3AC7" w:rsidRPr="00CD3AC7" w:rsidRDefault="00CD3AC7" w:rsidP="00CD3AC7">
            <w:pPr>
              <w:tabs>
                <w:tab w:val="clear" w:pos="3068"/>
              </w:tabs>
              <w:spacing w:line="240" w:lineRule="auto"/>
              <w:ind w:firstLine="0"/>
              <w:jc w:val="center"/>
              <w:rPr>
                <w:rFonts w:eastAsia="Times New Roman" w:cs="Calibri"/>
                <w:b/>
                <w:bCs/>
                <w:szCs w:val="22"/>
                <w:shd w:val="clear" w:color="auto" w:fill="auto"/>
                <w:lang w:val="en-GB" w:eastAsia="en-GB"/>
              </w:rPr>
            </w:pPr>
            <w:proofErr w:type="spellStart"/>
            <w:r w:rsidRPr="00CD3AC7">
              <w:rPr>
                <w:rFonts w:eastAsia="Times New Roman" w:cs="Calibri"/>
                <w:b/>
                <w:bCs/>
                <w:szCs w:val="22"/>
                <w:shd w:val="clear" w:color="auto" w:fill="auto"/>
                <w:lang w:val="en-GB" w:eastAsia="en-GB"/>
              </w:rPr>
              <w:t>k_meta</w:t>
            </w:r>
            <w:proofErr w:type="spellEnd"/>
          </w:p>
        </w:tc>
      </w:tr>
      <w:tr w:rsidR="00CD3AC7" w:rsidRPr="00CD3AC7" w14:paraId="4A7414B6" w14:textId="77777777" w:rsidTr="00CD3AC7">
        <w:trPr>
          <w:trHeight w:val="291"/>
        </w:trPr>
        <w:tc>
          <w:tcPr>
            <w:tcW w:w="9772" w:type="dxa"/>
            <w:gridSpan w:val="7"/>
            <w:tcBorders>
              <w:top w:val="nil"/>
              <w:left w:val="nil"/>
              <w:bottom w:val="nil"/>
              <w:right w:val="nil"/>
            </w:tcBorders>
            <w:shd w:val="clear" w:color="auto" w:fill="auto"/>
            <w:noWrap/>
            <w:vAlign w:val="bottom"/>
            <w:hideMark/>
          </w:tcPr>
          <w:p w14:paraId="30766E59" w14:textId="7198A6D2" w:rsidR="00CD3AC7" w:rsidRPr="00CD3AC7" w:rsidRDefault="00CD3AC7" w:rsidP="00CD3AC7">
            <w:pPr>
              <w:tabs>
                <w:tab w:val="clear" w:pos="3068"/>
              </w:tabs>
              <w:spacing w:line="240" w:lineRule="auto"/>
              <w:ind w:firstLine="0"/>
              <w:rPr>
                <w:rFonts w:eastAsia="Times New Roman" w:cs="Calibri"/>
                <w:i/>
                <w:iCs/>
                <w:color w:val="000000"/>
                <w:szCs w:val="22"/>
                <w:shd w:val="clear" w:color="auto" w:fill="auto"/>
                <w:lang w:val="en-GB" w:eastAsia="en-GB"/>
              </w:rPr>
            </w:pPr>
            <w:r w:rsidRPr="00CD3AC7">
              <w:rPr>
                <w:rFonts w:eastAsia="Times New Roman" w:cs="Calibri"/>
                <w:i/>
                <w:iCs/>
                <w:color w:val="000000"/>
                <w:szCs w:val="22"/>
                <w:shd w:val="clear" w:color="auto" w:fill="auto"/>
                <w:lang w:val="en-GB" w:eastAsia="en-GB"/>
              </w:rPr>
              <w:t xml:space="preserve">ADHD </w:t>
            </w:r>
          </w:p>
        </w:tc>
      </w:tr>
      <w:tr w:rsidR="00CD3AC7" w:rsidRPr="00CD3AC7" w14:paraId="2E0ABF34" w14:textId="77777777" w:rsidTr="00CD3AC7">
        <w:trPr>
          <w:trHeight w:val="291"/>
        </w:trPr>
        <w:tc>
          <w:tcPr>
            <w:tcW w:w="746" w:type="dxa"/>
            <w:tcBorders>
              <w:top w:val="nil"/>
              <w:left w:val="nil"/>
              <w:bottom w:val="nil"/>
              <w:right w:val="nil"/>
            </w:tcBorders>
            <w:shd w:val="clear" w:color="auto" w:fill="auto"/>
            <w:hideMark/>
          </w:tcPr>
          <w:p w14:paraId="624B75CA"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03F2A0E6"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Attention</w:t>
            </w:r>
          </w:p>
        </w:tc>
        <w:tc>
          <w:tcPr>
            <w:tcW w:w="1025" w:type="dxa"/>
            <w:tcBorders>
              <w:top w:val="nil"/>
              <w:left w:val="nil"/>
              <w:bottom w:val="nil"/>
              <w:right w:val="nil"/>
            </w:tcBorders>
            <w:shd w:val="clear" w:color="auto" w:fill="auto"/>
            <w:vAlign w:val="center"/>
            <w:hideMark/>
          </w:tcPr>
          <w:p w14:paraId="0E135B3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-0.45</w:t>
            </w:r>
          </w:p>
        </w:tc>
        <w:tc>
          <w:tcPr>
            <w:tcW w:w="1025" w:type="dxa"/>
            <w:tcBorders>
              <w:top w:val="nil"/>
              <w:left w:val="nil"/>
              <w:bottom w:val="nil"/>
              <w:right w:val="nil"/>
            </w:tcBorders>
            <w:shd w:val="clear" w:color="auto" w:fill="auto"/>
            <w:vAlign w:val="center"/>
            <w:hideMark/>
          </w:tcPr>
          <w:p w14:paraId="179F27A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-0.57</w:t>
            </w:r>
          </w:p>
        </w:tc>
        <w:tc>
          <w:tcPr>
            <w:tcW w:w="1025" w:type="dxa"/>
            <w:tcBorders>
              <w:top w:val="nil"/>
              <w:left w:val="nil"/>
              <w:bottom w:val="nil"/>
              <w:right w:val="nil"/>
            </w:tcBorders>
            <w:shd w:val="clear" w:color="auto" w:fill="auto"/>
            <w:vAlign w:val="center"/>
            <w:hideMark/>
          </w:tcPr>
          <w:p w14:paraId="4FC0B68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-0.34</w:t>
            </w:r>
          </w:p>
        </w:tc>
        <w:tc>
          <w:tcPr>
            <w:tcW w:w="1025" w:type="dxa"/>
            <w:tcBorders>
              <w:top w:val="nil"/>
              <w:left w:val="nil"/>
              <w:bottom w:val="nil"/>
              <w:right w:val="nil"/>
            </w:tcBorders>
            <w:shd w:val="clear" w:color="auto" w:fill="auto"/>
            <w:vAlign w:val="center"/>
            <w:hideMark/>
          </w:tcPr>
          <w:p w14:paraId="2F279E8E"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23</w:t>
            </w:r>
          </w:p>
        </w:tc>
        <w:tc>
          <w:tcPr>
            <w:tcW w:w="1025" w:type="dxa"/>
            <w:tcBorders>
              <w:top w:val="nil"/>
              <w:left w:val="nil"/>
              <w:bottom w:val="nil"/>
              <w:right w:val="nil"/>
            </w:tcBorders>
            <w:shd w:val="clear" w:color="auto" w:fill="auto"/>
            <w:vAlign w:val="center"/>
            <w:hideMark/>
          </w:tcPr>
          <w:p w14:paraId="1DFA7FE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10</w:t>
            </w:r>
          </w:p>
        </w:tc>
      </w:tr>
      <w:tr w:rsidR="00CD3AC7" w:rsidRPr="00CD3AC7" w14:paraId="386E4D6F" w14:textId="77777777" w:rsidTr="00CD3AC7">
        <w:trPr>
          <w:trHeight w:val="291"/>
        </w:trPr>
        <w:tc>
          <w:tcPr>
            <w:tcW w:w="746" w:type="dxa"/>
            <w:tcBorders>
              <w:top w:val="nil"/>
              <w:left w:val="nil"/>
              <w:bottom w:val="nil"/>
              <w:right w:val="nil"/>
            </w:tcBorders>
            <w:shd w:val="clear" w:color="auto" w:fill="auto"/>
            <w:hideMark/>
          </w:tcPr>
          <w:p w14:paraId="6D55FD6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16E6B475"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Decision-making / reinforcement learning</w:t>
            </w:r>
          </w:p>
        </w:tc>
        <w:tc>
          <w:tcPr>
            <w:tcW w:w="1025" w:type="dxa"/>
            <w:tcBorders>
              <w:top w:val="nil"/>
              <w:left w:val="nil"/>
              <w:bottom w:val="nil"/>
              <w:right w:val="nil"/>
            </w:tcBorders>
            <w:shd w:val="clear" w:color="auto" w:fill="auto"/>
            <w:vAlign w:val="center"/>
            <w:hideMark/>
          </w:tcPr>
          <w:p w14:paraId="2BA598C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-0.35</w:t>
            </w:r>
          </w:p>
        </w:tc>
        <w:tc>
          <w:tcPr>
            <w:tcW w:w="1025" w:type="dxa"/>
            <w:tcBorders>
              <w:top w:val="nil"/>
              <w:left w:val="nil"/>
              <w:bottom w:val="nil"/>
              <w:right w:val="nil"/>
            </w:tcBorders>
            <w:shd w:val="clear" w:color="auto" w:fill="auto"/>
            <w:vAlign w:val="center"/>
            <w:hideMark/>
          </w:tcPr>
          <w:p w14:paraId="0AE33E4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-0.48</w:t>
            </w:r>
          </w:p>
        </w:tc>
        <w:tc>
          <w:tcPr>
            <w:tcW w:w="1025" w:type="dxa"/>
            <w:tcBorders>
              <w:top w:val="nil"/>
              <w:left w:val="nil"/>
              <w:bottom w:val="nil"/>
              <w:right w:val="nil"/>
            </w:tcBorders>
            <w:shd w:val="clear" w:color="auto" w:fill="auto"/>
            <w:vAlign w:val="center"/>
            <w:hideMark/>
          </w:tcPr>
          <w:p w14:paraId="4AD8C272"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-0.21</w:t>
            </w:r>
          </w:p>
        </w:tc>
        <w:tc>
          <w:tcPr>
            <w:tcW w:w="1025" w:type="dxa"/>
            <w:tcBorders>
              <w:top w:val="nil"/>
              <w:left w:val="nil"/>
              <w:bottom w:val="nil"/>
              <w:right w:val="nil"/>
            </w:tcBorders>
            <w:shd w:val="clear" w:color="auto" w:fill="auto"/>
            <w:vAlign w:val="center"/>
            <w:hideMark/>
          </w:tcPr>
          <w:p w14:paraId="78A8600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14</w:t>
            </w:r>
          </w:p>
        </w:tc>
        <w:tc>
          <w:tcPr>
            <w:tcW w:w="1025" w:type="dxa"/>
            <w:tcBorders>
              <w:top w:val="nil"/>
              <w:left w:val="nil"/>
              <w:bottom w:val="nil"/>
              <w:right w:val="nil"/>
            </w:tcBorders>
            <w:shd w:val="clear" w:color="auto" w:fill="auto"/>
            <w:vAlign w:val="center"/>
            <w:hideMark/>
          </w:tcPr>
          <w:p w14:paraId="6E79243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r>
      <w:tr w:rsidR="00CD3AC7" w:rsidRPr="00CD3AC7" w14:paraId="505D1EC1" w14:textId="77777777" w:rsidTr="00CD3AC7">
        <w:trPr>
          <w:trHeight w:val="291"/>
        </w:trPr>
        <w:tc>
          <w:tcPr>
            <w:tcW w:w="746" w:type="dxa"/>
            <w:tcBorders>
              <w:top w:val="nil"/>
              <w:left w:val="nil"/>
              <w:bottom w:val="nil"/>
              <w:right w:val="nil"/>
            </w:tcBorders>
            <w:shd w:val="clear" w:color="auto" w:fill="auto"/>
            <w:hideMark/>
          </w:tcPr>
          <w:p w14:paraId="7A9D68D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03CD3325"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Delay gratification</w:t>
            </w:r>
          </w:p>
        </w:tc>
        <w:tc>
          <w:tcPr>
            <w:tcW w:w="1025" w:type="dxa"/>
            <w:tcBorders>
              <w:top w:val="nil"/>
              <w:left w:val="nil"/>
              <w:bottom w:val="nil"/>
              <w:right w:val="nil"/>
            </w:tcBorders>
            <w:shd w:val="clear" w:color="auto" w:fill="auto"/>
            <w:vAlign w:val="center"/>
            <w:hideMark/>
          </w:tcPr>
          <w:p w14:paraId="722FB6EE"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-0.44</w:t>
            </w:r>
          </w:p>
        </w:tc>
        <w:tc>
          <w:tcPr>
            <w:tcW w:w="1025" w:type="dxa"/>
            <w:tcBorders>
              <w:top w:val="nil"/>
              <w:left w:val="nil"/>
              <w:bottom w:val="nil"/>
              <w:right w:val="nil"/>
            </w:tcBorders>
            <w:shd w:val="clear" w:color="auto" w:fill="auto"/>
            <w:vAlign w:val="center"/>
            <w:hideMark/>
          </w:tcPr>
          <w:p w14:paraId="2B89B3E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-0.58</w:t>
            </w:r>
          </w:p>
        </w:tc>
        <w:tc>
          <w:tcPr>
            <w:tcW w:w="1025" w:type="dxa"/>
            <w:tcBorders>
              <w:top w:val="nil"/>
              <w:left w:val="nil"/>
              <w:bottom w:val="nil"/>
              <w:right w:val="nil"/>
            </w:tcBorders>
            <w:shd w:val="clear" w:color="auto" w:fill="auto"/>
            <w:vAlign w:val="center"/>
            <w:hideMark/>
          </w:tcPr>
          <w:p w14:paraId="5CC7B767"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-0.30</w:t>
            </w:r>
          </w:p>
        </w:tc>
        <w:tc>
          <w:tcPr>
            <w:tcW w:w="1025" w:type="dxa"/>
            <w:tcBorders>
              <w:top w:val="nil"/>
              <w:left w:val="nil"/>
              <w:bottom w:val="nil"/>
              <w:right w:val="nil"/>
            </w:tcBorders>
            <w:shd w:val="clear" w:color="auto" w:fill="auto"/>
            <w:vAlign w:val="center"/>
            <w:hideMark/>
          </w:tcPr>
          <w:p w14:paraId="74D3C86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3</w:t>
            </w:r>
          </w:p>
        </w:tc>
        <w:tc>
          <w:tcPr>
            <w:tcW w:w="1025" w:type="dxa"/>
            <w:tcBorders>
              <w:top w:val="nil"/>
              <w:left w:val="nil"/>
              <w:bottom w:val="nil"/>
              <w:right w:val="nil"/>
            </w:tcBorders>
            <w:shd w:val="clear" w:color="auto" w:fill="auto"/>
            <w:vAlign w:val="center"/>
            <w:hideMark/>
          </w:tcPr>
          <w:p w14:paraId="7BBB028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w:t>
            </w:r>
          </w:p>
        </w:tc>
      </w:tr>
      <w:tr w:rsidR="00CD3AC7" w:rsidRPr="00CD3AC7" w14:paraId="4F6E21F7" w14:textId="77777777" w:rsidTr="00CD3AC7">
        <w:trPr>
          <w:trHeight w:val="291"/>
        </w:trPr>
        <w:tc>
          <w:tcPr>
            <w:tcW w:w="746" w:type="dxa"/>
            <w:tcBorders>
              <w:top w:val="nil"/>
              <w:left w:val="nil"/>
              <w:bottom w:val="nil"/>
              <w:right w:val="nil"/>
            </w:tcBorders>
            <w:shd w:val="clear" w:color="auto" w:fill="auto"/>
            <w:hideMark/>
          </w:tcPr>
          <w:p w14:paraId="1F71BBFD"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6945A5A2"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Executive functions</w:t>
            </w:r>
          </w:p>
        </w:tc>
        <w:tc>
          <w:tcPr>
            <w:tcW w:w="1025" w:type="dxa"/>
            <w:tcBorders>
              <w:top w:val="nil"/>
              <w:left w:val="nil"/>
              <w:bottom w:val="nil"/>
              <w:right w:val="nil"/>
            </w:tcBorders>
            <w:shd w:val="clear" w:color="auto" w:fill="auto"/>
            <w:vAlign w:val="center"/>
            <w:hideMark/>
          </w:tcPr>
          <w:p w14:paraId="2FF0380E"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-0.46</w:t>
            </w:r>
          </w:p>
        </w:tc>
        <w:tc>
          <w:tcPr>
            <w:tcW w:w="1025" w:type="dxa"/>
            <w:tcBorders>
              <w:top w:val="nil"/>
              <w:left w:val="nil"/>
              <w:bottom w:val="nil"/>
              <w:right w:val="nil"/>
            </w:tcBorders>
            <w:shd w:val="clear" w:color="auto" w:fill="auto"/>
            <w:vAlign w:val="center"/>
            <w:hideMark/>
          </w:tcPr>
          <w:p w14:paraId="2DA342C2"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-0.56</w:t>
            </w:r>
          </w:p>
        </w:tc>
        <w:tc>
          <w:tcPr>
            <w:tcW w:w="1025" w:type="dxa"/>
            <w:tcBorders>
              <w:top w:val="nil"/>
              <w:left w:val="nil"/>
              <w:bottom w:val="nil"/>
              <w:right w:val="nil"/>
            </w:tcBorders>
            <w:shd w:val="clear" w:color="auto" w:fill="auto"/>
            <w:vAlign w:val="center"/>
            <w:hideMark/>
          </w:tcPr>
          <w:p w14:paraId="6B44E5DD"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-0.36</w:t>
            </w:r>
          </w:p>
        </w:tc>
        <w:tc>
          <w:tcPr>
            <w:tcW w:w="1025" w:type="dxa"/>
            <w:tcBorders>
              <w:top w:val="nil"/>
              <w:left w:val="nil"/>
              <w:bottom w:val="nil"/>
              <w:right w:val="nil"/>
            </w:tcBorders>
            <w:shd w:val="clear" w:color="auto" w:fill="auto"/>
            <w:vAlign w:val="center"/>
            <w:hideMark/>
          </w:tcPr>
          <w:p w14:paraId="4D3343E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46</w:t>
            </w:r>
          </w:p>
        </w:tc>
        <w:tc>
          <w:tcPr>
            <w:tcW w:w="1025" w:type="dxa"/>
            <w:tcBorders>
              <w:top w:val="nil"/>
              <w:left w:val="nil"/>
              <w:bottom w:val="nil"/>
              <w:right w:val="nil"/>
            </w:tcBorders>
            <w:shd w:val="clear" w:color="auto" w:fill="auto"/>
            <w:vAlign w:val="center"/>
            <w:hideMark/>
          </w:tcPr>
          <w:p w14:paraId="42BFB42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20</w:t>
            </w:r>
          </w:p>
        </w:tc>
      </w:tr>
      <w:tr w:rsidR="00CD3AC7" w:rsidRPr="00CD3AC7" w14:paraId="12DC4890" w14:textId="77777777" w:rsidTr="00CD3AC7">
        <w:trPr>
          <w:trHeight w:val="291"/>
        </w:trPr>
        <w:tc>
          <w:tcPr>
            <w:tcW w:w="746" w:type="dxa"/>
            <w:tcBorders>
              <w:top w:val="nil"/>
              <w:left w:val="nil"/>
              <w:bottom w:val="nil"/>
              <w:right w:val="nil"/>
            </w:tcBorders>
            <w:shd w:val="clear" w:color="auto" w:fill="auto"/>
            <w:hideMark/>
          </w:tcPr>
          <w:p w14:paraId="4F19E19D"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2EF1188E"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Intelligence / general cognition</w:t>
            </w:r>
          </w:p>
        </w:tc>
        <w:tc>
          <w:tcPr>
            <w:tcW w:w="1025" w:type="dxa"/>
            <w:tcBorders>
              <w:top w:val="nil"/>
              <w:left w:val="nil"/>
              <w:bottom w:val="nil"/>
              <w:right w:val="nil"/>
            </w:tcBorders>
            <w:shd w:val="clear" w:color="auto" w:fill="auto"/>
            <w:vAlign w:val="center"/>
            <w:hideMark/>
          </w:tcPr>
          <w:p w14:paraId="7247D53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-0.26</w:t>
            </w:r>
          </w:p>
        </w:tc>
        <w:tc>
          <w:tcPr>
            <w:tcW w:w="1025" w:type="dxa"/>
            <w:tcBorders>
              <w:top w:val="nil"/>
              <w:left w:val="nil"/>
              <w:bottom w:val="nil"/>
              <w:right w:val="nil"/>
            </w:tcBorders>
            <w:shd w:val="clear" w:color="auto" w:fill="auto"/>
            <w:vAlign w:val="center"/>
            <w:hideMark/>
          </w:tcPr>
          <w:p w14:paraId="48CC038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-0.36</w:t>
            </w:r>
          </w:p>
        </w:tc>
        <w:tc>
          <w:tcPr>
            <w:tcW w:w="1025" w:type="dxa"/>
            <w:tcBorders>
              <w:top w:val="nil"/>
              <w:left w:val="nil"/>
              <w:bottom w:val="nil"/>
              <w:right w:val="nil"/>
            </w:tcBorders>
            <w:shd w:val="clear" w:color="auto" w:fill="auto"/>
            <w:vAlign w:val="center"/>
            <w:hideMark/>
          </w:tcPr>
          <w:p w14:paraId="55AF92B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-0.16</w:t>
            </w:r>
          </w:p>
        </w:tc>
        <w:tc>
          <w:tcPr>
            <w:tcW w:w="1025" w:type="dxa"/>
            <w:tcBorders>
              <w:top w:val="nil"/>
              <w:left w:val="nil"/>
              <w:bottom w:val="nil"/>
              <w:right w:val="nil"/>
            </w:tcBorders>
            <w:shd w:val="clear" w:color="auto" w:fill="auto"/>
            <w:vAlign w:val="center"/>
            <w:hideMark/>
          </w:tcPr>
          <w:p w14:paraId="4B9CD71D"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w:t>
            </w:r>
          </w:p>
        </w:tc>
        <w:tc>
          <w:tcPr>
            <w:tcW w:w="1025" w:type="dxa"/>
            <w:tcBorders>
              <w:top w:val="nil"/>
              <w:left w:val="nil"/>
              <w:bottom w:val="nil"/>
              <w:right w:val="nil"/>
            </w:tcBorders>
            <w:shd w:val="clear" w:color="auto" w:fill="auto"/>
            <w:vAlign w:val="center"/>
            <w:hideMark/>
          </w:tcPr>
          <w:p w14:paraId="5AF562CD"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w:t>
            </w:r>
          </w:p>
        </w:tc>
      </w:tr>
      <w:tr w:rsidR="00CD3AC7" w:rsidRPr="00CD3AC7" w14:paraId="08848C99" w14:textId="77777777" w:rsidTr="00CD3AC7">
        <w:trPr>
          <w:trHeight w:val="291"/>
        </w:trPr>
        <w:tc>
          <w:tcPr>
            <w:tcW w:w="746" w:type="dxa"/>
            <w:tcBorders>
              <w:top w:val="nil"/>
              <w:left w:val="nil"/>
              <w:bottom w:val="nil"/>
              <w:right w:val="nil"/>
            </w:tcBorders>
            <w:shd w:val="clear" w:color="auto" w:fill="auto"/>
            <w:hideMark/>
          </w:tcPr>
          <w:p w14:paraId="27D879F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36CC5878"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Language</w:t>
            </w:r>
          </w:p>
        </w:tc>
        <w:tc>
          <w:tcPr>
            <w:tcW w:w="1025" w:type="dxa"/>
            <w:tcBorders>
              <w:top w:val="nil"/>
              <w:left w:val="nil"/>
              <w:bottom w:val="nil"/>
              <w:right w:val="nil"/>
            </w:tcBorders>
            <w:shd w:val="clear" w:color="auto" w:fill="auto"/>
            <w:vAlign w:val="center"/>
            <w:hideMark/>
          </w:tcPr>
          <w:p w14:paraId="586AB59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-1.07</w:t>
            </w:r>
          </w:p>
        </w:tc>
        <w:tc>
          <w:tcPr>
            <w:tcW w:w="1025" w:type="dxa"/>
            <w:tcBorders>
              <w:top w:val="nil"/>
              <w:left w:val="nil"/>
              <w:bottom w:val="nil"/>
              <w:right w:val="nil"/>
            </w:tcBorders>
            <w:shd w:val="clear" w:color="auto" w:fill="auto"/>
            <w:vAlign w:val="center"/>
            <w:hideMark/>
          </w:tcPr>
          <w:p w14:paraId="10C5D62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-1.22</w:t>
            </w:r>
          </w:p>
        </w:tc>
        <w:tc>
          <w:tcPr>
            <w:tcW w:w="1025" w:type="dxa"/>
            <w:tcBorders>
              <w:top w:val="nil"/>
              <w:left w:val="nil"/>
              <w:bottom w:val="nil"/>
              <w:right w:val="nil"/>
            </w:tcBorders>
            <w:shd w:val="clear" w:color="auto" w:fill="auto"/>
            <w:vAlign w:val="center"/>
            <w:hideMark/>
          </w:tcPr>
          <w:p w14:paraId="10B442CC"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-0.93</w:t>
            </w:r>
          </w:p>
        </w:tc>
        <w:tc>
          <w:tcPr>
            <w:tcW w:w="1025" w:type="dxa"/>
            <w:tcBorders>
              <w:top w:val="nil"/>
              <w:left w:val="nil"/>
              <w:bottom w:val="nil"/>
              <w:right w:val="nil"/>
            </w:tcBorders>
            <w:shd w:val="clear" w:color="auto" w:fill="auto"/>
            <w:vAlign w:val="center"/>
            <w:hideMark/>
          </w:tcPr>
          <w:p w14:paraId="6E73564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5</w:t>
            </w:r>
          </w:p>
        </w:tc>
        <w:tc>
          <w:tcPr>
            <w:tcW w:w="1025" w:type="dxa"/>
            <w:tcBorders>
              <w:top w:val="nil"/>
              <w:left w:val="nil"/>
              <w:bottom w:val="nil"/>
              <w:right w:val="nil"/>
            </w:tcBorders>
            <w:shd w:val="clear" w:color="auto" w:fill="auto"/>
            <w:vAlign w:val="center"/>
            <w:hideMark/>
          </w:tcPr>
          <w:p w14:paraId="59C227F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w:t>
            </w:r>
          </w:p>
        </w:tc>
      </w:tr>
      <w:tr w:rsidR="00CD3AC7" w:rsidRPr="00CD3AC7" w14:paraId="0879DFE5" w14:textId="77777777" w:rsidTr="00CD3AC7">
        <w:trPr>
          <w:trHeight w:val="291"/>
        </w:trPr>
        <w:tc>
          <w:tcPr>
            <w:tcW w:w="746" w:type="dxa"/>
            <w:tcBorders>
              <w:top w:val="nil"/>
              <w:left w:val="nil"/>
              <w:bottom w:val="nil"/>
              <w:right w:val="nil"/>
            </w:tcBorders>
            <w:shd w:val="clear" w:color="auto" w:fill="auto"/>
            <w:hideMark/>
          </w:tcPr>
          <w:p w14:paraId="601276D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3F65E4DB"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Learning and memory</w:t>
            </w:r>
          </w:p>
        </w:tc>
        <w:tc>
          <w:tcPr>
            <w:tcW w:w="1025" w:type="dxa"/>
            <w:tcBorders>
              <w:top w:val="nil"/>
              <w:left w:val="nil"/>
              <w:bottom w:val="nil"/>
              <w:right w:val="nil"/>
            </w:tcBorders>
            <w:shd w:val="clear" w:color="auto" w:fill="auto"/>
            <w:vAlign w:val="center"/>
            <w:hideMark/>
          </w:tcPr>
          <w:p w14:paraId="43097BB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-0.17</w:t>
            </w:r>
          </w:p>
        </w:tc>
        <w:tc>
          <w:tcPr>
            <w:tcW w:w="1025" w:type="dxa"/>
            <w:tcBorders>
              <w:top w:val="nil"/>
              <w:left w:val="nil"/>
              <w:bottom w:val="nil"/>
              <w:right w:val="nil"/>
            </w:tcBorders>
            <w:shd w:val="clear" w:color="auto" w:fill="auto"/>
            <w:vAlign w:val="center"/>
            <w:hideMark/>
          </w:tcPr>
          <w:p w14:paraId="5DDC641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-0.51</w:t>
            </w:r>
          </w:p>
        </w:tc>
        <w:tc>
          <w:tcPr>
            <w:tcW w:w="1025" w:type="dxa"/>
            <w:tcBorders>
              <w:top w:val="nil"/>
              <w:left w:val="nil"/>
              <w:bottom w:val="nil"/>
              <w:right w:val="nil"/>
            </w:tcBorders>
            <w:shd w:val="clear" w:color="auto" w:fill="auto"/>
            <w:vAlign w:val="center"/>
            <w:hideMark/>
          </w:tcPr>
          <w:p w14:paraId="6AF79D5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0.18</w:t>
            </w:r>
          </w:p>
        </w:tc>
        <w:tc>
          <w:tcPr>
            <w:tcW w:w="1025" w:type="dxa"/>
            <w:tcBorders>
              <w:top w:val="nil"/>
              <w:left w:val="nil"/>
              <w:bottom w:val="nil"/>
              <w:right w:val="nil"/>
            </w:tcBorders>
            <w:shd w:val="clear" w:color="auto" w:fill="auto"/>
            <w:vAlign w:val="center"/>
            <w:hideMark/>
          </w:tcPr>
          <w:p w14:paraId="385B0EA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10</w:t>
            </w:r>
          </w:p>
        </w:tc>
        <w:tc>
          <w:tcPr>
            <w:tcW w:w="1025" w:type="dxa"/>
            <w:tcBorders>
              <w:top w:val="nil"/>
              <w:left w:val="nil"/>
              <w:bottom w:val="nil"/>
              <w:right w:val="nil"/>
            </w:tcBorders>
            <w:shd w:val="clear" w:color="auto" w:fill="auto"/>
            <w:vAlign w:val="center"/>
            <w:hideMark/>
          </w:tcPr>
          <w:p w14:paraId="184E21F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3</w:t>
            </w:r>
          </w:p>
        </w:tc>
      </w:tr>
      <w:tr w:rsidR="00CD3AC7" w:rsidRPr="00CD3AC7" w14:paraId="063EFD43" w14:textId="77777777" w:rsidTr="00CD3AC7">
        <w:trPr>
          <w:trHeight w:val="291"/>
        </w:trPr>
        <w:tc>
          <w:tcPr>
            <w:tcW w:w="746" w:type="dxa"/>
            <w:tcBorders>
              <w:top w:val="nil"/>
              <w:left w:val="nil"/>
              <w:bottom w:val="nil"/>
              <w:right w:val="nil"/>
            </w:tcBorders>
            <w:shd w:val="clear" w:color="auto" w:fill="auto"/>
            <w:hideMark/>
          </w:tcPr>
          <w:p w14:paraId="468EFB87"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765451BE"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Processing speed</w:t>
            </w:r>
          </w:p>
        </w:tc>
        <w:tc>
          <w:tcPr>
            <w:tcW w:w="1025" w:type="dxa"/>
            <w:tcBorders>
              <w:top w:val="nil"/>
              <w:left w:val="nil"/>
              <w:bottom w:val="nil"/>
              <w:right w:val="nil"/>
            </w:tcBorders>
            <w:shd w:val="clear" w:color="auto" w:fill="auto"/>
            <w:vAlign w:val="center"/>
            <w:hideMark/>
          </w:tcPr>
          <w:p w14:paraId="1BD0CED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-0.36</w:t>
            </w:r>
          </w:p>
        </w:tc>
        <w:tc>
          <w:tcPr>
            <w:tcW w:w="1025" w:type="dxa"/>
            <w:tcBorders>
              <w:top w:val="nil"/>
              <w:left w:val="nil"/>
              <w:bottom w:val="nil"/>
              <w:right w:val="nil"/>
            </w:tcBorders>
            <w:shd w:val="clear" w:color="auto" w:fill="auto"/>
            <w:vAlign w:val="center"/>
            <w:hideMark/>
          </w:tcPr>
          <w:p w14:paraId="349C392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-0.47</w:t>
            </w:r>
          </w:p>
        </w:tc>
        <w:tc>
          <w:tcPr>
            <w:tcW w:w="1025" w:type="dxa"/>
            <w:tcBorders>
              <w:top w:val="nil"/>
              <w:left w:val="nil"/>
              <w:bottom w:val="nil"/>
              <w:right w:val="nil"/>
            </w:tcBorders>
            <w:shd w:val="clear" w:color="auto" w:fill="auto"/>
            <w:vAlign w:val="center"/>
            <w:hideMark/>
          </w:tcPr>
          <w:p w14:paraId="6849F465"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-0.24</w:t>
            </w:r>
          </w:p>
        </w:tc>
        <w:tc>
          <w:tcPr>
            <w:tcW w:w="1025" w:type="dxa"/>
            <w:tcBorders>
              <w:top w:val="nil"/>
              <w:left w:val="nil"/>
              <w:bottom w:val="nil"/>
              <w:right w:val="nil"/>
            </w:tcBorders>
            <w:shd w:val="clear" w:color="auto" w:fill="auto"/>
            <w:vAlign w:val="center"/>
            <w:hideMark/>
          </w:tcPr>
          <w:p w14:paraId="7831B55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27</w:t>
            </w:r>
          </w:p>
        </w:tc>
        <w:tc>
          <w:tcPr>
            <w:tcW w:w="1025" w:type="dxa"/>
            <w:tcBorders>
              <w:top w:val="nil"/>
              <w:left w:val="nil"/>
              <w:bottom w:val="nil"/>
              <w:right w:val="nil"/>
            </w:tcBorders>
            <w:shd w:val="clear" w:color="auto" w:fill="auto"/>
            <w:vAlign w:val="center"/>
            <w:hideMark/>
          </w:tcPr>
          <w:p w14:paraId="26076F2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12</w:t>
            </w:r>
          </w:p>
        </w:tc>
      </w:tr>
      <w:tr w:rsidR="00CD3AC7" w:rsidRPr="00CD3AC7" w14:paraId="3722E73B" w14:textId="77777777" w:rsidTr="00CD3AC7">
        <w:trPr>
          <w:trHeight w:val="291"/>
        </w:trPr>
        <w:tc>
          <w:tcPr>
            <w:tcW w:w="746" w:type="dxa"/>
            <w:tcBorders>
              <w:top w:val="nil"/>
              <w:left w:val="nil"/>
              <w:bottom w:val="nil"/>
              <w:right w:val="nil"/>
            </w:tcBorders>
            <w:shd w:val="clear" w:color="auto" w:fill="auto"/>
            <w:hideMark/>
          </w:tcPr>
          <w:p w14:paraId="3986B6A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0018F650"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Social cognition</w:t>
            </w:r>
          </w:p>
        </w:tc>
        <w:tc>
          <w:tcPr>
            <w:tcW w:w="1025" w:type="dxa"/>
            <w:tcBorders>
              <w:top w:val="nil"/>
              <w:left w:val="nil"/>
              <w:bottom w:val="nil"/>
              <w:right w:val="nil"/>
            </w:tcBorders>
            <w:shd w:val="clear" w:color="auto" w:fill="auto"/>
            <w:vAlign w:val="center"/>
            <w:hideMark/>
          </w:tcPr>
          <w:p w14:paraId="58AE1AE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-0.74</w:t>
            </w:r>
          </w:p>
        </w:tc>
        <w:tc>
          <w:tcPr>
            <w:tcW w:w="1025" w:type="dxa"/>
            <w:tcBorders>
              <w:top w:val="nil"/>
              <w:left w:val="nil"/>
              <w:bottom w:val="nil"/>
              <w:right w:val="nil"/>
            </w:tcBorders>
            <w:shd w:val="clear" w:color="auto" w:fill="auto"/>
            <w:vAlign w:val="center"/>
            <w:hideMark/>
          </w:tcPr>
          <w:p w14:paraId="2A4AE07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-1.05</w:t>
            </w:r>
          </w:p>
        </w:tc>
        <w:tc>
          <w:tcPr>
            <w:tcW w:w="1025" w:type="dxa"/>
            <w:tcBorders>
              <w:top w:val="nil"/>
              <w:left w:val="nil"/>
              <w:bottom w:val="nil"/>
              <w:right w:val="nil"/>
            </w:tcBorders>
            <w:shd w:val="clear" w:color="auto" w:fill="auto"/>
            <w:vAlign w:val="center"/>
            <w:hideMark/>
          </w:tcPr>
          <w:p w14:paraId="159226D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-0.42</w:t>
            </w:r>
          </w:p>
        </w:tc>
        <w:tc>
          <w:tcPr>
            <w:tcW w:w="1025" w:type="dxa"/>
            <w:tcBorders>
              <w:top w:val="nil"/>
              <w:left w:val="nil"/>
              <w:bottom w:val="nil"/>
              <w:right w:val="nil"/>
            </w:tcBorders>
            <w:shd w:val="clear" w:color="auto" w:fill="auto"/>
            <w:vAlign w:val="center"/>
            <w:hideMark/>
          </w:tcPr>
          <w:p w14:paraId="22E82E37"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5</w:t>
            </w:r>
          </w:p>
        </w:tc>
        <w:tc>
          <w:tcPr>
            <w:tcW w:w="1025" w:type="dxa"/>
            <w:tcBorders>
              <w:top w:val="nil"/>
              <w:left w:val="nil"/>
              <w:bottom w:val="nil"/>
              <w:right w:val="nil"/>
            </w:tcBorders>
            <w:shd w:val="clear" w:color="auto" w:fill="auto"/>
            <w:vAlign w:val="center"/>
            <w:hideMark/>
          </w:tcPr>
          <w:p w14:paraId="4041CB5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w:t>
            </w:r>
          </w:p>
        </w:tc>
      </w:tr>
      <w:tr w:rsidR="00CD3AC7" w:rsidRPr="00CD3AC7" w14:paraId="78A52886" w14:textId="77777777" w:rsidTr="00CD3AC7">
        <w:trPr>
          <w:trHeight w:val="291"/>
        </w:trPr>
        <w:tc>
          <w:tcPr>
            <w:tcW w:w="746" w:type="dxa"/>
            <w:tcBorders>
              <w:top w:val="nil"/>
              <w:left w:val="nil"/>
              <w:bottom w:val="nil"/>
              <w:right w:val="nil"/>
            </w:tcBorders>
            <w:shd w:val="clear" w:color="auto" w:fill="auto"/>
            <w:hideMark/>
          </w:tcPr>
          <w:p w14:paraId="510D8A5D"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0F81FA04"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Time perception</w:t>
            </w:r>
          </w:p>
        </w:tc>
        <w:tc>
          <w:tcPr>
            <w:tcW w:w="1025" w:type="dxa"/>
            <w:tcBorders>
              <w:top w:val="nil"/>
              <w:left w:val="nil"/>
              <w:bottom w:val="nil"/>
              <w:right w:val="nil"/>
            </w:tcBorders>
            <w:shd w:val="clear" w:color="auto" w:fill="auto"/>
            <w:vAlign w:val="center"/>
            <w:hideMark/>
          </w:tcPr>
          <w:p w14:paraId="086111F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-0.51</w:t>
            </w:r>
          </w:p>
        </w:tc>
        <w:tc>
          <w:tcPr>
            <w:tcW w:w="1025" w:type="dxa"/>
            <w:tcBorders>
              <w:top w:val="nil"/>
              <w:left w:val="nil"/>
              <w:bottom w:val="nil"/>
              <w:right w:val="nil"/>
            </w:tcBorders>
            <w:shd w:val="clear" w:color="auto" w:fill="auto"/>
            <w:vAlign w:val="center"/>
            <w:hideMark/>
          </w:tcPr>
          <w:p w14:paraId="0EFB1882"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-0.64</w:t>
            </w:r>
          </w:p>
        </w:tc>
        <w:tc>
          <w:tcPr>
            <w:tcW w:w="1025" w:type="dxa"/>
            <w:tcBorders>
              <w:top w:val="nil"/>
              <w:left w:val="nil"/>
              <w:bottom w:val="nil"/>
              <w:right w:val="nil"/>
            </w:tcBorders>
            <w:shd w:val="clear" w:color="auto" w:fill="auto"/>
            <w:vAlign w:val="center"/>
            <w:hideMark/>
          </w:tcPr>
          <w:p w14:paraId="51E7FCA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-0.37</w:t>
            </w:r>
          </w:p>
        </w:tc>
        <w:tc>
          <w:tcPr>
            <w:tcW w:w="1025" w:type="dxa"/>
            <w:tcBorders>
              <w:top w:val="nil"/>
              <w:left w:val="nil"/>
              <w:bottom w:val="nil"/>
              <w:right w:val="nil"/>
            </w:tcBorders>
            <w:shd w:val="clear" w:color="auto" w:fill="auto"/>
            <w:vAlign w:val="center"/>
            <w:hideMark/>
          </w:tcPr>
          <w:p w14:paraId="4BD4932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15</w:t>
            </w:r>
          </w:p>
        </w:tc>
        <w:tc>
          <w:tcPr>
            <w:tcW w:w="1025" w:type="dxa"/>
            <w:tcBorders>
              <w:top w:val="nil"/>
              <w:left w:val="nil"/>
              <w:bottom w:val="nil"/>
              <w:right w:val="nil"/>
            </w:tcBorders>
            <w:shd w:val="clear" w:color="auto" w:fill="auto"/>
            <w:vAlign w:val="center"/>
            <w:hideMark/>
          </w:tcPr>
          <w:p w14:paraId="351EC62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r>
      <w:tr w:rsidR="00CD3AC7" w:rsidRPr="00CD3AC7" w14:paraId="40D8DC4F" w14:textId="77777777" w:rsidTr="00CD3AC7">
        <w:trPr>
          <w:trHeight w:val="291"/>
        </w:trPr>
        <w:tc>
          <w:tcPr>
            <w:tcW w:w="746" w:type="dxa"/>
            <w:tcBorders>
              <w:top w:val="nil"/>
              <w:left w:val="nil"/>
              <w:bottom w:val="nil"/>
              <w:right w:val="nil"/>
            </w:tcBorders>
            <w:shd w:val="clear" w:color="auto" w:fill="auto"/>
            <w:hideMark/>
          </w:tcPr>
          <w:p w14:paraId="731092C4"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5DDB4D3B"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Working memory (general)</w:t>
            </w:r>
          </w:p>
        </w:tc>
        <w:tc>
          <w:tcPr>
            <w:tcW w:w="1025" w:type="dxa"/>
            <w:tcBorders>
              <w:top w:val="nil"/>
              <w:left w:val="nil"/>
              <w:bottom w:val="nil"/>
              <w:right w:val="nil"/>
            </w:tcBorders>
            <w:shd w:val="clear" w:color="auto" w:fill="auto"/>
            <w:vAlign w:val="center"/>
            <w:hideMark/>
          </w:tcPr>
          <w:p w14:paraId="412EBD2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-0.44</w:t>
            </w:r>
          </w:p>
        </w:tc>
        <w:tc>
          <w:tcPr>
            <w:tcW w:w="1025" w:type="dxa"/>
            <w:tcBorders>
              <w:top w:val="nil"/>
              <w:left w:val="nil"/>
              <w:bottom w:val="nil"/>
              <w:right w:val="nil"/>
            </w:tcBorders>
            <w:shd w:val="clear" w:color="auto" w:fill="auto"/>
            <w:vAlign w:val="center"/>
            <w:hideMark/>
          </w:tcPr>
          <w:p w14:paraId="391B708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-0.57</w:t>
            </w:r>
          </w:p>
        </w:tc>
        <w:tc>
          <w:tcPr>
            <w:tcW w:w="1025" w:type="dxa"/>
            <w:tcBorders>
              <w:top w:val="nil"/>
              <w:left w:val="nil"/>
              <w:bottom w:val="nil"/>
              <w:right w:val="nil"/>
            </w:tcBorders>
            <w:shd w:val="clear" w:color="auto" w:fill="auto"/>
            <w:vAlign w:val="center"/>
            <w:hideMark/>
          </w:tcPr>
          <w:p w14:paraId="6CB8284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-0.32</w:t>
            </w:r>
          </w:p>
        </w:tc>
        <w:tc>
          <w:tcPr>
            <w:tcW w:w="1025" w:type="dxa"/>
            <w:tcBorders>
              <w:top w:val="nil"/>
              <w:left w:val="nil"/>
              <w:bottom w:val="nil"/>
              <w:right w:val="nil"/>
            </w:tcBorders>
            <w:shd w:val="clear" w:color="auto" w:fill="auto"/>
            <w:vAlign w:val="center"/>
            <w:hideMark/>
          </w:tcPr>
          <w:p w14:paraId="6FEE321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6</w:t>
            </w:r>
          </w:p>
        </w:tc>
        <w:tc>
          <w:tcPr>
            <w:tcW w:w="1025" w:type="dxa"/>
            <w:tcBorders>
              <w:top w:val="nil"/>
              <w:left w:val="nil"/>
              <w:bottom w:val="nil"/>
              <w:right w:val="nil"/>
            </w:tcBorders>
            <w:shd w:val="clear" w:color="auto" w:fill="auto"/>
            <w:vAlign w:val="center"/>
            <w:hideMark/>
          </w:tcPr>
          <w:p w14:paraId="20037CD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5</w:t>
            </w:r>
          </w:p>
        </w:tc>
      </w:tr>
      <w:tr w:rsidR="00CD3AC7" w:rsidRPr="00CD3AC7" w14:paraId="4466C2ED" w14:textId="77777777" w:rsidTr="00CD3AC7">
        <w:trPr>
          <w:trHeight w:val="291"/>
        </w:trPr>
        <w:tc>
          <w:tcPr>
            <w:tcW w:w="746" w:type="dxa"/>
            <w:tcBorders>
              <w:top w:val="nil"/>
              <w:left w:val="nil"/>
              <w:bottom w:val="nil"/>
              <w:right w:val="nil"/>
            </w:tcBorders>
            <w:shd w:val="clear" w:color="auto" w:fill="auto"/>
            <w:hideMark/>
          </w:tcPr>
          <w:p w14:paraId="5A888FE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440461A9"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Working memory Verbal</w:t>
            </w:r>
          </w:p>
        </w:tc>
        <w:tc>
          <w:tcPr>
            <w:tcW w:w="1025" w:type="dxa"/>
            <w:tcBorders>
              <w:top w:val="nil"/>
              <w:left w:val="nil"/>
              <w:bottom w:val="nil"/>
              <w:right w:val="nil"/>
            </w:tcBorders>
            <w:shd w:val="clear" w:color="auto" w:fill="auto"/>
            <w:vAlign w:val="center"/>
            <w:hideMark/>
          </w:tcPr>
          <w:p w14:paraId="77236FB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-0.46</w:t>
            </w:r>
          </w:p>
        </w:tc>
        <w:tc>
          <w:tcPr>
            <w:tcW w:w="1025" w:type="dxa"/>
            <w:tcBorders>
              <w:top w:val="nil"/>
              <w:left w:val="nil"/>
              <w:bottom w:val="nil"/>
              <w:right w:val="nil"/>
            </w:tcBorders>
            <w:shd w:val="clear" w:color="auto" w:fill="auto"/>
            <w:vAlign w:val="center"/>
            <w:hideMark/>
          </w:tcPr>
          <w:p w14:paraId="2581280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-0.58</w:t>
            </w:r>
          </w:p>
        </w:tc>
        <w:tc>
          <w:tcPr>
            <w:tcW w:w="1025" w:type="dxa"/>
            <w:tcBorders>
              <w:top w:val="nil"/>
              <w:left w:val="nil"/>
              <w:bottom w:val="nil"/>
              <w:right w:val="nil"/>
            </w:tcBorders>
            <w:shd w:val="clear" w:color="auto" w:fill="auto"/>
            <w:vAlign w:val="center"/>
            <w:hideMark/>
          </w:tcPr>
          <w:p w14:paraId="66E9741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-0.34</w:t>
            </w:r>
          </w:p>
        </w:tc>
        <w:tc>
          <w:tcPr>
            <w:tcW w:w="1025" w:type="dxa"/>
            <w:tcBorders>
              <w:top w:val="nil"/>
              <w:left w:val="nil"/>
              <w:bottom w:val="nil"/>
              <w:right w:val="nil"/>
            </w:tcBorders>
            <w:shd w:val="clear" w:color="auto" w:fill="auto"/>
            <w:vAlign w:val="center"/>
            <w:hideMark/>
          </w:tcPr>
          <w:p w14:paraId="2516ED72"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8</w:t>
            </w:r>
          </w:p>
        </w:tc>
        <w:tc>
          <w:tcPr>
            <w:tcW w:w="1025" w:type="dxa"/>
            <w:tcBorders>
              <w:top w:val="nil"/>
              <w:left w:val="nil"/>
              <w:bottom w:val="nil"/>
              <w:right w:val="nil"/>
            </w:tcBorders>
            <w:shd w:val="clear" w:color="auto" w:fill="auto"/>
            <w:vAlign w:val="center"/>
            <w:hideMark/>
          </w:tcPr>
          <w:p w14:paraId="7BA00182"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7</w:t>
            </w:r>
          </w:p>
        </w:tc>
      </w:tr>
      <w:tr w:rsidR="00CD3AC7" w:rsidRPr="00CD3AC7" w14:paraId="000EE926" w14:textId="77777777" w:rsidTr="00CD3AC7">
        <w:trPr>
          <w:trHeight w:val="291"/>
        </w:trPr>
        <w:tc>
          <w:tcPr>
            <w:tcW w:w="746" w:type="dxa"/>
            <w:tcBorders>
              <w:top w:val="nil"/>
              <w:left w:val="nil"/>
              <w:bottom w:val="nil"/>
              <w:right w:val="nil"/>
            </w:tcBorders>
            <w:shd w:val="clear" w:color="auto" w:fill="auto"/>
            <w:hideMark/>
          </w:tcPr>
          <w:p w14:paraId="3550CAC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777EFA9E"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Working memory Visual-spatial</w:t>
            </w:r>
          </w:p>
        </w:tc>
        <w:tc>
          <w:tcPr>
            <w:tcW w:w="1025" w:type="dxa"/>
            <w:tcBorders>
              <w:top w:val="nil"/>
              <w:left w:val="nil"/>
              <w:bottom w:val="nil"/>
              <w:right w:val="nil"/>
            </w:tcBorders>
            <w:shd w:val="clear" w:color="auto" w:fill="auto"/>
            <w:vAlign w:val="center"/>
            <w:hideMark/>
          </w:tcPr>
          <w:p w14:paraId="5D617B8E"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-0.63</w:t>
            </w:r>
          </w:p>
        </w:tc>
        <w:tc>
          <w:tcPr>
            <w:tcW w:w="1025" w:type="dxa"/>
            <w:tcBorders>
              <w:top w:val="nil"/>
              <w:left w:val="nil"/>
              <w:bottom w:val="nil"/>
              <w:right w:val="nil"/>
            </w:tcBorders>
            <w:shd w:val="clear" w:color="auto" w:fill="auto"/>
            <w:vAlign w:val="center"/>
            <w:hideMark/>
          </w:tcPr>
          <w:p w14:paraId="7FCDCFAC"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-0.87</w:t>
            </w:r>
          </w:p>
        </w:tc>
        <w:tc>
          <w:tcPr>
            <w:tcW w:w="1025" w:type="dxa"/>
            <w:tcBorders>
              <w:top w:val="nil"/>
              <w:left w:val="nil"/>
              <w:bottom w:val="nil"/>
              <w:right w:val="nil"/>
            </w:tcBorders>
            <w:shd w:val="clear" w:color="auto" w:fill="auto"/>
            <w:vAlign w:val="center"/>
            <w:hideMark/>
          </w:tcPr>
          <w:p w14:paraId="15A4F89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-0.40</w:t>
            </w:r>
          </w:p>
        </w:tc>
        <w:tc>
          <w:tcPr>
            <w:tcW w:w="1025" w:type="dxa"/>
            <w:tcBorders>
              <w:top w:val="nil"/>
              <w:left w:val="nil"/>
              <w:bottom w:val="nil"/>
              <w:right w:val="nil"/>
            </w:tcBorders>
            <w:shd w:val="clear" w:color="auto" w:fill="auto"/>
            <w:vAlign w:val="center"/>
            <w:hideMark/>
          </w:tcPr>
          <w:p w14:paraId="74E0888C"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5</w:t>
            </w:r>
          </w:p>
        </w:tc>
        <w:tc>
          <w:tcPr>
            <w:tcW w:w="1025" w:type="dxa"/>
            <w:tcBorders>
              <w:top w:val="nil"/>
              <w:left w:val="nil"/>
              <w:bottom w:val="nil"/>
              <w:right w:val="nil"/>
            </w:tcBorders>
            <w:shd w:val="clear" w:color="auto" w:fill="auto"/>
            <w:vAlign w:val="center"/>
            <w:hideMark/>
          </w:tcPr>
          <w:p w14:paraId="64E353B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r>
      <w:tr w:rsidR="00CD3AC7" w:rsidRPr="00CD3AC7" w14:paraId="12A34522" w14:textId="77777777" w:rsidTr="00CD3AC7">
        <w:trPr>
          <w:trHeight w:val="291"/>
        </w:trPr>
        <w:tc>
          <w:tcPr>
            <w:tcW w:w="9772" w:type="dxa"/>
            <w:gridSpan w:val="7"/>
            <w:tcBorders>
              <w:top w:val="nil"/>
              <w:left w:val="nil"/>
              <w:bottom w:val="nil"/>
              <w:right w:val="nil"/>
            </w:tcBorders>
            <w:shd w:val="clear" w:color="auto" w:fill="auto"/>
            <w:hideMark/>
          </w:tcPr>
          <w:p w14:paraId="57131897" w14:textId="0844B9E8" w:rsidR="00CD3AC7" w:rsidRPr="00CD3AC7" w:rsidRDefault="00CD3AC7" w:rsidP="00CD3AC7">
            <w:pPr>
              <w:tabs>
                <w:tab w:val="clear" w:pos="3068"/>
              </w:tabs>
              <w:spacing w:line="240" w:lineRule="auto"/>
              <w:ind w:firstLine="0"/>
              <w:rPr>
                <w:rFonts w:eastAsia="Times New Roman" w:cs="Calibri"/>
                <w:i/>
                <w:iCs/>
                <w:color w:val="000000"/>
                <w:szCs w:val="22"/>
                <w:shd w:val="clear" w:color="auto" w:fill="auto"/>
                <w:lang w:val="en-GB" w:eastAsia="en-GB"/>
              </w:rPr>
            </w:pPr>
            <w:r w:rsidRPr="00CD3AC7">
              <w:rPr>
                <w:rFonts w:eastAsia="Times New Roman" w:cs="Calibri"/>
                <w:i/>
                <w:iCs/>
                <w:color w:val="000000"/>
                <w:szCs w:val="22"/>
                <w:shd w:val="clear" w:color="auto" w:fill="auto"/>
                <w:lang w:val="en-GB" w:eastAsia="en-GB"/>
              </w:rPr>
              <w:t xml:space="preserve">Dyslexia </w:t>
            </w:r>
          </w:p>
        </w:tc>
      </w:tr>
      <w:tr w:rsidR="00CD3AC7" w:rsidRPr="00CD3AC7" w14:paraId="4DBF98A4" w14:textId="77777777" w:rsidTr="00CD3AC7">
        <w:trPr>
          <w:trHeight w:val="291"/>
        </w:trPr>
        <w:tc>
          <w:tcPr>
            <w:tcW w:w="746" w:type="dxa"/>
            <w:tcBorders>
              <w:top w:val="nil"/>
              <w:left w:val="nil"/>
              <w:bottom w:val="nil"/>
              <w:right w:val="nil"/>
            </w:tcBorders>
            <w:shd w:val="clear" w:color="auto" w:fill="auto"/>
            <w:hideMark/>
          </w:tcPr>
          <w:p w14:paraId="1C9FD629"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3AE7AE33"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Attention</w:t>
            </w:r>
          </w:p>
        </w:tc>
        <w:tc>
          <w:tcPr>
            <w:tcW w:w="1025" w:type="dxa"/>
            <w:tcBorders>
              <w:top w:val="nil"/>
              <w:left w:val="nil"/>
              <w:bottom w:val="nil"/>
              <w:right w:val="nil"/>
            </w:tcBorders>
            <w:shd w:val="clear" w:color="auto" w:fill="auto"/>
            <w:vAlign w:val="center"/>
            <w:hideMark/>
          </w:tcPr>
          <w:p w14:paraId="6512A30E"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-0.83</w:t>
            </w:r>
          </w:p>
        </w:tc>
        <w:tc>
          <w:tcPr>
            <w:tcW w:w="1025" w:type="dxa"/>
            <w:tcBorders>
              <w:top w:val="nil"/>
              <w:left w:val="nil"/>
              <w:bottom w:val="nil"/>
              <w:right w:val="nil"/>
            </w:tcBorders>
            <w:shd w:val="clear" w:color="auto" w:fill="auto"/>
            <w:vAlign w:val="center"/>
            <w:hideMark/>
          </w:tcPr>
          <w:p w14:paraId="170649B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-0.99</w:t>
            </w:r>
          </w:p>
        </w:tc>
        <w:tc>
          <w:tcPr>
            <w:tcW w:w="1025" w:type="dxa"/>
            <w:tcBorders>
              <w:top w:val="nil"/>
              <w:left w:val="nil"/>
              <w:bottom w:val="nil"/>
              <w:right w:val="nil"/>
            </w:tcBorders>
            <w:shd w:val="clear" w:color="auto" w:fill="auto"/>
            <w:vAlign w:val="center"/>
            <w:hideMark/>
          </w:tcPr>
          <w:p w14:paraId="674603E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-0.68</w:t>
            </w:r>
          </w:p>
        </w:tc>
        <w:tc>
          <w:tcPr>
            <w:tcW w:w="1025" w:type="dxa"/>
            <w:tcBorders>
              <w:top w:val="nil"/>
              <w:left w:val="nil"/>
              <w:bottom w:val="nil"/>
              <w:right w:val="nil"/>
            </w:tcBorders>
            <w:shd w:val="clear" w:color="auto" w:fill="auto"/>
            <w:vAlign w:val="center"/>
            <w:hideMark/>
          </w:tcPr>
          <w:p w14:paraId="0411D29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20</w:t>
            </w:r>
          </w:p>
        </w:tc>
        <w:tc>
          <w:tcPr>
            <w:tcW w:w="1025" w:type="dxa"/>
            <w:tcBorders>
              <w:top w:val="nil"/>
              <w:left w:val="nil"/>
              <w:bottom w:val="nil"/>
              <w:right w:val="nil"/>
            </w:tcBorders>
            <w:shd w:val="clear" w:color="auto" w:fill="auto"/>
            <w:vAlign w:val="center"/>
            <w:hideMark/>
          </w:tcPr>
          <w:p w14:paraId="3AC90B34"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r>
      <w:tr w:rsidR="00CD3AC7" w:rsidRPr="00CD3AC7" w14:paraId="01078AD3" w14:textId="77777777" w:rsidTr="00CD3AC7">
        <w:trPr>
          <w:trHeight w:val="291"/>
        </w:trPr>
        <w:tc>
          <w:tcPr>
            <w:tcW w:w="746" w:type="dxa"/>
            <w:tcBorders>
              <w:top w:val="nil"/>
              <w:left w:val="nil"/>
              <w:bottom w:val="nil"/>
              <w:right w:val="nil"/>
            </w:tcBorders>
            <w:shd w:val="clear" w:color="auto" w:fill="auto"/>
            <w:hideMark/>
          </w:tcPr>
          <w:p w14:paraId="4A4FA1B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6BFCF1E1"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Executive functions</w:t>
            </w:r>
          </w:p>
        </w:tc>
        <w:tc>
          <w:tcPr>
            <w:tcW w:w="1025" w:type="dxa"/>
            <w:tcBorders>
              <w:top w:val="nil"/>
              <w:left w:val="nil"/>
              <w:bottom w:val="nil"/>
              <w:right w:val="nil"/>
            </w:tcBorders>
            <w:shd w:val="clear" w:color="auto" w:fill="auto"/>
            <w:vAlign w:val="center"/>
            <w:hideMark/>
          </w:tcPr>
          <w:p w14:paraId="61D8283E"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-0.54</w:t>
            </w:r>
          </w:p>
        </w:tc>
        <w:tc>
          <w:tcPr>
            <w:tcW w:w="1025" w:type="dxa"/>
            <w:tcBorders>
              <w:top w:val="nil"/>
              <w:left w:val="nil"/>
              <w:bottom w:val="nil"/>
              <w:right w:val="nil"/>
            </w:tcBorders>
            <w:shd w:val="clear" w:color="auto" w:fill="auto"/>
            <w:vAlign w:val="center"/>
            <w:hideMark/>
          </w:tcPr>
          <w:p w14:paraId="3C8CB4C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-0.66</w:t>
            </w:r>
          </w:p>
        </w:tc>
        <w:tc>
          <w:tcPr>
            <w:tcW w:w="1025" w:type="dxa"/>
            <w:tcBorders>
              <w:top w:val="nil"/>
              <w:left w:val="nil"/>
              <w:bottom w:val="nil"/>
              <w:right w:val="nil"/>
            </w:tcBorders>
            <w:shd w:val="clear" w:color="auto" w:fill="auto"/>
            <w:vAlign w:val="center"/>
            <w:hideMark/>
          </w:tcPr>
          <w:p w14:paraId="7CFF2EF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-0.42</w:t>
            </w:r>
          </w:p>
        </w:tc>
        <w:tc>
          <w:tcPr>
            <w:tcW w:w="1025" w:type="dxa"/>
            <w:tcBorders>
              <w:top w:val="nil"/>
              <w:left w:val="nil"/>
              <w:bottom w:val="nil"/>
              <w:right w:val="nil"/>
            </w:tcBorders>
            <w:shd w:val="clear" w:color="auto" w:fill="auto"/>
            <w:vAlign w:val="center"/>
            <w:hideMark/>
          </w:tcPr>
          <w:p w14:paraId="64B9DEA5"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c>
          <w:tcPr>
            <w:tcW w:w="1025" w:type="dxa"/>
            <w:tcBorders>
              <w:top w:val="nil"/>
              <w:left w:val="nil"/>
              <w:bottom w:val="nil"/>
              <w:right w:val="nil"/>
            </w:tcBorders>
            <w:shd w:val="clear" w:color="auto" w:fill="auto"/>
            <w:vAlign w:val="center"/>
            <w:hideMark/>
          </w:tcPr>
          <w:p w14:paraId="499F583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3</w:t>
            </w:r>
          </w:p>
        </w:tc>
      </w:tr>
      <w:tr w:rsidR="00CD3AC7" w:rsidRPr="00CD3AC7" w14:paraId="5001DDFD" w14:textId="77777777" w:rsidTr="00CD3AC7">
        <w:trPr>
          <w:trHeight w:val="291"/>
        </w:trPr>
        <w:tc>
          <w:tcPr>
            <w:tcW w:w="746" w:type="dxa"/>
            <w:tcBorders>
              <w:top w:val="nil"/>
              <w:left w:val="nil"/>
              <w:bottom w:val="nil"/>
              <w:right w:val="nil"/>
            </w:tcBorders>
            <w:shd w:val="clear" w:color="auto" w:fill="auto"/>
            <w:hideMark/>
          </w:tcPr>
          <w:p w14:paraId="19658284"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664CCED4"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Intelligence / general cognition</w:t>
            </w:r>
          </w:p>
        </w:tc>
        <w:tc>
          <w:tcPr>
            <w:tcW w:w="1025" w:type="dxa"/>
            <w:tcBorders>
              <w:top w:val="nil"/>
              <w:left w:val="nil"/>
              <w:bottom w:val="nil"/>
              <w:right w:val="nil"/>
            </w:tcBorders>
            <w:shd w:val="clear" w:color="auto" w:fill="auto"/>
            <w:vAlign w:val="center"/>
            <w:hideMark/>
          </w:tcPr>
          <w:p w14:paraId="2BA78E4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-0.39</w:t>
            </w:r>
          </w:p>
        </w:tc>
        <w:tc>
          <w:tcPr>
            <w:tcW w:w="1025" w:type="dxa"/>
            <w:tcBorders>
              <w:top w:val="nil"/>
              <w:left w:val="nil"/>
              <w:bottom w:val="nil"/>
              <w:right w:val="nil"/>
            </w:tcBorders>
            <w:shd w:val="clear" w:color="auto" w:fill="auto"/>
            <w:vAlign w:val="center"/>
            <w:hideMark/>
          </w:tcPr>
          <w:p w14:paraId="560AAB5C"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-0.69</w:t>
            </w:r>
          </w:p>
        </w:tc>
        <w:tc>
          <w:tcPr>
            <w:tcW w:w="1025" w:type="dxa"/>
            <w:tcBorders>
              <w:top w:val="nil"/>
              <w:left w:val="nil"/>
              <w:bottom w:val="nil"/>
              <w:right w:val="nil"/>
            </w:tcBorders>
            <w:shd w:val="clear" w:color="auto" w:fill="auto"/>
            <w:vAlign w:val="center"/>
            <w:hideMark/>
          </w:tcPr>
          <w:p w14:paraId="725CD9A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-0.08</w:t>
            </w:r>
          </w:p>
        </w:tc>
        <w:tc>
          <w:tcPr>
            <w:tcW w:w="1025" w:type="dxa"/>
            <w:tcBorders>
              <w:top w:val="nil"/>
              <w:left w:val="nil"/>
              <w:bottom w:val="nil"/>
              <w:right w:val="nil"/>
            </w:tcBorders>
            <w:shd w:val="clear" w:color="auto" w:fill="auto"/>
            <w:vAlign w:val="center"/>
            <w:hideMark/>
          </w:tcPr>
          <w:p w14:paraId="6F162DA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6</w:t>
            </w:r>
          </w:p>
        </w:tc>
        <w:tc>
          <w:tcPr>
            <w:tcW w:w="1025" w:type="dxa"/>
            <w:tcBorders>
              <w:top w:val="nil"/>
              <w:left w:val="nil"/>
              <w:bottom w:val="nil"/>
              <w:right w:val="nil"/>
            </w:tcBorders>
            <w:shd w:val="clear" w:color="auto" w:fill="auto"/>
            <w:vAlign w:val="center"/>
            <w:hideMark/>
          </w:tcPr>
          <w:p w14:paraId="40E29884"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3</w:t>
            </w:r>
          </w:p>
        </w:tc>
      </w:tr>
      <w:tr w:rsidR="00CD3AC7" w:rsidRPr="00CD3AC7" w14:paraId="38438CAE" w14:textId="77777777" w:rsidTr="00CD3AC7">
        <w:trPr>
          <w:trHeight w:val="291"/>
        </w:trPr>
        <w:tc>
          <w:tcPr>
            <w:tcW w:w="746" w:type="dxa"/>
            <w:tcBorders>
              <w:top w:val="nil"/>
              <w:left w:val="nil"/>
              <w:bottom w:val="nil"/>
              <w:right w:val="nil"/>
            </w:tcBorders>
            <w:shd w:val="clear" w:color="auto" w:fill="auto"/>
            <w:hideMark/>
          </w:tcPr>
          <w:p w14:paraId="72AE0B2C"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19EF9624"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Language</w:t>
            </w:r>
          </w:p>
        </w:tc>
        <w:tc>
          <w:tcPr>
            <w:tcW w:w="1025" w:type="dxa"/>
            <w:tcBorders>
              <w:top w:val="nil"/>
              <w:left w:val="nil"/>
              <w:bottom w:val="nil"/>
              <w:right w:val="nil"/>
            </w:tcBorders>
            <w:shd w:val="clear" w:color="auto" w:fill="auto"/>
            <w:vAlign w:val="center"/>
            <w:hideMark/>
          </w:tcPr>
          <w:p w14:paraId="175F9FF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-0.92</w:t>
            </w:r>
          </w:p>
        </w:tc>
        <w:tc>
          <w:tcPr>
            <w:tcW w:w="1025" w:type="dxa"/>
            <w:tcBorders>
              <w:top w:val="nil"/>
              <w:left w:val="nil"/>
              <w:bottom w:val="nil"/>
              <w:right w:val="nil"/>
            </w:tcBorders>
            <w:shd w:val="clear" w:color="auto" w:fill="auto"/>
            <w:vAlign w:val="center"/>
            <w:hideMark/>
          </w:tcPr>
          <w:p w14:paraId="4A89C6F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-1.21</w:t>
            </w:r>
          </w:p>
        </w:tc>
        <w:tc>
          <w:tcPr>
            <w:tcW w:w="1025" w:type="dxa"/>
            <w:tcBorders>
              <w:top w:val="nil"/>
              <w:left w:val="nil"/>
              <w:bottom w:val="nil"/>
              <w:right w:val="nil"/>
            </w:tcBorders>
            <w:shd w:val="clear" w:color="auto" w:fill="auto"/>
            <w:vAlign w:val="center"/>
            <w:hideMark/>
          </w:tcPr>
          <w:p w14:paraId="22A2B697"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-0.63</w:t>
            </w:r>
          </w:p>
        </w:tc>
        <w:tc>
          <w:tcPr>
            <w:tcW w:w="1025" w:type="dxa"/>
            <w:tcBorders>
              <w:top w:val="nil"/>
              <w:left w:val="nil"/>
              <w:bottom w:val="nil"/>
              <w:right w:val="nil"/>
            </w:tcBorders>
            <w:shd w:val="clear" w:color="auto" w:fill="auto"/>
            <w:vAlign w:val="center"/>
            <w:hideMark/>
          </w:tcPr>
          <w:p w14:paraId="574395EC"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c>
          <w:tcPr>
            <w:tcW w:w="1025" w:type="dxa"/>
            <w:tcBorders>
              <w:top w:val="nil"/>
              <w:left w:val="nil"/>
              <w:bottom w:val="nil"/>
              <w:right w:val="nil"/>
            </w:tcBorders>
            <w:shd w:val="clear" w:color="auto" w:fill="auto"/>
            <w:vAlign w:val="center"/>
            <w:hideMark/>
          </w:tcPr>
          <w:p w14:paraId="56DB5B1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r>
      <w:tr w:rsidR="00CD3AC7" w:rsidRPr="00CD3AC7" w14:paraId="7CD86EA7" w14:textId="77777777" w:rsidTr="00CD3AC7">
        <w:trPr>
          <w:trHeight w:val="291"/>
        </w:trPr>
        <w:tc>
          <w:tcPr>
            <w:tcW w:w="746" w:type="dxa"/>
            <w:tcBorders>
              <w:top w:val="nil"/>
              <w:left w:val="nil"/>
              <w:bottom w:val="nil"/>
              <w:right w:val="nil"/>
            </w:tcBorders>
            <w:shd w:val="clear" w:color="auto" w:fill="auto"/>
            <w:hideMark/>
          </w:tcPr>
          <w:p w14:paraId="1278AF94"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3AF4755E"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Learning and memory</w:t>
            </w:r>
          </w:p>
        </w:tc>
        <w:tc>
          <w:tcPr>
            <w:tcW w:w="1025" w:type="dxa"/>
            <w:tcBorders>
              <w:top w:val="nil"/>
              <w:left w:val="nil"/>
              <w:bottom w:val="nil"/>
              <w:right w:val="nil"/>
            </w:tcBorders>
            <w:shd w:val="clear" w:color="auto" w:fill="auto"/>
            <w:vAlign w:val="center"/>
            <w:hideMark/>
          </w:tcPr>
          <w:p w14:paraId="4F475E4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-0.42</w:t>
            </w:r>
          </w:p>
        </w:tc>
        <w:tc>
          <w:tcPr>
            <w:tcW w:w="1025" w:type="dxa"/>
            <w:tcBorders>
              <w:top w:val="nil"/>
              <w:left w:val="nil"/>
              <w:bottom w:val="nil"/>
              <w:right w:val="nil"/>
            </w:tcBorders>
            <w:shd w:val="clear" w:color="auto" w:fill="auto"/>
            <w:vAlign w:val="center"/>
            <w:hideMark/>
          </w:tcPr>
          <w:p w14:paraId="7FF7CBE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-0.60</w:t>
            </w:r>
          </w:p>
        </w:tc>
        <w:tc>
          <w:tcPr>
            <w:tcW w:w="1025" w:type="dxa"/>
            <w:tcBorders>
              <w:top w:val="nil"/>
              <w:left w:val="nil"/>
              <w:bottom w:val="nil"/>
              <w:right w:val="nil"/>
            </w:tcBorders>
            <w:shd w:val="clear" w:color="auto" w:fill="auto"/>
            <w:vAlign w:val="center"/>
            <w:hideMark/>
          </w:tcPr>
          <w:p w14:paraId="6056A3D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-0.24</w:t>
            </w:r>
          </w:p>
        </w:tc>
        <w:tc>
          <w:tcPr>
            <w:tcW w:w="1025" w:type="dxa"/>
            <w:tcBorders>
              <w:top w:val="nil"/>
              <w:left w:val="nil"/>
              <w:bottom w:val="nil"/>
              <w:right w:val="nil"/>
            </w:tcBorders>
            <w:shd w:val="clear" w:color="auto" w:fill="auto"/>
            <w:vAlign w:val="center"/>
            <w:hideMark/>
          </w:tcPr>
          <w:p w14:paraId="76D8C5EC"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13</w:t>
            </w:r>
          </w:p>
        </w:tc>
        <w:tc>
          <w:tcPr>
            <w:tcW w:w="1025" w:type="dxa"/>
            <w:tcBorders>
              <w:top w:val="nil"/>
              <w:left w:val="nil"/>
              <w:bottom w:val="nil"/>
              <w:right w:val="nil"/>
            </w:tcBorders>
            <w:shd w:val="clear" w:color="auto" w:fill="auto"/>
            <w:vAlign w:val="center"/>
            <w:hideMark/>
          </w:tcPr>
          <w:p w14:paraId="752DE5DE"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5</w:t>
            </w:r>
          </w:p>
        </w:tc>
      </w:tr>
      <w:tr w:rsidR="00CD3AC7" w:rsidRPr="00CD3AC7" w14:paraId="7342681E" w14:textId="77777777" w:rsidTr="00CD3AC7">
        <w:trPr>
          <w:trHeight w:val="291"/>
        </w:trPr>
        <w:tc>
          <w:tcPr>
            <w:tcW w:w="746" w:type="dxa"/>
            <w:tcBorders>
              <w:top w:val="nil"/>
              <w:left w:val="nil"/>
              <w:bottom w:val="nil"/>
              <w:right w:val="nil"/>
            </w:tcBorders>
            <w:shd w:val="clear" w:color="auto" w:fill="auto"/>
            <w:hideMark/>
          </w:tcPr>
          <w:p w14:paraId="161A0A5C"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000C317C"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Oculomotor / motor control</w:t>
            </w:r>
          </w:p>
        </w:tc>
        <w:tc>
          <w:tcPr>
            <w:tcW w:w="1025" w:type="dxa"/>
            <w:tcBorders>
              <w:top w:val="nil"/>
              <w:left w:val="nil"/>
              <w:bottom w:val="nil"/>
              <w:right w:val="nil"/>
            </w:tcBorders>
            <w:shd w:val="clear" w:color="auto" w:fill="auto"/>
            <w:vAlign w:val="center"/>
            <w:hideMark/>
          </w:tcPr>
          <w:p w14:paraId="6ED30F27"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-0.47</w:t>
            </w:r>
          </w:p>
        </w:tc>
        <w:tc>
          <w:tcPr>
            <w:tcW w:w="1025" w:type="dxa"/>
            <w:tcBorders>
              <w:top w:val="nil"/>
              <w:left w:val="nil"/>
              <w:bottom w:val="nil"/>
              <w:right w:val="nil"/>
            </w:tcBorders>
            <w:shd w:val="clear" w:color="auto" w:fill="auto"/>
            <w:vAlign w:val="center"/>
            <w:hideMark/>
          </w:tcPr>
          <w:p w14:paraId="31F9325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-0.73</w:t>
            </w:r>
          </w:p>
        </w:tc>
        <w:tc>
          <w:tcPr>
            <w:tcW w:w="1025" w:type="dxa"/>
            <w:tcBorders>
              <w:top w:val="nil"/>
              <w:left w:val="nil"/>
              <w:bottom w:val="nil"/>
              <w:right w:val="nil"/>
            </w:tcBorders>
            <w:shd w:val="clear" w:color="auto" w:fill="auto"/>
            <w:vAlign w:val="center"/>
            <w:hideMark/>
          </w:tcPr>
          <w:p w14:paraId="400D4617"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-0.20</w:t>
            </w:r>
          </w:p>
        </w:tc>
        <w:tc>
          <w:tcPr>
            <w:tcW w:w="1025" w:type="dxa"/>
            <w:tcBorders>
              <w:top w:val="nil"/>
              <w:left w:val="nil"/>
              <w:bottom w:val="nil"/>
              <w:right w:val="nil"/>
            </w:tcBorders>
            <w:shd w:val="clear" w:color="auto" w:fill="auto"/>
            <w:vAlign w:val="center"/>
            <w:hideMark/>
          </w:tcPr>
          <w:p w14:paraId="5846BE5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5</w:t>
            </w:r>
          </w:p>
        </w:tc>
        <w:tc>
          <w:tcPr>
            <w:tcW w:w="1025" w:type="dxa"/>
            <w:tcBorders>
              <w:top w:val="nil"/>
              <w:left w:val="nil"/>
              <w:bottom w:val="nil"/>
              <w:right w:val="nil"/>
            </w:tcBorders>
            <w:shd w:val="clear" w:color="auto" w:fill="auto"/>
            <w:vAlign w:val="center"/>
            <w:hideMark/>
          </w:tcPr>
          <w:p w14:paraId="2CFFFAB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3</w:t>
            </w:r>
          </w:p>
        </w:tc>
      </w:tr>
      <w:tr w:rsidR="00CD3AC7" w:rsidRPr="00CD3AC7" w14:paraId="672FFED6" w14:textId="77777777" w:rsidTr="00CD3AC7">
        <w:trPr>
          <w:trHeight w:val="291"/>
        </w:trPr>
        <w:tc>
          <w:tcPr>
            <w:tcW w:w="746" w:type="dxa"/>
            <w:tcBorders>
              <w:top w:val="nil"/>
              <w:left w:val="nil"/>
              <w:bottom w:val="nil"/>
              <w:right w:val="nil"/>
            </w:tcBorders>
            <w:shd w:val="clear" w:color="auto" w:fill="auto"/>
            <w:noWrap/>
            <w:vAlign w:val="bottom"/>
            <w:hideMark/>
          </w:tcPr>
          <w:p w14:paraId="55A129B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22CAB4E4"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Perception</w:t>
            </w:r>
          </w:p>
        </w:tc>
        <w:tc>
          <w:tcPr>
            <w:tcW w:w="1025" w:type="dxa"/>
            <w:tcBorders>
              <w:top w:val="nil"/>
              <w:left w:val="nil"/>
              <w:bottom w:val="nil"/>
              <w:right w:val="nil"/>
            </w:tcBorders>
            <w:shd w:val="clear" w:color="auto" w:fill="auto"/>
            <w:vAlign w:val="center"/>
            <w:hideMark/>
          </w:tcPr>
          <w:p w14:paraId="558A4D05"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-0.65</w:t>
            </w:r>
          </w:p>
        </w:tc>
        <w:tc>
          <w:tcPr>
            <w:tcW w:w="1025" w:type="dxa"/>
            <w:tcBorders>
              <w:top w:val="nil"/>
              <w:left w:val="nil"/>
              <w:bottom w:val="nil"/>
              <w:right w:val="nil"/>
            </w:tcBorders>
            <w:shd w:val="clear" w:color="auto" w:fill="auto"/>
            <w:vAlign w:val="center"/>
            <w:hideMark/>
          </w:tcPr>
          <w:p w14:paraId="35B98984"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-0.73</w:t>
            </w:r>
          </w:p>
        </w:tc>
        <w:tc>
          <w:tcPr>
            <w:tcW w:w="1025" w:type="dxa"/>
            <w:tcBorders>
              <w:top w:val="nil"/>
              <w:left w:val="nil"/>
              <w:bottom w:val="nil"/>
              <w:right w:val="nil"/>
            </w:tcBorders>
            <w:shd w:val="clear" w:color="auto" w:fill="auto"/>
            <w:vAlign w:val="center"/>
            <w:hideMark/>
          </w:tcPr>
          <w:p w14:paraId="29DD587C"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-0.58</w:t>
            </w:r>
          </w:p>
        </w:tc>
        <w:tc>
          <w:tcPr>
            <w:tcW w:w="1025" w:type="dxa"/>
            <w:tcBorders>
              <w:top w:val="nil"/>
              <w:left w:val="nil"/>
              <w:bottom w:val="nil"/>
              <w:right w:val="nil"/>
            </w:tcBorders>
            <w:shd w:val="clear" w:color="auto" w:fill="auto"/>
            <w:vAlign w:val="center"/>
            <w:hideMark/>
          </w:tcPr>
          <w:p w14:paraId="2B98441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60</w:t>
            </w:r>
          </w:p>
        </w:tc>
        <w:tc>
          <w:tcPr>
            <w:tcW w:w="1025" w:type="dxa"/>
            <w:tcBorders>
              <w:top w:val="nil"/>
              <w:left w:val="nil"/>
              <w:bottom w:val="nil"/>
              <w:right w:val="nil"/>
            </w:tcBorders>
            <w:shd w:val="clear" w:color="auto" w:fill="auto"/>
            <w:vAlign w:val="center"/>
            <w:hideMark/>
          </w:tcPr>
          <w:p w14:paraId="0B7A202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11</w:t>
            </w:r>
          </w:p>
        </w:tc>
      </w:tr>
      <w:tr w:rsidR="00CD3AC7" w:rsidRPr="00CD3AC7" w14:paraId="39D1F44C" w14:textId="77777777" w:rsidTr="00CD3AC7">
        <w:trPr>
          <w:trHeight w:val="291"/>
        </w:trPr>
        <w:tc>
          <w:tcPr>
            <w:tcW w:w="746" w:type="dxa"/>
            <w:tcBorders>
              <w:top w:val="nil"/>
              <w:left w:val="nil"/>
              <w:bottom w:val="nil"/>
              <w:right w:val="nil"/>
            </w:tcBorders>
            <w:shd w:val="clear" w:color="auto" w:fill="auto"/>
            <w:noWrap/>
            <w:vAlign w:val="bottom"/>
            <w:hideMark/>
          </w:tcPr>
          <w:p w14:paraId="375037F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1B7F47D0"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Phonological processing</w:t>
            </w:r>
          </w:p>
        </w:tc>
        <w:tc>
          <w:tcPr>
            <w:tcW w:w="1025" w:type="dxa"/>
            <w:tcBorders>
              <w:top w:val="nil"/>
              <w:left w:val="nil"/>
              <w:bottom w:val="nil"/>
              <w:right w:val="nil"/>
            </w:tcBorders>
            <w:shd w:val="clear" w:color="auto" w:fill="auto"/>
            <w:vAlign w:val="center"/>
            <w:hideMark/>
          </w:tcPr>
          <w:p w14:paraId="7CF2A49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-1.12</w:t>
            </w:r>
          </w:p>
        </w:tc>
        <w:tc>
          <w:tcPr>
            <w:tcW w:w="1025" w:type="dxa"/>
            <w:tcBorders>
              <w:top w:val="nil"/>
              <w:left w:val="nil"/>
              <w:bottom w:val="nil"/>
              <w:right w:val="nil"/>
            </w:tcBorders>
            <w:shd w:val="clear" w:color="auto" w:fill="auto"/>
            <w:vAlign w:val="center"/>
            <w:hideMark/>
          </w:tcPr>
          <w:p w14:paraId="03A03CC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-1.30</w:t>
            </w:r>
          </w:p>
        </w:tc>
        <w:tc>
          <w:tcPr>
            <w:tcW w:w="1025" w:type="dxa"/>
            <w:tcBorders>
              <w:top w:val="nil"/>
              <w:left w:val="nil"/>
              <w:bottom w:val="nil"/>
              <w:right w:val="nil"/>
            </w:tcBorders>
            <w:shd w:val="clear" w:color="auto" w:fill="auto"/>
            <w:vAlign w:val="center"/>
            <w:hideMark/>
          </w:tcPr>
          <w:p w14:paraId="35473EC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-0.94</w:t>
            </w:r>
          </w:p>
        </w:tc>
        <w:tc>
          <w:tcPr>
            <w:tcW w:w="1025" w:type="dxa"/>
            <w:tcBorders>
              <w:top w:val="nil"/>
              <w:left w:val="nil"/>
              <w:bottom w:val="nil"/>
              <w:right w:val="nil"/>
            </w:tcBorders>
            <w:shd w:val="clear" w:color="auto" w:fill="auto"/>
            <w:vAlign w:val="center"/>
            <w:hideMark/>
          </w:tcPr>
          <w:p w14:paraId="09405EDE"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7</w:t>
            </w:r>
          </w:p>
        </w:tc>
        <w:tc>
          <w:tcPr>
            <w:tcW w:w="1025" w:type="dxa"/>
            <w:tcBorders>
              <w:top w:val="nil"/>
              <w:left w:val="nil"/>
              <w:bottom w:val="nil"/>
              <w:right w:val="nil"/>
            </w:tcBorders>
            <w:shd w:val="clear" w:color="auto" w:fill="auto"/>
            <w:vAlign w:val="center"/>
            <w:hideMark/>
          </w:tcPr>
          <w:p w14:paraId="058426D2"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r>
      <w:tr w:rsidR="00CD3AC7" w:rsidRPr="00CD3AC7" w14:paraId="1B2068B1" w14:textId="77777777" w:rsidTr="00CD3AC7">
        <w:trPr>
          <w:trHeight w:val="291"/>
        </w:trPr>
        <w:tc>
          <w:tcPr>
            <w:tcW w:w="746" w:type="dxa"/>
            <w:tcBorders>
              <w:top w:val="nil"/>
              <w:left w:val="nil"/>
              <w:bottom w:val="nil"/>
              <w:right w:val="nil"/>
            </w:tcBorders>
            <w:shd w:val="clear" w:color="auto" w:fill="auto"/>
            <w:noWrap/>
            <w:vAlign w:val="bottom"/>
            <w:hideMark/>
          </w:tcPr>
          <w:p w14:paraId="4695CF5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7C3F29BE"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Processing speed</w:t>
            </w:r>
          </w:p>
        </w:tc>
        <w:tc>
          <w:tcPr>
            <w:tcW w:w="1025" w:type="dxa"/>
            <w:tcBorders>
              <w:top w:val="nil"/>
              <w:left w:val="nil"/>
              <w:bottom w:val="nil"/>
              <w:right w:val="nil"/>
            </w:tcBorders>
            <w:shd w:val="clear" w:color="auto" w:fill="auto"/>
            <w:vAlign w:val="center"/>
            <w:hideMark/>
          </w:tcPr>
          <w:p w14:paraId="1E315DA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-0.73</w:t>
            </w:r>
          </w:p>
        </w:tc>
        <w:tc>
          <w:tcPr>
            <w:tcW w:w="1025" w:type="dxa"/>
            <w:tcBorders>
              <w:top w:val="nil"/>
              <w:left w:val="nil"/>
              <w:bottom w:val="nil"/>
              <w:right w:val="nil"/>
            </w:tcBorders>
            <w:shd w:val="clear" w:color="auto" w:fill="auto"/>
            <w:vAlign w:val="center"/>
            <w:hideMark/>
          </w:tcPr>
          <w:p w14:paraId="66E1A9D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-0.82</w:t>
            </w:r>
          </w:p>
        </w:tc>
        <w:tc>
          <w:tcPr>
            <w:tcW w:w="1025" w:type="dxa"/>
            <w:tcBorders>
              <w:top w:val="nil"/>
              <w:left w:val="nil"/>
              <w:bottom w:val="nil"/>
              <w:right w:val="nil"/>
            </w:tcBorders>
            <w:shd w:val="clear" w:color="auto" w:fill="auto"/>
            <w:vAlign w:val="center"/>
            <w:hideMark/>
          </w:tcPr>
          <w:p w14:paraId="7A3DEB2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-0.64</w:t>
            </w:r>
          </w:p>
        </w:tc>
        <w:tc>
          <w:tcPr>
            <w:tcW w:w="1025" w:type="dxa"/>
            <w:tcBorders>
              <w:top w:val="nil"/>
              <w:left w:val="nil"/>
              <w:bottom w:val="nil"/>
              <w:right w:val="nil"/>
            </w:tcBorders>
            <w:shd w:val="clear" w:color="auto" w:fill="auto"/>
            <w:vAlign w:val="center"/>
            <w:hideMark/>
          </w:tcPr>
          <w:p w14:paraId="34734B0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w:t>
            </w:r>
          </w:p>
        </w:tc>
        <w:tc>
          <w:tcPr>
            <w:tcW w:w="1025" w:type="dxa"/>
            <w:tcBorders>
              <w:top w:val="nil"/>
              <w:left w:val="nil"/>
              <w:bottom w:val="nil"/>
              <w:right w:val="nil"/>
            </w:tcBorders>
            <w:shd w:val="clear" w:color="auto" w:fill="auto"/>
            <w:vAlign w:val="center"/>
            <w:hideMark/>
          </w:tcPr>
          <w:p w14:paraId="4611276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w:t>
            </w:r>
          </w:p>
        </w:tc>
      </w:tr>
      <w:tr w:rsidR="00CD3AC7" w:rsidRPr="00CD3AC7" w14:paraId="494511E3" w14:textId="77777777" w:rsidTr="00CD3AC7">
        <w:trPr>
          <w:trHeight w:val="291"/>
        </w:trPr>
        <w:tc>
          <w:tcPr>
            <w:tcW w:w="746" w:type="dxa"/>
            <w:tcBorders>
              <w:top w:val="nil"/>
              <w:left w:val="nil"/>
              <w:bottom w:val="nil"/>
              <w:right w:val="nil"/>
            </w:tcBorders>
            <w:shd w:val="clear" w:color="auto" w:fill="auto"/>
            <w:noWrap/>
            <w:vAlign w:val="bottom"/>
            <w:hideMark/>
          </w:tcPr>
          <w:p w14:paraId="455D077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1CF47723"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Rapid automatized naming</w:t>
            </w:r>
          </w:p>
        </w:tc>
        <w:tc>
          <w:tcPr>
            <w:tcW w:w="1025" w:type="dxa"/>
            <w:tcBorders>
              <w:top w:val="nil"/>
              <w:left w:val="nil"/>
              <w:bottom w:val="nil"/>
              <w:right w:val="nil"/>
            </w:tcBorders>
            <w:shd w:val="clear" w:color="auto" w:fill="auto"/>
            <w:vAlign w:val="center"/>
            <w:hideMark/>
          </w:tcPr>
          <w:p w14:paraId="698B4CC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-1.11</w:t>
            </w:r>
          </w:p>
        </w:tc>
        <w:tc>
          <w:tcPr>
            <w:tcW w:w="1025" w:type="dxa"/>
            <w:tcBorders>
              <w:top w:val="nil"/>
              <w:left w:val="nil"/>
              <w:bottom w:val="nil"/>
              <w:right w:val="nil"/>
            </w:tcBorders>
            <w:shd w:val="clear" w:color="auto" w:fill="auto"/>
            <w:vAlign w:val="center"/>
            <w:hideMark/>
          </w:tcPr>
          <w:p w14:paraId="200E8BE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-1.28</w:t>
            </w:r>
          </w:p>
        </w:tc>
        <w:tc>
          <w:tcPr>
            <w:tcW w:w="1025" w:type="dxa"/>
            <w:tcBorders>
              <w:top w:val="nil"/>
              <w:left w:val="nil"/>
              <w:bottom w:val="nil"/>
              <w:right w:val="nil"/>
            </w:tcBorders>
            <w:shd w:val="clear" w:color="auto" w:fill="auto"/>
            <w:vAlign w:val="center"/>
            <w:hideMark/>
          </w:tcPr>
          <w:p w14:paraId="6919C334"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-0.94</w:t>
            </w:r>
          </w:p>
        </w:tc>
        <w:tc>
          <w:tcPr>
            <w:tcW w:w="1025" w:type="dxa"/>
            <w:tcBorders>
              <w:top w:val="nil"/>
              <w:left w:val="nil"/>
              <w:bottom w:val="nil"/>
              <w:right w:val="nil"/>
            </w:tcBorders>
            <w:shd w:val="clear" w:color="auto" w:fill="auto"/>
            <w:vAlign w:val="center"/>
            <w:hideMark/>
          </w:tcPr>
          <w:p w14:paraId="1C629B2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8</w:t>
            </w:r>
          </w:p>
        </w:tc>
        <w:tc>
          <w:tcPr>
            <w:tcW w:w="1025" w:type="dxa"/>
            <w:tcBorders>
              <w:top w:val="nil"/>
              <w:left w:val="nil"/>
              <w:bottom w:val="nil"/>
              <w:right w:val="nil"/>
            </w:tcBorders>
            <w:shd w:val="clear" w:color="auto" w:fill="auto"/>
            <w:vAlign w:val="center"/>
            <w:hideMark/>
          </w:tcPr>
          <w:p w14:paraId="0DE5F06C"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r>
      <w:tr w:rsidR="00CD3AC7" w:rsidRPr="00CD3AC7" w14:paraId="5A59BEFF" w14:textId="77777777" w:rsidTr="00CD3AC7">
        <w:trPr>
          <w:trHeight w:val="291"/>
        </w:trPr>
        <w:tc>
          <w:tcPr>
            <w:tcW w:w="746" w:type="dxa"/>
            <w:tcBorders>
              <w:top w:val="nil"/>
              <w:left w:val="nil"/>
              <w:bottom w:val="nil"/>
              <w:right w:val="nil"/>
            </w:tcBorders>
            <w:shd w:val="clear" w:color="auto" w:fill="auto"/>
            <w:noWrap/>
            <w:vAlign w:val="bottom"/>
            <w:hideMark/>
          </w:tcPr>
          <w:p w14:paraId="79CC0335"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22A40EFA"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Social cognition</w:t>
            </w:r>
          </w:p>
        </w:tc>
        <w:tc>
          <w:tcPr>
            <w:tcW w:w="1025" w:type="dxa"/>
            <w:tcBorders>
              <w:top w:val="nil"/>
              <w:left w:val="nil"/>
              <w:bottom w:val="nil"/>
              <w:right w:val="nil"/>
            </w:tcBorders>
            <w:shd w:val="clear" w:color="auto" w:fill="auto"/>
            <w:vAlign w:val="center"/>
            <w:hideMark/>
          </w:tcPr>
          <w:p w14:paraId="0ADF5714"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-0.46</w:t>
            </w:r>
          </w:p>
        </w:tc>
        <w:tc>
          <w:tcPr>
            <w:tcW w:w="1025" w:type="dxa"/>
            <w:tcBorders>
              <w:top w:val="nil"/>
              <w:left w:val="nil"/>
              <w:bottom w:val="nil"/>
              <w:right w:val="nil"/>
            </w:tcBorders>
            <w:shd w:val="clear" w:color="auto" w:fill="auto"/>
            <w:vAlign w:val="center"/>
            <w:hideMark/>
          </w:tcPr>
          <w:p w14:paraId="351C4DF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-0.57</w:t>
            </w:r>
          </w:p>
        </w:tc>
        <w:tc>
          <w:tcPr>
            <w:tcW w:w="1025" w:type="dxa"/>
            <w:tcBorders>
              <w:top w:val="nil"/>
              <w:left w:val="nil"/>
              <w:bottom w:val="nil"/>
              <w:right w:val="nil"/>
            </w:tcBorders>
            <w:shd w:val="clear" w:color="auto" w:fill="auto"/>
            <w:vAlign w:val="center"/>
            <w:hideMark/>
          </w:tcPr>
          <w:p w14:paraId="19E7E34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-0.34</w:t>
            </w:r>
          </w:p>
        </w:tc>
        <w:tc>
          <w:tcPr>
            <w:tcW w:w="1025" w:type="dxa"/>
            <w:tcBorders>
              <w:top w:val="nil"/>
              <w:left w:val="nil"/>
              <w:bottom w:val="nil"/>
              <w:right w:val="nil"/>
            </w:tcBorders>
            <w:shd w:val="clear" w:color="auto" w:fill="auto"/>
            <w:vAlign w:val="center"/>
            <w:hideMark/>
          </w:tcPr>
          <w:p w14:paraId="70081AB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c>
          <w:tcPr>
            <w:tcW w:w="1025" w:type="dxa"/>
            <w:tcBorders>
              <w:top w:val="nil"/>
              <w:left w:val="nil"/>
              <w:bottom w:val="nil"/>
              <w:right w:val="nil"/>
            </w:tcBorders>
            <w:shd w:val="clear" w:color="auto" w:fill="auto"/>
            <w:vAlign w:val="center"/>
            <w:hideMark/>
          </w:tcPr>
          <w:p w14:paraId="01F620EC"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w:t>
            </w:r>
          </w:p>
        </w:tc>
      </w:tr>
      <w:tr w:rsidR="00CD3AC7" w:rsidRPr="00CD3AC7" w14:paraId="3066619B" w14:textId="77777777" w:rsidTr="00CD3AC7">
        <w:trPr>
          <w:trHeight w:val="291"/>
        </w:trPr>
        <w:tc>
          <w:tcPr>
            <w:tcW w:w="746" w:type="dxa"/>
            <w:tcBorders>
              <w:top w:val="nil"/>
              <w:left w:val="nil"/>
              <w:bottom w:val="nil"/>
              <w:right w:val="nil"/>
            </w:tcBorders>
            <w:shd w:val="clear" w:color="auto" w:fill="auto"/>
            <w:noWrap/>
            <w:vAlign w:val="bottom"/>
            <w:hideMark/>
          </w:tcPr>
          <w:p w14:paraId="40011E7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05FBC129"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Working memory (general)</w:t>
            </w:r>
          </w:p>
        </w:tc>
        <w:tc>
          <w:tcPr>
            <w:tcW w:w="1025" w:type="dxa"/>
            <w:tcBorders>
              <w:top w:val="nil"/>
              <w:left w:val="nil"/>
              <w:bottom w:val="nil"/>
              <w:right w:val="nil"/>
            </w:tcBorders>
            <w:shd w:val="clear" w:color="auto" w:fill="auto"/>
            <w:vAlign w:val="center"/>
            <w:hideMark/>
          </w:tcPr>
          <w:p w14:paraId="262DFF4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-0.75</w:t>
            </w:r>
          </w:p>
        </w:tc>
        <w:tc>
          <w:tcPr>
            <w:tcW w:w="1025" w:type="dxa"/>
            <w:tcBorders>
              <w:top w:val="nil"/>
              <w:left w:val="nil"/>
              <w:bottom w:val="nil"/>
              <w:right w:val="nil"/>
            </w:tcBorders>
            <w:shd w:val="clear" w:color="auto" w:fill="auto"/>
            <w:vAlign w:val="center"/>
            <w:hideMark/>
          </w:tcPr>
          <w:p w14:paraId="4DA67E1D"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-0.99</w:t>
            </w:r>
          </w:p>
        </w:tc>
        <w:tc>
          <w:tcPr>
            <w:tcW w:w="1025" w:type="dxa"/>
            <w:tcBorders>
              <w:top w:val="nil"/>
              <w:left w:val="nil"/>
              <w:bottom w:val="nil"/>
              <w:right w:val="nil"/>
            </w:tcBorders>
            <w:shd w:val="clear" w:color="auto" w:fill="auto"/>
            <w:vAlign w:val="center"/>
            <w:hideMark/>
          </w:tcPr>
          <w:p w14:paraId="0740F10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-0.50</w:t>
            </w:r>
          </w:p>
        </w:tc>
        <w:tc>
          <w:tcPr>
            <w:tcW w:w="1025" w:type="dxa"/>
            <w:tcBorders>
              <w:top w:val="nil"/>
              <w:left w:val="nil"/>
              <w:bottom w:val="nil"/>
              <w:right w:val="nil"/>
            </w:tcBorders>
            <w:shd w:val="clear" w:color="auto" w:fill="auto"/>
            <w:vAlign w:val="center"/>
            <w:hideMark/>
          </w:tcPr>
          <w:p w14:paraId="616B993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5</w:t>
            </w:r>
          </w:p>
        </w:tc>
        <w:tc>
          <w:tcPr>
            <w:tcW w:w="1025" w:type="dxa"/>
            <w:tcBorders>
              <w:top w:val="nil"/>
              <w:left w:val="nil"/>
              <w:bottom w:val="nil"/>
              <w:right w:val="nil"/>
            </w:tcBorders>
            <w:shd w:val="clear" w:color="auto" w:fill="auto"/>
            <w:vAlign w:val="center"/>
            <w:hideMark/>
          </w:tcPr>
          <w:p w14:paraId="77E1E6F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w:t>
            </w:r>
          </w:p>
        </w:tc>
      </w:tr>
      <w:tr w:rsidR="00CD3AC7" w:rsidRPr="00CD3AC7" w14:paraId="4AD5A8FB" w14:textId="77777777" w:rsidTr="00CD3AC7">
        <w:trPr>
          <w:trHeight w:val="291"/>
        </w:trPr>
        <w:tc>
          <w:tcPr>
            <w:tcW w:w="746" w:type="dxa"/>
            <w:tcBorders>
              <w:top w:val="nil"/>
              <w:left w:val="nil"/>
              <w:bottom w:val="nil"/>
              <w:right w:val="nil"/>
            </w:tcBorders>
            <w:shd w:val="clear" w:color="auto" w:fill="auto"/>
            <w:noWrap/>
            <w:vAlign w:val="bottom"/>
            <w:hideMark/>
          </w:tcPr>
          <w:p w14:paraId="62BB430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450888CA"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Working memory Numerical</w:t>
            </w:r>
          </w:p>
        </w:tc>
        <w:tc>
          <w:tcPr>
            <w:tcW w:w="1025" w:type="dxa"/>
            <w:tcBorders>
              <w:top w:val="nil"/>
              <w:left w:val="nil"/>
              <w:bottom w:val="nil"/>
              <w:right w:val="nil"/>
            </w:tcBorders>
            <w:shd w:val="clear" w:color="auto" w:fill="auto"/>
            <w:vAlign w:val="center"/>
            <w:hideMark/>
          </w:tcPr>
          <w:p w14:paraId="73748E4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-0.42</w:t>
            </w:r>
          </w:p>
        </w:tc>
        <w:tc>
          <w:tcPr>
            <w:tcW w:w="1025" w:type="dxa"/>
            <w:tcBorders>
              <w:top w:val="nil"/>
              <w:left w:val="nil"/>
              <w:bottom w:val="nil"/>
              <w:right w:val="nil"/>
            </w:tcBorders>
            <w:shd w:val="clear" w:color="auto" w:fill="auto"/>
            <w:vAlign w:val="center"/>
            <w:hideMark/>
          </w:tcPr>
          <w:p w14:paraId="59829B3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-0.64</w:t>
            </w:r>
          </w:p>
        </w:tc>
        <w:tc>
          <w:tcPr>
            <w:tcW w:w="1025" w:type="dxa"/>
            <w:tcBorders>
              <w:top w:val="nil"/>
              <w:left w:val="nil"/>
              <w:bottom w:val="nil"/>
              <w:right w:val="nil"/>
            </w:tcBorders>
            <w:shd w:val="clear" w:color="auto" w:fill="auto"/>
            <w:vAlign w:val="center"/>
            <w:hideMark/>
          </w:tcPr>
          <w:p w14:paraId="0289AF5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-0.20</w:t>
            </w:r>
          </w:p>
        </w:tc>
        <w:tc>
          <w:tcPr>
            <w:tcW w:w="1025" w:type="dxa"/>
            <w:tcBorders>
              <w:top w:val="nil"/>
              <w:left w:val="nil"/>
              <w:bottom w:val="nil"/>
              <w:right w:val="nil"/>
            </w:tcBorders>
            <w:shd w:val="clear" w:color="auto" w:fill="auto"/>
            <w:vAlign w:val="center"/>
            <w:hideMark/>
          </w:tcPr>
          <w:p w14:paraId="7718DAC5"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w:t>
            </w:r>
          </w:p>
        </w:tc>
        <w:tc>
          <w:tcPr>
            <w:tcW w:w="1025" w:type="dxa"/>
            <w:tcBorders>
              <w:top w:val="nil"/>
              <w:left w:val="nil"/>
              <w:bottom w:val="nil"/>
              <w:right w:val="nil"/>
            </w:tcBorders>
            <w:shd w:val="clear" w:color="auto" w:fill="auto"/>
            <w:vAlign w:val="center"/>
            <w:hideMark/>
          </w:tcPr>
          <w:p w14:paraId="0F8DB7ED"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w:t>
            </w:r>
          </w:p>
        </w:tc>
      </w:tr>
      <w:tr w:rsidR="00CD3AC7" w:rsidRPr="00CD3AC7" w14:paraId="73A67B08" w14:textId="77777777" w:rsidTr="00CD3AC7">
        <w:trPr>
          <w:trHeight w:val="291"/>
        </w:trPr>
        <w:tc>
          <w:tcPr>
            <w:tcW w:w="746" w:type="dxa"/>
            <w:tcBorders>
              <w:top w:val="nil"/>
              <w:left w:val="nil"/>
              <w:bottom w:val="nil"/>
              <w:right w:val="nil"/>
            </w:tcBorders>
            <w:shd w:val="clear" w:color="auto" w:fill="auto"/>
            <w:noWrap/>
            <w:vAlign w:val="bottom"/>
            <w:hideMark/>
          </w:tcPr>
          <w:p w14:paraId="01C093A2"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53EC5749"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Working memory Verbal</w:t>
            </w:r>
          </w:p>
        </w:tc>
        <w:tc>
          <w:tcPr>
            <w:tcW w:w="1025" w:type="dxa"/>
            <w:tcBorders>
              <w:top w:val="nil"/>
              <w:left w:val="nil"/>
              <w:bottom w:val="nil"/>
              <w:right w:val="nil"/>
            </w:tcBorders>
            <w:shd w:val="clear" w:color="auto" w:fill="auto"/>
            <w:vAlign w:val="center"/>
            <w:hideMark/>
          </w:tcPr>
          <w:p w14:paraId="2CDD7685"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-0.79</w:t>
            </w:r>
          </w:p>
        </w:tc>
        <w:tc>
          <w:tcPr>
            <w:tcW w:w="1025" w:type="dxa"/>
            <w:tcBorders>
              <w:top w:val="nil"/>
              <w:left w:val="nil"/>
              <w:bottom w:val="nil"/>
              <w:right w:val="nil"/>
            </w:tcBorders>
            <w:shd w:val="clear" w:color="auto" w:fill="auto"/>
            <w:vAlign w:val="center"/>
            <w:hideMark/>
          </w:tcPr>
          <w:p w14:paraId="4718A57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-0.98</w:t>
            </w:r>
          </w:p>
        </w:tc>
        <w:tc>
          <w:tcPr>
            <w:tcW w:w="1025" w:type="dxa"/>
            <w:tcBorders>
              <w:top w:val="nil"/>
              <w:left w:val="nil"/>
              <w:bottom w:val="nil"/>
              <w:right w:val="nil"/>
            </w:tcBorders>
            <w:shd w:val="clear" w:color="auto" w:fill="auto"/>
            <w:vAlign w:val="center"/>
            <w:hideMark/>
          </w:tcPr>
          <w:p w14:paraId="17913F5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-0.60</w:t>
            </w:r>
          </w:p>
        </w:tc>
        <w:tc>
          <w:tcPr>
            <w:tcW w:w="1025" w:type="dxa"/>
            <w:tcBorders>
              <w:top w:val="nil"/>
              <w:left w:val="nil"/>
              <w:bottom w:val="nil"/>
              <w:right w:val="nil"/>
            </w:tcBorders>
            <w:shd w:val="clear" w:color="auto" w:fill="auto"/>
            <w:vAlign w:val="center"/>
            <w:hideMark/>
          </w:tcPr>
          <w:p w14:paraId="3A38D144"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6</w:t>
            </w:r>
          </w:p>
        </w:tc>
        <w:tc>
          <w:tcPr>
            <w:tcW w:w="1025" w:type="dxa"/>
            <w:tcBorders>
              <w:top w:val="nil"/>
              <w:left w:val="nil"/>
              <w:bottom w:val="nil"/>
              <w:right w:val="nil"/>
            </w:tcBorders>
            <w:shd w:val="clear" w:color="auto" w:fill="auto"/>
            <w:vAlign w:val="center"/>
            <w:hideMark/>
          </w:tcPr>
          <w:p w14:paraId="30C0E88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5</w:t>
            </w:r>
          </w:p>
        </w:tc>
      </w:tr>
      <w:tr w:rsidR="00CD3AC7" w:rsidRPr="00CD3AC7" w14:paraId="396BEADF" w14:textId="77777777" w:rsidTr="00CD3AC7">
        <w:trPr>
          <w:trHeight w:val="291"/>
        </w:trPr>
        <w:tc>
          <w:tcPr>
            <w:tcW w:w="746" w:type="dxa"/>
            <w:tcBorders>
              <w:top w:val="nil"/>
              <w:left w:val="nil"/>
              <w:bottom w:val="nil"/>
              <w:right w:val="nil"/>
            </w:tcBorders>
            <w:shd w:val="clear" w:color="auto" w:fill="auto"/>
            <w:noWrap/>
            <w:vAlign w:val="bottom"/>
            <w:hideMark/>
          </w:tcPr>
          <w:p w14:paraId="54CACDE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hideMark/>
          </w:tcPr>
          <w:p w14:paraId="034900D7"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Working memory Visual-spatial</w:t>
            </w:r>
          </w:p>
        </w:tc>
        <w:tc>
          <w:tcPr>
            <w:tcW w:w="1025" w:type="dxa"/>
            <w:tcBorders>
              <w:top w:val="nil"/>
              <w:left w:val="nil"/>
              <w:bottom w:val="nil"/>
              <w:right w:val="nil"/>
            </w:tcBorders>
            <w:shd w:val="clear" w:color="auto" w:fill="auto"/>
            <w:vAlign w:val="center"/>
            <w:hideMark/>
          </w:tcPr>
          <w:p w14:paraId="22B1F24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-0.44</w:t>
            </w:r>
          </w:p>
        </w:tc>
        <w:tc>
          <w:tcPr>
            <w:tcW w:w="1025" w:type="dxa"/>
            <w:tcBorders>
              <w:top w:val="nil"/>
              <w:left w:val="nil"/>
              <w:bottom w:val="nil"/>
              <w:right w:val="nil"/>
            </w:tcBorders>
            <w:shd w:val="clear" w:color="auto" w:fill="auto"/>
            <w:vAlign w:val="center"/>
            <w:hideMark/>
          </w:tcPr>
          <w:p w14:paraId="1FA7594C"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-0.71</w:t>
            </w:r>
          </w:p>
        </w:tc>
        <w:tc>
          <w:tcPr>
            <w:tcW w:w="1025" w:type="dxa"/>
            <w:tcBorders>
              <w:top w:val="nil"/>
              <w:left w:val="nil"/>
              <w:bottom w:val="nil"/>
              <w:right w:val="nil"/>
            </w:tcBorders>
            <w:shd w:val="clear" w:color="auto" w:fill="auto"/>
            <w:vAlign w:val="center"/>
            <w:hideMark/>
          </w:tcPr>
          <w:p w14:paraId="72196D22"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-0.17</w:t>
            </w:r>
          </w:p>
        </w:tc>
        <w:tc>
          <w:tcPr>
            <w:tcW w:w="1025" w:type="dxa"/>
            <w:tcBorders>
              <w:top w:val="nil"/>
              <w:left w:val="nil"/>
              <w:bottom w:val="nil"/>
              <w:right w:val="nil"/>
            </w:tcBorders>
            <w:shd w:val="clear" w:color="auto" w:fill="auto"/>
            <w:vAlign w:val="center"/>
            <w:hideMark/>
          </w:tcPr>
          <w:p w14:paraId="547C97D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3</w:t>
            </w:r>
          </w:p>
        </w:tc>
        <w:tc>
          <w:tcPr>
            <w:tcW w:w="1025" w:type="dxa"/>
            <w:tcBorders>
              <w:top w:val="nil"/>
              <w:left w:val="nil"/>
              <w:bottom w:val="nil"/>
              <w:right w:val="nil"/>
            </w:tcBorders>
            <w:shd w:val="clear" w:color="auto" w:fill="auto"/>
            <w:vAlign w:val="center"/>
            <w:hideMark/>
          </w:tcPr>
          <w:p w14:paraId="4ADA729E"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w:t>
            </w:r>
          </w:p>
        </w:tc>
      </w:tr>
      <w:tr w:rsidR="00CD3AC7" w:rsidRPr="00CD3AC7" w14:paraId="2CD0D610" w14:textId="77777777" w:rsidTr="00CD3AC7">
        <w:trPr>
          <w:trHeight w:val="291"/>
        </w:trPr>
        <w:tc>
          <w:tcPr>
            <w:tcW w:w="9772" w:type="dxa"/>
            <w:gridSpan w:val="7"/>
            <w:tcBorders>
              <w:top w:val="nil"/>
              <w:left w:val="nil"/>
              <w:bottom w:val="nil"/>
              <w:right w:val="nil"/>
            </w:tcBorders>
            <w:shd w:val="clear" w:color="auto" w:fill="auto"/>
            <w:noWrap/>
            <w:vAlign w:val="bottom"/>
            <w:hideMark/>
          </w:tcPr>
          <w:p w14:paraId="7C1E2DD2" w14:textId="4A2ECE0B" w:rsidR="00CD3AC7" w:rsidRPr="00CD3AC7" w:rsidRDefault="00CD3AC7" w:rsidP="00CD3AC7">
            <w:pPr>
              <w:tabs>
                <w:tab w:val="clear" w:pos="3068"/>
              </w:tabs>
              <w:spacing w:line="240" w:lineRule="auto"/>
              <w:ind w:firstLine="0"/>
              <w:rPr>
                <w:rFonts w:eastAsia="Times New Roman" w:cs="Calibri"/>
                <w:i/>
                <w:iCs/>
                <w:color w:val="000000"/>
                <w:szCs w:val="22"/>
                <w:shd w:val="clear" w:color="auto" w:fill="auto"/>
                <w:lang w:val="en-GB" w:eastAsia="en-GB"/>
              </w:rPr>
            </w:pPr>
            <w:r w:rsidRPr="00CD3AC7">
              <w:rPr>
                <w:rFonts w:eastAsia="Times New Roman" w:cs="Calibri"/>
                <w:i/>
                <w:iCs/>
                <w:color w:val="000000"/>
                <w:szCs w:val="22"/>
                <w:shd w:val="clear" w:color="auto" w:fill="auto"/>
                <w:lang w:val="en-GB" w:eastAsia="en-GB"/>
              </w:rPr>
              <w:t>ADHD - executive functions subdomains</w:t>
            </w:r>
          </w:p>
        </w:tc>
      </w:tr>
      <w:tr w:rsidR="00CD3AC7" w:rsidRPr="00CD3AC7" w14:paraId="33119656" w14:textId="77777777" w:rsidTr="00CD3AC7">
        <w:trPr>
          <w:trHeight w:val="291"/>
        </w:trPr>
        <w:tc>
          <w:tcPr>
            <w:tcW w:w="746" w:type="dxa"/>
            <w:tcBorders>
              <w:top w:val="nil"/>
              <w:left w:val="nil"/>
              <w:bottom w:val="nil"/>
              <w:right w:val="nil"/>
            </w:tcBorders>
            <w:shd w:val="clear" w:color="auto" w:fill="auto"/>
            <w:noWrap/>
            <w:vAlign w:val="bottom"/>
            <w:hideMark/>
          </w:tcPr>
          <w:p w14:paraId="62B0F88E"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noWrap/>
            <w:vAlign w:val="bottom"/>
            <w:hideMark/>
          </w:tcPr>
          <w:p w14:paraId="3A3C4A22"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Error monitoring</w:t>
            </w:r>
          </w:p>
        </w:tc>
        <w:tc>
          <w:tcPr>
            <w:tcW w:w="1025" w:type="dxa"/>
            <w:tcBorders>
              <w:top w:val="nil"/>
              <w:left w:val="nil"/>
              <w:bottom w:val="nil"/>
              <w:right w:val="nil"/>
            </w:tcBorders>
            <w:shd w:val="clear" w:color="auto" w:fill="auto"/>
            <w:noWrap/>
            <w:vAlign w:val="bottom"/>
            <w:hideMark/>
          </w:tcPr>
          <w:p w14:paraId="35F4DF6E"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-0.40</w:t>
            </w:r>
          </w:p>
        </w:tc>
        <w:tc>
          <w:tcPr>
            <w:tcW w:w="1025" w:type="dxa"/>
            <w:tcBorders>
              <w:top w:val="nil"/>
              <w:left w:val="nil"/>
              <w:bottom w:val="nil"/>
              <w:right w:val="nil"/>
            </w:tcBorders>
            <w:shd w:val="clear" w:color="auto" w:fill="auto"/>
            <w:noWrap/>
            <w:vAlign w:val="bottom"/>
            <w:hideMark/>
          </w:tcPr>
          <w:p w14:paraId="0E2C5A14"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-0.81</w:t>
            </w:r>
          </w:p>
        </w:tc>
        <w:tc>
          <w:tcPr>
            <w:tcW w:w="1025" w:type="dxa"/>
            <w:tcBorders>
              <w:top w:val="nil"/>
              <w:left w:val="nil"/>
              <w:bottom w:val="nil"/>
              <w:right w:val="nil"/>
            </w:tcBorders>
            <w:shd w:val="clear" w:color="auto" w:fill="auto"/>
            <w:noWrap/>
            <w:vAlign w:val="bottom"/>
            <w:hideMark/>
          </w:tcPr>
          <w:p w14:paraId="56885FF2"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0.00</w:t>
            </w:r>
          </w:p>
        </w:tc>
        <w:tc>
          <w:tcPr>
            <w:tcW w:w="1025" w:type="dxa"/>
            <w:tcBorders>
              <w:top w:val="nil"/>
              <w:left w:val="nil"/>
              <w:bottom w:val="nil"/>
              <w:right w:val="nil"/>
            </w:tcBorders>
            <w:shd w:val="clear" w:color="auto" w:fill="auto"/>
            <w:noWrap/>
            <w:vAlign w:val="bottom"/>
            <w:hideMark/>
          </w:tcPr>
          <w:p w14:paraId="48D5A6F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3</w:t>
            </w:r>
          </w:p>
        </w:tc>
        <w:tc>
          <w:tcPr>
            <w:tcW w:w="1025" w:type="dxa"/>
            <w:tcBorders>
              <w:top w:val="nil"/>
              <w:left w:val="nil"/>
              <w:bottom w:val="nil"/>
              <w:right w:val="nil"/>
            </w:tcBorders>
            <w:shd w:val="clear" w:color="auto" w:fill="auto"/>
            <w:noWrap/>
            <w:vAlign w:val="bottom"/>
            <w:hideMark/>
          </w:tcPr>
          <w:p w14:paraId="4773730D"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w:t>
            </w:r>
          </w:p>
        </w:tc>
      </w:tr>
      <w:tr w:rsidR="00CD3AC7" w:rsidRPr="00CD3AC7" w14:paraId="23174882" w14:textId="77777777" w:rsidTr="00CD3AC7">
        <w:trPr>
          <w:trHeight w:val="291"/>
        </w:trPr>
        <w:tc>
          <w:tcPr>
            <w:tcW w:w="746" w:type="dxa"/>
            <w:tcBorders>
              <w:top w:val="nil"/>
              <w:left w:val="nil"/>
              <w:bottom w:val="nil"/>
              <w:right w:val="nil"/>
            </w:tcBorders>
            <w:shd w:val="clear" w:color="auto" w:fill="auto"/>
            <w:noWrap/>
            <w:vAlign w:val="bottom"/>
            <w:hideMark/>
          </w:tcPr>
          <w:p w14:paraId="44C1283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noWrap/>
            <w:vAlign w:val="bottom"/>
            <w:hideMark/>
          </w:tcPr>
          <w:p w14:paraId="413006E4"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Fluency</w:t>
            </w:r>
          </w:p>
        </w:tc>
        <w:tc>
          <w:tcPr>
            <w:tcW w:w="1025" w:type="dxa"/>
            <w:tcBorders>
              <w:top w:val="nil"/>
              <w:left w:val="nil"/>
              <w:bottom w:val="nil"/>
              <w:right w:val="nil"/>
            </w:tcBorders>
            <w:shd w:val="clear" w:color="auto" w:fill="auto"/>
            <w:noWrap/>
            <w:vAlign w:val="bottom"/>
            <w:hideMark/>
          </w:tcPr>
          <w:p w14:paraId="6A8534E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-0.57</w:t>
            </w:r>
          </w:p>
        </w:tc>
        <w:tc>
          <w:tcPr>
            <w:tcW w:w="1025" w:type="dxa"/>
            <w:tcBorders>
              <w:top w:val="nil"/>
              <w:left w:val="nil"/>
              <w:bottom w:val="nil"/>
              <w:right w:val="nil"/>
            </w:tcBorders>
            <w:shd w:val="clear" w:color="auto" w:fill="auto"/>
            <w:noWrap/>
            <w:vAlign w:val="bottom"/>
            <w:hideMark/>
          </w:tcPr>
          <w:p w14:paraId="134BD7E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-0.79</w:t>
            </w:r>
          </w:p>
        </w:tc>
        <w:tc>
          <w:tcPr>
            <w:tcW w:w="1025" w:type="dxa"/>
            <w:tcBorders>
              <w:top w:val="nil"/>
              <w:left w:val="nil"/>
              <w:bottom w:val="nil"/>
              <w:right w:val="nil"/>
            </w:tcBorders>
            <w:shd w:val="clear" w:color="auto" w:fill="auto"/>
            <w:noWrap/>
            <w:vAlign w:val="bottom"/>
            <w:hideMark/>
          </w:tcPr>
          <w:p w14:paraId="5FA6FCD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-0.34</w:t>
            </w:r>
          </w:p>
        </w:tc>
        <w:tc>
          <w:tcPr>
            <w:tcW w:w="1025" w:type="dxa"/>
            <w:tcBorders>
              <w:top w:val="nil"/>
              <w:left w:val="nil"/>
              <w:bottom w:val="nil"/>
              <w:right w:val="nil"/>
            </w:tcBorders>
            <w:shd w:val="clear" w:color="auto" w:fill="auto"/>
            <w:noWrap/>
            <w:vAlign w:val="bottom"/>
            <w:hideMark/>
          </w:tcPr>
          <w:p w14:paraId="243F370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w:t>
            </w:r>
          </w:p>
        </w:tc>
        <w:tc>
          <w:tcPr>
            <w:tcW w:w="1025" w:type="dxa"/>
            <w:tcBorders>
              <w:top w:val="nil"/>
              <w:left w:val="nil"/>
              <w:bottom w:val="nil"/>
              <w:right w:val="nil"/>
            </w:tcBorders>
            <w:shd w:val="clear" w:color="auto" w:fill="auto"/>
            <w:noWrap/>
            <w:vAlign w:val="bottom"/>
            <w:hideMark/>
          </w:tcPr>
          <w:p w14:paraId="282EB66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w:t>
            </w:r>
          </w:p>
        </w:tc>
      </w:tr>
      <w:tr w:rsidR="00CD3AC7" w:rsidRPr="00CD3AC7" w14:paraId="46B618A4" w14:textId="77777777" w:rsidTr="00CD3AC7">
        <w:trPr>
          <w:trHeight w:val="291"/>
        </w:trPr>
        <w:tc>
          <w:tcPr>
            <w:tcW w:w="746" w:type="dxa"/>
            <w:tcBorders>
              <w:top w:val="nil"/>
              <w:left w:val="nil"/>
              <w:bottom w:val="nil"/>
              <w:right w:val="nil"/>
            </w:tcBorders>
            <w:shd w:val="clear" w:color="auto" w:fill="auto"/>
            <w:noWrap/>
            <w:vAlign w:val="bottom"/>
            <w:hideMark/>
          </w:tcPr>
          <w:p w14:paraId="4F456F94"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noWrap/>
            <w:vAlign w:val="bottom"/>
            <w:hideMark/>
          </w:tcPr>
          <w:p w14:paraId="35D65E21"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Planning / organization</w:t>
            </w:r>
          </w:p>
        </w:tc>
        <w:tc>
          <w:tcPr>
            <w:tcW w:w="1025" w:type="dxa"/>
            <w:tcBorders>
              <w:top w:val="nil"/>
              <w:left w:val="nil"/>
              <w:bottom w:val="nil"/>
              <w:right w:val="nil"/>
            </w:tcBorders>
            <w:shd w:val="clear" w:color="auto" w:fill="auto"/>
            <w:noWrap/>
            <w:vAlign w:val="bottom"/>
            <w:hideMark/>
          </w:tcPr>
          <w:p w14:paraId="7BE5D7E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-0.53</w:t>
            </w:r>
          </w:p>
        </w:tc>
        <w:tc>
          <w:tcPr>
            <w:tcW w:w="1025" w:type="dxa"/>
            <w:tcBorders>
              <w:top w:val="nil"/>
              <w:left w:val="nil"/>
              <w:bottom w:val="nil"/>
              <w:right w:val="nil"/>
            </w:tcBorders>
            <w:shd w:val="clear" w:color="auto" w:fill="auto"/>
            <w:noWrap/>
            <w:vAlign w:val="bottom"/>
            <w:hideMark/>
          </w:tcPr>
          <w:p w14:paraId="3B98906F"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-0.74</w:t>
            </w:r>
          </w:p>
        </w:tc>
        <w:tc>
          <w:tcPr>
            <w:tcW w:w="1025" w:type="dxa"/>
            <w:tcBorders>
              <w:top w:val="nil"/>
              <w:left w:val="nil"/>
              <w:bottom w:val="nil"/>
              <w:right w:val="nil"/>
            </w:tcBorders>
            <w:shd w:val="clear" w:color="auto" w:fill="auto"/>
            <w:noWrap/>
            <w:vAlign w:val="bottom"/>
            <w:hideMark/>
          </w:tcPr>
          <w:p w14:paraId="66E9D22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-0.33</w:t>
            </w:r>
          </w:p>
        </w:tc>
        <w:tc>
          <w:tcPr>
            <w:tcW w:w="1025" w:type="dxa"/>
            <w:tcBorders>
              <w:top w:val="nil"/>
              <w:left w:val="nil"/>
              <w:bottom w:val="nil"/>
              <w:right w:val="nil"/>
            </w:tcBorders>
            <w:shd w:val="clear" w:color="auto" w:fill="auto"/>
            <w:noWrap/>
            <w:vAlign w:val="bottom"/>
            <w:hideMark/>
          </w:tcPr>
          <w:p w14:paraId="33302E9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c>
          <w:tcPr>
            <w:tcW w:w="1025" w:type="dxa"/>
            <w:tcBorders>
              <w:top w:val="nil"/>
              <w:left w:val="nil"/>
              <w:bottom w:val="nil"/>
              <w:right w:val="nil"/>
            </w:tcBorders>
            <w:shd w:val="clear" w:color="auto" w:fill="auto"/>
            <w:noWrap/>
            <w:vAlign w:val="bottom"/>
            <w:hideMark/>
          </w:tcPr>
          <w:p w14:paraId="5A77F31A"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w:t>
            </w:r>
          </w:p>
        </w:tc>
      </w:tr>
      <w:tr w:rsidR="00CD3AC7" w:rsidRPr="00CD3AC7" w14:paraId="531B3CCD" w14:textId="77777777" w:rsidTr="00CD3AC7">
        <w:trPr>
          <w:trHeight w:val="291"/>
        </w:trPr>
        <w:tc>
          <w:tcPr>
            <w:tcW w:w="746" w:type="dxa"/>
            <w:tcBorders>
              <w:top w:val="nil"/>
              <w:left w:val="nil"/>
              <w:bottom w:val="nil"/>
              <w:right w:val="nil"/>
            </w:tcBorders>
            <w:shd w:val="clear" w:color="auto" w:fill="auto"/>
            <w:noWrap/>
            <w:vAlign w:val="bottom"/>
            <w:hideMark/>
          </w:tcPr>
          <w:p w14:paraId="52DC308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noWrap/>
            <w:vAlign w:val="bottom"/>
            <w:hideMark/>
          </w:tcPr>
          <w:p w14:paraId="643DB867"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Problem solving</w:t>
            </w:r>
          </w:p>
        </w:tc>
        <w:tc>
          <w:tcPr>
            <w:tcW w:w="1025" w:type="dxa"/>
            <w:tcBorders>
              <w:top w:val="nil"/>
              <w:left w:val="nil"/>
              <w:bottom w:val="nil"/>
              <w:right w:val="nil"/>
            </w:tcBorders>
            <w:shd w:val="clear" w:color="auto" w:fill="auto"/>
            <w:noWrap/>
            <w:vAlign w:val="bottom"/>
            <w:hideMark/>
          </w:tcPr>
          <w:p w14:paraId="2ED824B4"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-0.23</w:t>
            </w:r>
          </w:p>
        </w:tc>
        <w:tc>
          <w:tcPr>
            <w:tcW w:w="1025" w:type="dxa"/>
            <w:tcBorders>
              <w:top w:val="nil"/>
              <w:left w:val="nil"/>
              <w:bottom w:val="nil"/>
              <w:right w:val="nil"/>
            </w:tcBorders>
            <w:shd w:val="clear" w:color="auto" w:fill="auto"/>
            <w:noWrap/>
            <w:vAlign w:val="bottom"/>
            <w:hideMark/>
          </w:tcPr>
          <w:p w14:paraId="3504ECB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-0.67</w:t>
            </w:r>
          </w:p>
        </w:tc>
        <w:tc>
          <w:tcPr>
            <w:tcW w:w="1025" w:type="dxa"/>
            <w:tcBorders>
              <w:top w:val="nil"/>
              <w:left w:val="nil"/>
              <w:bottom w:val="nil"/>
              <w:right w:val="nil"/>
            </w:tcBorders>
            <w:shd w:val="clear" w:color="auto" w:fill="auto"/>
            <w:noWrap/>
            <w:vAlign w:val="bottom"/>
            <w:hideMark/>
          </w:tcPr>
          <w:p w14:paraId="18F96AA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0.20</w:t>
            </w:r>
          </w:p>
        </w:tc>
        <w:tc>
          <w:tcPr>
            <w:tcW w:w="1025" w:type="dxa"/>
            <w:tcBorders>
              <w:top w:val="nil"/>
              <w:left w:val="nil"/>
              <w:bottom w:val="nil"/>
              <w:right w:val="nil"/>
            </w:tcBorders>
            <w:shd w:val="clear" w:color="auto" w:fill="auto"/>
            <w:noWrap/>
            <w:vAlign w:val="bottom"/>
            <w:hideMark/>
          </w:tcPr>
          <w:p w14:paraId="337DDB38"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c>
          <w:tcPr>
            <w:tcW w:w="1025" w:type="dxa"/>
            <w:tcBorders>
              <w:top w:val="nil"/>
              <w:left w:val="nil"/>
              <w:bottom w:val="nil"/>
              <w:right w:val="nil"/>
            </w:tcBorders>
            <w:shd w:val="clear" w:color="auto" w:fill="auto"/>
            <w:noWrap/>
            <w:vAlign w:val="bottom"/>
            <w:hideMark/>
          </w:tcPr>
          <w:p w14:paraId="7E4FB68D"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w:t>
            </w:r>
          </w:p>
        </w:tc>
      </w:tr>
      <w:tr w:rsidR="00CD3AC7" w:rsidRPr="00CD3AC7" w14:paraId="1AE3350E" w14:textId="77777777" w:rsidTr="00CD3AC7">
        <w:trPr>
          <w:trHeight w:val="291"/>
        </w:trPr>
        <w:tc>
          <w:tcPr>
            <w:tcW w:w="746" w:type="dxa"/>
            <w:tcBorders>
              <w:top w:val="nil"/>
              <w:left w:val="nil"/>
              <w:bottom w:val="nil"/>
              <w:right w:val="nil"/>
            </w:tcBorders>
            <w:shd w:val="clear" w:color="auto" w:fill="auto"/>
            <w:noWrap/>
            <w:vAlign w:val="bottom"/>
            <w:hideMark/>
          </w:tcPr>
          <w:p w14:paraId="56F86EC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p>
        </w:tc>
        <w:tc>
          <w:tcPr>
            <w:tcW w:w="3897" w:type="dxa"/>
            <w:tcBorders>
              <w:top w:val="nil"/>
              <w:left w:val="nil"/>
              <w:bottom w:val="nil"/>
              <w:right w:val="nil"/>
            </w:tcBorders>
            <w:shd w:val="clear" w:color="auto" w:fill="auto"/>
            <w:noWrap/>
            <w:vAlign w:val="bottom"/>
            <w:hideMark/>
          </w:tcPr>
          <w:p w14:paraId="13BF5849"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Response inhibition</w:t>
            </w:r>
          </w:p>
        </w:tc>
        <w:tc>
          <w:tcPr>
            <w:tcW w:w="1025" w:type="dxa"/>
            <w:tcBorders>
              <w:top w:val="nil"/>
              <w:left w:val="nil"/>
              <w:bottom w:val="nil"/>
              <w:right w:val="nil"/>
            </w:tcBorders>
            <w:shd w:val="clear" w:color="auto" w:fill="auto"/>
            <w:noWrap/>
            <w:vAlign w:val="bottom"/>
            <w:hideMark/>
          </w:tcPr>
          <w:p w14:paraId="2EAAA9A2"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-0.54</w:t>
            </w:r>
          </w:p>
        </w:tc>
        <w:tc>
          <w:tcPr>
            <w:tcW w:w="1025" w:type="dxa"/>
            <w:tcBorders>
              <w:top w:val="nil"/>
              <w:left w:val="nil"/>
              <w:bottom w:val="nil"/>
              <w:right w:val="nil"/>
            </w:tcBorders>
            <w:shd w:val="clear" w:color="auto" w:fill="auto"/>
            <w:noWrap/>
            <w:vAlign w:val="bottom"/>
            <w:hideMark/>
          </w:tcPr>
          <w:p w14:paraId="643A7FC5"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-0.65</w:t>
            </w:r>
          </w:p>
        </w:tc>
        <w:tc>
          <w:tcPr>
            <w:tcW w:w="1025" w:type="dxa"/>
            <w:tcBorders>
              <w:top w:val="nil"/>
              <w:left w:val="nil"/>
              <w:bottom w:val="nil"/>
              <w:right w:val="nil"/>
            </w:tcBorders>
            <w:shd w:val="clear" w:color="auto" w:fill="auto"/>
            <w:noWrap/>
            <w:vAlign w:val="bottom"/>
            <w:hideMark/>
          </w:tcPr>
          <w:p w14:paraId="33449331"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-0.42</w:t>
            </w:r>
          </w:p>
        </w:tc>
        <w:tc>
          <w:tcPr>
            <w:tcW w:w="1025" w:type="dxa"/>
            <w:tcBorders>
              <w:top w:val="nil"/>
              <w:left w:val="nil"/>
              <w:bottom w:val="nil"/>
              <w:right w:val="nil"/>
            </w:tcBorders>
            <w:shd w:val="clear" w:color="auto" w:fill="auto"/>
            <w:noWrap/>
            <w:vAlign w:val="bottom"/>
            <w:hideMark/>
          </w:tcPr>
          <w:p w14:paraId="68CF847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25</w:t>
            </w:r>
          </w:p>
        </w:tc>
        <w:tc>
          <w:tcPr>
            <w:tcW w:w="1025" w:type="dxa"/>
            <w:tcBorders>
              <w:top w:val="nil"/>
              <w:left w:val="nil"/>
              <w:bottom w:val="nil"/>
              <w:right w:val="nil"/>
            </w:tcBorders>
            <w:shd w:val="clear" w:color="auto" w:fill="auto"/>
            <w:noWrap/>
            <w:vAlign w:val="bottom"/>
            <w:hideMark/>
          </w:tcPr>
          <w:p w14:paraId="7C1A6009"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15</w:t>
            </w:r>
          </w:p>
        </w:tc>
      </w:tr>
      <w:tr w:rsidR="00CD3AC7" w:rsidRPr="00CD3AC7" w14:paraId="14180B74" w14:textId="77777777" w:rsidTr="00CD3AC7">
        <w:trPr>
          <w:trHeight w:val="291"/>
        </w:trPr>
        <w:tc>
          <w:tcPr>
            <w:tcW w:w="746" w:type="dxa"/>
            <w:tcBorders>
              <w:top w:val="nil"/>
              <w:left w:val="nil"/>
              <w:bottom w:val="single" w:sz="4" w:space="0" w:color="auto"/>
              <w:right w:val="nil"/>
            </w:tcBorders>
            <w:shd w:val="clear" w:color="auto" w:fill="auto"/>
            <w:noWrap/>
            <w:vAlign w:val="bottom"/>
            <w:hideMark/>
          </w:tcPr>
          <w:p w14:paraId="19771043"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 </w:t>
            </w:r>
          </w:p>
        </w:tc>
        <w:tc>
          <w:tcPr>
            <w:tcW w:w="3897" w:type="dxa"/>
            <w:tcBorders>
              <w:top w:val="nil"/>
              <w:left w:val="nil"/>
              <w:bottom w:val="single" w:sz="4" w:space="0" w:color="auto"/>
              <w:right w:val="nil"/>
            </w:tcBorders>
            <w:shd w:val="clear" w:color="auto" w:fill="auto"/>
            <w:noWrap/>
            <w:vAlign w:val="bottom"/>
            <w:hideMark/>
          </w:tcPr>
          <w:p w14:paraId="07B79A55" w14:textId="77777777" w:rsidR="00CD3AC7" w:rsidRPr="00CD3AC7" w:rsidRDefault="00CD3AC7" w:rsidP="00CD3AC7">
            <w:pPr>
              <w:tabs>
                <w:tab w:val="clear" w:pos="3068"/>
              </w:tabs>
              <w:spacing w:line="240" w:lineRule="auto"/>
              <w:ind w:firstLine="0"/>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Set shifting / cognitive flexibility</w:t>
            </w:r>
          </w:p>
        </w:tc>
        <w:tc>
          <w:tcPr>
            <w:tcW w:w="1025" w:type="dxa"/>
            <w:tcBorders>
              <w:top w:val="nil"/>
              <w:left w:val="nil"/>
              <w:bottom w:val="single" w:sz="4" w:space="0" w:color="auto"/>
              <w:right w:val="nil"/>
            </w:tcBorders>
            <w:shd w:val="clear" w:color="auto" w:fill="auto"/>
            <w:noWrap/>
            <w:vAlign w:val="bottom"/>
            <w:hideMark/>
          </w:tcPr>
          <w:p w14:paraId="29A86700"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-0.26</w:t>
            </w:r>
          </w:p>
        </w:tc>
        <w:tc>
          <w:tcPr>
            <w:tcW w:w="1025" w:type="dxa"/>
            <w:tcBorders>
              <w:top w:val="nil"/>
              <w:left w:val="nil"/>
              <w:bottom w:val="single" w:sz="4" w:space="0" w:color="auto"/>
              <w:right w:val="nil"/>
            </w:tcBorders>
            <w:shd w:val="clear" w:color="auto" w:fill="auto"/>
            <w:noWrap/>
            <w:vAlign w:val="bottom"/>
            <w:hideMark/>
          </w:tcPr>
          <w:p w14:paraId="3C8446B6"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-0.52</w:t>
            </w:r>
          </w:p>
        </w:tc>
        <w:tc>
          <w:tcPr>
            <w:tcW w:w="1025" w:type="dxa"/>
            <w:tcBorders>
              <w:top w:val="nil"/>
              <w:left w:val="nil"/>
              <w:bottom w:val="single" w:sz="4" w:space="0" w:color="auto"/>
              <w:right w:val="nil"/>
            </w:tcBorders>
            <w:shd w:val="clear" w:color="auto" w:fill="auto"/>
            <w:noWrap/>
            <w:vAlign w:val="bottom"/>
            <w:hideMark/>
          </w:tcPr>
          <w:p w14:paraId="39999A8B"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0.01</w:t>
            </w:r>
          </w:p>
        </w:tc>
        <w:tc>
          <w:tcPr>
            <w:tcW w:w="1025" w:type="dxa"/>
            <w:tcBorders>
              <w:top w:val="nil"/>
              <w:left w:val="nil"/>
              <w:bottom w:val="single" w:sz="4" w:space="0" w:color="auto"/>
              <w:right w:val="nil"/>
            </w:tcBorders>
            <w:shd w:val="clear" w:color="auto" w:fill="auto"/>
            <w:noWrap/>
            <w:vAlign w:val="bottom"/>
            <w:hideMark/>
          </w:tcPr>
          <w:p w14:paraId="54CAABF3"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4</w:t>
            </w:r>
          </w:p>
        </w:tc>
        <w:tc>
          <w:tcPr>
            <w:tcW w:w="1025" w:type="dxa"/>
            <w:tcBorders>
              <w:top w:val="nil"/>
              <w:left w:val="nil"/>
              <w:bottom w:val="single" w:sz="4" w:space="0" w:color="auto"/>
              <w:right w:val="nil"/>
            </w:tcBorders>
            <w:shd w:val="clear" w:color="auto" w:fill="auto"/>
            <w:noWrap/>
            <w:vAlign w:val="bottom"/>
            <w:hideMark/>
          </w:tcPr>
          <w:p w14:paraId="7E3360DD" w14:textId="77777777" w:rsidR="00CD3AC7" w:rsidRPr="00CD3AC7" w:rsidRDefault="00CD3AC7" w:rsidP="00CD3AC7">
            <w:pPr>
              <w:tabs>
                <w:tab w:val="clear" w:pos="3068"/>
              </w:tabs>
              <w:spacing w:line="240" w:lineRule="auto"/>
              <w:ind w:firstLine="0"/>
              <w:jc w:val="center"/>
              <w:rPr>
                <w:rFonts w:eastAsia="Times New Roman" w:cs="Calibri"/>
                <w:color w:val="000000"/>
                <w:szCs w:val="22"/>
                <w:shd w:val="clear" w:color="auto" w:fill="auto"/>
                <w:lang w:val="en-GB" w:eastAsia="en-GB"/>
              </w:rPr>
            </w:pPr>
            <w:r w:rsidRPr="00CD3AC7">
              <w:rPr>
                <w:rFonts w:eastAsia="Times New Roman" w:cs="Calibri"/>
                <w:color w:val="000000"/>
                <w:szCs w:val="22"/>
                <w:shd w:val="clear" w:color="auto" w:fill="auto"/>
                <w:lang w:val="en-GB" w:eastAsia="en-GB"/>
              </w:rPr>
              <w:t>3</w:t>
            </w:r>
          </w:p>
        </w:tc>
      </w:tr>
    </w:tbl>
    <w:p w14:paraId="573C8A6A" w14:textId="26235E68" w:rsidR="00B40BBE" w:rsidRPr="00FA75AB" w:rsidRDefault="00B40BBE" w:rsidP="00CD3AC7">
      <w:pPr>
        <w:tabs>
          <w:tab w:val="clear" w:pos="3068"/>
        </w:tabs>
        <w:ind w:hanging="11"/>
        <w:rPr>
          <w:rFonts w:asciiTheme="minorHAnsi" w:hAnsiTheme="minorHAnsi" w:cstheme="minorHAnsi"/>
          <w:szCs w:val="22"/>
        </w:rPr>
      </w:pPr>
      <w:r w:rsidRPr="00FA75AB">
        <w:rPr>
          <w:rFonts w:asciiTheme="minorHAnsi" w:hAnsiTheme="minorHAnsi" w:cstheme="minorHAnsi"/>
          <w:szCs w:val="22"/>
        </w:rPr>
        <w:br w:type="page"/>
      </w:r>
    </w:p>
    <w:p w14:paraId="15ABDCF9" w14:textId="77777777" w:rsidR="009044CF" w:rsidRDefault="009044CF" w:rsidP="0017154C">
      <w:pPr>
        <w:tabs>
          <w:tab w:val="clear" w:pos="3068"/>
        </w:tabs>
        <w:ind w:left="720" w:hanging="720"/>
        <w:contextualSpacing/>
        <w:rPr>
          <w:rFonts w:asciiTheme="minorHAnsi" w:hAnsiTheme="minorHAnsi" w:cstheme="minorHAnsi"/>
          <w:b/>
          <w:szCs w:val="22"/>
        </w:rPr>
        <w:sectPr w:rsidR="009044CF">
          <w:headerReference w:type="default" r:id="rId11"/>
          <w:pgSz w:w="12240" w:h="15840"/>
          <w:pgMar w:top="1440" w:right="1440" w:bottom="1440" w:left="1440" w:header="720" w:footer="720" w:gutter="0"/>
          <w:cols w:space="720"/>
          <w:docGrid w:linePitch="360"/>
        </w:sectPr>
      </w:pPr>
    </w:p>
    <w:p w14:paraId="02D77440" w14:textId="77777777" w:rsidR="00B40BBE" w:rsidRPr="00FA75AB" w:rsidRDefault="00B40BBE" w:rsidP="00B40BBE">
      <w:pPr>
        <w:tabs>
          <w:tab w:val="clear" w:pos="3068"/>
        </w:tabs>
        <w:ind w:left="720" w:hanging="720"/>
        <w:rPr>
          <w:rFonts w:asciiTheme="minorHAnsi" w:hAnsiTheme="minorHAnsi" w:cstheme="minorHAnsi"/>
          <w:b/>
          <w:szCs w:val="22"/>
        </w:rPr>
      </w:pPr>
      <w:r w:rsidRPr="00FA75AB">
        <w:rPr>
          <w:rFonts w:asciiTheme="minorHAnsi" w:hAnsiTheme="minorHAnsi" w:cstheme="minorHAnsi"/>
          <w:b/>
          <w:szCs w:val="22"/>
        </w:rPr>
        <w:lastRenderedPageBreak/>
        <w:t>Figure 1</w:t>
      </w:r>
    </w:p>
    <w:p w14:paraId="1E936AC2" w14:textId="0D053D91" w:rsidR="00B40BBE" w:rsidRPr="00FA75AB" w:rsidRDefault="003868ED" w:rsidP="003868ED">
      <w:pPr>
        <w:spacing w:line="240" w:lineRule="auto"/>
        <w:ind w:firstLine="0"/>
        <w:rPr>
          <w:rFonts w:asciiTheme="minorHAnsi" w:hAnsiTheme="minorHAnsi" w:cstheme="minorHAnsi"/>
          <w:i/>
          <w:szCs w:val="22"/>
        </w:rPr>
      </w:pPr>
      <w:r>
        <w:rPr>
          <w:rFonts w:asciiTheme="minorHAnsi" w:hAnsiTheme="minorHAnsi" w:cstheme="minorHAnsi"/>
          <w:i/>
          <w:szCs w:val="22"/>
        </w:rPr>
        <w:t>Diagram</w:t>
      </w:r>
      <w:r w:rsidRPr="003868ED">
        <w:rPr>
          <w:rFonts w:asciiTheme="minorHAnsi" w:hAnsiTheme="minorHAnsi" w:cstheme="minorHAnsi"/>
          <w:i/>
          <w:szCs w:val="22"/>
        </w:rPr>
        <w:t xml:space="preserve"> of records identified, screened, assessed for eligibility, and included in the meta-review of quantitative meta-analyses on cognitive characteristics in ADHD and developmental dyslexia. Reasons for exclusion at the full-text stage are reported. The diagram follows PRISMA 2020 guidelines.</w:t>
      </w:r>
    </w:p>
    <w:p w14:paraId="7BEF7ADA" w14:textId="268953D4" w:rsidR="00F02FDA" w:rsidRDefault="003868ED" w:rsidP="00F129E3">
      <w:pPr>
        <w:ind w:left="720" w:hanging="720"/>
        <w:rPr>
          <w:rFonts w:asciiTheme="minorHAnsi" w:hAnsiTheme="minorHAnsi" w:cstheme="minorHAnsi"/>
          <w:b/>
          <w:bCs/>
          <w:szCs w:val="22"/>
          <w:lang w:val="en-GB"/>
        </w:rPr>
        <w:sectPr w:rsidR="00F02FDA" w:rsidSect="003868ED">
          <w:pgSz w:w="15840" w:h="12240" w:orient="landscape"/>
          <w:pgMar w:top="1440" w:right="1440" w:bottom="1440" w:left="1440" w:header="720" w:footer="720" w:gutter="0"/>
          <w:cols w:space="720"/>
          <w:docGrid w:linePitch="360"/>
        </w:sectPr>
      </w:pPr>
      <w:r w:rsidRPr="003868ED">
        <w:rPr>
          <w:rFonts w:asciiTheme="minorHAnsi" w:hAnsiTheme="minorHAnsi" w:cstheme="minorHAnsi"/>
          <w:b/>
          <w:bCs/>
          <w:noProof/>
          <w:szCs w:val="22"/>
          <w:lang w:val="en-GB"/>
        </w:rPr>
        <w:drawing>
          <wp:inline distT="0" distB="0" distL="0" distR="0" wp14:anchorId="7D61BD50" wp14:editId="4BE51748">
            <wp:extent cx="7989114" cy="4810539"/>
            <wp:effectExtent l="0" t="0" r="0" b="9525"/>
            <wp:docPr id="77306603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66034" name="Picture 1" descr="A diagram of a flowchart&#10;&#10;Description automatically generated"/>
                    <pic:cNvPicPr/>
                  </pic:nvPicPr>
                  <pic:blipFill>
                    <a:blip r:embed="rId12"/>
                    <a:stretch>
                      <a:fillRect/>
                    </a:stretch>
                  </pic:blipFill>
                  <pic:spPr>
                    <a:xfrm>
                      <a:off x="0" y="0"/>
                      <a:ext cx="7998339" cy="4816093"/>
                    </a:xfrm>
                    <a:prstGeom prst="rect">
                      <a:avLst/>
                    </a:prstGeom>
                  </pic:spPr>
                </pic:pic>
              </a:graphicData>
            </a:graphic>
          </wp:inline>
        </w:drawing>
      </w:r>
    </w:p>
    <w:p w14:paraId="414706BE" w14:textId="12E14593" w:rsidR="008E6589" w:rsidRPr="008E6589" w:rsidRDefault="008E6589" w:rsidP="00F129E3">
      <w:pPr>
        <w:ind w:left="720" w:hanging="720"/>
        <w:rPr>
          <w:rFonts w:asciiTheme="minorHAnsi" w:hAnsiTheme="minorHAnsi" w:cstheme="minorHAnsi"/>
          <w:b/>
          <w:bCs/>
          <w:szCs w:val="22"/>
          <w:lang w:val="en-GB"/>
        </w:rPr>
      </w:pPr>
      <w:r w:rsidRPr="008E6589">
        <w:rPr>
          <w:rFonts w:asciiTheme="minorHAnsi" w:hAnsiTheme="minorHAnsi" w:cstheme="minorHAnsi"/>
          <w:b/>
          <w:bCs/>
          <w:szCs w:val="22"/>
          <w:lang w:val="en-GB"/>
        </w:rPr>
        <w:lastRenderedPageBreak/>
        <w:t>Figure 2.</w:t>
      </w:r>
    </w:p>
    <w:p w14:paraId="3AA5DA84" w14:textId="2AB4253B" w:rsidR="008E6589" w:rsidRPr="008E6589" w:rsidRDefault="008E6589" w:rsidP="00F02FDA">
      <w:pPr>
        <w:spacing w:line="240" w:lineRule="auto"/>
        <w:ind w:hanging="11"/>
        <w:rPr>
          <w:rFonts w:asciiTheme="minorHAnsi" w:hAnsiTheme="minorHAnsi" w:cstheme="minorHAnsi"/>
          <w:i/>
          <w:iCs/>
          <w:szCs w:val="22"/>
          <w:lang w:val="en-GB"/>
        </w:rPr>
      </w:pPr>
      <w:r w:rsidRPr="008E6589">
        <w:rPr>
          <w:rFonts w:asciiTheme="minorHAnsi" w:hAnsiTheme="minorHAnsi" w:cstheme="minorHAnsi"/>
          <w:i/>
          <w:iCs/>
          <w:szCs w:val="22"/>
          <w:lang w:val="en-GB"/>
        </w:rPr>
        <w:t xml:space="preserve">Cognitive effect sizes </w:t>
      </w:r>
      <w:r w:rsidR="00F02FDA">
        <w:rPr>
          <w:rFonts w:asciiTheme="minorHAnsi" w:hAnsiTheme="minorHAnsi" w:cstheme="minorHAnsi"/>
          <w:i/>
          <w:iCs/>
          <w:szCs w:val="22"/>
          <w:lang w:val="en-GB"/>
        </w:rPr>
        <w:t xml:space="preserve">(expressed as standardized mean differences) </w:t>
      </w:r>
      <w:r w:rsidRPr="008E6589">
        <w:rPr>
          <w:rFonts w:asciiTheme="minorHAnsi" w:hAnsiTheme="minorHAnsi" w:cstheme="minorHAnsi"/>
          <w:i/>
          <w:iCs/>
          <w:szCs w:val="22"/>
          <w:lang w:val="en-GB"/>
        </w:rPr>
        <w:t>across domains in</w:t>
      </w:r>
      <w:r w:rsidR="00692941">
        <w:rPr>
          <w:rFonts w:asciiTheme="minorHAnsi" w:hAnsiTheme="minorHAnsi" w:cstheme="minorHAnsi"/>
          <w:i/>
          <w:iCs/>
          <w:szCs w:val="22"/>
          <w:lang w:val="en-GB"/>
        </w:rPr>
        <w:t xml:space="preserve"> individuals described as having</w:t>
      </w:r>
      <w:r w:rsidRPr="008E6589">
        <w:rPr>
          <w:rFonts w:asciiTheme="minorHAnsi" w:hAnsiTheme="minorHAnsi" w:cstheme="minorHAnsi"/>
          <w:i/>
          <w:iCs/>
          <w:szCs w:val="22"/>
          <w:lang w:val="en-GB"/>
        </w:rPr>
        <w:t xml:space="preserve"> ADHD.</w:t>
      </w:r>
      <w:r>
        <w:rPr>
          <w:rFonts w:asciiTheme="minorHAnsi" w:hAnsiTheme="minorHAnsi" w:cstheme="minorHAnsi"/>
          <w:i/>
          <w:iCs/>
          <w:szCs w:val="22"/>
          <w:lang w:val="en-GB"/>
        </w:rPr>
        <w:t xml:space="preserve"> </w:t>
      </w:r>
      <w:r w:rsidRPr="008E6589">
        <w:rPr>
          <w:rFonts w:asciiTheme="minorHAnsi" w:hAnsiTheme="minorHAnsi" w:cstheme="minorHAnsi"/>
          <w:i/>
          <w:iCs/>
          <w:szCs w:val="22"/>
          <w:lang w:val="en-GB"/>
        </w:rPr>
        <w:t xml:space="preserve">Each point represents a single pooled effect size from a published quantitative meta-analysis comparing individuals with </w:t>
      </w:r>
      <w:r w:rsidR="00692941">
        <w:rPr>
          <w:rFonts w:asciiTheme="minorHAnsi" w:hAnsiTheme="minorHAnsi" w:cstheme="minorHAnsi"/>
          <w:i/>
          <w:iCs/>
          <w:szCs w:val="22"/>
          <w:lang w:val="en-GB"/>
        </w:rPr>
        <w:t>the condition</w:t>
      </w:r>
      <w:r w:rsidRPr="008E6589">
        <w:rPr>
          <w:rFonts w:asciiTheme="minorHAnsi" w:hAnsiTheme="minorHAnsi" w:cstheme="minorHAnsi"/>
          <w:i/>
          <w:iCs/>
          <w:szCs w:val="22"/>
          <w:lang w:val="en-GB"/>
        </w:rPr>
        <w:t xml:space="preserve"> to neurotypical controls (negative values indicate lower performance in the </w:t>
      </w:r>
      <w:r w:rsidR="00692941">
        <w:rPr>
          <w:rFonts w:asciiTheme="minorHAnsi" w:hAnsiTheme="minorHAnsi" w:cstheme="minorHAnsi"/>
          <w:i/>
          <w:iCs/>
          <w:szCs w:val="22"/>
          <w:lang w:val="en-GB"/>
        </w:rPr>
        <w:t>condition</w:t>
      </w:r>
      <w:r w:rsidRPr="008E6589">
        <w:rPr>
          <w:rFonts w:asciiTheme="minorHAnsi" w:hAnsiTheme="minorHAnsi" w:cstheme="minorHAnsi"/>
          <w:i/>
          <w:iCs/>
          <w:szCs w:val="22"/>
          <w:lang w:val="en-GB"/>
        </w:rPr>
        <w:t xml:space="preserve"> group). Point size reflects precision (inverse standard error); </w:t>
      </w:r>
      <w:proofErr w:type="spellStart"/>
      <w:r w:rsidRPr="008E6589">
        <w:rPr>
          <w:rFonts w:asciiTheme="minorHAnsi" w:hAnsiTheme="minorHAnsi" w:cstheme="minorHAnsi"/>
          <w:i/>
          <w:iCs/>
          <w:szCs w:val="22"/>
          <w:lang w:val="en-GB"/>
        </w:rPr>
        <w:t>color</w:t>
      </w:r>
      <w:proofErr w:type="spellEnd"/>
      <w:r w:rsidRPr="008E6589">
        <w:rPr>
          <w:rFonts w:asciiTheme="minorHAnsi" w:hAnsiTheme="minorHAnsi" w:cstheme="minorHAnsi"/>
          <w:i/>
          <w:iCs/>
          <w:szCs w:val="22"/>
          <w:lang w:val="en-GB"/>
        </w:rPr>
        <w:t xml:space="preserve"> and shape indicate age group (child, mixed, adult). Black points with horizontal bars show descriptive meta–meta-analytic summaries (95% CIs) for each domain. These overlays are heuristic only and do not support higher-order inferential claims, as primary studies and constructs may overlap across meta-analyses.</w:t>
      </w:r>
    </w:p>
    <w:p w14:paraId="1CB42148" w14:textId="4145488C" w:rsidR="008E6589" w:rsidRDefault="008E6589" w:rsidP="00F02FDA">
      <w:pPr>
        <w:ind w:left="720" w:hanging="720"/>
        <w:rPr>
          <w:rFonts w:asciiTheme="minorHAnsi" w:hAnsiTheme="minorHAnsi" w:cstheme="minorHAnsi"/>
          <w:b/>
          <w:bCs/>
          <w:szCs w:val="22"/>
          <w:lang w:val="en-GB"/>
        </w:rPr>
      </w:pPr>
      <w:r>
        <w:rPr>
          <w:rFonts w:asciiTheme="minorHAnsi" w:hAnsiTheme="minorHAnsi" w:cstheme="minorHAnsi"/>
          <w:noProof/>
          <w:szCs w:val="22"/>
          <w:lang w:val="en-GB"/>
        </w:rPr>
        <w:drawing>
          <wp:inline distT="0" distB="0" distL="0" distR="0" wp14:anchorId="3845F29A" wp14:editId="1ADB1A4B">
            <wp:extent cx="8100014" cy="3888188"/>
            <wp:effectExtent l="0" t="0" r="0" b="0"/>
            <wp:docPr id="2005854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171990" cy="3922738"/>
                    </a:xfrm>
                    <a:prstGeom prst="rect">
                      <a:avLst/>
                    </a:prstGeom>
                    <a:noFill/>
                  </pic:spPr>
                </pic:pic>
              </a:graphicData>
            </a:graphic>
          </wp:inline>
        </w:drawing>
      </w:r>
      <w:r>
        <w:rPr>
          <w:rFonts w:asciiTheme="minorHAnsi" w:hAnsiTheme="minorHAnsi" w:cstheme="minorHAnsi"/>
          <w:b/>
          <w:bCs/>
          <w:szCs w:val="22"/>
          <w:lang w:val="en-GB"/>
        </w:rPr>
        <w:br w:type="page"/>
      </w:r>
    </w:p>
    <w:p w14:paraId="0D75DA61" w14:textId="1778E2D3" w:rsidR="008E6589" w:rsidRPr="008E6589" w:rsidRDefault="008E6589" w:rsidP="008E6589">
      <w:pPr>
        <w:ind w:left="720" w:hanging="720"/>
        <w:rPr>
          <w:rFonts w:asciiTheme="minorHAnsi" w:hAnsiTheme="minorHAnsi" w:cstheme="minorHAnsi"/>
          <w:b/>
          <w:bCs/>
          <w:szCs w:val="22"/>
          <w:lang w:val="en-GB"/>
        </w:rPr>
      </w:pPr>
      <w:r w:rsidRPr="008E6589">
        <w:rPr>
          <w:rFonts w:asciiTheme="minorHAnsi" w:hAnsiTheme="minorHAnsi" w:cstheme="minorHAnsi"/>
          <w:b/>
          <w:bCs/>
          <w:szCs w:val="22"/>
          <w:lang w:val="en-GB"/>
        </w:rPr>
        <w:lastRenderedPageBreak/>
        <w:t xml:space="preserve">Figure </w:t>
      </w:r>
      <w:r>
        <w:rPr>
          <w:rFonts w:asciiTheme="minorHAnsi" w:hAnsiTheme="minorHAnsi" w:cstheme="minorHAnsi"/>
          <w:b/>
          <w:bCs/>
          <w:szCs w:val="22"/>
          <w:lang w:val="en-GB"/>
        </w:rPr>
        <w:t>3</w:t>
      </w:r>
      <w:r w:rsidRPr="008E6589">
        <w:rPr>
          <w:rFonts w:asciiTheme="minorHAnsi" w:hAnsiTheme="minorHAnsi" w:cstheme="minorHAnsi"/>
          <w:b/>
          <w:bCs/>
          <w:szCs w:val="22"/>
          <w:lang w:val="en-GB"/>
        </w:rPr>
        <w:t>.</w:t>
      </w:r>
    </w:p>
    <w:p w14:paraId="7D478231" w14:textId="6F629DAA" w:rsidR="008E6589" w:rsidRPr="008E6589" w:rsidRDefault="008E6589" w:rsidP="00F02FDA">
      <w:pPr>
        <w:spacing w:line="240" w:lineRule="auto"/>
        <w:ind w:hanging="11"/>
        <w:rPr>
          <w:rFonts w:asciiTheme="minorHAnsi" w:hAnsiTheme="minorHAnsi" w:cstheme="minorHAnsi"/>
          <w:i/>
          <w:iCs/>
          <w:szCs w:val="22"/>
          <w:lang w:val="en-GB"/>
        </w:rPr>
      </w:pPr>
      <w:r w:rsidRPr="008E6589">
        <w:rPr>
          <w:rFonts w:asciiTheme="minorHAnsi" w:hAnsiTheme="minorHAnsi" w:cstheme="minorHAnsi"/>
          <w:i/>
          <w:iCs/>
          <w:szCs w:val="22"/>
          <w:lang w:val="en-GB"/>
        </w:rPr>
        <w:t>Cognitive effect sizes</w:t>
      </w:r>
      <w:r w:rsidR="00F02FDA">
        <w:rPr>
          <w:rFonts w:asciiTheme="minorHAnsi" w:hAnsiTheme="minorHAnsi" w:cstheme="minorHAnsi"/>
          <w:i/>
          <w:iCs/>
          <w:szCs w:val="22"/>
          <w:lang w:val="en-GB"/>
        </w:rPr>
        <w:t xml:space="preserve"> (expressed as standardized mean differences) </w:t>
      </w:r>
      <w:r w:rsidRPr="008E6589">
        <w:rPr>
          <w:rFonts w:asciiTheme="minorHAnsi" w:hAnsiTheme="minorHAnsi" w:cstheme="minorHAnsi"/>
          <w:i/>
          <w:iCs/>
          <w:szCs w:val="22"/>
          <w:lang w:val="en-GB"/>
        </w:rPr>
        <w:t xml:space="preserve">across domains in </w:t>
      </w:r>
      <w:r>
        <w:rPr>
          <w:rFonts w:asciiTheme="minorHAnsi" w:hAnsiTheme="minorHAnsi" w:cstheme="minorHAnsi"/>
          <w:i/>
          <w:iCs/>
          <w:szCs w:val="22"/>
          <w:lang w:val="en-GB"/>
        </w:rPr>
        <w:t>individual described as having dyslexia / reading disorder</w:t>
      </w:r>
      <w:r w:rsidRPr="008E6589">
        <w:rPr>
          <w:rFonts w:asciiTheme="minorHAnsi" w:hAnsiTheme="minorHAnsi" w:cstheme="minorHAnsi"/>
          <w:i/>
          <w:iCs/>
          <w:szCs w:val="22"/>
          <w:lang w:val="en-GB"/>
        </w:rPr>
        <w:t>.</w:t>
      </w:r>
      <w:r>
        <w:rPr>
          <w:rFonts w:asciiTheme="minorHAnsi" w:hAnsiTheme="minorHAnsi" w:cstheme="minorHAnsi"/>
          <w:i/>
          <w:iCs/>
          <w:szCs w:val="22"/>
          <w:lang w:val="en-GB"/>
        </w:rPr>
        <w:t xml:space="preserve"> </w:t>
      </w:r>
      <w:r w:rsidRPr="008E6589">
        <w:rPr>
          <w:rFonts w:asciiTheme="minorHAnsi" w:hAnsiTheme="minorHAnsi" w:cstheme="minorHAnsi"/>
          <w:i/>
          <w:iCs/>
          <w:szCs w:val="22"/>
          <w:lang w:val="en-GB"/>
        </w:rPr>
        <w:t xml:space="preserve">Each point represents a single pooled effect size from a published quantitative meta-analysis comparing individuals with </w:t>
      </w:r>
      <w:r w:rsidR="00576468">
        <w:rPr>
          <w:rFonts w:asciiTheme="minorHAnsi" w:hAnsiTheme="minorHAnsi" w:cstheme="minorHAnsi"/>
          <w:i/>
          <w:iCs/>
          <w:szCs w:val="22"/>
          <w:lang w:val="en-GB"/>
        </w:rPr>
        <w:t>the condition</w:t>
      </w:r>
      <w:r w:rsidRPr="008E6589">
        <w:rPr>
          <w:rFonts w:asciiTheme="minorHAnsi" w:hAnsiTheme="minorHAnsi" w:cstheme="minorHAnsi"/>
          <w:i/>
          <w:iCs/>
          <w:szCs w:val="22"/>
          <w:lang w:val="en-GB"/>
        </w:rPr>
        <w:t xml:space="preserve"> to neurotypical controls (negative values indicate lower performance in the </w:t>
      </w:r>
      <w:r>
        <w:rPr>
          <w:rFonts w:asciiTheme="minorHAnsi" w:hAnsiTheme="minorHAnsi" w:cstheme="minorHAnsi"/>
          <w:i/>
          <w:iCs/>
          <w:szCs w:val="22"/>
          <w:lang w:val="en-GB"/>
        </w:rPr>
        <w:t>condition</w:t>
      </w:r>
      <w:r w:rsidRPr="008E6589">
        <w:rPr>
          <w:rFonts w:asciiTheme="minorHAnsi" w:hAnsiTheme="minorHAnsi" w:cstheme="minorHAnsi"/>
          <w:i/>
          <w:iCs/>
          <w:szCs w:val="22"/>
          <w:lang w:val="en-GB"/>
        </w:rPr>
        <w:t xml:space="preserve"> group). Point size reflects precision (inverse standard error); </w:t>
      </w:r>
      <w:proofErr w:type="spellStart"/>
      <w:r w:rsidRPr="008E6589">
        <w:rPr>
          <w:rFonts w:asciiTheme="minorHAnsi" w:hAnsiTheme="minorHAnsi" w:cstheme="minorHAnsi"/>
          <w:i/>
          <w:iCs/>
          <w:szCs w:val="22"/>
          <w:lang w:val="en-GB"/>
        </w:rPr>
        <w:t>color</w:t>
      </w:r>
      <w:proofErr w:type="spellEnd"/>
      <w:r w:rsidRPr="008E6589">
        <w:rPr>
          <w:rFonts w:asciiTheme="minorHAnsi" w:hAnsiTheme="minorHAnsi" w:cstheme="minorHAnsi"/>
          <w:i/>
          <w:iCs/>
          <w:szCs w:val="22"/>
          <w:lang w:val="en-GB"/>
        </w:rPr>
        <w:t xml:space="preserve"> and shape indicate age group (child, mixed, adult). Black points with horizontal bars show descriptive meta–meta-analytic summaries (95% CIs) for each domain. These overlays are heuristic only and do not support higher-order inferential claims, as primary studies and constructs may overlap across meta-analyses.</w:t>
      </w:r>
    </w:p>
    <w:p w14:paraId="5883B142" w14:textId="5196C1A7" w:rsidR="008E6589" w:rsidRDefault="008E6589" w:rsidP="00F02FDA">
      <w:pPr>
        <w:ind w:left="720" w:hanging="720"/>
        <w:rPr>
          <w:rFonts w:asciiTheme="minorHAnsi" w:hAnsiTheme="minorHAnsi" w:cstheme="minorHAnsi"/>
          <w:szCs w:val="22"/>
          <w:lang w:val="en-GB"/>
        </w:rPr>
      </w:pPr>
      <w:r>
        <w:rPr>
          <w:rFonts w:asciiTheme="minorHAnsi" w:hAnsiTheme="minorHAnsi" w:cstheme="minorHAnsi"/>
          <w:noProof/>
          <w:szCs w:val="22"/>
          <w:lang w:val="en-GB"/>
        </w:rPr>
        <w:drawing>
          <wp:inline distT="0" distB="0" distL="0" distR="0" wp14:anchorId="6CE60CF4" wp14:editId="5BB950EE">
            <wp:extent cx="7331103" cy="3813066"/>
            <wp:effectExtent l="0" t="0" r="3175" b="0"/>
            <wp:docPr id="1207104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372682" cy="3834692"/>
                    </a:xfrm>
                    <a:prstGeom prst="rect">
                      <a:avLst/>
                    </a:prstGeom>
                    <a:noFill/>
                  </pic:spPr>
                </pic:pic>
              </a:graphicData>
            </a:graphic>
          </wp:inline>
        </w:drawing>
      </w:r>
      <w:r>
        <w:rPr>
          <w:rFonts w:asciiTheme="minorHAnsi" w:hAnsiTheme="minorHAnsi" w:cstheme="minorHAnsi"/>
          <w:szCs w:val="22"/>
          <w:lang w:val="en-GB"/>
        </w:rPr>
        <w:br w:type="page"/>
      </w:r>
    </w:p>
    <w:p w14:paraId="62B61A3E" w14:textId="65CAFDFB" w:rsidR="008E6589" w:rsidRPr="008E6589" w:rsidRDefault="008E6589" w:rsidP="008E6589">
      <w:pPr>
        <w:ind w:left="720" w:hanging="720"/>
        <w:rPr>
          <w:rFonts w:asciiTheme="minorHAnsi" w:hAnsiTheme="minorHAnsi" w:cstheme="minorHAnsi"/>
          <w:b/>
          <w:bCs/>
          <w:szCs w:val="22"/>
          <w:lang w:val="en-GB"/>
        </w:rPr>
      </w:pPr>
      <w:r w:rsidRPr="008E6589">
        <w:rPr>
          <w:rFonts w:asciiTheme="minorHAnsi" w:hAnsiTheme="minorHAnsi" w:cstheme="minorHAnsi"/>
          <w:b/>
          <w:bCs/>
          <w:szCs w:val="22"/>
          <w:lang w:val="en-GB"/>
        </w:rPr>
        <w:lastRenderedPageBreak/>
        <w:t xml:space="preserve">Figure </w:t>
      </w:r>
      <w:r>
        <w:rPr>
          <w:rFonts w:asciiTheme="minorHAnsi" w:hAnsiTheme="minorHAnsi" w:cstheme="minorHAnsi"/>
          <w:b/>
          <w:bCs/>
          <w:szCs w:val="22"/>
          <w:lang w:val="en-GB"/>
        </w:rPr>
        <w:t>4</w:t>
      </w:r>
      <w:r w:rsidRPr="008E6589">
        <w:rPr>
          <w:rFonts w:asciiTheme="minorHAnsi" w:hAnsiTheme="minorHAnsi" w:cstheme="minorHAnsi"/>
          <w:b/>
          <w:bCs/>
          <w:szCs w:val="22"/>
          <w:lang w:val="en-GB"/>
        </w:rPr>
        <w:t>.</w:t>
      </w:r>
    </w:p>
    <w:p w14:paraId="1B8F9A17" w14:textId="3B9106E1" w:rsidR="008E6589" w:rsidRDefault="008E6589" w:rsidP="008E6589">
      <w:pPr>
        <w:ind w:hanging="11"/>
        <w:rPr>
          <w:rFonts w:asciiTheme="minorHAnsi" w:hAnsiTheme="minorHAnsi" w:cstheme="minorHAnsi"/>
          <w:szCs w:val="22"/>
          <w:lang w:val="en-GB"/>
        </w:rPr>
      </w:pPr>
      <w:r>
        <w:rPr>
          <w:rFonts w:asciiTheme="minorHAnsi" w:hAnsiTheme="minorHAnsi" w:cstheme="minorHAnsi"/>
          <w:i/>
          <w:iCs/>
          <w:szCs w:val="22"/>
          <w:lang w:val="en-GB"/>
        </w:rPr>
        <w:t>E</w:t>
      </w:r>
      <w:r w:rsidRPr="008E6589">
        <w:rPr>
          <w:rFonts w:asciiTheme="minorHAnsi" w:hAnsiTheme="minorHAnsi" w:cstheme="minorHAnsi"/>
          <w:i/>
          <w:iCs/>
          <w:szCs w:val="22"/>
          <w:lang w:val="en-GB"/>
        </w:rPr>
        <w:t xml:space="preserve">ffect sizes </w:t>
      </w:r>
      <w:r w:rsidR="00F02FDA">
        <w:rPr>
          <w:rFonts w:asciiTheme="minorHAnsi" w:hAnsiTheme="minorHAnsi" w:cstheme="minorHAnsi"/>
          <w:i/>
          <w:iCs/>
          <w:szCs w:val="22"/>
          <w:lang w:val="en-GB"/>
        </w:rPr>
        <w:t xml:space="preserve">(expressed as standardized mean differences) </w:t>
      </w:r>
      <w:r w:rsidRPr="008E6589">
        <w:rPr>
          <w:rFonts w:asciiTheme="minorHAnsi" w:hAnsiTheme="minorHAnsi" w:cstheme="minorHAnsi"/>
          <w:i/>
          <w:iCs/>
          <w:szCs w:val="22"/>
          <w:lang w:val="en-GB"/>
        </w:rPr>
        <w:t xml:space="preserve">across </w:t>
      </w:r>
      <w:r>
        <w:rPr>
          <w:rFonts w:asciiTheme="minorHAnsi" w:hAnsiTheme="minorHAnsi" w:cstheme="minorHAnsi"/>
          <w:i/>
          <w:iCs/>
          <w:szCs w:val="22"/>
          <w:lang w:val="en-GB"/>
        </w:rPr>
        <w:t>executive function sub</w:t>
      </w:r>
      <w:r w:rsidRPr="008E6589">
        <w:rPr>
          <w:rFonts w:asciiTheme="minorHAnsi" w:hAnsiTheme="minorHAnsi" w:cstheme="minorHAnsi"/>
          <w:i/>
          <w:iCs/>
          <w:szCs w:val="22"/>
          <w:lang w:val="en-GB"/>
        </w:rPr>
        <w:t>domains in ADHD.</w:t>
      </w:r>
      <w:r>
        <w:rPr>
          <w:rFonts w:asciiTheme="minorHAnsi" w:hAnsiTheme="minorHAnsi" w:cstheme="minorHAnsi"/>
          <w:i/>
          <w:iCs/>
          <w:szCs w:val="22"/>
          <w:lang w:val="en-GB"/>
        </w:rPr>
        <w:t xml:space="preserve"> </w:t>
      </w:r>
    </w:p>
    <w:p w14:paraId="7D72FFB5" w14:textId="232EE13D" w:rsidR="008E6589" w:rsidRDefault="008E6589" w:rsidP="00F129E3">
      <w:pPr>
        <w:ind w:left="720" w:hanging="720"/>
        <w:rPr>
          <w:rFonts w:asciiTheme="minorHAnsi" w:hAnsiTheme="minorHAnsi" w:cstheme="minorHAnsi"/>
          <w:szCs w:val="22"/>
          <w:lang w:val="en-GB"/>
        </w:rPr>
      </w:pPr>
      <w:r>
        <w:rPr>
          <w:rFonts w:asciiTheme="minorHAnsi" w:hAnsiTheme="minorHAnsi" w:cstheme="minorHAnsi"/>
          <w:noProof/>
          <w:szCs w:val="22"/>
          <w:lang w:val="en-GB"/>
        </w:rPr>
        <w:drawing>
          <wp:inline distT="0" distB="0" distL="0" distR="0" wp14:anchorId="113D0196" wp14:editId="2D088D31">
            <wp:extent cx="7834383" cy="3593990"/>
            <wp:effectExtent l="0" t="0" r="0" b="6985"/>
            <wp:docPr id="1141784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857999" cy="3604824"/>
                    </a:xfrm>
                    <a:prstGeom prst="rect">
                      <a:avLst/>
                    </a:prstGeom>
                    <a:noFill/>
                  </pic:spPr>
                </pic:pic>
              </a:graphicData>
            </a:graphic>
          </wp:inline>
        </w:drawing>
      </w:r>
    </w:p>
    <w:sectPr w:rsidR="008E6589" w:rsidSect="00812D8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FFA7D4" w14:textId="77777777" w:rsidR="00145379" w:rsidRDefault="00145379" w:rsidP="00E102C3">
      <w:r>
        <w:separator/>
      </w:r>
    </w:p>
    <w:p w14:paraId="71D6328D" w14:textId="77777777" w:rsidR="00145379" w:rsidRDefault="00145379" w:rsidP="00E102C3"/>
  </w:endnote>
  <w:endnote w:type="continuationSeparator" w:id="0">
    <w:p w14:paraId="557594E7" w14:textId="77777777" w:rsidR="00145379" w:rsidRDefault="00145379" w:rsidP="00E102C3">
      <w:r>
        <w:continuationSeparator/>
      </w:r>
    </w:p>
    <w:p w14:paraId="1ADE35B1" w14:textId="77777777" w:rsidR="00145379" w:rsidRDefault="00145379" w:rsidP="00E10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E7E92B" w14:textId="77777777" w:rsidR="00145379" w:rsidRDefault="00145379" w:rsidP="00E102C3">
      <w:r>
        <w:separator/>
      </w:r>
    </w:p>
    <w:p w14:paraId="09E8B98B" w14:textId="77777777" w:rsidR="00145379" w:rsidRDefault="00145379" w:rsidP="00E102C3"/>
  </w:footnote>
  <w:footnote w:type="continuationSeparator" w:id="0">
    <w:p w14:paraId="0DAD45AB" w14:textId="77777777" w:rsidR="00145379" w:rsidRDefault="00145379" w:rsidP="00E102C3">
      <w:r>
        <w:continuationSeparator/>
      </w:r>
    </w:p>
    <w:p w14:paraId="4B567947" w14:textId="77777777" w:rsidR="00145379" w:rsidRDefault="00145379" w:rsidP="00E102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Calibri"/>
        <w:szCs w:val="22"/>
      </w:rPr>
      <w:id w:val="824625240"/>
      <w:docPartObj>
        <w:docPartGallery w:val="Page Numbers (Top of Page)"/>
        <w:docPartUnique/>
      </w:docPartObj>
    </w:sdtPr>
    <w:sdtEndPr>
      <w:rPr>
        <w:noProof/>
      </w:rPr>
    </w:sdtEndPr>
    <w:sdtContent>
      <w:p w14:paraId="6C3849DC" w14:textId="06B9313D" w:rsidR="00EC63D6" w:rsidRPr="00222A35" w:rsidRDefault="00881C8D" w:rsidP="00E102C3">
        <w:pPr>
          <w:pStyle w:val="Header"/>
          <w:ind w:firstLine="0"/>
          <w:rPr>
            <w:rFonts w:cs="Calibri"/>
            <w:szCs w:val="22"/>
          </w:rPr>
        </w:pPr>
        <w:r w:rsidRPr="00881C8D">
          <w:rPr>
            <w:rFonts w:cs="Calibri"/>
            <w:caps/>
            <w:szCs w:val="22"/>
          </w:rPr>
          <w:t>Meta-review of cognition in ADHD and dyslexia</w:t>
        </w:r>
        <w:r w:rsidR="00EC63D6" w:rsidRPr="00222A35">
          <w:rPr>
            <w:rFonts w:cs="Calibri"/>
            <w:szCs w:val="22"/>
          </w:rPr>
          <w:tab/>
        </w:r>
        <w:r w:rsidR="00EC63D6" w:rsidRPr="00222A35">
          <w:rPr>
            <w:rFonts w:cs="Calibri"/>
            <w:szCs w:val="22"/>
          </w:rPr>
          <w:fldChar w:fldCharType="begin"/>
        </w:r>
        <w:r w:rsidR="00EC63D6" w:rsidRPr="00222A35">
          <w:rPr>
            <w:rFonts w:cs="Calibri"/>
            <w:szCs w:val="22"/>
          </w:rPr>
          <w:instrText xml:space="preserve"> PAGE   \* MERGEFORMAT </w:instrText>
        </w:r>
        <w:r w:rsidR="00EC63D6" w:rsidRPr="00222A35">
          <w:rPr>
            <w:rFonts w:cs="Calibri"/>
            <w:szCs w:val="22"/>
          </w:rPr>
          <w:fldChar w:fldCharType="separate"/>
        </w:r>
        <w:r w:rsidR="003649CB" w:rsidRPr="00222A35">
          <w:rPr>
            <w:rFonts w:cs="Calibri"/>
            <w:noProof/>
            <w:szCs w:val="22"/>
          </w:rPr>
          <w:t>19</w:t>
        </w:r>
        <w:r w:rsidR="00EC63D6" w:rsidRPr="00222A35">
          <w:rPr>
            <w:rFonts w:cs="Calibri"/>
            <w:noProof/>
            <w:szCs w:val="22"/>
          </w:rPr>
          <w:fldChar w:fldCharType="end"/>
        </w:r>
      </w:p>
    </w:sdtContent>
  </w:sdt>
  <w:p w14:paraId="4676793A" w14:textId="77777777" w:rsidR="00EC63D6" w:rsidRPr="00222A35" w:rsidRDefault="00EC63D6" w:rsidP="00E102C3">
    <w:pPr>
      <w:pStyle w:val="Header"/>
      <w:rPr>
        <w:rFonts w:cs="Calibri"/>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52E48"/>
    <w:multiLevelType w:val="hybridMultilevel"/>
    <w:tmpl w:val="7BBAE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A564A0"/>
    <w:multiLevelType w:val="multilevel"/>
    <w:tmpl w:val="244C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345626"/>
    <w:multiLevelType w:val="hybridMultilevel"/>
    <w:tmpl w:val="00F04688"/>
    <w:lvl w:ilvl="0" w:tplc="9FF4E0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3935031">
    <w:abstractNumId w:val="1"/>
  </w:num>
  <w:num w:numId="2" w16cid:durableId="1933390153">
    <w:abstractNumId w:val="0"/>
  </w:num>
  <w:num w:numId="3" w16cid:durableId="415446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2C3"/>
    <w:rsid w:val="0000435B"/>
    <w:rsid w:val="00023F33"/>
    <w:rsid w:val="000251D5"/>
    <w:rsid w:val="00034683"/>
    <w:rsid w:val="000401C5"/>
    <w:rsid w:val="00056101"/>
    <w:rsid w:val="0005639F"/>
    <w:rsid w:val="00072531"/>
    <w:rsid w:val="00073180"/>
    <w:rsid w:val="00076281"/>
    <w:rsid w:val="0008031E"/>
    <w:rsid w:val="0009623B"/>
    <w:rsid w:val="00097898"/>
    <w:rsid w:val="000A5A29"/>
    <w:rsid w:val="000A7152"/>
    <w:rsid w:val="000B0AF0"/>
    <w:rsid w:val="000D1FD1"/>
    <w:rsid w:val="000E0616"/>
    <w:rsid w:val="000E3CA0"/>
    <w:rsid w:val="000E3EEE"/>
    <w:rsid w:val="00103A39"/>
    <w:rsid w:val="00111EA1"/>
    <w:rsid w:val="00114D14"/>
    <w:rsid w:val="00120A65"/>
    <w:rsid w:val="00120EAA"/>
    <w:rsid w:val="001263C3"/>
    <w:rsid w:val="00132939"/>
    <w:rsid w:val="00143E39"/>
    <w:rsid w:val="00145379"/>
    <w:rsid w:val="0015008E"/>
    <w:rsid w:val="00162B4A"/>
    <w:rsid w:val="00167F5B"/>
    <w:rsid w:val="0017154C"/>
    <w:rsid w:val="001A6792"/>
    <w:rsid w:val="001B01D4"/>
    <w:rsid w:val="001C2344"/>
    <w:rsid w:val="001D7F11"/>
    <w:rsid w:val="001E66A9"/>
    <w:rsid w:val="001F4777"/>
    <w:rsid w:val="00203AA4"/>
    <w:rsid w:val="0020688C"/>
    <w:rsid w:val="00211262"/>
    <w:rsid w:val="00211690"/>
    <w:rsid w:val="00213D88"/>
    <w:rsid w:val="0021772D"/>
    <w:rsid w:val="00222A35"/>
    <w:rsid w:val="00223F0B"/>
    <w:rsid w:val="002272D2"/>
    <w:rsid w:val="00236E04"/>
    <w:rsid w:val="002443EB"/>
    <w:rsid w:val="00252C41"/>
    <w:rsid w:val="00270959"/>
    <w:rsid w:val="00286F5C"/>
    <w:rsid w:val="00290844"/>
    <w:rsid w:val="00290C63"/>
    <w:rsid w:val="0029125E"/>
    <w:rsid w:val="002A3AC9"/>
    <w:rsid w:val="002C18D1"/>
    <w:rsid w:val="002E4FFA"/>
    <w:rsid w:val="002F5057"/>
    <w:rsid w:val="00304AE7"/>
    <w:rsid w:val="00316262"/>
    <w:rsid w:val="00322A54"/>
    <w:rsid w:val="00340295"/>
    <w:rsid w:val="00342C89"/>
    <w:rsid w:val="003452B1"/>
    <w:rsid w:val="00347CD1"/>
    <w:rsid w:val="00357698"/>
    <w:rsid w:val="003649CB"/>
    <w:rsid w:val="00365ACF"/>
    <w:rsid w:val="00365B49"/>
    <w:rsid w:val="00374868"/>
    <w:rsid w:val="003773E7"/>
    <w:rsid w:val="003868ED"/>
    <w:rsid w:val="00397091"/>
    <w:rsid w:val="003A1D61"/>
    <w:rsid w:val="003A5B4F"/>
    <w:rsid w:val="003A71C8"/>
    <w:rsid w:val="003A799B"/>
    <w:rsid w:val="003B215A"/>
    <w:rsid w:val="003C5C48"/>
    <w:rsid w:val="003F1DC5"/>
    <w:rsid w:val="00402E7B"/>
    <w:rsid w:val="0041545C"/>
    <w:rsid w:val="00416392"/>
    <w:rsid w:val="004172EC"/>
    <w:rsid w:val="004302C3"/>
    <w:rsid w:val="004343BA"/>
    <w:rsid w:val="00443C51"/>
    <w:rsid w:val="00477945"/>
    <w:rsid w:val="004854A6"/>
    <w:rsid w:val="00486B99"/>
    <w:rsid w:val="0049083D"/>
    <w:rsid w:val="004A4D01"/>
    <w:rsid w:val="004B20CE"/>
    <w:rsid w:val="004B274A"/>
    <w:rsid w:val="004C7F02"/>
    <w:rsid w:val="004D01F1"/>
    <w:rsid w:val="004D7E7F"/>
    <w:rsid w:val="004E0C26"/>
    <w:rsid w:val="004E6B89"/>
    <w:rsid w:val="004E740C"/>
    <w:rsid w:val="004F63CE"/>
    <w:rsid w:val="0050419C"/>
    <w:rsid w:val="0051642E"/>
    <w:rsid w:val="0052057A"/>
    <w:rsid w:val="00520B4B"/>
    <w:rsid w:val="00520D42"/>
    <w:rsid w:val="0055438D"/>
    <w:rsid w:val="00562218"/>
    <w:rsid w:val="00567C96"/>
    <w:rsid w:val="00576468"/>
    <w:rsid w:val="00577E54"/>
    <w:rsid w:val="00580DFE"/>
    <w:rsid w:val="00582191"/>
    <w:rsid w:val="005922A9"/>
    <w:rsid w:val="00596C71"/>
    <w:rsid w:val="005C4840"/>
    <w:rsid w:val="005D4500"/>
    <w:rsid w:val="005D5F0F"/>
    <w:rsid w:val="005F6CFC"/>
    <w:rsid w:val="00605E2C"/>
    <w:rsid w:val="006102E6"/>
    <w:rsid w:val="00610A74"/>
    <w:rsid w:val="006110AB"/>
    <w:rsid w:val="006117B0"/>
    <w:rsid w:val="00611E10"/>
    <w:rsid w:val="00613FD3"/>
    <w:rsid w:val="00616377"/>
    <w:rsid w:val="0062657D"/>
    <w:rsid w:val="006274E0"/>
    <w:rsid w:val="006305C1"/>
    <w:rsid w:val="00643113"/>
    <w:rsid w:val="0065749D"/>
    <w:rsid w:val="006655DA"/>
    <w:rsid w:val="00666591"/>
    <w:rsid w:val="00692941"/>
    <w:rsid w:val="006A474F"/>
    <w:rsid w:val="006A6F75"/>
    <w:rsid w:val="006B657A"/>
    <w:rsid w:val="006D033E"/>
    <w:rsid w:val="006D475F"/>
    <w:rsid w:val="006E2EC8"/>
    <w:rsid w:val="006E5B09"/>
    <w:rsid w:val="00700473"/>
    <w:rsid w:val="00705560"/>
    <w:rsid w:val="00714A71"/>
    <w:rsid w:val="00736896"/>
    <w:rsid w:val="007415CD"/>
    <w:rsid w:val="00750D4C"/>
    <w:rsid w:val="0076012F"/>
    <w:rsid w:val="007617BF"/>
    <w:rsid w:val="00785231"/>
    <w:rsid w:val="00793CA0"/>
    <w:rsid w:val="007941E3"/>
    <w:rsid w:val="00795729"/>
    <w:rsid w:val="007B4C07"/>
    <w:rsid w:val="007B55C8"/>
    <w:rsid w:val="007C0A3E"/>
    <w:rsid w:val="007C3AF9"/>
    <w:rsid w:val="007D042B"/>
    <w:rsid w:val="007D04F1"/>
    <w:rsid w:val="007D30C0"/>
    <w:rsid w:val="007F2410"/>
    <w:rsid w:val="00807A4B"/>
    <w:rsid w:val="00812D81"/>
    <w:rsid w:val="0081388B"/>
    <w:rsid w:val="00823877"/>
    <w:rsid w:val="00830B3E"/>
    <w:rsid w:val="00834DB3"/>
    <w:rsid w:val="00836BD3"/>
    <w:rsid w:val="00844504"/>
    <w:rsid w:val="00856ABA"/>
    <w:rsid w:val="00860780"/>
    <w:rsid w:val="00873A2C"/>
    <w:rsid w:val="00874378"/>
    <w:rsid w:val="00881C8D"/>
    <w:rsid w:val="00885C91"/>
    <w:rsid w:val="008925E0"/>
    <w:rsid w:val="008A49D2"/>
    <w:rsid w:val="008B549F"/>
    <w:rsid w:val="008D0039"/>
    <w:rsid w:val="008E6589"/>
    <w:rsid w:val="008E6FAD"/>
    <w:rsid w:val="008F5999"/>
    <w:rsid w:val="009008D4"/>
    <w:rsid w:val="00901150"/>
    <w:rsid w:val="009044CF"/>
    <w:rsid w:val="00914AEC"/>
    <w:rsid w:val="00947EB2"/>
    <w:rsid w:val="00955FD6"/>
    <w:rsid w:val="00966505"/>
    <w:rsid w:val="009706FF"/>
    <w:rsid w:val="00972136"/>
    <w:rsid w:val="00980E77"/>
    <w:rsid w:val="00984E61"/>
    <w:rsid w:val="0098563F"/>
    <w:rsid w:val="00990F50"/>
    <w:rsid w:val="009A1DB3"/>
    <w:rsid w:val="009A622A"/>
    <w:rsid w:val="009B0639"/>
    <w:rsid w:val="009B1985"/>
    <w:rsid w:val="009E302B"/>
    <w:rsid w:val="009E6D26"/>
    <w:rsid w:val="009E7A57"/>
    <w:rsid w:val="009F1E65"/>
    <w:rsid w:val="009F2268"/>
    <w:rsid w:val="009F432B"/>
    <w:rsid w:val="009F7326"/>
    <w:rsid w:val="00A22C7D"/>
    <w:rsid w:val="00A25CAE"/>
    <w:rsid w:val="00A36D61"/>
    <w:rsid w:val="00A376D9"/>
    <w:rsid w:val="00A61679"/>
    <w:rsid w:val="00A66E09"/>
    <w:rsid w:val="00A80790"/>
    <w:rsid w:val="00AA4A24"/>
    <w:rsid w:val="00AA5283"/>
    <w:rsid w:val="00AB1363"/>
    <w:rsid w:val="00AB3F29"/>
    <w:rsid w:val="00AC6ADA"/>
    <w:rsid w:val="00AD47A7"/>
    <w:rsid w:val="00AE2151"/>
    <w:rsid w:val="00AE7FA3"/>
    <w:rsid w:val="00AF4F43"/>
    <w:rsid w:val="00B13488"/>
    <w:rsid w:val="00B15BD1"/>
    <w:rsid w:val="00B239BE"/>
    <w:rsid w:val="00B3042E"/>
    <w:rsid w:val="00B330BC"/>
    <w:rsid w:val="00B40BBE"/>
    <w:rsid w:val="00B42005"/>
    <w:rsid w:val="00B648EE"/>
    <w:rsid w:val="00B67C78"/>
    <w:rsid w:val="00B708D8"/>
    <w:rsid w:val="00B71DFA"/>
    <w:rsid w:val="00B75A7C"/>
    <w:rsid w:val="00B775D1"/>
    <w:rsid w:val="00B84EBD"/>
    <w:rsid w:val="00B8771A"/>
    <w:rsid w:val="00B941B1"/>
    <w:rsid w:val="00B95776"/>
    <w:rsid w:val="00B97476"/>
    <w:rsid w:val="00BA3199"/>
    <w:rsid w:val="00BB2D3E"/>
    <w:rsid w:val="00BB3686"/>
    <w:rsid w:val="00BB41EE"/>
    <w:rsid w:val="00BB75EE"/>
    <w:rsid w:val="00BB76BE"/>
    <w:rsid w:val="00BC1D76"/>
    <w:rsid w:val="00BC6B38"/>
    <w:rsid w:val="00BE3F16"/>
    <w:rsid w:val="00BE760D"/>
    <w:rsid w:val="00BF0015"/>
    <w:rsid w:val="00BF4250"/>
    <w:rsid w:val="00C044E2"/>
    <w:rsid w:val="00C048E0"/>
    <w:rsid w:val="00C104C3"/>
    <w:rsid w:val="00C12499"/>
    <w:rsid w:val="00C232F9"/>
    <w:rsid w:val="00C40410"/>
    <w:rsid w:val="00C47B69"/>
    <w:rsid w:val="00C50B51"/>
    <w:rsid w:val="00C54AEB"/>
    <w:rsid w:val="00C61A70"/>
    <w:rsid w:val="00C64BE7"/>
    <w:rsid w:val="00C73377"/>
    <w:rsid w:val="00C76EAD"/>
    <w:rsid w:val="00C81D35"/>
    <w:rsid w:val="00C82D98"/>
    <w:rsid w:val="00C9782E"/>
    <w:rsid w:val="00CA168C"/>
    <w:rsid w:val="00CA1D68"/>
    <w:rsid w:val="00CA25BD"/>
    <w:rsid w:val="00CB32C3"/>
    <w:rsid w:val="00CB45C9"/>
    <w:rsid w:val="00CC186E"/>
    <w:rsid w:val="00CC1F36"/>
    <w:rsid w:val="00CC7A04"/>
    <w:rsid w:val="00CC7D0E"/>
    <w:rsid w:val="00CD322B"/>
    <w:rsid w:val="00CD3AC7"/>
    <w:rsid w:val="00CE40A4"/>
    <w:rsid w:val="00CE43B1"/>
    <w:rsid w:val="00CF54D6"/>
    <w:rsid w:val="00D113EB"/>
    <w:rsid w:val="00D23A8D"/>
    <w:rsid w:val="00D35425"/>
    <w:rsid w:val="00D6354D"/>
    <w:rsid w:val="00D755E9"/>
    <w:rsid w:val="00D8666B"/>
    <w:rsid w:val="00D92B9C"/>
    <w:rsid w:val="00D93AC3"/>
    <w:rsid w:val="00DA462A"/>
    <w:rsid w:val="00DB0154"/>
    <w:rsid w:val="00DB094E"/>
    <w:rsid w:val="00DB11DD"/>
    <w:rsid w:val="00DB2A40"/>
    <w:rsid w:val="00DB663D"/>
    <w:rsid w:val="00DC0F42"/>
    <w:rsid w:val="00DC3E52"/>
    <w:rsid w:val="00DD067D"/>
    <w:rsid w:val="00DD132E"/>
    <w:rsid w:val="00DD1904"/>
    <w:rsid w:val="00DD1FB4"/>
    <w:rsid w:val="00DD6423"/>
    <w:rsid w:val="00DE1469"/>
    <w:rsid w:val="00DE7A65"/>
    <w:rsid w:val="00DF03CD"/>
    <w:rsid w:val="00DF6E53"/>
    <w:rsid w:val="00DF7926"/>
    <w:rsid w:val="00E01445"/>
    <w:rsid w:val="00E102C3"/>
    <w:rsid w:val="00E104D5"/>
    <w:rsid w:val="00E17FAA"/>
    <w:rsid w:val="00E31719"/>
    <w:rsid w:val="00E43C28"/>
    <w:rsid w:val="00E4496B"/>
    <w:rsid w:val="00E64A41"/>
    <w:rsid w:val="00E75CFD"/>
    <w:rsid w:val="00E826EC"/>
    <w:rsid w:val="00E8759A"/>
    <w:rsid w:val="00E96D00"/>
    <w:rsid w:val="00E978CD"/>
    <w:rsid w:val="00EA0278"/>
    <w:rsid w:val="00EB2E8E"/>
    <w:rsid w:val="00EB6B08"/>
    <w:rsid w:val="00EB785F"/>
    <w:rsid w:val="00EC63D6"/>
    <w:rsid w:val="00ED45E9"/>
    <w:rsid w:val="00ED4E5F"/>
    <w:rsid w:val="00F02FDA"/>
    <w:rsid w:val="00F06447"/>
    <w:rsid w:val="00F129E3"/>
    <w:rsid w:val="00F24A80"/>
    <w:rsid w:val="00F44316"/>
    <w:rsid w:val="00F57919"/>
    <w:rsid w:val="00F57CBD"/>
    <w:rsid w:val="00F64D47"/>
    <w:rsid w:val="00F822F9"/>
    <w:rsid w:val="00F84B01"/>
    <w:rsid w:val="00F91590"/>
    <w:rsid w:val="00F96DE7"/>
    <w:rsid w:val="00FA3A11"/>
    <w:rsid w:val="00FA5BF7"/>
    <w:rsid w:val="00FA75AB"/>
    <w:rsid w:val="00FB5E42"/>
    <w:rsid w:val="00FB732D"/>
    <w:rsid w:val="00FD2F36"/>
    <w:rsid w:val="00FF50B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AF1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86E"/>
    <w:pPr>
      <w:tabs>
        <w:tab w:val="left" w:pos="3068"/>
      </w:tabs>
      <w:spacing w:after="0" w:line="480" w:lineRule="auto"/>
      <w:ind w:firstLine="720"/>
    </w:pPr>
    <w:rPr>
      <w:rFonts w:ascii="Calibri" w:hAnsi="Calibri" w:cs="Arial"/>
      <w:szCs w:val="21"/>
      <w:shd w:val="clear" w:color="auto" w:fill="FFFFFF"/>
    </w:rPr>
  </w:style>
  <w:style w:type="paragraph" w:styleId="Heading1">
    <w:name w:val="heading 1"/>
    <w:basedOn w:val="Normal"/>
    <w:next w:val="Normal"/>
    <w:link w:val="Heading1Char"/>
    <w:uiPriority w:val="9"/>
    <w:qFormat/>
    <w:rsid w:val="00CC186E"/>
    <w:pPr>
      <w:tabs>
        <w:tab w:val="clear" w:pos="3068"/>
      </w:tabs>
      <w:ind w:firstLine="0"/>
      <w:jc w:val="center"/>
      <w:outlineLvl w:val="0"/>
    </w:pPr>
    <w:rPr>
      <w:rFonts w:asciiTheme="minorHAnsi" w:hAnsiTheme="minorHAnsi" w:cstheme="minorHAnsi"/>
      <w:b/>
      <w:szCs w:val="22"/>
    </w:rPr>
  </w:style>
  <w:style w:type="paragraph" w:styleId="Heading2">
    <w:name w:val="heading 2"/>
    <w:basedOn w:val="Normal"/>
    <w:next w:val="Normal"/>
    <w:link w:val="Heading2Char"/>
    <w:uiPriority w:val="9"/>
    <w:unhideWhenUsed/>
    <w:qFormat/>
    <w:rsid w:val="00CC186E"/>
    <w:pPr>
      <w:tabs>
        <w:tab w:val="clear" w:pos="3068"/>
      </w:tabs>
      <w:ind w:firstLine="0"/>
      <w:outlineLvl w:val="1"/>
    </w:pPr>
    <w:rPr>
      <w:rFonts w:asciiTheme="minorHAnsi" w:hAnsiTheme="minorHAnsi" w:cstheme="minorHAnsi"/>
      <w:b/>
      <w:szCs w:val="22"/>
    </w:rPr>
  </w:style>
  <w:style w:type="paragraph" w:styleId="Heading3">
    <w:name w:val="heading 3"/>
    <w:basedOn w:val="Normal"/>
    <w:next w:val="Normal"/>
    <w:link w:val="Heading3Char"/>
    <w:uiPriority w:val="9"/>
    <w:unhideWhenUsed/>
    <w:qFormat/>
    <w:rsid w:val="00CC186E"/>
    <w:pPr>
      <w:ind w:firstLine="0"/>
      <w:outlineLvl w:val="2"/>
    </w:pPr>
    <w:rPr>
      <w:rFonts w:asciiTheme="minorHAnsi" w:hAnsiTheme="minorHAnsi" w:cstheme="minorHAnsi"/>
      <w:b/>
      <w:i/>
      <w:szCs w:val="22"/>
    </w:rPr>
  </w:style>
  <w:style w:type="paragraph" w:styleId="Heading4">
    <w:name w:val="heading 4"/>
    <w:basedOn w:val="Normal"/>
    <w:next w:val="Normal"/>
    <w:link w:val="Heading4Char"/>
    <w:uiPriority w:val="9"/>
    <w:unhideWhenUsed/>
    <w:qFormat/>
    <w:rsid w:val="00CC186E"/>
    <w:pPr>
      <w:tabs>
        <w:tab w:val="clear" w:pos="3068"/>
      </w:tabs>
      <w:outlineLvl w:val="3"/>
    </w:pPr>
    <w:rPr>
      <w:rFonts w:cstheme="minorHAnsi"/>
      <w:b/>
      <w:bCs/>
      <w:szCs w:val="22"/>
    </w:rPr>
  </w:style>
  <w:style w:type="paragraph" w:styleId="Heading5">
    <w:name w:val="heading 5"/>
    <w:basedOn w:val="Normal"/>
    <w:next w:val="Normal"/>
    <w:link w:val="Heading5Char"/>
    <w:uiPriority w:val="9"/>
    <w:unhideWhenUsed/>
    <w:qFormat/>
    <w:rsid w:val="00CC186E"/>
    <w:pPr>
      <w:tabs>
        <w:tab w:val="clear" w:pos="3068"/>
      </w:tabs>
      <w:outlineLvl w:val="4"/>
    </w:pPr>
    <w:rPr>
      <w:rFonts w:cs="Calibri"/>
      <w:b/>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2C3"/>
    <w:pPr>
      <w:tabs>
        <w:tab w:val="center" w:pos="4680"/>
        <w:tab w:val="right" w:pos="9360"/>
      </w:tabs>
      <w:spacing w:line="240" w:lineRule="auto"/>
    </w:pPr>
  </w:style>
  <w:style w:type="character" w:customStyle="1" w:styleId="HeaderChar">
    <w:name w:val="Header Char"/>
    <w:basedOn w:val="DefaultParagraphFont"/>
    <w:link w:val="Header"/>
    <w:uiPriority w:val="99"/>
    <w:rsid w:val="00E102C3"/>
  </w:style>
  <w:style w:type="paragraph" w:styleId="Footer">
    <w:name w:val="footer"/>
    <w:basedOn w:val="Normal"/>
    <w:link w:val="FooterChar"/>
    <w:uiPriority w:val="99"/>
    <w:unhideWhenUsed/>
    <w:rsid w:val="00E102C3"/>
    <w:pPr>
      <w:tabs>
        <w:tab w:val="center" w:pos="4680"/>
        <w:tab w:val="right" w:pos="9360"/>
      </w:tabs>
      <w:spacing w:line="240" w:lineRule="auto"/>
    </w:pPr>
  </w:style>
  <w:style w:type="character" w:customStyle="1" w:styleId="FooterChar">
    <w:name w:val="Footer Char"/>
    <w:basedOn w:val="DefaultParagraphFont"/>
    <w:link w:val="Footer"/>
    <w:uiPriority w:val="99"/>
    <w:rsid w:val="00E102C3"/>
  </w:style>
  <w:style w:type="character" w:customStyle="1" w:styleId="o00408">
    <w:name w:val="o00408"/>
    <w:basedOn w:val="DefaultParagraphFont"/>
    <w:rsid w:val="00E102C3"/>
  </w:style>
  <w:style w:type="character" w:customStyle="1" w:styleId="s01997">
    <w:name w:val="s01997"/>
    <w:basedOn w:val="DefaultParagraphFont"/>
    <w:rsid w:val="00E102C3"/>
  </w:style>
  <w:style w:type="character" w:customStyle="1" w:styleId="first-table-reference">
    <w:name w:val="first-table-reference"/>
    <w:basedOn w:val="DefaultParagraphFont"/>
    <w:rsid w:val="00E102C3"/>
  </w:style>
  <w:style w:type="character" w:styleId="Hyperlink">
    <w:name w:val="Hyperlink"/>
    <w:basedOn w:val="DefaultParagraphFont"/>
    <w:uiPriority w:val="99"/>
    <w:unhideWhenUsed/>
    <w:rsid w:val="00B40BBE"/>
    <w:rPr>
      <w:color w:val="0563C1" w:themeColor="hyperlink"/>
      <w:u w:val="single"/>
    </w:rPr>
  </w:style>
  <w:style w:type="character" w:customStyle="1" w:styleId="UnresolvedMention1">
    <w:name w:val="Unresolved Mention1"/>
    <w:basedOn w:val="DefaultParagraphFont"/>
    <w:uiPriority w:val="99"/>
    <w:semiHidden/>
    <w:unhideWhenUsed/>
    <w:rsid w:val="00B40BBE"/>
    <w:rPr>
      <w:color w:val="605E5C"/>
      <w:shd w:val="clear" w:color="auto" w:fill="E1DFDD"/>
    </w:rPr>
  </w:style>
  <w:style w:type="paragraph" w:styleId="FootnoteText">
    <w:name w:val="footnote text"/>
    <w:basedOn w:val="Normal"/>
    <w:link w:val="FootnoteTextChar"/>
    <w:uiPriority w:val="99"/>
    <w:semiHidden/>
    <w:unhideWhenUsed/>
    <w:rsid w:val="00B40BBE"/>
    <w:pPr>
      <w:spacing w:line="240" w:lineRule="auto"/>
    </w:pPr>
    <w:rPr>
      <w:sz w:val="20"/>
      <w:szCs w:val="20"/>
    </w:rPr>
  </w:style>
  <w:style w:type="character" w:customStyle="1" w:styleId="FootnoteTextChar">
    <w:name w:val="Footnote Text Char"/>
    <w:basedOn w:val="DefaultParagraphFont"/>
    <w:link w:val="FootnoteText"/>
    <w:uiPriority w:val="99"/>
    <w:semiHidden/>
    <w:rsid w:val="00B40BBE"/>
    <w:rPr>
      <w:rFonts w:ascii="Arial" w:hAnsi="Arial" w:cs="Arial"/>
      <w:color w:val="333333"/>
      <w:sz w:val="20"/>
      <w:szCs w:val="20"/>
    </w:rPr>
  </w:style>
  <w:style w:type="character" w:styleId="FootnoteReference">
    <w:name w:val="footnote reference"/>
    <w:basedOn w:val="DefaultParagraphFont"/>
    <w:uiPriority w:val="99"/>
    <w:semiHidden/>
    <w:unhideWhenUsed/>
    <w:rsid w:val="00B40BBE"/>
    <w:rPr>
      <w:vertAlign w:val="superscript"/>
    </w:rPr>
  </w:style>
  <w:style w:type="character" w:styleId="CommentReference">
    <w:name w:val="annotation reference"/>
    <w:basedOn w:val="DefaultParagraphFont"/>
    <w:uiPriority w:val="99"/>
    <w:semiHidden/>
    <w:unhideWhenUsed/>
    <w:rsid w:val="00955FD6"/>
    <w:rPr>
      <w:sz w:val="16"/>
      <w:szCs w:val="16"/>
    </w:rPr>
  </w:style>
  <w:style w:type="paragraph" w:styleId="CommentText">
    <w:name w:val="annotation text"/>
    <w:basedOn w:val="Normal"/>
    <w:link w:val="CommentTextChar"/>
    <w:semiHidden/>
    <w:unhideWhenUsed/>
    <w:rsid w:val="006274E0"/>
    <w:pPr>
      <w:tabs>
        <w:tab w:val="clear" w:pos="3068"/>
      </w:tabs>
      <w:spacing w:line="240" w:lineRule="auto"/>
      <w:ind w:firstLine="0"/>
    </w:pPr>
    <w:rPr>
      <w:sz w:val="20"/>
      <w:szCs w:val="20"/>
    </w:rPr>
  </w:style>
  <w:style w:type="character" w:customStyle="1" w:styleId="CommentTextChar">
    <w:name w:val="Comment Text Char"/>
    <w:basedOn w:val="DefaultParagraphFont"/>
    <w:link w:val="CommentText"/>
    <w:semiHidden/>
    <w:rsid w:val="006274E0"/>
    <w:rPr>
      <w:rFonts w:ascii="Arial" w:hAnsi="Arial" w:cs="Arial"/>
      <w:color w:val="333333"/>
      <w:sz w:val="20"/>
      <w:szCs w:val="20"/>
    </w:rPr>
  </w:style>
  <w:style w:type="paragraph" w:styleId="CommentSubject">
    <w:name w:val="annotation subject"/>
    <w:basedOn w:val="CommentText"/>
    <w:next w:val="CommentText"/>
    <w:link w:val="CommentSubjectChar"/>
    <w:uiPriority w:val="99"/>
    <w:semiHidden/>
    <w:unhideWhenUsed/>
    <w:rsid w:val="00955FD6"/>
    <w:rPr>
      <w:b/>
      <w:bCs/>
    </w:rPr>
  </w:style>
  <w:style w:type="character" w:customStyle="1" w:styleId="CommentSubjectChar">
    <w:name w:val="Comment Subject Char"/>
    <w:basedOn w:val="CommentTextChar"/>
    <w:link w:val="CommentSubject"/>
    <w:uiPriority w:val="99"/>
    <w:semiHidden/>
    <w:rsid w:val="00955FD6"/>
    <w:rPr>
      <w:rFonts w:ascii="Arial" w:hAnsi="Arial" w:cs="Arial"/>
      <w:b/>
      <w:bCs/>
      <w:color w:val="333333"/>
      <w:sz w:val="20"/>
      <w:szCs w:val="20"/>
    </w:rPr>
  </w:style>
  <w:style w:type="paragraph" w:styleId="BalloonText">
    <w:name w:val="Balloon Text"/>
    <w:basedOn w:val="Normal"/>
    <w:link w:val="BalloonTextChar"/>
    <w:uiPriority w:val="99"/>
    <w:semiHidden/>
    <w:unhideWhenUsed/>
    <w:rsid w:val="00955FD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FD6"/>
    <w:rPr>
      <w:rFonts w:ascii="Segoe UI" w:hAnsi="Segoe UI" w:cs="Segoe UI"/>
      <w:color w:val="333333"/>
      <w:sz w:val="18"/>
      <w:szCs w:val="18"/>
    </w:rPr>
  </w:style>
  <w:style w:type="table" w:styleId="TableGrid">
    <w:name w:val="Table Grid"/>
    <w:basedOn w:val="TableNormal"/>
    <w:uiPriority w:val="39"/>
    <w:rsid w:val="00A25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772D"/>
    <w:rPr>
      <w:color w:val="954F72" w:themeColor="followedHyperlink"/>
      <w:u w:val="single"/>
    </w:rPr>
  </w:style>
  <w:style w:type="paragraph" w:styleId="Revision">
    <w:name w:val="Revision"/>
    <w:hidden/>
    <w:uiPriority w:val="99"/>
    <w:semiHidden/>
    <w:rsid w:val="006274E0"/>
    <w:pPr>
      <w:spacing w:after="0" w:line="240" w:lineRule="auto"/>
    </w:pPr>
    <w:rPr>
      <w:rFonts w:ascii="Arial" w:hAnsi="Arial" w:cs="Arial"/>
      <w:color w:val="333333"/>
      <w:sz w:val="21"/>
      <w:szCs w:val="21"/>
      <w:shd w:val="clear" w:color="auto" w:fill="FFFFFF"/>
    </w:rPr>
  </w:style>
  <w:style w:type="character" w:customStyle="1" w:styleId="Heading2Char">
    <w:name w:val="Heading 2 Char"/>
    <w:basedOn w:val="DefaultParagraphFont"/>
    <w:link w:val="Heading2"/>
    <w:uiPriority w:val="9"/>
    <w:rsid w:val="00CC186E"/>
    <w:rPr>
      <w:rFonts w:cstheme="minorHAnsi"/>
      <w:b/>
    </w:rPr>
  </w:style>
  <w:style w:type="character" w:customStyle="1" w:styleId="Heading1Char">
    <w:name w:val="Heading 1 Char"/>
    <w:basedOn w:val="DefaultParagraphFont"/>
    <w:link w:val="Heading1"/>
    <w:uiPriority w:val="9"/>
    <w:rsid w:val="00CC186E"/>
    <w:rPr>
      <w:rFonts w:cstheme="minorHAnsi"/>
      <w:b/>
    </w:rPr>
  </w:style>
  <w:style w:type="character" w:customStyle="1" w:styleId="Heading3Char">
    <w:name w:val="Heading 3 Char"/>
    <w:basedOn w:val="DefaultParagraphFont"/>
    <w:link w:val="Heading3"/>
    <w:uiPriority w:val="9"/>
    <w:rsid w:val="00CC186E"/>
    <w:rPr>
      <w:rFonts w:cstheme="minorHAnsi"/>
      <w:b/>
      <w:i/>
    </w:rPr>
  </w:style>
  <w:style w:type="character" w:customStyle="1" w:styleId="Heading4Char">
    <w:name w:val="Heading 4 Char"/>
    <w:basedOn w:val="DefaultParagraphFont"/>
    <w:link w:val="Heading4"/>
    <w:uiPriority w:val="9"/>
    <w:rsid w:val="00CC186E"/>
    <w:rPr>
      <w:rFonts w:ascii="Calibri" w:hAnsi="Calibri" w:cstheme="minorHAnsi"/>
      <w:b/>
      <w:bCs/>
    </w:rPr>
  </w:style>
  <w:style w:type="character" w:customStyle="1" w:styleId="Heading5Char">
    <w:name w:val="Heading 5 Char"/>
    <w:basedOn w:val="DefaultParagraphFont"/>
    <w:link w:val="Heading5"/>
    <w:uiPriority w:val="9"/>
    <w:rsid w:val="00CC186E"/>
    <w:rPr>
      <w:rFonts w:ascii="Calibri" w:hAnsi="Calibri" w:cs="Calibri"/>
      <w:b/>
      <w:i/>
      <w:color w:val="333333"/>
    </w:rPr>
  </w:style>
  <w:style w:type="paragraph" w:styleId="Title">
    <w:name w:val="Title"/>
    <w:basedOn w:val="Heading1"/>
    <w:next w:val="Normal"/>
    <w:link w:val="TitleChar"/>
    <w:uiPriority w:val="10"/>
    <w:qFormat/>
    <w:rsid w:val="00CC186E"/>
  </w:style>
  <w:style w:type="character" w:customStyle="1" w:styleId="TitleChar">
    <w:name w:val="Title Char"/>
    <w:basedOn w:val="DefaultParagraphFont"/>
    <w:link w:val="Title"/>
    <w:uiPriority w:val="10"/>
    <w:rsid w:val="00CC186E"/>
    <w:rPr>
      <w:rFonts w:cstheme="minorHAnsi"/>
      <w:b/>
    </w:rPr>
  </w:style>
  <w:style w:type="paragraph" w:styleId="Quote">
    <w:name w:val="Quote"/>
    <w:basedOn w:val="Normal"/>
    <w:next w:val="Normal"/>
    <w:link w:val="QuoteChar"/>
    <w:uiPriority w:val="29"/>
    <w:qFormat/>
    <w:rsid w:val="00236E04"/>
    <w:pPr>
      <w:ind w:left="720" w:firstLine="0"/>
    </w:pPr>
    <w:rPr>
      <w:iCs/>
      <w:color w:val="404040" w:themeColor="text1" w:themeTint="BF"/>
    </w:rPr>
  </w:style>
  <w:style w:type="character" w:customStyle="1" w:styleId="QuoteChar">
    <w:name w:val="Quote Char"/>
    <w:basedOn w:val="DefaultParagraphFont"/>
    <w:link w:val="Quote"/>
    <w:uiPriority w:val="29"/>
    <w:rsid w:val="00236E04"/>
    <w:rPr>
      <w:rFonts w:ascii="Calibri" w:hAnsi="Calibri" w:cs="Arial"/>
      <w:iCs/>
      <w:color w:val="404040" w:themeColor="text1" w:themeTint="BF"/>
      <w:szCs w:val="21"/>
    </w:rPr>
  </w:style>
  <w:style w:type="paragraph" w:styleId="ListParagraph">
    <w:name w:val="List Paragraph"/>
    <w:basedOn w:val="Normal"/>
    <w:uiPriority w:val="34"/>
    <w:qFormat/>
    <w:rsid w:val="00836BD3"/>
    <w:pPr>
      <w:ind w:left="720"/>
      <w:contextualSpacing/>
    </w:pPr>
  </w:style>
  <w:style w:type="character" w:styleId="UnresolvedMention">
    <w:name w:val="Unresolved Mention"/>
    <w:basedOn w:val="DefaultParagraphFont"/>
    <w:uiPriority w:val="99"/>
    <w:semiHidden/>
    <w:unhideWhenUsed/>
    <w:rsid w:val="00DB11DD"/>
    <w:rPr>
      <w:color w:val="605E5C"/>
      <w:shd w:val="clear" w:color="auto" w:fill="E1DFDD"/>
    </w:rPr>
  </w:style>
  <w:style w:type="paragraph" w:customStyle="1" w:styleId="msonormal0">
    <w:name w:val="msonormal"/>
    <w:basedOn w:val="Normal"/>
    <w:rsid w:val="009044CF"/>
    <w:pPr>
      <w:tabs>
        <w:tab w:val="clear" w:pos="3068"/>
      </w:tabs>
      <w:spacing w:before="100" w:beforeAutospacing="1" w:after="100" w:afterAutospacing="1" w:line="240" w:lineRule="auto"/>
      <w:ind w:firstLine="0"/>
    </w:pPr>
    <w:rPr>
      <w:rFonts w:ascii="Times New Roman" w:eastAsia="Times New Roman" w:hAnsi="Times New Roman" w:cs="Times New Roman"/>
      <w:sz w:val="24"/>
      <w:szCs w:val="24"/>
      <w:shd w:val="clear" w:color="auto" w:fill="auto"/>
      <w:lang w:val="en-GB" w:eastAsia="en-GB"/>
    </w:rPr>
  </w:style>
  <w:style w:type="paragraph" w:customStyle="1" w:styleId="xl63">
    <w:name w:val="xl63"/>
    <w:basedOn w:val="Normal"/>
    <w:rsid w:val="009044CF"/>
    <w:pPr>
      <w:shd w:val="clear" w:color="000000" w:fill="D9E1F2"/>
      <w:tabs>
        <w:tab w:val="clear" w:pos="3068"/>
      </w:tabs>
      <w:spacing w:before="100" w:beforeAutospacing="1" w:after="100" w:afterAutospacing="1" w:line="240" w:lineRule="auto"/>
      <w:ind w:firstLine="0"/>
      <w:jc w:val="center"/>
      <w:textAlignment w:val="center"/>
    </w:pPr>
    <w:rPr>
      <w:rFonts w:eastAsia="Times New Roman" w:cs="Calibri"/>
      <w:b/>
      <w:bCs/>
      <w:sz w:val="24"/>
      <w:szCs w:val="24"/>
      <w:shd w:val="clear" w:color="auto" w:fill="auto"/>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874146">
      <w:bodyDiv w:val="1"/>
      <w:marLeft w:val="0"/>
      <w:marRight w:val="0"/>
      <w:marTop w:val="0"/>
      <w:marBottom w:val="0"/>
      <w:divBdr>
        <w:top w:val="none" w:sz="0" w:space="0" w:color="auto"/>
        <w:left w:val="none" w:sz="0" w:space="0" w:color="auto"/>
        <w:bottom w:val="none" w:sz="0" w:space="0" w:color="auto"/>
        <w:right w:val="none" w:sz="0" w:space="0" w:color="auto"/>
      </w:divBdr>
      <w:divsChild>
        <w:div w:id="1704477439">
          <w:marLeft w:val="0"/>
          <w:marRight w:val="0"/>
          <w:marTop w:val="360"/>
          <w:marBottom w:val="0"/>
          <w:divBdr>
            <w:top w:val="none" w:sz="0" w:space="0" w:color="auto"/>
            <w:left w:val="none" w:sz="0" w:space="0" w:color="auto"/>
            <w:bottom w:val="none" w:sz="0" w:space="0" w:color="auto"/>
            <w:right w:val="none" w:sz="0" w:space="0" w:color="auto"/>
          </w:divBdr>
        </w:div>
        <w:div w:id="1133645130">
          <w:marLeft w:val="0"/>
          <w:marRight w:val="0"/>
          <w:marTop w:val="360"/>
          <w:marBottom w:val="0"/>
          <w:divBdr>
            <w:top w:val="none" w:sz="0" w:space="0" w:color="auto"/>
            <w:left w:val="none" w:sz="0" w:space="0" w:color="auto"/>
            <w:bottom w:val="none" w:sz="0" w:space="0" w:color="auto"/>
            <w:right w:val="none" w:sz="0" w:space="0" w:color="auto"/>
          </w:divBdr>
        </w:div>
        <w:div w:id="1786077246">
          <w:marLeft w:val="0"/>
          <w:marRight w:val="0"/>
          <w:marTop w:val="360"/>
          <w:marBottom w:val="0"/>
          <w:divBdr>
            <w:top w:val="none" w:sz="0" w:space="0" w:color="auto"/>
            <w:left w:val="none" w:sz="0" w:space="0" w:color="auto"/>
            <w:bottom w:val="none" w:sz="0" w:space="0" w:color="auto"/>
            <w:right w:val="none" w:sz="0" w:space="0" w:color="auto"/>
          </w:divBdr>
        </w:div>
        <w:div w:id="1597637402">
          <w:marLeft w:val="0"/>
          <w:marRight w:val="0"/>
          <w:marTop w:val="360"/>
          <w:marBottom w:val="0"/>
          <w:divBdr>
            <w:top w:val="none" w:sz="0" w:space="0" w:color="auto"/>
            <w:left w:val="none" w:sz="0" w:space="0" w:color="auto"/>
            <w:bottom w:val="none" w:sz="0" w:space="0" w:color="auto"/>
            <w:right w:val="none" w:sz="0" w:space="0" w:color="auto"/>
          </w:divBdr>
        </w:div>
      </w:divsChild>
    </w:div>
    <w:div w:id="127826384">
      <w:bodyDiv w:val="1"/>
      <w:marLeft w:val="0"/>
      <w:marRight w:val="0"/>
      <w:marTop w:val="0"/>
      <w:marBottom w:val="0"/>
      <w:divBdr>
        <w:top w:val="none" w:sz="0" w:space="0" w:color="auto"/>
        <w:left w:val="none" w:sz="0" w:space="0" w:color="auto"/>
        <w:bottom w:val="none" w:sz="0" w:space="0" w:color="auto"/>
        <w:right w:val="none" w:sz="0" w:space="0" w:color="auto"/>
      </w:divBdr>
      <w:divsChild>
        <w:div w:id="577374035">
          <w:marLeft w:val="0"/>
          <w:marRight w:val="0"/>
          <w:marTop w:val="360"/>
          <w:marBottom w:val="0"/>
          <w:divBdr>
            <w:top w:val="none" w:sz="0" w:space="0" w:color="auto"/>
            <w:left w:val="none" w:sz="0" w:space="0" w:color="auto"/>
            <w:bottom w:val="none" w:sz="0" w:space="0" w:color="auto"/>
            <w:right w:val="none" w:sz="0" w:space="0" w:color="auto"/>
          </w:divBdr>
        </w:div>
        <w:div w:id="21444358">
          <w:marLeft w:val="0"/>
          <w:marRight w:val="0"/>
          <w:marTop w:val="360"/>
          <w:marBottom w:val="0"/>
          <w:divBdr>
            <w:top w:val="none" w:sz="0" w:space="0" w:color="auto"/>
            <w:left w:val="none" w:sz="0" w:space="0" w:color="auto"/>
            <w:bottom w:val="none" w:sz="0" w:space="0" w:color="auto"/>
            <w:right w:val="none" w:sz="0" w:space="0" w:color="auto"/>
          </w:divBdr>
        </w:div>
      </w:divsChild>
    </w:div>
    <w:div w:id="142283541">
      <w:bodyDiv w:val="1"/>
      <w:marLeft w:val="0"/>
      <w:marRight w:val="0"/>
      <w:marTop w:val="0"/>
      <w:marBottom w:val="0"/>
      <w:divBdr>
        <w:top w:val="none" w:sz="0" w:space="0" w:color="auto"/>
        <w:left w:val="none" w:sz="0" w:space="0" w:color="auto"/>
        <w:bottom w:val="none" w:sz="0" w:space="0" w:color="auto"/>
        <w:right w:val="none" w:sz="0" w:space="0" w:color="auto"/>
      </w:divBdr>
      <w:divsChild>
        <w:div w:id="1953659187">
          <w:marLeft w:val="0"/>
          <w:marRight w:val="0"/>
          <w:marTop w:val="360"/>
          <w:marBottom w:val="0"/>
          <w:divBdr>
            <w:top w:val="none" w:sz="0" w:space="0" w:color="auto"/>
            <w:left w:val="none" w:sz="0" w:space="0" w:color="auto"/>
            <w:bottom w:val="none" w:sz="0" w:space="0" w:color="auto"/>
            <w:right w:val="none" w:sz="0" w:space="0" w:color="auto"/>
          </w:divBdr>
        </w:div>
        <w:div w:id="943270752">
          <w:marLeft w:val="0"/>
          <w:marRight w:val="0"/>
          <w:marTop w:val="360"/>
          <w:marBottom w:val="0"/>
          <w:divBdr>
            <w:top w:val="none" w:sz="0" w:space="0" w:color="auto"/>
            <w:left w:val="none" w:sz="0" w:space="0" w:color="auto"/>
            <w:bottom w:val="none" w:sz="0" w:space="0" w:color="auto"/>
            <w:right w:val="none" w:sz="0" w:space="0" w:color="auto"/>
          </w:divBdr>
        </w:div>
        <w:div w:id="296841881">
          <w:marLeft w:val="0"/>
          <w:marRight w:val="0"/>
          <w:marTop w:val="360"/>
          <w:marBottom w:val="0"/>
          <w:divBdr>
            <w:top w:val="none" w:sz="0" w:space="0" w:color="auto"/>
            <w:left w:val="none" w:sz="0" w:space="0" w:color="auto"/>
            <w:bottom w:val="none" w:sz="0" w:space="0" w:color="auto"/>
            <w:right w:val="none" w:sz="0" w:space="0" w:color="auto"/>
          </w:divBdr>
        </w:div>
      </w:divsChild>
    </w:div>
    <w:div w:id="156966567">
      <w:bodyDiv w:val="1"/>
      <w:marLeft w:val="0"/>
      <w:marRight w:val="0"/>
      <w:marTop w:val="0"/>
      <w:marBottom w:val="0"/>
      <w:divBdr>
        <w:top w:val="none" w:sz="0" w:space="0" w:color="auto"/>
        <w:left w:val="none" w:sz="0" w:space="0" w:color="auto"/>
        <w:bottom w:val="none" w:sz="0" w:space="0" w:color="auto"/>
        <w:right w:val="none" w:sz="0" w:space="0" w:color="auto"/>
      </w:divBdr>
    </w:div>
    <w:div w:id="163782644">
      <w:bodyDiv w:val="1"/>
      <w:marLeft w:val="0"/>
      <w:marRight w:val="0"/>
      <w:marTop w:val="0"/>
      <w:marBottom w:val="0"/>
      <w:divBdr>
        <w:top w:val="none" w:sz="0" w:space="0" w:color="auto"/>
        <w:left w:val="none" w:sz="0" w:space="0" w:color="auto"/>
        <w:bottom w:val="none" w:sz="0" w:space="0" w:color="auto"/>
        <w:right w:val="none" w:sz="0" w:space="0" w:color="auto"/>
      </w:divBdr>
    </w:div>
    <w:div w:id="249118016">
      <w:bodyDiv w:val="1"/>
      <w:marLeft w:val="0"/>
      <w:marRight w:val="0"/>
      <w:marTop w:val="0"/>
      <w:marBottom w:val="0"/>
      <w:divBdr>
        <w:top w:val="none" w:sz="0" w:space="0" w:color="auto"/>
        <w:left w:val="none" w:sz="0" w:space="0" w:color="auto"/>
        <w:bottom w:val="none" w:sz="0" w:space="0" w:color="auto"/>
        <w:right w:val="none" w:sz="0" w:space="0" w:color="auto"/>
      </w:divBdr>
      <w:divsChild>
        <w:div w:id="319312063">
          <w:marLeft w:val="0"/>
          <w:marRight w:val="0"/>
          <w:marTop w:val="360"/>
          <w:marBottom w:val="0"/>
          <w:divBdr>
            <w:top w:val="none" w:sz="0" w:space="0" w:color="auto"/>
            <w:left w:val="none" w:sz="0" w:space="0" w:color="auto"/>
            <w:bottom w:val="none" w:sz="0" w:space="0" w:color="auto"/>
            <w:right w:val="none" w:sz="0" w:space="0" w:color="auto"/>
          </w:divBdr>
        </w:div>
        <w:div w:id="1228960553">
          <w:marLeft w:val="0"/>
          <w:marRight w:val="0"/>
          <w:marTop w:val="360"/>
          <w:marBottom w:val="0"/>
          <w:divBdr>
            <w:top w:val="none" w:sz="0" w:space="0" w:color="auto"/>
            <w:left w:val="none" w:sz="0" w:space="0" w:color="auto"/>
            <w:bottom w:val="none" w:sz="0" w:space="0" w:color="auto"/>
            <w:right w:val="none" w:sz="0" w:space="0" w:color="auto"/>
          </w:divBdr>
        </w:div>
        <w:div w:id="356152455">
          <w:marLeft w:val="0"/>
          <w:marRight w:val="0"/>
          <w:marTop w:val="360"/>
          <w:marBottom w:val="0"/>
          <w:divBdr>
            <w:top w:val="none" w:sz="0" w:space="0" w:color="auto"/>
            <w:left w:val="none" w:sz="0" w:space="0" w:color="auto"/>
            <w:bottom w:val="none" w:sz="0" w:space="0" w:color="auto"/>
            <w:right w:val="none" w:sz="0" w:space="0" w:color="auto"/>
          </w:divBdr>
        </w:div>
      </w:divsChild>
    </w:div>
    <w:div w:id="308100496">
      <w:bodyDiv w:val="1"/>
      <w:marLeft w:val="0"/>
      <w:marRight w:val="0"/>
      <w:marTop w:val="0"/>
      <w:marBottom w:val="0"/>
      <w:divBdr>
        <w:top w:val="none" w:sz="0" w:space="0" w:color="auto"/>
        <w:left w:val="none" w:sz="0" w:space="0" w:color="auto"/>
        <w:bottom w:val="none" w:sz="0" w:space="0" w:color="auto"/>
        <w:right w:val="none" w:sz="0" w:space="0" w:color="auto"/>
      </w:divBdr>
      <w:divsChild>
        <w:div w:id="902182426">
          <w:marLeft w:val="0"/>
          <w:marRight w:val="0"/>
          <w:marTop w:val="360"/>
          <w:marBottom w:val="0"/>
          <w:divBdr>
            <w:top w:val="none" w:sz="0" w:space="0" w:color="auto"/>
            <w:left w:val="none" w:sz="0" w:space="0" w:color="auto"/>
            <w:bottom w:val="none" w:sz="0" w:space="0" w:color="auto"/>
            <w:right w:val="none" w:sz="0" w:space="0" w:color="auto"/>
          </w:divBdr>
        </w:div>
        <w:div w:id="361905220">
          <w:marLeft w:val="0"/>
          <w:marRight w:val="0"/>
          <w:marTop w:val="360"/>
          <w:marBottom w:val="0"/>
          <w:divBdr>
            <w:top w:val="none" w:sz="0" w:space="0" w:color="auto"/>
            <w:left w:val="none" w:sz="0" w:space="0" w:color="auto"/>
            <w:bottom w:val="none" w:sz="0" w:space="0" w:color="auto"/>
            <w:right w:val="none" w:sz="0" w:space="0" w:color="auto"/>
          </w:divBdr>
        </w:div>
      </w:divsChild>
    </w:div>
    <w:div w:id="310445846">
      <w:bodyDiv w:val="1"/>
      <w:marLeft w:val="0"/>
      <w:marRight w:val="0"/>
      <w:marTop w:val="0"/>
      <w:marBottom w:val="0"/>
      <w:divBdr>
        <w:top w:val="none" w:sz="0" w:space="0" w:color="auto"/>
        <w:left w:val="none" w:sz="0" w:space="0" w:color="auto"/>
        <w:bottom w:val="none" w:sz="0" w:space="0" w:color="auto"/>
        <w:right w:val="none" w:sz="0" w:space="0" w:color="auto"/>
      </w:divBdr>
    </w:div>
    <w:div w:id="431778561">
      <w:bodyDiv w:val="1"/>
      <w:marLeft w:val="0"/>
      <w:marRight w:val="0"/>
      <w:marTop w:val="0"/>
      <w:marBottom w:val="0"/>
      <w:divBdr>
        <w:top w:val="none" w:sz="0" w:space="0" w:color="auto"/>
        <w:left w:val="none" w:sz="0" w:space="0" w:color="auto"/>
        <w:bottom w:val="none" w:sz="0" w:space="0" w:color="auto"/>
        <w:right w:val="none" w:sz="0" w:space="0" w:color="auto"/>
      </w:divBdr>
      <w:divsChild>
        <w:div w:id="2083408065">
          <w:marLeft w:val="0"/>
          <w:marRight w:val="0"/>
          <w:marTop w:val="360"/>
          <w:marBottom w:val="0"/>
          <w:divBdr>
            <w:top w:val="none" w:sz="0" w:space="0" w:color="auto"/>
            <w:left w:val="none" w:sz="0" w:space="0" w:color="auto"/>
            <w:bottom w:val="none" w:sz="0" w:space="0" w:color="auto"/>
            <w:right w:val="none" w:sz="0" w:space="0" w:color="auto"/>
          </w:divBdr>
        </w:div>
        <w:div w:id="885986380">
          <w:marLeft w:val="0"/>
          <w:marRight w:val="0"/>
          <w:marTop w:val="360"/>
          <w:marBottom w:val="0"/>
          <w:divBdr>
            <w:top w:val="none" w:sz="0" w:space="0" w:color="auto"/>
            <w:left w:val="none" w:sz="0" w:space="0" w:color="auto"/>
            <w:bottom w:val="none" w:sz="0" w:space="0" w:color="auto"/>
            <w:right w:val="none" w:sz="0" w:space="0" w:color="auto"/>
          </w:divBdr>
        </w:div>
        <w:div w:id="1168326218">
          <w:marLeft w:val="0"/>
          <w:marRight w:val="0"/>
          <w:marTop w:val="360"/>
          <w:marBottom w:val="0"/>
          <w:divBdr>
            <w:top w:val="none" w:sz="0" w:space="0" w:color="auto"/>
            <w:left w:val="none" w:sz="0" w:space="0" w:color="auto"/>
            <w:bottom w:val="none" w:sz="0" w:space="0" w:color="auto"/>
            <w:right w:val="none" w:sz="0" w:space="0" w:color="auto"/>
          </w:divBdr>
        </w:div>
        <w:div w:id="770275775">
          <w:marLeft w:val="0"/>
          <w:marRight w:val="0"/>
          <w:marTop w:val="360"/>
          <w:marBottom w:val="0"/>
          <w:divBdr>
            <w:top w:val="none" w:sz="0" w:space="0" w:color="auto"/>
            <w:left w:val="none" w:sz="0" w:space="0" w:color="auto"/>
            <w:bottom w:val="none" w:sz="0" w:space="0" w:color="auto"/>
            <w:right w:val="none" w:sz="0" w:space="0" w:color="auto"/>
          </w:divBdr>
        </w:div>
        <w:div w:id="827870496">
          <w:marLeft w:val="0"/>
          <w:marRight w:val="0"/>
          <w:marTop w:val="360"/>
          <w:marBottom w:val="0"/>
          <w:divBdr>
            <w:top w:val="none" w:sz="0" w:space="0" w:color="auto"/>
            <w:left w:val="none" w:sz="0" w:space="0" w:color="auto"/>
            <w:bottom w:val="none" w:sz="0" w:space="0" w:color="auto"/>
            <w:right w:val="none" w:sz="0" w:space="0" w:color="auto"/>
          </w:divBdr>
        </w:div>
        <w:div w:id="1887133233">
          <w:marLeft w:val="0"/>
          <w:marRight w:val="0"/>
          <w:marTop w:val="360"/>
          <w:marBottom w:val="0"/>
          <w:divBdr>
            <w:top w:val="none" w:sz="0" w:space="0" w:color="auto"/>
            <w:left w:val="none" w:sz="0" w:space="0" w:color="auto"/>
            <w:bottom w:val="none" w:sz="0" w:space="0" w:color="auto"/>
            <w:right w:val="none" w:sz="0" w:space="0" w:color="auto"/>
          </w:divBdr>
        </w:div>
        <w:div w:id="652298196">
          <w:marLeft w:val="0"/>
          <w:marRight w:val="0"/>
          <w:marTop w:val="360"/>
          <w:marBottom w:val="0"/>
          <w:divBdr>
            <w:top w:val="none" w:sz="0" w:space="0" w:color="auto"/>
            <w:left w:val="none" w:sz="0" w:space="0" w:color="auto"/>
            <w:bottom w:val="none" w:sz="0" w:space="0" w:color="auto"/>
            <w:right w:val="none" w:sz="0" w:space="0" w:color="auto"/>
          </w:divBdr>
        </w:div>
        <w:div w:id="759372997">
          <w:marLeft w:val="0"/>
          <w:marRight w:val="0"/>
          <w:marTop w:val="360"/>
          <w:marBottom w:val="0"/>
          <w:divBdr>
            <w:top w:val="none" w:sz="0" w:space="0" w:color="auto"/>
            <w:left w:val="none" w:sz="0" w:space="0" w:color="auto"/>
            <w:bottom w:val="none" w:sz="0" w:space="0" w:color="auto"/>
            <w:right w:val="none" w:sz="0" w:space="0" w:color="auto"/>
          </w:divBdr>
        </w:div>
        <w:div w:id="794249839">
          <w:marLeft w:val="0"/>
          <w:marRight w:val="0"/>
          <w:marTop w:val="360"/>
          <w:marBottom w:val="0"/>
          <w:divBdr>
            <w:top w:val="none" w:sz="0" w:space="0" w:color="auto"/>
            <w:left w:val="none" w:sz="0" w:space="0" w:color="auto"/>
            <w:bottom w:val="none" w:sz="0" w:space="0" w:color="auto"/>
            <w:right w:val="none" w:sz="0" w:space="0" w:color="auto"/>
          </w:divBdr>
        </w:div>
      </w:divsChild>
    </w:div>
    <w:div w:id="550045126">
      <w:bodyDiv w:val="1"/>
      <w:marLeft w:val="0"/>
      <w:marRight w:val="0"/>
      <w:marTop w:val="0"/>
      <w:marBottom w:val="0"/>
      <w:divBdr>
        <w:top w:val="none" w:sz="0" w:space="0" w:color="auto"/>
        <w:left w:val="none" w:sz="0" w:space="0" w:color="auto"/>
        <w:bottom w:val="none" w:sz="0" w:space="0" w:color="auto"/>
        <w:right w:val="none" w:sz="0" w:space="0" w:color="auto"/>
      </w:divBdr>
      <w:divsChild>
        <w:div w:id="1456559178">
          <w:marLeft w:val="0"/>
          <w:marRight w:val="0"/>
          <w:marTop w:val="360"/>
          <w:marBottom w:val="0"/>
          <w:divBdr>
            <w:top w:val="none" w:sz="0" w:space="0" w:color="auto"/>
            <w:left w:val="none" w:sz="0" w:space="0" w:color="auto"/>
            <w:bottom w:val="none" w:sz="0" w:space="0" w:color="auto"/>
            <w:right w:val="none" w:sz="0" w:space="0" w:color="auto"/>
          </w:divBdr>
        </w:div>
        <w:div w:id="806166369">
          <w:marLeft w:val="0"/>
          <w:marRight w:val="0"/>
          <w:marTop w:val="360"/>
          <w:marBottom w:val="0"/>
          <w:divBdr>
            <w:top w:val="none" w:sz="0" w:space="0" w:color="auto"/>
            <w:left w:val="none" w:sz="0" w:space="0" w:color="auto"/>
            <w:bottom w:val="none" w:sz="0" w:space="0" w:color="auto"/>
            <w:right w:val="none" w:sz="0" w:space="0" w:color="auto"/>
          </w:divBdr>
        </w:div>
        <w:div w:id="1539704481">
          <w:marLeft w:val="0"/>
          <w:marRight w:val="0"/>
          <w:marTop w:val="360"/>
          <w:marBottom w:val="0"/>
          <w:divBdr>
            <w:top w:val="none" w:sz="0" w:space="0" w:color="auto"/>
            <w:left w:val="none" w:sz="0" w:space="0" w:color="auto"/>
            <w:bottom w:val="none" w:sz="0" w:space="0" w:color="auto"/>
            <w:right w:val="none" w:sz="0" w:space="0" w:color="auto"/>
          </w:divBdr>
        </w:div>
        <w:div w:id="1550726192">
          <w:marLeft w:val="0"/>
          <w:marRight w:val="0"/>
          <w:marTop w:val="360"/>
          <w:marBottom w:val="0"/>
          <w:divBdr>
            <w:top w:val="none" w:sz="0" w:space="0" w:color="auto"/>
            <w:left w:val="none" w:sz="0" w:space="0" w:color="auto"/>
            <w:bottom w:val="none" w:sz="0" w:space="0" w:color="auto"/>
            <w:right w:val="none" w:sz="0" w:space="0" w:color="auto"/>
          </w:divBdr>
        </w:div>
      </w:divsChild>
    </w:div>
    <w:div w:id="869491993">
      <w:bodyDiv w:val="1"/>
      <w:marLeft w:val="0"/>
      <w:marRight w:val="0"/>
      <w:marTop w:val="0"/>
      <w:marBottom w:val="0"/>
      <w:divBdr>
        <w:top w:val="none" w:sz="0" w:space="0" w:color="auto"/>
        <w:left w:val="none" w:sz="0" w:space="0" w:color="auto"/>
        <w:bottom w:val="none" w:sz="0" w:space="0" w:color="auto"/>
        <w:right w:val="none" w:sz="0" w:space="0" w:color="auto"/>
      </w:divBdr>
      <w:divsChild>
        <w:div w:id="1889412254">
          <w:marLeft w:val="0"/>
          <w:marRight w:val="0"/>
          <w:marTop w:val="360"/>
          <w:marBottom w:val="0"/>
          <w:divBdr>
            <w:top w:val="none" w:sz="0" w:space="0" w:color="auto"/>
            <w:left w:val="none" w:sz="0" w:space="0" w:color="auto"/>
            <w:bottom w:val="none" w:sz="0" w:space="0" w:color="auto"/>
            <w:right w:val="none" w:sz="0" w:space="0" w:color="auto"/>
          </w:divBdr>
        </w:div>
        <w:div w:id="1140228037">
          <w:marLeft w:val="-75"/>
          <w:marRight w:val="0"/>
          <w:marTop w:val="480"/>
          <w:marBottom w:val="360"/>
          <w:divBdr>
            <w:top w:val="none" w:sz="0" w:space="0" w:color="auto"/>
            <w:left w:val="none" w:sz="0" w:space="0" w:color="auto"/>
            <w:bottom w:val="none" w:sz="0" w:space="0" w:color="auto"/>
            <w:right w:val="none" w:sz="0" w:space="0" w:color="auto"/>
          </w:divBdr>
        </w:div>
        <w:div w:id="1264457547">
          <w:marLeft w:val="0"/>
          <w:marRight w:val="0"/>
          <w:marTop w:val="360"/>
          <w:marBottom w:val="0"/>
          <w:divBdr>
            <w:top w:val="none" w:sz="0" w:space="0" w:color="auto"/>
            <w:left w:val="none" w:sz="0" w:space="0" w:color="auto"/>
            <w:bottom w:val="none" w:sz="0" w:space="0" w:color="auto"/>
            <w:right w:val="none" w:sz="0" w:space="0" w:color="auto"/>
          </w:divBdr>
        </w:div>
        <w:div w:id="686565830">
          <w:marLeft w:val="0"/>
          <w:marRight w:val="0"/>
          <w:marTop w:val="360"/>
          <w:marBottom w:val="0"/>
          <w:divBdr>
            <w:top w:val="none" w:sz="0" w:space="0" w:color="auto"/>
            <w:left w:val="none" w:sz="0" w:space="0" w:color="auto"/>
            <w:bottom w:val="none" w:sz="0" w:space="0" w:color="auto"/>
            <w:right w:val="none" w:sz="0" w:space="0" w:color="auto"/>
          </w:divBdr>
        </w:div>
        <w:div w:id="343628107">
          <w:marLeft w:val="0"/>
          <w:marRight w:val="0"/>
          <w:marTop w:val="360"/>
          <w:marBottom w:val="0"/>
          <w:divBdr>
            <w:top w:val="none" w:sz="0" w:space="0" w:color="auto"/>
            <w:left w:val="none" w:sz="0" w:space="0" w:color="auto"/>
            <w:bottom w:val="none" w:sz="0" w:space="0" w:color="auto"/>
            <w:right w:val="none" w:sz="0" w:space="0" w:color="auto"/>
          </w:divBdr>
        </w:div>
        <w:div w:id="634874285">
          <w:marLeft w:val="0"/>
          <w:marRight w:val="0"/>
          <w:marTop w:val="360"/>
          <w:marBottom w:val="0"/>
          <w:divBdr>
            <w:top w:val="none" w:sz="0" w:space="0" w:color="auto"/>
            <w:left w:val="none" w:sz="0" w:space="0" w:color="auto"/>
            <w:bottom w:val="none" w:sz="0" w:space="0" w:color="auto"/>
            <w:right w:val="none" w:sz="0" w:space="0" w:color="auto"/>
          </w:divBdr>
        </w:div>
        <w:div w:id="1219707706">
          <w:marLeft w:val="-75"/>
          <w:marRight w:val="0"/>
          <w:marTop w:val="480"/>
          <w:marBottom w:val="360"/>
          <w:divBdr>
            <w:top w:val="none" w:sz="0" w:space="0" w:color="auto"/>
            <w:left w:val="none" w:sz="0" w:space="0" w:color="auto"/>
            <w:bottom w:val="none" w:sz="0" w:space="0" w:color="auto"/>
            <w:right w:val="none" w:sz="0" w:space="0" w:color="auto"/>
          </w:divBdr>
        </w:div>
        <w:div w:id="780954215">
          <w:marLeft w:val="0"/>
          <w:marRight w:val="0"/>
          <w:marTop w:val="360"/>
          <w:marBottom w:val="0"/>
          <w:divBdr>
            <w:top w:val="none" w:sz="0" w:space="0" w:color="auto"/>
            <w:left w:val="none" w:sz="0" w:space="0" w:color="auto"/>
            <w:bottom w:val="none" w:sz="0" w:space="0" w:color="auto"/>
            <w:right w:val="none" w:sz="0" w:space="0" w:color="auto"/>
          </w:divBdr>
        </w:div>
        <w:div w:id="260457361">
          <w:marLeft w:val="0"/>
          <w:marRight w:val="0"/>
          <w:marTop w:val="360"/>
          <w:marBottom w:val="0"/>
          <w:divBdr>
            <w:top w:val="none" w:sz="0" w:space="0" w:color="auto"/>
            <w:left w:val="none" w:sz="0" w:space="0" w:color="auto"/>
            <w:bottom w:val="none" w:sz="0" w:space="0" w:color="auto"/>
            <w:right w:val="none" w:sz="0" w:space="0" w:color="auto"/>
          </w:divBdr>
        </w:div>
        <w:div w:id="449325641">
          <w:marLeft w:val="0"/>
          <w:marRight w:val="0"/>
          <w:marTop w:val="360"/>
          <w:marBottom w:val="0"/>
          <w:divBdr>
            <w:top w:val="none" w:sz="0" w:space="0" w:color="auto"/>
            <w:left w:val="none" w:sz="0" w:space="0" w:color="auto"/>
            <w:bottom w:val="none" w:sz="0" w:space="0" w:color="auto"/>
            <w:right w:val="none" w:sz="0" w:space="0" w:color="auto"/>
          </w:divBdr>
        </w:div>
        <w:div w:id="1342974095">
          <w:marLeft w:val="0"/>
          <w:marRight w:val="0"/>
          <w:marTop w:val="360"/>
          <w:marBottom w:val="0"/>
          <w:divBdr>
            <w:top w:val="none" w:sz="0" w:space="0" w:color="auto"/>
            <w:left w:val="none" w:sz="0" w:space="0" w:color="auto"/>
            <w:bottom w:val="none" w:sz="0" w:space="0" w:color="auto"/>
            <w:right w:val="none" w:sz="0" w:space="0" w:color="auto"/>
          </w:divBdr>
        </w:div>
        <w:div w:id="121535791">
          <w:marLeft w:val="0"/>
          <w:marRight w:val="0"/>
          <w:marTop w:val="360"/>
          <w:marBottom w:val="0"/>
          <w:divBdr>
            <w:top w:val="none" w:sz="0" w:space="0" w:color="auto"/>
            <w:left w:val="none" w:sz="0" w:space="0" w:color="auto"/>
            <w:bottom w:val="none" w:sz="0" w:space="0" w:color="auto"/>
            <w:right w:val="none" w:sz="0" w:space="0" w:color="auto"/>
          </w:divBdr>
        </w:div>
      </w:divsChild>
    </w:div>
    <w:div w:id="1105997380">
      <w:bodyDiv w:val="1"/>
      <w:marLeft w:val="0"/>
      <w:marRight w:val="0"/>
      <w:marTop w:val="0"/>
      <w:marBottom w:val="0"/>
      <w:divBdr>
        <w:top w:val="none" w:sz="0" w:space="0" w:color="auto"/>
        <w:left w:val="none" w:sz="0" w:space="0" w:color="auto"/>
        <w:bottom w:val="none" w:sz="0" w:space="0" w:color="auto"/>
        <w:right w:val="none" w:sz="0" w:space="0" w:color="auto"/>
      </w:divBdr>
    </w:div>
    <w:div w:id="1169906346">
      <w:bodyDiv w:val="1"/>
      <w:marLeft w:val="0"/>
      <w:marRight w:val="0"/>
      <w:marTop w:val="0"/>
      <w:marBottom w:val="0"/>
      <w:divBdr>
        <w:top w:val="none" w:sz="0" w:space="0" w:color="auto"/>
        <w:left w:val="none" w:sz="0" w:space="0" w:color="auto"/>
        <w:bottom w:val="none" w:sz="0" w:space="0" w:color="auto"/>
        <w:right w:val="none" w:sz="0" w:space="0" w:color="auto"/>
      </w:divBdr>
    </w:div>
    <w:div w:id="1177304755">
      <w:bodyDiv w:val="1"/>
      <w:marLeft w:val="0"/>
      <w:marRight w:val="0"/>
      <w:marTop w:val="0"/>
      <w:marBottom w:val="0"/>
      <w:divBdr>
        <w:top w:val="none" w:sz="0" w:space="0" w:color="auto"/>
        <w:left w:val="none" w:sz="0" w:space="0" w:color="auto"/>
        <w:bottom w:val="none" w:sz="0" w:space="0" w:color="auto"/>
        <w:right w:val="none" w:sz="0" w:space="0" w:color="auto"/>
      </w:divBdr>
      <w:divsChild>
        <w:div w:id="1877085664">
          <w:marLeft w:val="0"/>
          <w:marRight w:val="0"/>
          <w:marTop w:val="0"/>
          <w:marBottom w:val="0"/>
          <w:divBdr>
            <w:top w:val="none" w:sz="0" w:space="0" w:color="auto"/>
            <w:left w:val="none" w:sz="0" w:space="0" w:color="auto"/>
            <w:bottom w:val="none" w:sz="0" w:space="0" w:color="auto"/>
            <w:right w:val="none" w:sz="0" w:space="0" w:color="auto"/>
          </w:divBdr>
        </w:div>
      </w:divsChild>
    </w:div>
    <w:div w:id="1242061746">
      <w:bodyDiv w:val="1"/>
      <w:marLeft w:val="0"/>
      <w:marRight w:val="0"/>
      <w:marTop w:val="0"/>
      <w:marBottom w:val="0"/>
      <w:divBdr>
        <w:top w:val="none" w:sz="0" w:space="0" w:color="auto"/>
        <w:left w:val="none" w:sz="0" w:space="0" w:color="auto"/>
        <w:bottom w:val="none" w:sz="0" w:space="0" w:color="auto"/>
        <w:right w:val="none" w:sz="0" w:space="0" w:color="auto"/>
      </w:divBdr>
    </w:div>
    <w:div w:id="1263684091">
      <w:bodyDiv w:val="1"/>
      <w:marLeft w:val="0"/>
      <w:marRight w:val="0"/>
      <w:marTop w:val="0"/>
      <w:marBottom w:val="0"/>
      <w:divBdr>
        <w:top w:val="none" w:sz="0" w:space="0" w:color="auto"/>
        <w:left w:val="none" w:sz="0" w:space="0" w:color="auto"/>
        <w:bottom w:val="none" w:sz="0" w:space="0" w:color="auto"/>
        <w:right w:val="none" w:sz="0" w:space="0" w:color="auto"/>
      </w:divBdr>
      <w:divsChild>
        <w:div w:id="547227131">
          <w:marLeft w:val="0"/>
          <w:marRight w:val="0"/>
          <w:marTop w:val="360"/>
          <w:marBottom w:val="0"/>
          <w:divBdr>
            <w:top w:val="none" w:sz="0" w:space="0" w:color="auto"/>
            <w:left w:val="none" w:sz="0" w:space="0" w:color="auto"/>
            <w:bottom w:val="none" w:sz="0" w:space="0" w:color="auto"/>
            <w:right w:val="none" w:sz="0" w:space="0" w:color="auto"/>
          </w:divBdr>
        </w:div>
        <w:div w:id="156071650">
          <w:marLeft w:val="0"/>
          <w:marRight w:val="0"/>
          <w:marTop w:val="360"/>
          <w:marBottom w:val="0"/>
          <w:divBdr>
            <w:top w:val="none" w:sz="0" w:space="0" w:color="auto"/>
            <w:left w:val="none" w:sz="0" w:space="0" w:color="auto"/>
            <w:bottom w:val="none" w:sz="0" w:space="0" w:color="auto"/>
            <w:right w:val="none" w:sz="0" w:space="0" w:color="auto"/>
          </w:divBdr>
        </w:div>
        <w:div w:id="1827209541">
          <w:marLeft w:val="0"/>
          <w:marRight w:val="0"/>
          <w:marTop w:val="360"/>
          <w:marBottom w:val="0"/>
          <w:divBdr>
            <w:top w:val="none" w:sz="0" w:space="0" w:color="auto"/>
            <w:left w:val="none" w:sz="0" w:space="0" w:color="auto"/>
            <w:bottom w:val="none" w:sz="0" w:space="0" w:color="auto"/>
            <w:right w:val="none" w:sz="0" w:space="0" w:color="auto"/>
          </w:divBdr>
        </w:div>
        <w:div w:id="1059790819">
          <w:marLeft w:val="0"/>
          <w:marRight w:val="0"/>
          <w:marTop w:val="360"/>
          <w:marBottom w:val="0"/>
          <w:divBdr>
            <w:top w:val="none" w:sz="0" w:space="0" w:color="auto"/>
            <w:left w:val="none" w:sz="0" w:space="0" w:color="auto"/>
            <w:bottom w:val="none" w:sz="0" w:space="0" w:color="auto"/>
            <w:right w:val="none" w:sz="0" w:space="0" w:color="auto"/>
          </w:divBdr>
        </w:div>
        <w:div w:id="1448500654">
          <w:marLeft w:val="0"/>
          <w:marRight w:val="0"/>
          <w:marTop w:val="360"/>
          <w:marBottom w:val="0"/>
          <w:divBdr>
            <w:top w:val="none" w:sz="0" w:space="0" w:color="auto"/>
            <w:left w:val="none" w:sz="0" w:space="0" w:color="auto"/>
            <w:bottom w:val="none" w:sz="0" w:space="0" w:color="auto"/>
            <w:right w:val="none" w:sz="0" w:space="0" w:color="auto"/>
          </w:divBdr>
        </w:div>
        <w:div w:id="103813597">
          <w:marLeft w:val="0"/>
          <w:marRight w:val="0"/>
          <w:marTop w:val="360"/>
          <w:marBottom w:val="0"/>
          <w:divBdr>
            <w:top w:val="none" w:sz="0" w:space="0" w:color="auto"/>
            <w:left w:val="none" w:sz="0" w:space="0" w:color="auto"/>
            <w:bottom w:val="none" w:sz="0" w:space="0" w:color="auto"/>
            <w:right w:val="none" w:sz="0" w:space="0" w:color="auto"/>
          </w:divBdr>
        </w:div>
        <w:div w:id="1657757023">
          <w:marLeft w:val="0"/>
          <w:marRight w:val="0"/>
          <w:marTop w:val="360"/>
          <w:marBottom w:val="0"/>
          <w:divBdr>
            <w:top w:val="none" w:sz="0" w:space="0" w:color="auto"/>
            <w:left w:val="none" w:sz="0" w:space="0" w:color="auto"/>
            <w:bottom w:val="none" w:sz="0" w:space="0" w:color="auto"/>
            <w:right w:val="none" w:sz="0" w:space="0" w:color="auto"/>
          </w:divBdr>
        </w:div>
        <w:div w:id="373507585">
          <w:marLeft w:val="0"/>
          <w:marRight w:val="0"/>
          <w:marTop w:val="360"/>
          <w:marBottom w:val="0"/>
          <w:divBdr>
            <w:top w:val="none" w:sz="0" w:space="0" w:color="auto"/>
            <w:left w:val="none" w:sz="0" w:space="0" w:color="auto"/>
            <w:bottom w:val="none" w:sz="0" w:space="0" w:color="auto"/>
            <w:right w:val="none" w:sz="0" w:space="0" w:color="auto"/>
          </w:divBdr>
        </w:div>
        <w:div w:id="1040129455">
          <w:marLeft w:val="0"/>
          <w:marRight w:val="0"/>
          <w:marTop w:val="360"/>
          <w:marBottom w:val="0"/>
          <w:divBdr>
            <w:top w:val="none" w:sz="0" w:space="0" w:color="auto"/>
            <w:left w:val="none" w:sz="0" w:space="0" w:color="auto"/>
            <w:bottom w:val="none" w:sz="0" w:space="0" w:color="auto"/>
            <w:right w:val="none" w:sz="0" w:space="0" w:color="auto"/>
          </w:divBdr>
        </w:div>
      </w:divsChild>
    </w:div>
    <w:div w:id="1436680675">
      <w:bodyDiv w:val="1"/>
      <w:marLeft w:val="0"/>
      <w:marRight w:val="0"/>
      <w:marTop w:val="0"/>
      <w:marBottom w:val="0"/>
      <w:divBdr>
        <w:top w:val="none" w:sz="0" w:space="0" w:color="auto"/>
        <w:left w:val="none" w:sz="0" w:space="0" w:color="auto"/>
        <w:bottom w:val="none" w:sz="0" w:space="0" w:color="auto"/>
        <w:right w:val="none" w:sz="0" w:space="0" w:color="auto"/>
      </w:divBdr>
    </w:div>
    <w:div w:id="1492140928">
      <w:bodyDiv w:val="1"/>
      <w:marLeft w:val="0"/>
      <w:marRight w:val="0"/>
      <w:marTop w:val="0"/>
      <w:marBottom w:val="0"/>
      <w:divBdr>
        <w:top w:val="none" w:sz="0" w:space="0" w:color="auto"/>
        <w:left w:val="none" w:sz="0" w:space="0" w:color="auto"/>
        <w:bottom w:val="none" w:sz="0" w:space="0" w:color="auto"/>
        <w:right w:val="none" w:sz="0" w:space="0" w:color="auto"/>
      </w:divBdr>
      <w:divsChild>
        <w:div w:id="1104303501">
          <w:marLeft w:val="0"/>
          <w:marRight w:val="0"/>
          <w:marTop w:val="0"/>
          <w:marBottom w:val="0"/>
          <w:divBdr>
            <w:top w:val="none" w:sz="0" w:space="0" w:color="auto"/>
            <w:left w:val="none" w:sz="0" w:space="0" w:color="auto"/>
            <w:bottom w:val="none" w:sz="0" w:space="0" w:color="auto"/>
            <w:right w:val="none" w:sz="0" w:space="0" w:color="auto"/>
          </w:divBdr>
        </w:div>
        <w:div w:id="634602371">
          <w:marLeft w:val="0"/>
          <w:marRight w:val="0"/>
          <w:marTop w:val="0"/>
          <w:marBottom w:val="0"/>
          <w:divBdr>
            <w:top w:val="none" w:sz="0" w:space="0" w:color="auto"/>
            <w:left w:val="none" w:sz="0" w:space="0" w:color="auto"/>
            <w:bottom w:val="none" w:sz="0" w:space="0" w:color="auto"/>
            <w:right w:val="none" w:sz="0" w:space="0" w:color="auto"/>
          </w:divBdr>
        </w:div>
        <w:div w:id="437602019">
          <w:marLeft w:val="0"/>
          <w:marRight w:val="0"/>
          <w:marTop w:val="0"/>
          <w:marBottom w:val="0"/>
          <w:divBdr>
            <w:top w:val="none" w:sz="0" w:space="0" w:color="auto"/>
            <w:left w:val="none" w:sz="0" w:space="0" w:color="auto"/>
            <w:bottom w:val="none" w:sz="0" w:space="0" w:color="auto"/>
            <w:right w:val="none" w:sz="0" w:space="0" w:color="auto"/>
          </w:divBdr>
        </w:div>
        <w:div w:id="331298036">
          <w:marLeft w:val="0"/>
          <w:marRight w:val="0"/>
          <w:marTop w:val="0"/>
          <w:marBottom w:val="0"/>
          <w:divBdr>
            <w:top w:val="none" w:sz="0" w:space="0" w:color="auto"/>
            <w:left w:val="none" w:sz="0" w:space="0" w:color="auto"/>
            <w:bottom w:val="none" w:sz="0" w:space="0" w:color="auto"/>
            <w:right w:val="none" w:sz="0" w:space="0" w:color="auto"/>
          </w:divBdr>
        </w:div>
        <w:div w:id="358048719">
          <w:marLeft w:val="0"/>
          <w:marRight w:val="0"/>
          <w:marTop w:val="0"/>
          <w:marBottom w:val="0"/>
          <w:divBdr>
            <w:top w:val="none" w:sz="0" w:space="0" w:color="auto"/>
            <w:left w:val="none" w:sz="0" w:space="0" w:color="auto"/>
            <w:bottom w:val="none" w:sz="0" w:space="0" w:color="auto"/>
            <w:right w:val="none" w:sz="0" w:space="0" w:color="auto"/>
          </w:divBdr>
        </w:div>
        <w:div w:id="771050737">
          <w:marLeft w:val="0"/>
          <w:marRight w:val="0"/>
          <w:marTop w:val="0"/>
          <w:marBottom w:val="0"/>
          <w:divBdr>
            <w:top w:val="none" w:sz="0" w:space="0" w:color="auto"/>
            <w:left w:val="none" w:sz="0" w:space="0" w:color="auto"/>
            <w:bottom w:val="none" w:sz="0" w:space="0" w:color="auto"/>
            <w:right w:val="none" w:sz="0" w:space="0" w:color="auto"/>
          </w:divBdr>
        </w:div>
        <w:div w:id="1260064102">
          <w:marLeft w:val="0"/>
          <w:marRight w:val="0"/>
          <w:marTop w:val="0"/>
          <w:marBottom w:val="0"/>
          <w:divBdr>
            <w:top w:val="none" w:sz="0" w:space="0" w:color="auto"/>
            <w:left w:val="none" w:sz="0" w:space="0" w:color="auto"/>
            <w:bottom w:val="none" w:sz="0" w:space="0" w:color="auto"/>
            <w:right w:val="none" w:sz="0" w:space="0" w:color="auto"/>
          </w:divBdr>
        </w:div>
        <w:div w:id="72288855">
          <w:marLeft w:val="0"/>
          <w:marRight w:val="0"/>
          <w:marTop w:val="0"/>
          <w:marBottom w:val="0"/>
          <w:divBdr>
            <w:top w:val="none" w:sz="0" w:space="0" w:color="auto"/>
            <w:left w:val="none" w:sz="0" w:space="0" w:color="auto"/>
            <w:bottom w:val="none" w:sz="0" w:space="0" w:color="auto"/>
            <w:right w:val="none" w:sz="0" w:space="0" w:color="auto"/>
          </w:divBdr>
        </w:div>
        <w:div w:id="1159612677">
          <w:marLeft w:val="0"/>
          <w:marRight w:val="0"/>
          <w:marTop w:val="0"/>
          <w:marBottom w:val="0"/>
          <w:divBdr>
            <w:top w:val="none" w:sz="0" w:space="0" w:color="auto"/>
            <w:left w:val="none" w:sz="0" w:space="0" w:color="auto"/>
            <w:bottom w:val="none" w:sz="0" w:space="0" w:color="auto"/>
            <w:right w:val="none" w:sz="0" w:space="0" w:color="auto"/>
          </w:divBdr>
        </w:div>
        <w:div w:id="1883206189">
          <w:marLeft w:val="0"/>
          <w:marRight w:val="0"/>
          <w:marTop w:val="0"/>
          <w:marBottom w:val="0"/>
          <w:divBdr>
            <w:top w:val="none" w:sz="0" w:space="0" w:color="auto"/>
            <w:left w:val="none" w:sz="0" w:space="0" w:color="auto"/>
            <w:bottom w:val="none" w:sz="0" w:space="0" w:color="auto"/>
            <w:right w:val="none" w:sz="0" w:space="0" w:color="auto"/>
          </w:divBdr>
        </w:div>
        <w:div w:id="1098064896">
          <w:marLeft w:val="0"/>
          <w:marRight w:val="0"/>
          <w:marTop w:val="0"/>
          <w:marBottom w:val="0"/>
          <w:divBdr>
            <w:top w:val="none" w:sz="0" w:space="0" w:color="auto"/>
            <w:left w:val="none" w:sz="0" w:space="0" w:color="auto"/>
            <w:bottom w:val="none" w:sz="0" w:space="0" w:color="auto"/>
            <w:right w:val="none" w:sz="0" w:space="0" w:color="auto"/>
          </w:divBdr>
        </w:div>
        <w:div w:id="929317591">
          <w:marLeft w:val="0"/>
          <w:marRight w:val="0"/>
          <w:marTop w:val="0"/>
          <w:marBottom w:val="0"/>
          <w:divBdr>
            <w:top w:val="none" w:sz="0" w:space="0" w:color="auto"/>
            <w:left w:val="none" w:sz="0" w:space="0" w:color="auto"/>
            <w:bottom w:val="none" w:sz="0" w:space="0" w:color="auto"/>
            <w:right w:val="none" w:sz="0" w:space="0" w:color="auto"/>
          </w:divBdr>
        </w:div>
        <w:div w:id="1331450761">
          <w:marLeft w:val="0"/>
          <w:marRight w:val="0"/>
          <w:marTop w:val="0"/>
          <w:marBottom w:val="0"/>
          <w:divBdr>
            <w:top w:val="none" w:sz="0" w:space="0" w:color="auto"/>
            <w:left w:val="none" w:sz="0" w:space="0" w:color="auto"/>
            <w:bottom w:val="none" w:sz="0" w:space="0" w:color="auto"/>
            <w:right w:val="none" w:sz="0" w:space="0" w:color="auto"/>
          </w:divBdr>
        </w:div>
        <w:div w:id="1125319927">
          <w:marLeft w:val="0"/>
          <w:marRight w:val="0"/>
          <w:marTop w:val="0"/>
          <w:marBottom w:val="0"/>
          <w:divBdr>
            <w:top w:val="none" w:sz="0" w:space="0" w:color="auto"/>
            <w:left w:val="none" w:sz="0" w:space="0" w:color="auto"/>
            <w:bottom w:val="none" w:sz="0" w:space="0" w:color="auto"/>
            <w:right w:val="none" w:sz="0" w:space="0" w:color="auto"/>
          </w:divBdr>
        </w:div>
        <w:div w:id="264769528">
          <w:marLeft w:val="0"/>
          <w:marRight w:val="0"/>
          <w:marTop w:val="0"/>
          <w:marBottom w:val="0"/>
          <w:divBdr>
            <w:top w:val="none" w:sz="0" w:space="0" w:color="auto"/>
            <w:left w:val="none" w:sz="0" w:space="0" w:color="auto"/>
            <w:bottom w:val="none" w:sz="0" w:space="0" w:color="auto"/>
            <w:right w:val="none" w:sz="0" w:space="0" w:color="auto"/>
          </w:divBdr>
        </w:div>
        <w:div w:id="707414809">
          <w:marLeft w:val="0"/>
          <w:marRight w:val="0"/>
          <w:marTop w:val="0"/>
          <w:marBottom w:val="0"/>
          <w:divBdr>
            <w:top w:val="none" w:sz="0" w:space="0" w:color="auto"/>
            <w:left w:val="none" w:sz="0" w:space="0" w:color="auto"/>
            <w:bottom w:val="none" w:sz="0" w:space="0" w:color="auto"/>
            <w:right w:val="none" w:sz="0" w:space="0" w:color="auto"/>
          </w:divBdr>
        </w:div>
        <w:div w:id="428042717">
          <w:marLeft w:val="0"/>
          <w:marRight w:val="0"/>
          <w:marTop w:val="0"/>
          <w:marBottom w:val="0"/>
          <w:divBdr>
            <w:top w:val="none" w:sz="0" w:space="0" w:color="auto"/>
            <w:left w:val="none" w:sz="0" w:space="0" w:color="auto"/>
            <w:bottom w:val="none" w:sz="0" w:space="0" w:color="auto"/>
            <w:right w:val="none" w:sz="0" w:space="0" w:color="auto"/>
          </w:divBdr>
        </w:div>
        <w:div w:id="1889296687">
          <w:marLeft w:val="0"/>
          <w:marRight w:val="0"/>
          <w:marTop w:val="0"/>
          <w:marBottom w:val="0"/>
          <w:divBdr>
            <w:top w:val="none" w:sz="0" w:space="0" w:color="auto"/>
            <w:left w:val="none" w:sz="0" w:space="0" w:color="auto"/>
            <w:bottom w:val="none" w:sz="0" w:space="0" w:color="auto"/>
            <w:right w:val="none" w:sz="0" w:space="0" w:color="auto"/>
          </w:divBdr>
        </w:div>
        <w:div w:id="1744377520">
          <w:marLeft w:val="0"/>
          <w:marRight w:val="0"/>
          <w:marTop w:val="0"/>
          <w:marBottom w:val="0"/>
          <w:divBdr>
            <w:top w:val="none" w:sz="0" w:space="0" w:color="auto"/>
            <w:left w:val="none" w:sz="0" w:space="0" w:color="auto"/>
            <w:bottom w:val="none" w:sz="0" w:space="0" w:color="auto"/>
            <w:right w:val="none" w:sz="0" w:space="0" w:color="auto"/>
          </w:divBdr>
        </w:div>
        <w:div w:id="1717780750">
          <w:marLeft w:val="0"/>
          <w:marRight w:val="0"/>
          <w:marTop w:val="0"/>
          <w:marBottom w:val="0"/>
          <w:divBdr>
            <w:top w:val="none" w:sz="0" w:space="0" w:color="auto"/>
            <w:left w:val="none" w:sz="0" w:space="0" w:color="auto"/>
            <w:bottom w:val="none" w:sz="0" w:space="0" w:color="auto"/>
            <w:right w:val="none" w:sz="0" w:space="0" w:color="auto"/>
          </w:divBdr>
        </w:div>
        <w:div w:id="1574468517">
          <w:marLeft w:val="0"/>
          <w:marRight w:val="0"/>
          <w:marTop w:val="0"/>
          <w:marBottom w:val="0"/>
          <w:divBdr>
            <w:top w:val="none" w:sz="0" w:space="0" w:color="auto"/>
            <w:left w:val="none" w:sz="0" w:space="0" w:color="auto"/>
            <w:bottom w:val="none" w:sz="0" w:space="0" w:color="auto"/>
            <w:right w:val="none" w:sz="0" w:space="0" w:color="auto"/>
          </w:divBdr>
        </w:div>
        <w:div w:id="472405673">
          <w:marLeft w:val="0"/>
          <w:marRight w:val="0"/>
          <w:marTop w:val="0"/>
          <w:marBottom w:val="0"/>
          <w:divBdr>
            <w:top w:val="none" w:sz="0" w:space="0" w:color="auto"/>
            <w:left w:val="none" w:sz="0" w:space="0" w:color="auto"/>
            <w:bottom w:val="none" w:sz="0" w:space="0" w:color="auto"/>
            <w:right w:val="none" w:sz="0" w:space="0" w:color="auto"/>
          </w:divBdr>
        </w:div>
        <w:div w:id="641269978">
          <w:marLeft w:val="0"/>
          <w:marRight w:val="0"/>
          <w:marTop w:val="0"/>
          <w:marBottom w:val="0"/>
          <w:divBdr>
            <w:top w:val="none" w:sz="0" w:space="0" w:color="auto"/>
            <w:left w:val="none" w:sz="0" w:space="0" w:color="auto"/>
            <w:bottom w:val="none" w:sz="0" w:space="0" w:color="auto"/>
            <w:right w:val="none" w:sz="0" w:space="0" w:color="auto"/>
          </w:divBdr>
        </w:div>
        <w:div w:id="959263099">
          <w:marLeft w:val="0"/>
          <w:marRight w:val="0"/>
          <w:marTop w:val="0"/>
          <w:marBottom w:val="0"/>
          <w:divBdr>
            <w:top w:val="none" w:sz="0" w:space="0" w:color="auto"/>
            <w:left w:val="none" w:sz="0" w:space="0" w:color="auto"/>
            <w:bottom w:val="none" w:sz="0" w:space="0" w:color="auto"/>
            <w:right w:val="none" w:sz="0" w:space="0" w:color="auto"/>
          </w:divBdr>
        </w:div>
        <w:div w:id="1512914625">
          <w:marLeft w:val="0"/>
          <w:marRight w:val="0"/>
          <w:marTop w:val="0"/>
          <w:marBottom w:val="0"/>
          <w:divBdr>
            <w:top w:val="none" w:sz="0" w:space="0" w:color="auto"/>
            <w:left w:val="none" w:sz="0" w:space="0" w:color="auto"/>
            <w:bottom w:val="none" w:sz="0" w:space="0" w:color="auto"/>
            <w:right w:val="none" w:sz="0" w:space="0" w:color="auto"/>
          </w:divBdr>
        </w:div>
        <w:div w:id="349840975">
          <w:marLeft w:val="0"/>
          <w:marRight w:val="0"/>
          <w:marTop w:val="0"/>
          <w:marBottom w:val="0"/>
          <w:divBdr>
            <w:top w:val="none" w:sz="0" w:space="0" w:color="auto"/>
            <w:left w:val="none" w:sz="0" w:space="0" w:color="auto"/>
            <w:bottom w:val="none" w:sz="0" w:space="0" w:color="auto"/>
            <w:right w:val="none" w:sz="0" w:space="0" w:color="auto"/>
          </w:divBdr>
        </w:div>
        <w:div w:id="967515809">
          <w:marLeft w:val="0"/>
          <w:marRight w:val="0"/>
          <w:marTop w:val="0"/>
          <w:marBottom w:val="0"/>
          <w:divBdr>
            <w:top w:val="none" w:sz="0" w:space="0" w:color="auto"/>
            <w:left w:val="none" w:sz="0" w:space="0" w:color="auto"/>
            <w:bottom w:val="none" w:sz="0" w:space="0" w:color="auto"/>
            <w:right w:val="none" w:sz="0" w:space="0" w:color="auto"/>
          </w:divBdr>
        </w:div>
        <w:div w:id="496657462">
          <w:marLeft w:val="0"/>
          <w:marRight w:val="0"/>
          <w:marTop w:val="0"/>
          <w:marBottom w:val="0"/>
          <w:divBdr>
            <w:top w:val="none" w:sz="0" w:space="0" w:color="auto"/>
            <w:left w:val="none" w:sz="0" w:space="0" w:color="auto"/>
            <w:bottom w:val="none" w:sz="0" w:space="0" w:color="auto"/>
            <w:right w:val="none" w:sz="0" w:space="0" w:color="auto"/>
          </w:divBdr>
        </w:div>
        <w:div w:id="225721248">
          <w:marLeft w:val="0"/>
          <w:marRight w:val="0"/>
          <w:marTop w:val="0"/>
          <w:marBottom w:val="0"/>
          <w:divBdr>
            <w:top w:val="none" w:sz="0" w:space="0" w:color="auto"/>
            <w:left w:val="none" w:sz="0" w:space="0" w:color="auto"/>
            <w:bottom w:val="none" w:sz="0" w:space="0" w:color="auto"/>
            <w:right w:val="none" w:sz="0" w:space="0" w:color="auto"/>
          </w:divBdr>
        </w:div>
        <w:div w:id="2098164089">
          <w:marLeft w:val="0"/>
          <w:marRight w:val="0"/>
          <w:marTop w:val="0"/>
          <w:marBottom w:val="0"/>
          <w:divBdr>
            <w:top w:val="none" w:sz="0" w:space="0" w:color="auto"/>
            <w:left w:val="none" w:sz="0" w:space="0" w:color="auto"/>
            <w:bottom w:val="none" w:sz="0" w:space="0" w:color="auto"/>
            <w:right w:val="none" w:sz="0" w:space="0" w:color="auto"/>
          </w:divBdr>
        </w:div>
        <w:div w:id="1600677163">
          <w:marLeft w:val="0"/>
          <w:marRight w:val="0"/>
          <w:marTop w:val="0"/>
          <w:marBottom w:val="0"/>
          <w:divBdr>
            <w:top w:val="none" w:sz="0" w:space="0" w:color="auto"/>
            <w:left w:val="none" w:sz="0" w:space="0" w:color="auto"/>
            <w:bottom w:val="none" w:sz="0" w:space="0" w:color="auto"/>
            <w:right w:val="none" w:sz="0" w:space="0" w:color="auto"/>
          </w:divBdr>
        </w:div>
        <w:div w:id="1286350947">
          <w:marLeft w:val="0"/>
          <w:marRight w:val="0"/>
          <w:marTop w:val="0"/>
          <w:marBottom w:val="0"/>
          <w:divBdr>
            <w:top w:val="none" w:sz="0" w:space="0" w:color="auto"/>
            <w:left w:val="none" w:sz="0" w:space="0" w:color="auto"/>
            <w:bottom w:val="none" w:sz="0" w:space="0" w:color="auto"/>
            <w:right w:val="none" w:sz="0" w:space="0" w:color="auto"/>
          </w:divBdr>
        </w:div>
        <w:div w:id="2022469556">
          <w:marLeft w:val="0"/>
          <w:marRight w:val="0"/>
          <w:marTop w:val="0"/>
          <w:marBottom w:val="0"/>
          <w:divBdr>
            <w:top w:val="none" w:sz="0" w:space="0" w:color="auto"/>
            <w:left w:val="none" w:sz="0" w:space="0" w:color="auto"/>
            <w:bottom w:val="none" w:sz="0" w:space="0" w:color="auto"/>
            <w:right w:val="none" w:sz="0" w:space="0" w:color="auto"/>
          </w:divBdr>
        </w:div>
        <w:div w:id="4481312">
          <w:marLeft w:val="0"/>
          <w:marRight w:val="0"/>
          <w:marTop w:val="0"/>
          <w:marBottom w:val="0"/>
          <w:divBdr>
            <w:top w:val="none" w:sz="0" w:space="0" w:color="auto"/>
            <w:left w:val="none" w:sz="0" w:space="0" w:color="auto"/>
            <w:bottom w:val="none" w:sz="0" w:space="0" w:color="auto"/>
            <w:right w:val="none" w:sz="0" w:space="0" w:color="auto"/>
          </w:divBdr>
        </w:div>
        <w:div w:id="888998914">
          <w:marLeft w:val="0"/>
          <w:marRight w:val="0"/>
          <w:marTop w:val="0"/>
          <w:marBottom w:val="0"/>
          <w:divBdr>
            <w:top w:val="none" w:sz="0" w:space="0" w:color="auto"/>
            <w:left w:val="none" w:sz="0" w:space="0" w:color="auto"/>
            <w:bottom w:val="none" w:sz="0" w:space="0" w:color="auto"/>
            <w:right w:val="none" w:sz="0" w:space="0" w:color="auto"/>
          </w:divBdr>
        </w:div>
        <w:div w:id="561864200">
          <w:marLeft w:val="0"/>
          <w:marRight w:val="0"/>
          <w:marTop w:val="0"/>
          <w:marBottom w:val="0"/>
          <w:divBdr>
            <w:top w:val="none" w:sz="0" w:space="0" w:color="auto"/>
            <w:left w:val="none" w:sz="0" w:space="0" w:color="auto"/>
            <w:bottom w:val="none" w:sz="0" w:space="0" w:color="auto"/>
            <w:right w:val="none" w:sz="0" w:space="0" w:color="auto"/>
          </w:divBdr>
        </w:div>
        <w:div w:id="2137940586">
          <w:marLeft w:val="0"/>
          <w:marRight w:val="0"/>
          <w:marTop w:val="0"/>
          <w:marBottom w:val="0"/>
          <w:divBdr>
            <w:top w:val="none" w:sz="0" w:space="0" w:color="auto"/>
            <w:left w:val="none" w:sz="0" w:space="0" w:color="auto"/>
            <w:bottom w:val="none" w:sz="0" w:space="0" w:color="auto"/>
            <w:right w:val="none" w:sz="0" w:space="0" w:color="auto"/>
          </w:divBdr>
        </w:div>
        <w:div w:id="827595451">
          <w:marLeft w:val="0"/>
          <w:marRight w:val="0"/>
          <w:marTop w:val="0"/>
          <w:marBottom w:val="0"/>
          <w:divBdr>
            <w:top w:val="none" w:sz="0" w:space="0" w:color="auto"/>
            <w:left w:val="none" w:sz="0" w:space="0" w:color="auto"/>
            <w:bottom w:val="none" w:sz="0" w:space="0" w:color="auto"/>
            <w:right w:val="none" w:sz="0" w:space="0" w:color="auto"/>
          </w:divBdr>
        </w:div>
        <w:div w:id="128472529">
          <w:marLeft w:val="0"/>
          <w:marRight w:val="0"/>
          <w:marTop w:val="0"/>
          <w:marBottom w:val="0"/>
          <w:divBdr>
            <w:top w:val="none" w:sz="0" w:space="0" w:color="auto"/>
            <w:left w:val="none" w:sz="0" w:space="0" w:color="auto"/>
            <w:bottom w:val="none" w:sz="0" w:space="0" w:color="auto"/>
            <w:right w:val="none" w:sz="0" w:space="0" w:color="auto"/>
          </w:divBdr>
        </w:div>
        <w:div w:id="1550335756">
          <w:marLeft w:val="0"/>
          <w:marRight w:val="0"/>
          <w:marTop w:val="0"/>
          <w:marBottom w:val="0"/>
          <w:divBdr>
            <w:top w:val="none" w:sz="0" w:space="0" w:color="auto"/>
            <w:left w:val="none" w:sz="0" w:space="0" w:color="auto"/>
            <w:bottom w:val="none" w:sz="0" w:space="0" w:color="auto"/>
            <w:right w:val="none" w:sz="0" w:space="0" w:color="auto"/>
          </w:divBdr>
        </w:div>
        <w:div w:id="924538408">
          <w:marLeft w:val="0"/>
          <w:marRight w:val="0"/>
          <w:marTop w:val="0"/>
          <w:marBottom w:val="0"/>
          <w:divBdr>
            <w:top w:val="none" w:sz="0" w:space="0" w:color="auto"/>
            <w:left w:val="none" w:sz="0" w:space="0" w:color="auto"/>
            <w:bottom w:val="none" w:sz="0" w:space="0" w:color="auto"/>
            <w:right w:val="none" w:sz="0" w:space="0" w:color="auto"/>
          </w:divBdr>
        </w:div>
        <w:div w:id="1552231091">
          <w:marLeft w:val="0"/>
          <w:marRight w:val="0"/>
          <w:marTop w:val="0"/>
          <w:marBottom w:val="0"/>
          <w:divBdr>
            <w:top w:val="none" w:sz="0" w:space="0" w:color="auto"/>
            <w:left w:val="none" w:sz="0" w:space="0" w:color="auto"/>
            <w:bottom w:val="none" w:sz="0" w:space="0" w:color="auto"/>
            <w:right w:val="none" w:sz="0" w:space="0" w:color="auto"/>
          </w:divBdr>
        </w:div>
        <w:div w:id="1003053204">
          <w:marLeft w:val="0"/>
          <w:marRight w:val="0"/>
          <w:marTop w:val="0"/>
          <w:marBottom w:val="0"/>
          <w:divBdr>
            <w:top w:val="none" w:sz="0" w:space="0" w:color="auto"/>
            <w:left w:val="none" w:sz="0" w:space="0" w:color="auto"/>
            <w:bottom w:val="none" w:sz="0" w:space="0" w:color="auto"/>
            <w:right w:val="none" w:sz="0" w:space="0" w:color="auto"/>
          </w:divBdr>
        </w:div>
        <w:div w:id="560944212">
          <w:marLeft w:val="0"/>
          <w:marRight w:val="0"/>
          <w:marTop w:val="0"/>
          <w:marBottom w:val="0"/>
          <w:divBdr>
            <w:top w:val="none" w:sz="0" w:space="0" w:color="auto"/>
            <w:left w:val="none" w:sz="0" w:space="0" w:color="auto"/>
            <w:bottom w:val="none" w:sz="0" w:space="0" w:color="auto"/>
            <w:right w:val="none" w:sz="0" w:space="0" w:color="auto"/>
          </w:divBdr>
        </w:div>
        <w:div w:id="786898910">
          <w:marLeft w:val="0"/>
          <w:marRight w:val="0"/>
          <w:marTop w:val="0"/>
          <w:marBottom w:val="0"/>
          <w:divBdr>
            <w:top w:val="none" w:sz="0" w:space="0" w:color="auto"/>
            <w:left w:val="none" w:sz="0" w:space="0" w:color="auto"/>
            <w:bottom w:val="none" w:sz="0" w:space="0" w:color="auto"/>
            <w:right w:val="none" w:sz="0" w:space="0" w:color="auto"/>
          </w:divBdr>
        </w:div>
        <w:div w:id="557008879">
          <w:marLeft w:val="0"/>
          <w:marRight w:val="0"/>
          <w:marTop w:val="0"/>
          <w:marBottom w:val="0"/>
          <w:divBdr>
            <w:top w:val="none" w:sz="0" w:space="0" w:color="auto"/>
            <w:left w:val="none" w:sz="0" w:space="0" w:color="auto"/>
            <w:bottom w:val="none" w:sz="0" w:space="0" w:color="auto"/>
            <w:right w:val="none" w:sz="0" w:space="0" w:color="auto"/>
          </w:divBdr>
        </w:div>
        <w:div w:id="685180750">
          <w:marLeft w:val="0"/>
          <w:marRight w:val="0"/>
          <w:marTop w:val="0"/>
          <w:marBottom w:val="0"/>
          <w:divBdr>
            <w:top w:val="none" w:sz="0" w:space="0" w:color="auto"/>
            <w:left w:val="none" w:sz="0" w:space="0" w:color="auto"/>
            <w:bottom w:val="none" w:sz="0" w:space="0" w:color="auto"/>
            <w:right w:val="none" w:sz="0" w:space="0" w:color="auto"/>
          </w:divBdr>
        </w:div>
        <w:div w:id="1209760812">
          <w:marLeft w:val="0"/>
          <w:marRight w:val="0"/>
          <w:marTop w:val="0"/>
          <w:marBottom w:val="0"/>
          <w:divBdr>
            <w:top w:val="none" w:sz="0" w:space="0" w:color="auto"/>
            <w:left w:val="none" w:sz="0" w:space="0" w:color="auto"/>
            <w:bottom w:val="none" w:sz="0" w:space="0" w:color="auto"/>
            <w:right w:val="none" w:sz="0" w:space="0" w:color="auto"/>
          </w:divBdr>
        </w:div>
        <w:div w:id="1098136105">
          <w:marLeft w:val="0"/>
          <w:marRight w:val="0"/>
          <w:marTop w:val="0"/>
          <w:marBottom w:val="0"/>
          <w:divBdr>
            <w:top w:val="none" w:sz="0" w:space="0" w:color="auto"/>
            <w:left w:val="none" w:sz="0" w:space="0" w:color="auto"/>
            <w:bottom w:val="none" w:sz="0" w:space="0" w:color="auto"/>
            <w:right w:val="none" w:sz="0" w:space="0" w:color="auto"/>
          </w:divBdr>
        </w:div>
        <w:div w:id="1235625070">
          <w:marLeft w:val="0"/>
          <w:marRight w:val="0"/>
          <w:marTop w:val="0"/>
          <w:marBottom w:val="0"/>
          <w:divBdr>
            <w:top w:val="none" w:sz="0" w:space="0" w:color="auto"/>
            <w:left w:val="none" w:sz="0" w:space="0" w:color="auto"/>
            <w:bottom w:val="none" w:sz="0" w:space="0" w:color="auto"/>
            <w:right w:val="none" w:sz="0" w:space="0" w:color="auto"/>
          </w:divBdr>
        </w:div>
        <w:div w:id="804546529">
          <w:marLeft w:val="0"/>
          <w:marRight w:val="0"/>
          <w:marTop w:val="0"/>
          <w:marBottom w:val="0"/>
          <w:divBdr>
            <w:top w:val="none" w:sz="0" w:space="0" w:color="auto"/>
            <w:left w:val="none" w:sz="0" w:space="0" w:color="auto"/>
            <w:bottom w:val="none" w:sz="0" w:space="0" w:color="auto"/>
            <w:right w:val="none" w:sz="0" w:space="0" w:color="auto"/>
          </w:divBdr>
        </w:div>
        <w:div w:id="1197934282">
          <w:marLeft w:val="0"/>
          <w:marRight w:val="0"/>
          <w:marTop w:val="0"/>
          <w:marBottom w:val="0"/>
          <w:divBdr>
            <w:top w:val="none" w:sz="0" w:space="0" w:color="auto"/>
            <w:left w:val="none" w:sz="0" w:space="0" w:color="auto"/>
            <w:bottom w:val="none" w:sz="0" w:space="0" w:color="auto"/>
            <w:right w:val="none" w:sz="0" w:space="0" w:color="auto"/>
          </w:divBdr>
        </w:div>
        <w:div w:id="1967732198">
          <w:marLeft w:val="0"/>
          <w:marRight w:val="0"/>
          <w:marTop w:val="0"/>
          <w:marBottom w:val="0"/>
          <w:divBdr>
            <w:top w:val="none" w:sz="0" w:space="0" w:color="auto"/>
            <w:left w:val="none" w:sz="0" w:space="0" w:color="auto"/>
            <w:bottom w:val="none" w:sz="0" w:space="0" w:color="auto"/>
            <w:right w:val="none" w:sz="0" w:space="0" w:color="auto"/>
          </w:divBdr>
        </w:div>
        <w:div w:id="1458179553">
          <w:marLeft w:val="0"/>
          <w:marRight w:val="0"/>
          <w:marTop w:val="0"/>
          <w:marBottom w:val="0"/>
          <w:divBdr>
            <w:top w:val="none" w:sz="0" w:space="0" w:color="auto"/>
            <w:left w:val="none" w:sz="0" w:space="0" w:color="auto"/>
            <w:bottom w:val="none" w:sz="0" w:space="0" w:color="auto"/>
            <w:right w:val="none" w:sz="0" w:space="0" w:color="auto"/>
          </w:divBdr>
        </w:div>
        <w:div w:id="251357631">
          <w:marLeft w:val="0"/>
          <w:marRight w:val="0"/>
          <w:marTop w:val="0"/>
          <w:marBottom w:val="0"/>
          <w:divBdr>
            <w:top w:val="none" w:sz="0" w:space="0" w:color="auto"/>
            <w:left w:val="none" w:sz="0" w:space="0" w:color="auto"/>
            <w:bottom w:val="none" w:sz="0" w:space="0" w:color="auto"/>
            <w:right w:val="none" w:sz="0" w:space="0" w:color="auto"/>
          </w:divBdr>
        </w:div>
        <w:div w:id="1592734090">
          <w:marLeft w:val="0"/>
          <w:marRight w:val="0"/>
          <w:marTop w:val="0"/>
          <w:marBottom w:val="0"/>
          <w:divBdr>
            <w:top w:val="none" w:sz="0" w:space="0" w:color="auto"/>
            <w:left w:val="none" w:sz="0" w:space="0" w:color="auto"/>
            <w:bottom w:val="none" w:sz="0" w:space="0" w:color="auto"/>
            <w:right w:val="none" w:sz="0" w:space="0" w:color="auto"/>
          </w:divBdr>
        </w:div>
        <w:div w:id="592015811">
          <w:marLeft w:val="0"/>
          <w:marRight w:val="0"/>
          <w:marTop w:val="0"/>
          <w:marBottom w:val="0"/>
          <w:divBdr>
            <w:top w:val="none" w:sz="0" w:space="0" w:color="auto"/>
            <w:left w:val="none" w:sz="0" w:space="0" w:color="auto"/>
            <w:bottom w:val="none" w:sz="0" w:space="0" w:color="auto"/>
            <w:right w:val="none" w:sz="0" w:space="0" w:color="auto"/>
          </w:divBdr>
        </w:div>
        <w:div w:id="2109037341">
          <w:marLeft w:val="0"/>
          <w:marRight w:val="0"/>
          <w:marTop w:val="0"/>
          <w:marBottom w:val="0"/>
          <w:divBdr>
            <w:top w:val="none" w:sz="0" w:space="0" w:color="auto"/>
            <w:left w:val="none" w:sz="0" w:space="0" w:color="auto"/>
            <w:bottom w:val="none" w:sz="0" w:space="0" w:color="auto"/>
            <w:right w:val="none" w:sz="0" w:space="0" w:color="auto"/>
          </w:divBdr>
        </w:div>
        <w:div w:id="337661788">
          <w:marLeft w:val="0"/>
          <w:marRight w:val="0"/>
          <w:marTop w:val="0"/>
          <w:marBottom w:val="0"/>
          <w:divBdr>
            <w:top w:val="none" w:sz="0" w:space="0" w:color="auto"/>
            <w:left w:val="none" w:sz="0" w:space="0" w:color="auto"/>
            <w:bottom w:val="none" w:sz="0" w:space="0" w:color="auto"/>
            <w:right w:val="none" w:sz="0" w:space="0" w:color="auto"/>
          </w:divBdr>
        </w:div>
        <w:div w:id="550463090">
          <w:marLeft w:val="0"/>
          <w:marRight w:val="0"/>
          <w:marTop w:val="0"/>
          <w:marBottom w:val="0"/>
          <w:divBdr>
            <w:top w:val="none" w:sz="0" w:space="0" w:color="auto"/>
            <w:left w:val="none" w:sz="0" w:space="0" w:color="auto"/>
            <w:bottom w:val="none" w:sz="0" w:space="0" w:color="auto"/>
            <w:right w:val="none" w:sz="0" w:space="0" w:color="auto"/>
          </w:divBdr>
        </w:div>
        <w:div w:id="1379744689">
          <w:marLeft w:val="0"/>
          <w:marRight w:val="0"/>
          <w:marTop w:val="0"/>
          <w:marBottom w:val="0"/>
          <w:divBdr>
            <w:top w:val="none" w:sz="0" w:space="0" w:color="auto"/>
            <w:left w:val="none" w:sz="0" w:space="0" w:color="auto"/>
            <w:bottom w:val="none" w:sz="0" w:space="0" w:color="auto"/>
            <w:right w:val="none" w:sz="0" w:space="0" w:color="auto"/>
          </w:divBdr>
        </w:div>
        <w:div w:id="179978546">
          <w:marLeft w:val="0"/>
          <w:marRight w:val="0"/>
          <w:marTop w:val="0"/>
          <w:marBottom w:val="0"/>
          <w:divBdr>
            <w:top w:val="none" w:sz="0" w:space="0" w:color="auto"/>
            <w:left w:val="none" w:sz="0" w:space="0" w:color="auto"/>
            <w:bottom w:val="none" w:sz="0" w:space="0" w:color="auto"/>
            <w:right w:val="none" w:sz="0" w:space="0" w:color="auto"/>
          </w:divBdr>
        </w:div>
        <w:div w:id="684746112">
          <w:marLeft w:val="0"/>
          <w:marRight w:val="0"/>
          <w:marTop w:val="0"/>
          <w:marBottom w:val="0"/>
          <w:divBdr>
            <w:top w:val="none" w:sz="0" w:space="0" w:color="auto"/>
            <w:left w:val="none" w:sz="0" w:space="0" w:color="auto"/>
            <w:bottom w:val="none" w:sz="0" w:space="0" w:color="auto"/>
            <w:right w:val="none" w:sz="0" w:space="0" w:color="auto"/>
          </w:divBdr>
        </w:div>
        <w:div w:id="213009146">
          <w:marLeft w:val="0"/>
          <w:marRight w:val="0"/>
          <w:marTop w:val="0"/>
          <w:marBottom w:val="0"/>
          <w:divBdr>
            <w:top w:val="none" w:sz="0" w:space="0" w:color="auto"/>
            <w:left w:val="none" w:sz="0" w:space="0" w:color="auto"/>
            <w:bottom w:val="none" w:sz="0" w:space="0" w:color="auto"/>
            <w:right w:val="none" w:sz="0" w:space="0" w:color="auto"/>
          </w:divBdr>
        </w:div>
        <w:div w:id="11343198">
          <w:marLeft w:val="0"/>
          <w:marRight w:val="0"/>
          <w:marTop w:val="0"/>
          <w:marBottom w:val="0"/>
          <w:divBdr>
            <w:top w:val="none" w:sz="0" w:space="0" w:color="auto"/>
            <w:left w:val="none" w:sz="0" w:space="0" w:color="auto"/>
            <w:bottom w:val="none" w:sz="0" w:space="0" w:color="auto"/>
            <w:right w:val="none" w:sz="0" w:space="0" w:color="auto"/>
          </w:divBdr>
        </w:div>
        <w:div w:id="870339791">
          <w:marLeft w:val="0"/>
          <w:marRight w:val="0"/>
          <w:marTop w:val="0"/>
          <w:marBottom w:val="0"/>
          <w:divBdr>
            <w:top w:val="none" w:sz="0" w:space="0" w:color="auto"/>
            <w:left w:val="none" w:sz="0" w:space="0" w:color="auto"/>
            <w:bottom w:val="none" w:sz="0" w:space="0" w:color="auto"/>
            <w:right w:val="none" w:sz="0" w:space="0" w:color="auto"/>
          </w:divBdr>
        </w:div>
        <w:div w:id="806048793">
          <w:marLeft w:val="0"/>
          <w:marRight w:val="0"/>
          <w:marTop w:val="0"/>
          <w:marBottom w:val="0"/>
          <w:divBdr>
            <w:top w:val="none" w:sz="0" w:space="0" w:color="auto"/>
            <w:left w:val="none" w:sz="0" w:space="0" w:color="auto"/>
            <w:bottom w:val="none" w:sz="0" w:space="0" w:color="auto"/>
            <w:right w:val="none" w:sz="0" w:space="0" w:color="auto"/>
          </w:divBdr>
        </w:div>
        <w:div w:id="1784305263">
          <w:marLeft w:val="0"/>
          <w:marRight w:val="0"/>
          <w:marTop w:val="0"/>
          <w:marBottom w:val="0"/>
          <w:divBdr>
            <w:top w:val="none" w:sz="0" w:space="0" w:color="auto"/>
            <w:left w:val="none" w:sz="0" w:space="0" w:color="auto"/>
            <w:bottom w:val="none" w:sz="0" w:space="0" w:color="auto"/>
            <w:right w:val="none" w:sz="0" w:space="0" w:color="auto"/>
          </w:divBdr>
        </w:div>
        <w:div w:id="2049985944">
          <w:marLeft w:val="0"/>
          <w:marRight w:val="0"/>
          <w:marTop w:val="0"/>
          <w:marBottom w:val="0"/>
          <w:divBdr>
            <w:top w:val="none" w:sz="0" w:space="0" w:color="auto"/>
            <w:left w:val="none" w:sz="0" w:space="0" w:color="auto"/>
            <w:bottom w:val="none" w:sz="0" w:space="0" w:color="auto"/>
            <w:right w:val="none" w:sz="0" w:space="0" w:color="auto"/>
          </w:divBdr>
        </w:div>
        <w:div w:id="1496532628">
          <w:marLeft w:val="0"/>
          <w:marRight w:val="0"/>
          <w:marTop w:val="0"/>
          <w:marBottom w:val="0"/>
          <w:divBdr>
            <w:top w:val="none" w:sz="0" w:space="0" w:color="auto"/>
            <w:left w:val="none" w:sz="0" w:space="0" w:color="auto"/>
            <w:bottom w:val="none" w:sz="0" w:space="0" w:color="auto"/>
            <w:right w:val="none" w:sz="0" w:space="0" w:color="auto"/>
          </w:divBdr>
        </w:div>
        <w:div w:id="688527201">
          <w:marLeft w:val="0"/>
          <w:marRight w:val="0"/>
          <w:marTop w:val="0"/>
          <w:marBottom w:val="0"/>
          <w:divBdr>
            <w:top w:val="none" w:sz="0" w:space="0" w:color="auto"/>
            <w:left w:val="none" w:sz="0" w:space="0" w:color="auto"/>
            <w:bottom w:val="none" w:sz="0" w:space="0" w:color="auto"/>
            <w:right w:val="none" w:sz="0" w:space="0" w:color="auto"/>
          </w:divBdr>
        </w:div>
        <w:div w:id="1737975508">
          <w:marLeft w:val="0"/>
          <w:marRight w:val="0"/>
          <w:marTop w:val="0"/>
          <w:marBottom w:val="0"/>
          <w:divBdr>
            <w:top w:val="none" w:sz="0" w:space="0" w:color="auto"/>
            <w:left w:val="none" w:sz="0" w:space="0" w:color="auto"/>
            <w:bottom w:val="none" w:sz="0" w:space="0" w:color="auto"/>
            <w:right w:val="none" w:sz="0" w:space="0" w:color="auto"/>
          </w:divBdr>
        </w:div>
        <w:div w:id="2072149179">
          <w:marLeft w:val="0"/>
          <w:marRight w:val="0"/>
          <w:marTop w:val="0"/>
          <w:marBottom w:val="0"/>
          <w:divBdr>
            <w:top w:val="none" w:sz="0" w:space="0" w:color="auto"/>
            <w:left w:val="none" w:sz="0" w:space="0" w:color="auto"/>
            <w:bottom w:val="none" w:sz="0" w:space="0" w:color="auto"/>
            <w:right w:val="none" w:sz="0" w:space="0" w:color="auto"/>
          </w:divBdr>
        </w:div>
        <w:div w:id="1216745987">
          <w:marLeft w:val="0"/>
          <w:marRight w:val="0"/>
          <w:marTop w:val="0"/>
          <w:marBottom w:val="0"/>
          <w:divBdr>
            <w:top w:val="none" w:sz="0" w:space="0" w:color="auto"/>
            <w:left w:val="none" w:sz="0" w:space="0" w:color="auto"/>
            <w:bottom w:val="none" w:sz="0" w:space="0" w:color="auto"/>
            <w:right w:val="none" w:sz="0" w:space="0" w:color="auto"/>
          </w:divBdr>
        </w:div>
        <w:div w:id="2053143089">
          <w:marLeft w:val="0"/>
          <w:marRight w:val="0"/>
          <w:marTop w:val="0"/>
          <w:marBottom w:val="0"/>
          <w:divBdr>
            <w:top w:val="none" w:sz="0" w:space="0" w:color="auto"/>
            <w:left w:val="none" w:sz="0" w:space="0" w:color="auto"/>
            <w:bottom w:val="none" w:sz="0" w:space="0" w:color="auto"/>
            <w:right w:val="none" w:sz="0" w:space="0" w:color="auto"/>
          </w:divBdr>
        </w:div>
        <w:div w:id="1425764534">
          <w:marLeft w:val="0"/>
          <w:marRight w:val="0"/>
          <w:marTop w:val="0"/>
          <w:marBottom w:val="0"/>
          <w:divBdr>
            <w:top w:val="none" w:sz="0" w:space="0" w:color="auto"/>
            <w:left w:val="none" w:sz="0" w:space="0" w:color="auto"/>
            <w:bottom w:val="none" w:sz="0" w:space="0" w:color="auto"/>
            <w:right w:val="none" w:sz="0" w:space="0" w:color="auto"/>
          </w:divBdr>
        </w:div>
        <w:div w:id="846288001">
          <w:marLeft w:val="0"/>
          <w:marRight w:val="0"/>
          <w:marTop w:val="0"/>
          <w:marBottom w:val="0"/>
          <w:divBdr>
            <w:top w:val="none" w:sz="0" w:space="0" w:color="auto"/>
            <w:left w:val="none" w:sz="0" w:space="0" w:color="auto"/>
            <w:bottom w:val="none" w:sz="0" w:space="0" w:color="auto"/>
            <w:right w:val="none" w:sz="0" w:space="0" w:color="auto"/>
          </w:divBdr>
        </w:div>
        <w:div w:id="120265754">
          <w:marLeft w:val="0"/>
          <w:marRight w:val="0"/>
          <w:marTop w:val="0"/>
          <w:marBottom w:val="0"/>
          <w:divBdr>
            <w:top w:val="none" w:sz="0" w:space="0" w:color="auto"/>
            <w:left w:val="none" w:sz="0" w:space="0" w:color="auto"/>
            <w:bottom w:val="none" w:sz="0" w:space="0" w:color="auto"/>
            <w:right w:val="none" w:sz="0" w:space="0" w:color="auto"/>
          </w:divBdr>
        </w:div>
        <w:div w:id="815797366">
          <w:marLeft w:val="0"/>
          <w:marRight w:val="0"/>
          <w:marTop w:val="0"/>
          <w:marBottom w:val="0"/>
          <w:divBdr>
            <w:top w:val="none" w:sz="0" w:space="0" w:color="auto"/>
            <w:left w:val="none" w:sz="0" w:space="0" w:color="auto"/>
            <w:bottom w:val="none" w:sz="0" w:space="0" w:color="auto"/>
            <w:right w:val="none" w:sz="0" w:space="0" w:color="auto"/>
          </w:divBdr>
        </w:div>
        <w:div w:id="2009676209">
          <w:marLeft w:val="0"/>
          <w:marRight w:val="0"/>
          <w:marTop w:val="0"/>
          <w:marBottom w:val="0"/>
          <w:divBdr>
            <w:top w:val="none" w:sz="0" w:space="0" w:color="auto"/>
            <w:left w:val="none" w:sz="0" w:space="0" w:color="auto"/>
            <w:bottom w:val="none" w:sz="0" w:space="0" w:color="auto"/>
            <w:right w:val="none" w:sz="0" w:space="0" w:color="auto"/>
          </w:divBdr>
        </w:div>
        <w:div w:id="1217013719">
          <w:marLeft w:val="0"/>
          <w:marRight w:val="0"/>
          <w:marTop w:val="0"/>
          <w:marBottom w:val="0"/>
          <w:divBdr>
            <w:top w:val="none" w:sz="0" w:space="0" w:color="auto"/>
            <w:left w:val="none" w:sz="0" w:space="0" w:color="auto"/>
            <w:bottom w:val="none" w:sz="0" w:space="0" w:color="auto"/>
            <w:right w:val="none" w:sz="0" w:space="0" w:color="auto"/>
          </w:divBdr>
        </w:div>
        <w:div w:id="1809738783">
          <w:marLeft w:val="0"/>
          <w:marRight w:val="0"/>
          <w:marTop w:val="0"/>
          <w:marBottom w:val="0"/>
          <w:divBdr>
            <w:top w:val="none" w:sz="0" w:space="0" w:color="auto"/>
            <w:left w:val="none" w:sz="0" w:space="0" w:color="auto"/>
            <w:bottom w:val="none" w:sz="0" w:space="0" w:color="auto"/>
            <w:right w:val="none" w:sz="0" w:space="0" w:color="auto"/>
          </w:divBdr>
        </w:div>
        <w:div w:id="375348466">
          <w:marLeft w:val="0"/>
          <w:marRight w:val="0"/>
          <w:marTop w:val="0"/>
          <w:marBottom w:val="0"/>
          <w:divBdr>
            <w:top w:val="none" w:sz="0" w:space="0" w:color="auto"/>
            <w:left w:val="none" w:sz="0" w:space="0" w:color="auto"/>
            <w:bottom w:val="none" w:sz="0" w:space="0" w:color="auto"/>
            <w:right w:val="none" w:sz="0" w:space="0" w:color="auto"/>
          </w:divBdr>
        </w:div>
        <w:div w:id="1686399514">
          <w:marLeft w:val="0"/>
          <w:marRight w:val="0"/>
          <w:marTop w:val="0"/>
          <w:marBottom w:val="0"/>
          <w:divBdr>
            <w:top w:val="none" w:sz="0" w:space="0" w:color="auto"/>
            <w:left w:val="none" w:sz="0" w:space="0" w:color="auto"/>
            <w:bottom w:val="none" w:sz="0" w:space="0" w:color="auto"/>
            <w:right w:val="none" w:sz="0" w:space="0" w:color="auto"/>
          </w:divBdr>
        </w:div>
        <w:div w:id="172914591">
          <w:marLeft w:val="0"/>
          <w:marRight w:val="0"/>
          <w:marTop w:val="0"/>
          <w:marBottom w:val="0"/>
          <w:divBdr>
            <w:top w:val="none" w:sz="0" w:space="0" w:color="auto"/>
            <w:left w:val="none" w:sz="0" w:space="0" w:color="auto"/>
            <w:bottom w:val="none" w:sz="0" w:space="0" w:color="auto"/>
            <w:right w:val="none" w:sz="0" w:space="0" w:color="auto"/>
          </w:divBdr>
        </w:div>
        <w:div w:id="870605322">
          <w:marLeft w:val="0"/>
          <w:marRight w:val="0"/>
          <w:marTop w:val="0"/>
          <w:marBottom w:val="0"/>
          <w:divBdr>
            <w:top w:val="none" w:sz="0" w:space="0" w:color="auto"/>
            <w:left w:val="none" w:sz="0" w:space="0" w:color="auto"/>
            <w:bottom w:val="none" w:sz="0" w:space="0" w:color="auto"/>
            <w:right w:val="none" w:sz="0" w:space="0" w:color="auto"/>
          </w:divBdr>
        </w:div>
        <w:div w:id="1346244289">
          <w:marLeft w:val="0"/>
          <w:marRight w:val="0"/>
          <w:marTop w:val="0"/>
          <w:marBottom w:val="0"/>
          <w:divBdr>
            <w:top w:val="none" w:sz="0" w:space="0" w:color="auto"/>
            <w:left w:val="none" w:sz="0" w:space="0" w:color="auto"/>
            <w:bottom w:val="none" w:sz="0" w:space="0" w:color="auto"/>
            <w:right w:val="none" w:sz="0" w:space="0" w:color="auto"/>
          </w:divBdr>
        </w:div>
        <w:div w:id="2127045899">
          <w:marLeft w:val="0"/>
          <w:marRight w:val="0"/>
          <w:marTop w:val="0"/>
          <w:marBottom w:val="0"/>
          <w:divBdr>
            <w:top w:val="none" w:sz="0" w:space="0" w:color="auto"/>
            <w:left w:val="none" w:sz="0" w:space="0" w:color="auto"/>
            <w:bottom w:val="none" w:sz="0" w:space="0" w:color="auto"/>
            <w:right w:val="none" w:sz="0" w:space="0" w:color="auto"/>
          </w:divBdr>
        </w:div>
        <w:div w:id="447087910">
          <w:marLeft w:val="0"/>
          <w:marRight w:val="0"/>
          <w:marTop w:val="0"/>
          <w:marBottom w:val="0"/>
          <w:divBdr>
            <w:top w:val="none" w:sz="0" w:space="0" w:color="auto"/>
            <w:left w:val="none" w:sz="0" w:space="0" w:color="auto"/>
            <w:bottom w:val="none" w:sz="0" w:space="0" w:color="auto"/>
            <w:right w:val="none" w:sz="0" w:space="0" w:color="auto"/>
          </w:divBdr>
        </w:div>
        <w:div w:id="21055578">
          <w:marLeft w:val="0"/>
          <w:marRight w:val="0"/>
          <w:marTop w:val="0"/>
          <w:marBottom w:val="0"/>
          <w:divBdr>
            <w:top w:val="none" w:sz="0" w:space="0" w:color="auto"/>
            <w:left w:val="none" w:sz="0" w:space="0" w:color="auto"/>
            <w:bottom w:val="none" w:sz="0" w:space="0" w:color="auto"/>
            <w:right w:val="none" w:sz="0" w:space="0" w:color="auto"/>
          </w:divBdr>
        </w:div>
        <w:div w:id="1236628650">
          <w:marLeft w:val="0"/>
          <w:marRight w:val="0"/>
          <w:marTop w:val="0"/>
          <w:marBottom w:val="0"/>
          <w:divBdr>
            <w:top w:val="none" w:sz="0" w:space="0" w:color="auto"/>
            <w:left w:val="none" w:sz="0" w:space="0" w:color="auto"/>
            <w:bottom w:val="none" w:sz="0" w:space="0" w:color="auto"/>
            <w:right w:val="none" w:sz="0" w:space="0" w:color="auto"/>
          </w:divBdr>
        </w:div>
        <w:div w:id="1269308917">
          <w:marLeft w:val="0"/>
          <w:marRight w:val="0"/>
          <w:marTop w:val="0"/>
          <w:marBottom w:val="0"/>
          <w:divBdr>
            <w:top w:val="none" w:sz="0" w:space="0" w:color="auto"/>
            <w:left w:val="none" w:sz="0" w:space="0" w:color="auto"/>
            <w:bottom w:val="none" w:sz="0" w:space="0" w:color="auto"/>
            <w:right w:val="none" w:sz="0" w:space="0" w:color="auto"/>
          </w:divBdr>
        </w:div>
        <w:div w:id="1065491637">
          <w:marLeft w:val="0"/>
          <w:marRight w:val="0"/>
          <w:marTop w:val="0"/>
          <w:marBottom w:val="0"/>
          <w:divBdr>
            <w:top w:val="none" w:sz="0" w:space="0" w:color="auto"/>
            <w:left w:val="none" w:sz="0" w:space="0" w:color="auto"/>
            <w:bottom w:val="none" w:sz="0" w:space="0" w:color="auto"/>
            <w:right w:val="none" w:sz="0" w:space="0" w:color="auto"/>
          </w:divBdr>
        </w:div>
        <w:div w:id="1636448487">
          <w:marLeft w:val="0"/>
          <w:marRight w:val="0"/>
          <w:marTop w:val="0"/>
          <w:marBottom w:val="0"/>
          <w:divBdr>
            <w:top w:val="none" w:sz="0" w:space="0" w:color="auto"/>
            <w:left w:val="none" w:sz="0" w:space="0" w:color="auto"/>
            <w:bottom w:val="none" w:sz="0" w:space="0" w:color="auto"/>
            <w:right w:val="none" w:sz="0" w:space="0" w:color="auto"/>
          </w:divBdr>
        </w:div>
        <w:div w:id="186677983">
          <w:marLeft w:val="0"/>
          <w:marRight w:val="0"/>
          <w:marTop w:val="0"/>
          <w:marBottom w:val="0"/>
          <w:divBdr>
            <w:top w:val="none" w:sz="0" w:space="0" w:color="auto"/>
            <w:left w:val="none" w:sz="0" w:space="0" w:color="auto"/>
            <w:bottom w:val="none" w:sz="0" w:space="0" w:color="auto"/>
            <w:right w:val="none" w:sz="0" w:space="0" w:color="auto"/>
          </w:divBdr>
        </w:div>
        <w:div w:id="1717584959">
          <w:marLeft w:val="0"/>
          <w:marRight w:val="0"/>
          <w:marTop w:val="0"/>
          <w:marBottom w:val="0"/>
          <w:divBdr>
            <w:top w:val="none" w:sz="0" w:space="0" w:color="auto"/>
            <w:left w:val="none" w:sz="0" w:space="0" w:color="auto"/>
            <w:bottom w:val="none" w:sz="0" w:space="0" w:color="auto"/>
            <w:right w:val="none" w:sz="0" w:space="0" w:color="auto"/>
          </w:divBdr>
        </w:div>
        <w:div w:id="1334646276">
          <w:marLeft w:val="0"/>
          <w:marRight w:val="0"/>
          <w:marTop w:val="0"/>
          <w:marBottom w:val="0"/>
          <w:divBdr>
            <w:top w:val="none" w:sz="0" w:space="0" w:color="auto"/>
            <w:left w:val="none" w:sz="0" w:space="0" w:color="auto"/>
            <w:bottom w:val="none" w:sz="0" w:space="0" w:color="auto"/>
            <w:right w:val="none" w:sz="0" w:space="0" w:color="auto"/>
          </w:divBdr>
        </w:div>
        <w:div w:id="327025642">
          <w:marLeft w:val="0"/>
          <w:marRight w:val="0"/>
          <w:marTop w:val="0"/>
          <w:marBottom w:val="0"/>
          <w:divBdr>
            <w:top w:val="none" w:sz="0" w:space="0" w:color="auto"/>
            <w:left w:val="none" w:sz="0" w:space="0" w:color="auto"/>
            <w:bottom w:val="none" w:sz="0" w:space="0" w:color="auto"/>
            <w:right w:val="none" w:sz="0" w:space="0" w:color="auto"/>
          </w:divBdr>
        </w:div>
        <w:div w:id="945428418">
          <w:marLeft w:val="0"/>
          <w:marRight w:val="0"/>
          <w:marTop w:val="0"/>
          <w:marBottom w:val="0"/>
          <w:divBdr>
            <w:top w:val="none" w:sz="0" w:space="0" w:color="auto"/>
            <w:left w:val="none" w:sz="0" w:space="0" w:color="auto"/>
            <w:bottom w:val="none" w:sz="0" w:space="0" w:color="auto"/>
            <w:right w:val="none" w:sz="0" w:space="0" w:color="auto"/>
          </w:divBdr>
        </w:div>
        <w:div w:id="1898542335">
          <w:marLeft w:val="0"/>
          <w:marRight w:val="0"/>
          <w:marTop w:val="0"/>
          <w:marBottom w:val="0"/>
          <w:divBdr>
            <w:top w:val="none" w:sz="0" w:space="0" w:color="auto"/>
            <w:left w:val="none" w:sz="0" w:space="0" w:color="auto"/>
            <w:bottom w:val="none" w:sz="0" w:space="0" w:color="auto"/>
            <w:right w:val="none" w:sz="0" w:space="0" w:color="auto"/>
          </w:divBdr>
        </w:div>
        <w:div w:id="2032294745">
          <w:marLeft w:val="0"/>
          <w:marRight w:val="0"/>
          <w:marTop w:val="0"/>
          <w:marBottom w:val="0"/>
          <w:divBdr>
            <w:top w:val="none" w:sz="0" w:space="0" w:color="auto"/>
            <w:left w:val="none" w:sz="0" w:space="0" w:color="auto"/>
            <w:bottom w:val="none" w:sz="0" w:space="0" w:color="auto"/>
            <w:right w:val="none" w:sz="0" w:space="0" w:color="auto"/>
          </w:divBdr>
        </w:div>
        <w:div w:id="2054895">
          <w:marLeft w:val="0"/>
          <w:marRight w:val="0"/>
          <w:marTop w:val="0"/>
          <w:marBottom w:val="0"/>
          <w:divBdr>
            <w:top w:val="none" w:sz="0" w:space="0" w:color="auto"/>
            <w:left w:val="none" w:sz="0" w:space="0" w:color="auto"/>
            <w:bottom w:val="none" w:sz="0" w:space="0" w:color="auto"/>
            <w:right w:val="none" w:sz="0" w:space="0" w:color="auto"/>
          </w:divBdr>
        </w:div>
        <w:div w:id="537814685">
          <w:marLeft w:val="0"/>
          <w:marRight w:val="0"/>
          <w:marTop w:val="0"/>
          <w:marBottom w:val="0"/>
          <w:divBdr>
            <w:top w:val="none" w:sz="0" w:space="0" w:color="auto"/>
            <w:left w:val="none" w:sz="0" w:space="0" w:color="auto"/>
            <w:bottom w:val="none" w:sz="0" w:space="0" w:color="auto"/>
            <w:right w:val="none" w:sz="0" w:space="0" w:color="auto"/>
          </w:divBdr>
        </w:div>
        <w:div w:id="1117142396">
          <w:marLeft w:val="0"/>
          <w:marRight w:val="0"/>
          <w:marTop w:val="0"/>
          <w:marBottom w:val="0"/>
          <w:divBdr>
            <w:top w:val="none" w:sz="0" w:space="0" w:color="auto"/>
            <w:left w:val="none" w:sz="0" w:space="0" w:color="auto"/>
            <w:bottom w:val="none" w:sz="0" w:space="0" w:color="auto"/>
            <w:right w:val="none" w:sz="0" w:space="0" w:color="auto"/>
          </w:divBdr>
        </w:div>
        <w:div w:id="1322387162">
          <w:marLeft w:val="0"/>
          <w:marRight w:val="0"/>
          <w:marTop w:val="0"/>
          <w:marBottom w:val="0"/>
          <w:divBdr>
            <w:top w:val="none" w:sz="0" w:space="0" w:color="auto"/>
            <w:left w:val="none" w:sz="0" w:space="0" w:color="auto"/>
            <w:bottom w:val="none" w:sz="0" w:space="0" w:color="auto"/>
            <w:right w:val="none" w:sz="0" w:space="0" w:color="auto"/>
          </w:divBdr>
        </w:div>
        <w:div w:id="1711374015">
          <w:marLeft w:val="0"/>
          <w:marRight w:val="0"/>
          <w:marTop w:val="0"/>
          <w:marBottom w:val="0"/>
          <w:divBdr>
            <w:top w:val="none" w:sz="0" w:space="0" w:color="auto"/>
            <w:left w:val="none" w:sz="0" w:space="0" w:color="auto"/>
            <w:bottom w:val="none" w:sz="0" w:space="0" w:color="auto"/>
            <w:right w:val="none" w:sz="0" w:space="0" w:color="auto"/>
          </w:divBdr>
        </w:div>
        <w:div w:id="304819189">
          <w:marLeft w:val="0"/>
          <w:marRight w:val="0"/>
          <w:marTop w:val="0"/>
          <w:marBottom w:val="0"/>
          <w:divBdr>
            <w:top w:val="none" w:sz="0" w:space="0" w:color="auto"/>
            <w:left w:val="none" w:sz="0" w:space="0" w:color="auto"/>
            <w:bottom w:val="none" w:sz="0" w:space="0" w:color="auto"/>
            <w:right w:val="none" w:sz="0" w:space="0" w:color="auto"/>
          </w:divBdr>
        </w:div>
        <w:div w:id="1969242343">
          <w:marLeft w:val="0"/>
          <w:marRight w:val="0"/>
          <w:marTop w:val="0"/>
          <w:marBottom w:val="0"/>
          <w:divBdr>
            <w:top w:val="none" w:sz="0" w:space="0" w:color="auto"/>
            <w:left w:val="none" w:sz="0" w:space="0" w:color="auto"/>
            <w:bottom w:val="none" w:sz="0" w:space="0" w:color="auto"/>
            <w:right w:val="none" w:sz="0" w:space="0" w:color="auto"/>
          </w:divBdr>
        </w:div>
        <w:div w:id="1751925766">
          <w:marLeft w:val="0"/>
          <w:marRight w:val="0"/>
          <w:marTop w:val="0"/>
          <w:marBottom w:val="0"/>
          <w:divBdr>
            <w:top w:val="none" w:sz="0" w:space="0" w:color="auto"/>
            <w:left w:val="none" w:sz="0" w:space="0" w:color="auto"/>
            <w:bottom w:val="none" w:sz="0" w:space="0" w:color="auto"/>
            <w:right w:val="none" w:sz="0" w:space="0" w:color="auto"/>
          </w:divBdr>
        </w:div>
        <w:div w:id="1016081817">
          <w:marLeft w:val="0"/>
          <w:marRight w:val="0"/>
          <w:marTop w:val="0"/>
          <w:marBottom w:val="0"/>
          <w:divBdr>
            <w:top w:val="none" w:sz="0" w:space="0" w:color="auto"/>
            <w:left w:val="none" w:sz="0" w:space="0" w:color="auto"/>
            <w:bottom w:val="none" w:sz="0" w:space="0" w:color="auto"/>
            <w:right w:val="none" w:sz="0" w:space="0" w:color="auto"/>
          </w:divBdr>
        </w:div>
        <w:div w:id="1579751811">
          <w:marLeft w:val="0"/>
          <w:marRight w:val="0"/>
          <w:marTop w:val="0"/>
          <w:marBottom w:val="0"/>
          <w:divBdr>
            <w:top w:val="none" w:sz="0" w:space="0" w:color="auto"/>
            <w:left w:val="none" w:sz="0" w:space="0" w:color="auto"/>
            <w:bottom w:val="none" w:sz="0" w:space="0" w:color="auto"/>
            <w:right w:val="none" w:sz="0" w:space="0" w:color="auto"/>
          </w:divBdr>
        </w:div>
        <w:div w:id="1178347742">
          <w:marLeft w:val="0"/>
          <w:marRight w:val="0"/>
          <w:marTop w:val="0"/>
          <w:marBottom w:val="0"/>
          <w:divBdr>
            <w:top w:val="none" w:sz="0" w:space="0" w:color="auto"/>
            <w:left w:val="none" w:sz="0" w:space="0" w:color="auto"/>
            <w:bottom w:val="none" w:sz="0" w:space="0" w:color="auto"/>
            <w:right w:val="none" w:sz="0" w:space="0" w:color="auto"/>
          </w:divBdr>
        </w:div>
        <w:div w:id="1571571492">
          <w:marLeft w:val="0"/>
          <w:marRight w:val="0"/>
          <w:marTop w:val="0"/>
          <w:marBottom w:val="0"/>
          <w:divBdr>
            <w:top w:val="none" w:sz="0" w:space="0" w:color="auto"/>
            <w:left w:val="none" w:sz="0" w:space="0" w:color="auto"/>
            <w:bottom w:val="none" w:sz="0" w:space="0" w:color="auto"/>
            <w:right w:val="none" w:sz="0" w:space="0" w:color="auto"/>
          </w:divBdr>
        </w:div>
        <w:div w:id="1553735882">
          <w:marLeft w:val="0"/>
          <w:marRight w:val="0"/>
          <w:marTop w:val="0"/>
          <w:marBottom w:val="0"/>
          <w:divBdr>
            <w:top w:val="none" w:sz="0" w:space="0" w:color="auto"/>
            <w:left w:val="none" w:sz="0" w:space="0" w:color="auto"/>
            <w:bottom w:val="none" w:sz="0" w:space="0" w:color="auto"/>
            <w:right w:val="none" w:sz="0" w:space="0" w:color="auto"/>
          </w:divBdr>
        </w:div>
        <w:div w:id="1811286771">
          <w:marLeft w:val="0"/>
          <w:marRight w:val="0"/>
          <w:marTop w:val="0"/>
          <w:marBottom w:val="0"/>
          <w:divBdr>
            <w:top w:val="none" w:sz="0" w:space="0" w:color="auto"/>
            <w:left w:val="none" w:sz="0" w:space="0" w:color="auto"/>
            <w:bottom w:val="none" w:sz="0" w:space="0" w:color="auto"/>
            <w:right w:val="none" w:sz="0" w:space="0" w:color="auto"/>
          </w:divBdr>
        </w:div>
        <w:div w:id="168101266">
          <w:marLeft w:val="0"/>
          <w:marRight w:val="0"/>
          <w:marTop w:val="0"/>
          <w:marBottom w:val="0"/>
          <w:divBdr>
            <w:top w:val="none" w:sz="0" w:space="0" w:color="auto"/>
            <w:left w:val="none" w:sz="0" w:space="0" w:color="auto"/>
            <w:bottom w:val="none" w:sz="0" w:space="0" w:color="auto"/>
            <w:right w:val="none" w:sz="0" w:space="0" w:color="auto"/>
          </w:divBdr>
        </w:div>
        <w:div w:id="1205874492">
          <w:marLeft w:val="0"/>
          <w:marRight w:val="0"/>
          <w:marTop w:val="0"/>
          <w:marBottom w:val="0"/>
          <w:divBdr>
            <w:top w:val="none" w:sz="0" w:space="0" w:color="auto"/>
            <w:left w:val="none" w:sz="0" w:space="0" w:color="auto"/>
            <w:bottom w:val="none" w:sz="0" w:space="0" w:color="auto"/>
            <w:right w:val="none" w:sz="0" w:space="0" w:color="auto"/>
          </w:divBdr>
        </w:div>
        <w:div w:id="449712306">
          <w:marLeft w:val="0"/>
          <w:marRight w:val="0"/>
          <w:marTop w:val="0"/>
          <w:marBottom w:val="0"/>
          <w:divBdr>
            <w:top w:val="none" w:sz="0" w:space="0" w:color="auto"/>
            <w:left w:val="none" w:sz="0" w:space="0" w:color="auto"/>
            <w:bottom w:val="none" w:sz="0" w:space="0" w:color="auto"/>
            <w:right w:val="none" w:sz="0" w:space="0" w:color="auto"/>
          </w:divBdr>
        </w:div>
        <w:div w:id="59669793">
          <w:marLeft w:val="0"/>
          <w:marRight w:val="0"/>
          <w:marTop w:val="0"/>
          <w:marBottom w:val="0"/>
          <w:divBdr>
            <w:top w:val="none" w:sz="0" w:space="0" w:color="auto"/>
            <w:left w:val="none" w:sz="0" w:space="0" w:color="auto"/>
            <w:bottom w:val="none" w:sz="0" w:space="0" w:color="auto"/>
            <w:right w:val="none" w:sz="0" w:space="0" w:color="auto"/>
          </w:divBdr>
        </w:div>
        <w:div w:id="2023781231">
          <w:marLeft w:val="0"/>
          <w:marRight w:val="0"/>
          <w:marTop w:val="0"/>
          <w:marBottom w:val="0"/>
          <w:divBdr>
            <w:top w:val="none" w:sz="0" w:space="0" w:color="auto"/>
            <w:left w:val="none" w:sz="0" w:space="0" w:color="auto"/>
            <w:bottom w:val="none" w:sz="0" w:space="0" w:color="auto"/>
            <w:right w:val="none" w:sz="0" w:space="0" w:color="auto"/>
          </w:divBdr>
        </w:div>
        <w:div w:id="294332126">
          <w:marLeft w:val="0"/>
          <w:marRight w:val="0"/>
          <w:marTop w:val="0"/>
          <w:marBottom w:val="0"/>
          <w:divBdr>
            <w:top w:val="none" w:sz="0" w:space="0" w:color="auto"/>
            <w:left w:val="none" w:sz="0" w:space="0" w:color="auto"/>
            <w:bottom w:val="none" w:sz="0" w:space="0" w:color="auto"/>
            <w:right w:val="none" w:sz="0" w:space="0" w:color="auto"/>
          </w:divBdr>
        </w:div>
        <w:div w:id="328216977">
          <w:marLeft w:val="0"/>
          <w:marRight w:val="0"/>
          <w:marTop w:val="0"/>
          <w:marBottom w:val="0"/>
          <w:divBdr>
            <w:top w:val="none" w:sz="0" w:space="0" w:color="auto"/>
            <w:left w:val="none" w:sz="0" w:space="0" w:color="auto"/>
            <w:bottom w:val="none" w:sz="0" w:space="0" w:color="auto"/>
            <w:right w:val="none" w:sz="0" w:space="0" w:color="auto"/>
          </w:divBdr>
        </w:div>
        <w:div w:id="356472982">
          <w:marLeft w:val="0"/>
          <w:marRight w:val="0"/>
          <w:marTop w:val="0"/>
          <w:marBottom w:val="0"/>
          <w:divBdr>
            <w:top w:val="none" w:sz="0" w:space="0" w:color="auto"/>
            <w:left w:val="none" w:sz="0" w:space="0" w:color="auto"/>
            <w:bottom w:val="none" w:sz="0" w:space="0" w:color="auto"/>
            <w:right w:val="none" w:sz="0" w:space="0" w:color="auto"/>
          </w:divBdr>
        </w:div>
        <w:div w:id="506410504">
          <w:marLeft w:val="0"/>
          <w:marRight w:val="0"/>
          <w:marTop w:val="0"/>
          <w:marBottom w:val="0"/>
          <w:divBdr>
            <w:top w:val="none" w:sz="0" w:space="0" w:color="auto"/>
            <w:left w:val="none" w:sz="0" w:space="0" w:color="auto"/>
            <w:bottom w:val="none" w:sz="0" w:space="0" w:color="auto"/>
            <w:right w:val="none" w:sz="0" w:space="0" w:color="auto"/>
          </w:divBdr>
        </w:div>
        <w:div w:id="1883515251">
          <w:marLeft w:val="0"/>
          <w:marRight w:val="0"/>
          <w:marTop w:val="0"/>
          <w:marBottom w:val="0"/>
          <w:divBdr>
            <w:top w:val="none" w:sz="0" w:space="0" w:color="auto"/>
            <w:left w:val="none" w:sz="0" w:space="0" w:color="auto"/>
            <w:bottom w:val="none" w:sz="0" w:space="0" w:color="auto"/>
            <w:right w:val="none" w:sz="0" w:space="0" w:color="auto"/>
          </w:divBdr>
        </w:div>
        <w:div w:id="784421032">
          <w:marLeft w:val="0"/>
          <w:marRight w:val="0"/>
          <w:marTop w:val="0"/>
          <w:marBottom w:val="0"/>
          <w:divBdr>
            <w:top w:val="none" w:sz="0" w:space="0" w:color="auto"/>
            <w:left w:val="none" w:sz="0" w:space="0" w:color="auto"/>
            <w:bottom w:val="none" w:sz="0" w:space="0" w:color="auto"/>
            <w:right w:val="none" w:sz="0" w:space="0" w:color="auto"/>
          </w:divBdr>
        </w:div>
        <w:div w:id="1569261973">
          <w:marLeft w:val="0"/>
          <w:marRight w:val="0"/>
          <w:marTop w:val="0"/>
          <w:marBottom w:val="0"/>
          <w:divBdr>
            <w:top w:val="none" w:sz="0" w:space="0" w:color="auto"/>
            <w:left w:val="none" w:sz="0" w:space="0" w:color="auto"/>
            <w:bottom w:val="none" w:sz="0" w:space="0" w:color="auto"/>
            <w:right w:val="none" w:sz="0" w:space="0" w:color="auto"/>
          </w:divBdr>
        </w:div>
        <w:div w:id="897518911">
          <w:marLeft w:val="0"/>
          <w:marRight w:val="0"/>
          <w:marTop w:val="0"/>
          <w:marBottom w:val="0"/>
          <w:divBdr>
            <w:top w:val="none" w:sz="0" w:space="0" w:color="auto"/>
            <w:left w:val="none" w:sz="0" w:space="0" w:color="auto"/>
            <w:bottom w:val="none" w:sz="0" w:space="0" w:color="auto"/>
            <w:right w:val="none" w:sz="0" w:space="0" w:color="auto"/>
          </w:divBdr>
        </w:div>
        <w:div w:id="580721796">
          <w:marLeft w:val="0"/>
          <w:marRight w:val="0"/>
          <w:marTop w:val="0"/>
          <w:marBottom w:val="0"/>
          <w:divBdr>
            <w:top w:val="none" w:sz="0" w:space="0" w:color="auto"/>
            <w:left w:val="none" w:sz="0" w:space="0" w:color="auto"/>
            <w:bottom w:val="none" w:sz="0" w:space="0" w:color="auto"/>
            <w:right w:val="none" w:sz="0" w:space="0" w:color="auto"/>
          </w:divBdr>
        </w:div>
        <w:div w:id="1900240148">
          <w:marLeft w:val="0"/>
          <w:marRight w:val="0"/>
          <w:marTop w:val="0"/>
          <w:marBottom w:val="0"/>
          <w:divBdr>
            <w:top w:val="none" w:sz="0" w:space="0" w:color="auto"/>
            <w:left w:val="none" w:sz="0" w:space="0" w:color="auto"/>
            <w:bottom w:val="none" w:sz="0" w:space="0" w:color="auto"/>
            <w:right w:val="none" w:sz="0" w:space="0" w:color="auto"/>
          </w:divBdr>
        </w:div>
        <w:div w:id="1615134745">
          <w:marLeft w:val="0"/>
          <w:marRight w:val="0"/>
          <w:marTop w:val="0"/>
          <w:marBottom w:val="0"/>
          <w:divBdr>
            <w:top w:val="none" w:sz="0" w:space="0" w:color="auto"/>
            <w:left w:val="none" w:sz="0" w:space="0" w:color="auto"/>
            <w:bottom w:val="none" w:sz="0" w:space="0" w:color="auto"/>
            <w:right w:val="none" w:sz="0" w:space="0" w:color="auto"/>
          </w:divBdr>
        </w:div>
        <w:div w:id="1396659150">
          <w:marLeft w:val="0"/>
          <w:marRight w:val="0"/>
          <w:marTop w:val="0"/>
          <w:marBottom w:val="0"/>
          <w:divBdr>
            <w:top w:val="none" w:sz="0" w:space="0" w:color="auto"/>
            <w:left w:val="none" w:sz="0" w:space="0" w:color="auto"/>
            <w:bottom w:val="none" w:sz="0" w:space="0" w:color="auto"/>
            <w:right w:val="none" w:sz="0" w:space="0" w:color="auto"/>
          </w:divBdr>
        </w:div>
        <w:div w:id="431976339">
          <w:marLeft w:val="0"/>
          <w:marRight w:val="0"/>
          <w:marTop w:val="0"/>
          <w:marBottom w:val="0"/>
          <w:divBdr>
            <w:top w:val="none" w:sz="0" w:space="0" w:color="auto"/>
            <w:left w:val="none" w:sz="0" w:space="0" w:color="auto"/>
            <w:bottom w:val="none" w:sz="0" w:space="0" w:color="auto"/>
            <w:right w:val="none" w:sz="0" w:space="0" w:color="auto"/>
          </w:divBdr>
        </w:div>
        <w:div w:id="1993943665">
          <w:marLeft w:val="0"/>
          <w:marRight w:val="0"/>
          <w:marTop w:val="0"/>
          <w:marBottom w:val="0"/>
          <w:divBdr>
            <w:top w:val="none" w:sz="0" w:space="0" w:color="auto"/>
            <w:left w:val="none" w:sz="0" w:space="0" w:color="auto"/>
            <w:bottom w:val="none" w:sz="0" w:space="0" w:color="auto"/>
            <w:right w:val="none" w:sz="0" w:space="0" w:color="auto"/>
          </w:divBdr>
        </w:div>
        <w:div w:id="1230461916">
          <w:marLeft w:val="0"/>
          <w:marRight w:val="0"/>
          <w:marTop w:val="0"/>
          <w:marBottom w:val="0"/>
          <w:divBdr>
            <w:top w:val="none" w:sz="0" w:space="0" w:color="auto"/>
            <w:left w:val="none" w:sz="0" w:space="0" w:color="auto"/>
            <w:bottom w:val="none" w:sz="0" w:space="0" w:color="auto"/>
            <w:right w:val="none" w:sz="0" w:space="0" w:color="auto"/>
          </w:divBdr>
        </w:div>
        <w:div w:id="655456571">
          <w:marLeft w:val="0"/>
          <w:marRight w:val="0"/>
          <w:marTop w:val="0"/>
          <w:marBottom w:val="0"/>
          <w:divBdr>
            <w:top w:val="none" w:sz="0" w:space="0" w:color="auto"/>
            <w:left w:val="none" w:sz="0" w:space="0" w:color="auto"/>
            <w:bottom w:val="none" w:sz="0" w:space="0" w:color="auto"/>
            <w:right w:val="none" w:sz="0" w:space="0" w:color="auto"/>
          </w:divBdr>
        </w:div>
        <w:div w:id="2000039816">
          <w:marLeft w:val="0"/>
          <w:marRight w:val="0"/>
          <w:marTop w:val="0"/>
          <w:marBottom w:val="0"/>
          <w:divBdr>
            <w:top w:val="none" w:sz="0" w:space="0" w:color="auto"/>
            <w:left w:val="none" w:sz="0" w:space="0" w:color="auto"/>
            <w:bottom w:val="none" w:sz="0" w:space="0" w:color="auto"/>
            <w:right w:val="none" w:sz="0" w:space="0" w:color="auto"/>
          </w:divBdr>
        </w:div>
        <w:div w:id="125973265">
          <w:marLeft w:val="0"/>
          <w:marRight w:val="0"/>
          <w:marTop w:val="0"/>
          <w:marBottom w:val="0"/>
          <w:divBdr>
            <w:top w:val="none" w:sz="0" w:space="0" w:color="auto"/>
            <w:left w:val="none" w:sz="0" w:space="0" w:color="auto"/>
            <w:bottom w:val="none" w:sz="0" w:space="0" w:color="auto"/>
            <w:right w:val="none" w:sz="0" w:space="0" w:color="auto"/>
          </w:divBdr>
        </w:div>
        <w:div w:id="912619039">
          <w:marLeft w:val="0"/>
          <w:marRight w:val="0"/>
          <w:marTop w:val="0"/>
          <w:marBottom w:val="0"/>
          <w:divBdr>
            <w:top w:val="none" w:sz="0" w:space="0" w:color="auto"/>
            <w:left w:val="none" w:sz="0" w:space="0" w:color="auto"/>
            <w:bottom w:val="none" w:sz="0" w:space="0" w:color="auto"/>
            <w:right w:val="none" w:sz="0" w:space="0" w:color="auto"/>
          </w:divBdr>
        </w:div>
        <w:div w:id="585655516">
          <w:marLeft w:val="0"/>
          <w:marRight w:val="0"/>
          <w:marTop w:val="0"/>
          <w:marBottom w:val="0"/>
          <w:divBdr>
            <w:top w:val="none" w:sz="0" w:space="0" w:color="auto"/>
            <w:left w:val="none" w:sz="0" w:space="0" w:color="auto"/>
            <w:bottom w:val="none" w:sz="0" w:space="0" w:color="auto"/>
            <w:right w:val="none" w:sz="0" w:space="0" w:color="auto"/>
          </w:divBdr>
        </w:div>
        <w:div w:id="1974865813">
          <w:marLeft w:val="0"/>
          <w:marRight w:val="0"/>
          <w:marTop w:val="0"/>
          <w:marBottom w:val="0"/>
          <w:divBdr>
            <w:top w:val="none" w:sz="0" w:space="0" w:color="auto"/>
            <w:left w:val="none" w:sz="0" w:space="0" w:color="auto"/>
            <w:bottom w:val="none" w:sz="0" w:space="0" w:color="auto"/>
            <w:right w:val="none" w:sz="0" w:space="0" w:color="auto"/>
          </w:divBdr>
        </w:div>
        <w:div w:id="1656371148">
          <w:marLeft w:val="0"/>
          <w:marRight w:val="0"/>
          <w:marTop w:val="0"/>
          <w:marBottom w:val="0"/>
          <w:divBdr>
            <w:top w:val="none" w:sz="0" w:space="0" w:color="auto"/>
            <w:left w:val="none" w:sz="0" w:space="0" w:color="auto"/>
            <w:bottom w:val="none" w:sz="0" w:space="0" w:color="auto"/>
            <w:right w:val="none" w:sz="0" w:space="0" w:color="auto"/>
          </w:divBdr>
        </w:div>
        <w:div w:id="442726131">
          <w:marLeft w:val="0"/>
          <w:marRight w:val="0"/>
          <w:marTop w:val="0"/>
          <w:marBottom w:val="0"/>
          <w:divBdr>
            <w:top w:val="none" w:sz="0" w:space="0" w:color="auto"/>
            <w:left w:val="none" w:sz="0" w:space="0" w:color="auto"/>
            <w:bottom w:val="none" w:sz="0" w:space="0" w:color="auto"/>
            <w:right w:val="none" w:sz="0" w:space="0" w:color="auto"/>
          </w:divBdr>
        </w:div>
        <w:div w:id="2036732490">
          <w:marLeft w:val="0"/>
          <w:marRight w:val="0"/>
          <w:marTop w:val="0"/>
          <w:marBottom w:val="0"/>
          <w:divBdr>
            <w:top w:val="none" w:sz="0" w:space="0" w:color="auto"/>
            <w:left w:val="none" w:sz="0" w:space="0" w:color="auto"/>
            <w:bottom w:val="none" w:sz="0" w:space="0" w:color="auto"/>
            <w:right w:val="none" w:sz="0" w:space="0" w:color="auto"/>
          </w:divBdr>
        </w:div>
        <w:div w:id="951982239">
          <w:marLeft w:val="0"/>
          <w:marRight w:val="0"/>
          <w:marTop w:val="0"/>
          <w:marBottom w:val="0"/>
          <w:divBdr>
            <w:top w:val="none" w:sz="0" w:space="0" w:color="auto"/>
            <w:left w:val="none" w:sz="0" w:space="0" w:color="auto"/>
            <w:bottom w:val="none" w:sz="0" w:space="0" w:color="auto"/>
            <w:right w:val="none" w:sz="0" w:space="0" w:color="auto"/>
          </w:divBdr>
        </w:div>
        <w:div w:id="327367391">
          <w:marLeft w:val="0"/>
          <w:marRight w:val="0"/>
          <w:marTop w:val="0"/>
          <w:marBottom w:val="0"/>
          <w:divBdr>
            <w:top w:val="none" w:sz="0" w:space="0" w:color="auto"/>
            <w:left w:val="none" w:sz="0" w:space="0" w:color="auto"/>
            <w:bottom w:val="none" w:sz="0" w:space="0" w:color="auto"/>
            <w:right w:val="none" w:sz="0" w:space="0" w:color="auto"/>
          </w:divBdr>
        </w:div>
        <w:div w:id="539171722">
          <w:marLeft w:val="0"/>
          <w:marRight w:val="0"/>
          <w:marTop w:val="0"/>
          <w:marBottom w:val="0"/>
          <w:divBdr>
            <w:top w:val="none" w:sz="0" w:space="0" w:color="auto"/>
            <w:left w:val="none" w:sz="0" w:space="0" w:color="auto"/>
            <w:bottom w:val="none" w:sz="0" w:space="0" w:color="auto"/>
            <w:right w:val="none" w:sz="0" w:space="0" w:color="auto"/>
          </w:divBdr>
        </w:div>
        <w:div w:id="219757231">
          <w:marLeft w:val="0"/>
          <w:marRight w:val="0"/>
          <w:marTop w:val="0"/>
          <w:marBottom w:val="0"/>
          <w:divBdr>
            <w:top w:val="none" w:sz="0" w:space="0" w:color="auto"/>
            <w:left w:val="none" w:sz="0" w:space="0" w:color="auto"/>
            <w:bottom w:val="none" w:sz="0" w:space="0" w:color="auto"/>
            <w:right w:val="none" w:sz="0" w:space="0" w:color="auto"/>
          </w:divBdr>
        </w:div>
        <w:div w:id="1855682682">
          <w:marLeft w:val="0"/>
          <w:marRight w:val="0"/>
          <w:marTop w:val="0"/>
          <w:marBottom w:val="0"/>
          <w:divBdr>
            <w:top w:val="none" w:sz="0" w:space="0" w:color="auto"/>
            <w:left w:val="none" w:sz="0" w:space="0" w:color="auto"/>
            <w:bottom w:val="none" w:sz="0" w:space="0" w:color="auto"/>
            <w:right w:val="none" w:sz="0" w:space="0" w:color="auto"/>
          </w:divBdr>
        </w:div>
        <w:div w:id="2515218">
          <w:marLeft w:val="0"/>
          <w:marRight w:val="0"/>
          <w:marTop w:val="0"/>
          <w:marBottom w:val="0"/>
          <w:divBdr>
            <w:top w:val="none" w:sz="0" w:space="0" w:color="auto"/>
            <w:left w:val="none" w:sz="0" w:space="0" w:color="auto"/>
            <w:bottom w:val="none" w:sz="0" w:space="0" w:color="auto"/>
            <w:right w:val="none" w:sz="0" w:space="0" w:color="auto"/>
          </w:divBdr>
        </w:div>
        <w:div w:id="378020538">
          <w:marLeft w:val="0"/>
          <w:marRight w:val="0"/>
          <w:marTop w:val="0"/>
          <w:marBottom w:val="0"/>
          <w:divBdr>
            <w:top w:val="none" w:sz="0" w:space="0" w:color="auto"/>
            <w:left w:val="none" w:sz="0" w:space="0" w:color="auto"/>
            <w:bottom w:val="none" w:sz="0" w:space="0" w:color="auto"/>
            <w:right w:val="none" w:sz="0" w:space="0" w:color="auto"/>
          </w:divBdr>
        </w:div>
        <w:div w:id="1493445437">
          <w:marLeft w:val="0"/>
          <w:marRight w:val="0"/>
          <w:marTop w:val="0"/>
          <w:marBottom w:val="0"/>
          <w:divBdr>
            <w:top w:val="none" w:sz="0" w:space="0" w:color="auto"/>
            <w:left w:val="none" w:sz="0" w:space="0" w:color="auto"/>
            <w:bottom w:val="none" w:sz="0" w:space="0" w:color="auto"/>
            <w:right w:val="none" w:sz="0" w:space="0" w:color="auto"/>
          </w:divBdr>
        </w:div>
        <w:div w:id="1403867414">
          <w:marLeft w:val="0"/>
          <w:marRight w:val="0"/>
          <w:marTop w:val="0"/>
          <w:marBottom w:val="0"/>
          <w:divBdr>
            <w:top w:val="none" w:sz="0" w:space="0" w:color="auto"/>
            <w:left w:val="none" w:sz="0" w:space="0" w:color="auto"/>
            <w:bottom w:val="none" w:sz="0" w:space="0" w:color="auto"/>
            <w:right w:val="none" w:sz="0" w:space="0" w:color="auto"/>
          </w:divBdr>
        </w:div>
        <w:div w:id="1544487817">
          <w:marLeft w:val="0"/>
          <w:marRight w:val="0"/>
          <w:marTop w:val="0"/>
          <w:marBottom w:val="0"/>
          <w:divBdr>
            <w:top w:val="none" w:sz="0" w:space="0" w:color="auto"/>
            <w:left w:val="none" w:sz="0" w:space="0" w:color="auto"/>
            <w:bottom w:val="none" w:sz="0" w:space="0" w:color="auto"/>
            <w:right w:val="none" w:sz="0" w:space="0" w:color="auto"/>
          </w:divBdr>
        </w:div>
        <w:div w:id="969672219">
          <w:marLeft w:val="0"/>
          <w:marRight w:val="0"/>
          <w:marTop w:val="0"/>
          <w:marBottom w:val="0"/>
          <w:divBdr>
            <w:top w:val="none" w:sz="0" w:space="0" w:color="auto"/>
            <w:left w:val="none" w:sz="0" w:space="0" w:color="auto"/>
            <w:bottom w:val="none" w:sz="0" w:space="0" w:color="auto"/>
            <w:right w:val="none" w:sz="0" w:space="0" w:color="auto"/>
          </w:divBdr>
        </w:div>
        <w:div w:id="1408646628">
          <w:marLeft w:val="0"/>
          <w:marRight w:val="0"/>
          <w:marTop w:val="0"/>
          <w:marBottom w:val="0"/>
          <w:divBdr>
            <w:top w:val="none" w:sz="0" w:space="0" w:color="auto"/>
            <w:left w:val="none" w:sz="0" w:space="0" w:color="auto"/>
            <w:bottom w:val="none" w:sz="0" w:space="0" w:color="auto"/>
            <w:right w:val="none" w:sz="0" w:space="0" w:color="auto"/>
          </w:divBdr>
        </w:div>
        <w:div w:id="1600064829">
          <w:marLeft w:val="0"/>
          <w:marRight w:val="0"/>
          <w:marTop w:val="0"/>
          <w:marBottom w:val="0"/>
          <w:divBdr>
            <w:top w:val="none" w:sz="0" w:space="0" w:color="auto"/>
            <w:left w:val="none" w:sz="0" w:space="0" w:color="auto"/>
            <w:bottom w:val="none" w:sz="0" w:space="0" w:color="auto"/>
            <w:right w:val="none" w:sz="0" w:space="0" w:color="auto"/>
          </w:divBdr>
        </w:div>
        <w:div w:id="1797523929">
          <w:marLeft w:val="0"/>
          <w:marRight w:val="0"/>
          <w:marTop w:val="0"/>
          <w:marBottom w:val="0"/>
          <w:divBdr>
            <w:top w:val="none" w:sz="0" w:space="0" w:color="auto"/>
            <w:left w:val="none" w:sz="0" w:space="0" w:color="auto"/>
            <w:bottom w:val="none" w:sz="0" w:space="0" w:color="auto"/>
            <w:right w:val="none" w:sz="0" w:space="0" w:color="auto"/>
          </w:divBdr>
        </w:div>
        <w:div w:id="1529180564">
          <w:marLeft w:val="0"/>
          <w:marRight w:val="0"/>
          <w:marTop w:val="0"/>
          <w:marBottom w:val="0"/>
          <w:divBdr>
            <w:top w:val="none" w:sz="0" w:space="0" w:color="auto"/>
            <w:left w:val="none" w:sz="0" w:space="0" w:color="auto"/>
            <w:bottom w:val="none" w:sz="0" w:space="0" w:color="auto"/>
            <w:right w:val="none" w:sz="0" w:space="0" w:color="auto"/>
          </w:divBdr>
        </w:div>
        <w:div w:id="1642997324">
          <w:marLeft w:val="0"/>
          <w:marRight w:val="0"/>
          <w:marTop w:val="0"/>
          <w:marBottom w:val="0"/>
          <w:divBdr>
            <w:top w:val="none" w:sz="0" w:space="0" w:color="auto"/>
            <w:left w:val="none" w:sz="0" w:space="0" w:color="auto"/>
            <w:bottom w:val="none" w:sz="0" w:space="0" w:color="auto"/>
            <w:right w:val="none" w:sz="0" w:space="0" w:color="auto"/>
          </w:divBdr>
        </w:div>
        <w:div w:id="1248609302">
          <w:marLeft w:val="0"/>
          <w:marRight w:val="0"/>
          <w:marTop w:val="0"/>
          <w:marBottom w:val="0"/>
          <w:divBdr>
            <w:top w:val="none" w:sz="0" w:space="0" w:color="auto"/>
            <w:left w:val="none" w:sz="0" w:space="0" w:color="auto"/>
            <w:bottom w:val="none" w:sz="0" w:space="0" w:color="auto"/>
            <w:right w:val="none" w:sz="0" w:space="0" w:color="auto"/>
          </w:divBdr>
        </w:div>
        <w:div w:id="397289211">
          <w:marLeft w:val="0"/>
          <w:marRight w:val="0"/>
          <w:marTop w:val="0"/>
          <w:marBottom w:val="0"/>
          <w:divBdr>
            <w:top w:val="none" w:sz="0" w:space="0" w:color="auto"/>
            <w:left w:val="none" w:sz="0" w:space="0" w:color="auto"/>
            <w:bottom w:val="none" w:sz="0" w:space="0" w:color="auto"/>
            <w:right w:val="none" w:sz="0" w:space="0" w:color="auto"/>
          </w:divBdr>
        </w:div>
        <w:div w:id="1919170160">
          <w:marLeft w:val="0"/>
          <w:marRight w:val="0"/>
          <w:marTop w:val="0"/>
          <w:marBottom w:val="0"/>
          <w:divBdr>
            <w:top w:val="none" w:sz="0" w:space="0" w:color="auto"/>
            <w:left w:val="none" w:sz="0" w:space="0" w:color="auto"/>
            <w:bottom w:val="none" w:sz="0" w:space="0" w:color="auto"/>
            <w:right w:val="none" w:sz="0" w:space="0" w:color="auto"/>
          </w:divBdr>
        </w:div>
        <w:div w:id="130170420">
          <w:marLeft w:val="0"/>
          <w:marRight w:val="0"/>
          <w:marTop w:val="0"/>
          <w:marBottom w:val="0"/>
          <w:divBdr>
            <w:top w:val="none" w:sz="0" w:space="0" w:color="auto"/>
            <w:left w:val="none" w:sz="0" w:space="0" w:color="auto"/>
            <w:bottom w:val="none" w:sz="0" w:space="0" w:color="auto"/>
            <w:right w:val="none" w:sz="0" w:space="0" w:color="auto"/>
          </w:divBdr>
        </w:div>
        <w:div w:id="1874421845">
          <w:marLeft w:val="0"/>
          <w:marRight w:val="0"/>
          <w:marTop w:val="0"/>
          <w:marBottom w:val="0"/>
          <w:divBdr>
            <w:top w:val="none" w:sz="0" w:space="0" w:color="auto"/>
            <w:left w:val="none" w:sz="0" w:space="0" w:color="auto"/>
            <w:bottom w:val="none" w:sz="0" w:space="0" w:color="auto"/>
            <w:right w:val="none" w:sz="0" w:space="0" w:color="auto"/>
          </w:divBdr>
        </w:div>
        <w:div w:id="646130355">
          <w:marLeft w:val="0"/>
          <w:marRight w:val="0"/>
          <w:marTop w:val="0"/>
          <w:marBottom w:val="0"/>
          <w:divBdr>
            <w:top w:val="none" w:sz="0" w:space="0" w:color="auto"/>
            <w:left w:val="none" w:sz="0" w:space="0" w:color="auto"/>
            <w:bottom w:val="none" w:sz="0" w:space="0" w:color="auto"/>
            <w:right w:val="none" w:sz="0" w:space="0" w:color="auto"/>
          </w:divBdr>
        </w:div>
        <w:div w:id="721909107">
          <w:marLeft w:val="0"/>
          <w:marRight w:val="0"/>
          <w:marTop w:val="0"/>
          <w:marBottom w:val="0"/>
          <w:divBdr>
            <w:top w:val="none" w:sz="0" w:space="0" w:color="auto"/>
            <w:left w:val="none" w:sz="0" w:space="0" w:color="auto"/>
            <w:bottom w:val="none" w:sz="0" w:space="0" w:color="auto"/>
            <w:right w:val="none" w:sz="0" w:space="0" w:color="auto"/>
          </w:divBdr>
        </w:div>
        <w:div w:id="1452086870">
          <w:marLeft w:val="0"/>
          <w:marRight w:val="0"/>
          <w:marTop w:val="0"/>
          <w:marBottom w:val="0"/>
          <w:divBdr>
            <w:top w:val="none" w:sz="0" w:space="0" w:color="auto"/>
            <w:left w:val="none" w:sz="0" w:space="0" w:color="auto"/>
            <w:bottom w:val="none" w:sz="0" w:space="0" w:color="auto"/>
            <w:right w:val="none" w:sz="0" w:space="0" w:color="auto"/>
          </w:divBdr>
        </w:div>
        <w:div w:id="1603298903">
          <w:marLeft w:val="0"/>
          <w:marRight w:val="0"/>
          <w:marTop w:val="0"/>
          <w:marBottom w:val="0"/>
          <w:divBdr>
            <w:top w:val="none" w:sz="0" w:space="0" w:color="auto"/>
            <w:left w:val="none" w:sz="0" w:space="0" w:color="auto"/>
            <w:bottom w:val="none" w:sz="0" w:space="0" w:color="auto"/>
            <w:right w:val="none" w:sz="0" w:space="0" w:color="auto"/>
          </w:divBdr>
        </w:div>
        <w:div w:id="1232695724">
          <w:marLeft w:val="0"/>
          <w:marRight w:val="0"/>
          <w:marTop w:val="0"/>
          <w:marBottom w:val="0"/>
          <w:divBdr>
            <w:top w:val="none" w:sz="0" w:space="0" w:color="auto"/>
            <w:left w:val="none" w:sz="0" w:space="0" w:color="auto"/>
            <w:bottom w:val="none" w:sz="0" w:space="0" w:color="auto"/>
            <w:right w:val="none" w:sz="0" w:space="0" w:color="auto"/>
          </w:divBdr>
        </w:div>
        <w:div w:id="2050563537">
          <w:marLeft w:val="0"/>
          <w:marRight w:val="0"/>
          <w:marTop w:val="0"/>
          <w:marBottom w:val="0"/>
          <w:divBdr>
            <w:top w:val="none" w:sz="0" w:space="0" w:color="auto"/>
            <w:left w:val="none" w:sz="0" w:space="0" w:color="auto"/>
            <w:bottom w:val="none" w:sz="0" w:space="0" w:color="auto"/>
            <w:right w:val="none" w:sz="0" w:space="0" w:color="auto"/>
          </w:divBdr>
        </w:div>
        <w:div w:id="1881552514">
          <w:marLeft w:val="0"/>
          <w:marRight w:val="0"/>
          <w:marTop w:val="0"/>
          <w:marBottom w:val="0"/>
          <w:divBdr>
            <w:top w:val="none" w:sz="0" w:space="0" w:color="auto"/>
            <w:left w:val="none" w:sz="0" w:space="0" w:color="auto"/>
            <w:bottom w:val="none" w:sz="0" w:space="0" w:color="auto"/>
            <w:right w:val="none" w:sz="0" w:space="0" w:color="auto"/>
          </w:divBdr>
        </w:div>
        <w:div w:id="686567950">
          <w:marLeft w:val="0"/>
          <w:marRight w:val="0"/>
          <w:marTop w:val="0"/>
          <w:marBottom w:val="0"/>
          <w:divBdr>
            <w:top w:val="none" w:sz="0" w:space="0" w:color="auto"/>
            <w:left w:val="none" w:sz="0" w:space="0" w:color="auto"/>
            <w:bottom w:val="none" w:sz="0" w:space="0" w:color="auto"/>
            <w:right w:val="none" w:sz="0" w:space="0" w:color="auto"/>
          </w:divBdr>
        </w:div>
      </w:divsChild>
    </w:div>
    <w:div w:id="1515651597">
      <w:bodyDiv w:val="1"/>
      <w:marLeft w:val="0"/>
      <w:marRight w:val="0"/>
      <w:marTop w:val="0"/>
      <w:marBottom w:val="0"/>
      <w:divBdr>
        <w:top w:val="none" w:sz="0" w:space="0" w:color="auto"/>
        <w:left w:val="none" w:sz="0" w:space="0" w:color="auto"/>
        <w:bottom w:val="none" w:sz="0" w:space="0" w:color="auto"/>
        <w:right w:val="none" w:sz="0" w:space="0" w:color="auto"/>
      </w:divBdr>
      <w:divsChild>
        <w:div w:id="1283926384">
          <w:marLeft w:val="0"/>
          <w:marRight w:val="0"/>
          <w:marTop w:val="360"/>
          <w:marBottom w:val="0"/>
          <w:divBdr>
            <w:top w:val="none" w:sz="0" w:space="0" w:color="auto"/>
            <w:left w:val="none" w:sz="0" w:space="0" w:color="auto"/>
            <w:bottom w:val="none" w:sz="0" w:space="0" w:color="auto"/>
            <w:right w:val="none" w:sz="0" w:space="0" w:color="auto"/>
          </w:divBdr>
        </w:div>
        <w:div w:id="1324242754">
          <w:marLeft w:val="0"/>
          <w:marRight w:val="0"/>
          <w:marTop w:val="360"/>
          <w:marBottom w:val="0"/>
          <w:divBdr>
            <w:top w:val="none" w:sz="0" w:space="0" w:color="auto"/>
            <w:left w:val="none" w:sz="0" w:space="0" w:color="auto"/>
            <w:bottom w:val="none" w:sz="0" w:space="0" w:color="auto"/>
            <w:right w:val="none" w:sz="0" w:space="0" w:color="auto"/>
          </w:divBdr>
        </w:div>
        <w:div w:id="740561452">
          <w:marLeft w:val="0"/>
          <w:marRight w:val="0"/>
          <w:marTop w:val="360"/>
          <w:marBottom w:val="0"/>
          <w:divBdr>
            <w:top w:val="none" w:sz="0" w:space="0" w:color="auto"/>
            <w:left w:val="none" w:sz="0" w:space="0" w:color="auto"/>
            <w:bottom w:val="none" w:sz="0" w:space="0" w:color="auto"/>
            <w:right w:val="none" w:sz="0" w:space="0" w:color="auto"/>
          </w:divBdr>
        </w:div>
        <w:div w:id="496847891">
          <w:marLeft w:val="0"/>
          <w:marRight w:val="0"/>
          <w:marTop w:val="360"/>
          <w:marBottom w:val="0"/>
          <w:divBdr>
            <w:top w:val="none" w:sz="0" w:space="0" w:color="auto"/>
            <w:left w:val="none" w:sz="0" w:space="0" w:color="auto"/>
            <w:bottom w:val="none" w:sz="0" w:space="0" w:color="auto"/>
            <w:right w:val="none" w:sz="0" w:space="0" w:color="auto"/>
          </w:divBdr>
        </w:div>
        <w:div w:id="129323623">
          <w:marLeft w:val="0"/>
          <w:marRight w:val="0"/>
          <w:marTop w:val="360"/>
          <w:marBottom w:val="0"/>
          <w:divBdr>
            <w:top w:val="none" w:sz="0" w:space="0" w:color="auto"/>
            <w:left w:val="none" w:sz="0" w:space="0" w:color="auto"/>
            <w:bottom w:val="none" w:sz="0" w:space="0" w:color="auto"/>
            <w:right w:val="none" w:sz="0" w:space="0" w:color="auto"/>
          </w:divBdr>
        </w:div>
        <w:div w:id="1495758323">
          <w:marLeft w:val="0"/>
          <w:marRight w:val="0"/>
          <w:marTop w:val="360"/>
          <w:marBottom w:val="0"/>
          <w:divBdr>
            <w:top w:val="none" w:sz="0" w:space="0" w:color="auto"/>
            <w:left w:val="none" w:sz="0" w:space="0" w:color="auto"/>
            <w:bottom w:val="none" w:sz="0" w:space="0" w:color="auto"/>
            <w:right w:val="none" w:sz="0" w:space="0" w:color="auto"/>
          </w:divBdr>
        </w:div>
        <w:div w:id="323049911">
          <w:marLeft w:val="0"/>
          <w:marRight w:val="0"/>
          <w:marTop w:val="360"/>
          <w:marBottom w:val="0"/>
          <w:divBdr>
            <w:top w:val="none" w:sz="0" w:space="0" w:color="auto"/>
            <w:left w:val="none" w:sz="0" w:space="0" w:color="auto"/>
            <w:bottom w:val="none" w:sz="0" w:space="0" w:color="auto"/>
            <w:right w:val="none" w:sz="0" w:space="0" w:color="auto"/>
          </w:divBdr>
        </w:div>
        <w:div w:id="1631280895">
          <w:marLeft w:val="0"/>
          <w:marRight w:val="0"/>
          <w:marTop w:val="360"/>
          <w:marBottom w:val="0"/>
          <w:divBdr>
            <w:top w:val="none" w:sz="0" w:space="0" w:color="auto"/>
            <w:left w:val="none" w:sz="0" w:space="0" w:color="auto"/>
            <w:bottom w:val="none" w:sz="0" w:space="0" w:color="auto"/>
            <w:right w:val="none" w:sz="0" w:space="0" w:color="auto"/>
          </w:divBdr>
        </w:div>
        <w:div w:id="7216703">
          <w:marLeft w:val="0"/>
          <w:marRight w:val="0"/>
          <w:marTop w:val="360"/>
          <w:marBottom w:val="0"/>
          <w:divBdr>
            <w:top w:val="none" w:sz="0" w:space="0" w:color="auto"/>
            <w:left w:val="none" w:sz="0" w:space="0" w:color="auto"/>
            <w:bottom w:val="none" w:sz="0" w:space="0" w:color="auto"/>
            <w:right w:val="none" w:sz="0" w:space="0" w:color="auto"/>
          </w:divBdr>
        </w:div>
      </w:divsChild>
    </w:div>
    <w:div w:id="1602228052">
      <w:bodyDiv w:val="1"/>
      <w:marLeft w:val="0"/>
      <w:marRight w:val="0"/>
      <w:marTop w:val="0"/>
      <w:marBottom w:val="0"/>
      <w:divBdr>
        <w:top w:val="none" w:sz="0" w:space="0" w:color="auto"/>
        <w:left w:val="none" w:sz="0" w:space="0" w:color="auto"/>
        <w:bottom w:val="none" w:sz="0" w:space="0" w:color="auto"/>
        <w:right w:val="none" w:sz="0" w:space="0" w:color="auto"/>
      </w:divBdr>
      <w:divsChild>
        <w:div w:id="817957604">
          <w:marLeft w:val="0"/>
          <w:marRight w:val="0"/>
          <w:marTop w:val="360"/>
          <w:marBottom w:val="0"/>
          <w:divBdr>
            <w:top w:val="none" w:sz="0" w:space="0" w:color="auto"/>
            <w:left w:val="none" w:sz="0" w:space="0" w:color="auto"/>
            <w:bottom w:val="none" w:sz="0" w:space="0" w:color="auto"/>
            <w:right w:val="none" w:sz="0" w:space="0" w:color="auto"/>
          </w:divBdr>
        </w:div>
        <w:div w:id="1307709857">
          <w:marLeft w:val="0"/>
          <w:marRight w:val="0"/>
          <w:marTop w:val="360"/>
          <w:marBottom w:val="0"/>
          <w:divBdr>
            <w:top w:val="none" w:sz="0" w:space="0" w:color="auto"/>
            <w:left w:val="none" w:sz="0" w:space="0" w:color="auto"/>
            <w:bottom w:val="none" w:sz="0" w:space="0" w:color="auto"/>
            <w:right w:val="none" w:sz="0" w:space="0" w:color="auto"/>
          </w:divBdr>
        </w:div>
        <w:div w:id="1449082203">
          <w:marLeft w:val="0"/>
          <w:marRight w:val="0"/>
          <w:marTop w:val="360"/>
          <w:marBottom w:val="0"/>
          <w:divBdr>
            <w:top w:val="none" w:sz="0" w:space="0" w:color="auto"/>
            <w:left w:val="none" w:sz="0" w:space="0" w:color="auto"/>
            <w:bottom w:val="none" w:sz="0" w:space="0" w:color="auto"/>
            <w:right w:val="none" w:sz="0" w:space="0" w:color="auto"/>
          </w:divBdr>
        </w:div>
      </w:divsChild>
    </w:div>
    <w:div w:id="1628657352">
      <w:bodyDiv w:val="1"/>
      <w:marLeft w:val="0"/>
      <w:marRight w:val="0"/>
      <w:marTop w:val="0"/>
      <w:marBottom w:val="0"/>
      <w:divBdr>
        <w:top w:val="none" w:sz="0" w:space="0" w:color="auto"/>
        <w:left w:val="none" w:sz="0" w:space="0" w:color="auto"/>
        <w:bottom w:val="none" w:sz="0" w:space="0" w:color="auto"/>
        <w:right w:val="none" w:sz="0" w:space="0" w:color="auto"/>
      </w:divBdr>
    </w:div>
    <w:div w:id="1729374088">
      <w:bodyDiv w:val="1"/>
      <w:marLeft w:val="0"/>
      <w:marRight w:val="0"/>
      <w:marTop w:val="0"/>
      <w:marBottom w:val="0"/>
      <w:divBdr>
        <w:top w:val="none" w:sz="0" w:space="0" w:color="auto"/>
        <w:left w:val="none" w:sz="0" w:space="0" w:color="auto"/>
        <w:bottom w:val="none" w:sz="0" w:space="0" w:color="auto"/>
        <w:right w:val="none" w:sz="0" w:space="0" w:color="auto"/>
      </w:divBdr>
      <w:divsChild>
        <w:div w:id="2059088129">
          <w:marLeft w:val="0"/>
          <w:marRight w:val="0"/>
          <w:marTop w:val="360"/>
          <w:marBottom w:val="0"/>
          <w:divBdr>
            <w:top w:val="none" w:sz="0" w:space="0" w:color="auto"/>
            <w:left w:val="none" w:sz="0" w:space="0" w:color="auto"/>
            <w:bottom w:val="none" w:sz="0" w:space="0" w:color="auto"/>
            <w:right w:val="none" w:sz="0" w:space="0" w:color="auto"/>
          </w:divBdr>
        </w:div>
        <w:div w:id="322272680">
          <w:marLeft w:val="0"/>
          <w:marRight w:val="0"/>
          <w:marTop w:val="360"/>
          <w:marBottom w:val="0"/>
          <w:divBdr>
            <w:top w:val="none" w:sz="0" w:space="0" w:color="auto"/>
            <w:left w:val="none" w:sz="0" w:space="0" w:color="auto"/>
            <w:bottom w:val="none" w:sz="0" w:space="0" w:color="auto"/>
            <w:right w:val="none" w:sz="0" w:space="0" w:color="auto"/>
          </w:divBdr>
        </w:div>
        <w:div w:id="1049258945">
          <w:marLeft w:val="0"/>
          <w:marRight w:val="0"/>
          <w:marTop w:val="360"/>
          <w:marBottom w:val="0"/>
          <w:divBdr>
            <w:top w:val="none" w:sz="0" w:space="0" w:color="auto"/>
            <w:left w:val="none" w:sz="0" w:space="0" w:color="auto"/>
            <w:bottom w:val="none" w:sz="0" w:space="0" w:color="auto"/>
            <w:right w:val="none" w:sz="0" w:space="0" w:color="auto"/>
          </w:divBdr>
        </w:div>
      </w:divsChild>
    </w:div>
    <w:div w:id="2025862642">
      <w:bodyDiv w:val="1"/>
      <w:marLeft w:val="0"/>
      <w:marRight w:val="0"/>
      <w:marTop w:val="0"/>
      <w:marBottom w:val="0"/>
      <w:divBdr>
        <w:top w:val="none" w:sz="0" w:space="0" w:color="auto"/>
        <w:left w:val="none" w:sz="0" w:space="0" w:color="auto"/>
        <w:bottom w:val="none" w:sz="0" w:space="0" w:color="auto"/>
        <w:right w:val="none" w:sz="0" w:space="0" w:color="auto"/>
      </w:divBdr>
      <w:divsChild>
        <w:div w:id="399181156">
          <w:marLeft w:val="0"/>
          <w:marRight w:val="0"/>
          <w:marTop w:val="360"/>
          <w:marBottom w:val="0"/>
          <w:divBdr>
            <w:top w:val="none" w:sz="0" w:space="0" w:color="auto"/>
            <w:left w:val="none" w:sz="0" w:space="0" w:color="auto"/>
            <w:bottom w:val="none" w:sz="0" w:space="0" w:color="auto"/>
            <w:right w:val="none" w:sz="0" w:space="0" w:color="auto"/>
          </w:divBdr>
        </w:div>
        <w:div w:id="1656765656">
          <w:marLeft w:val="-75"/>
          <w:marRight w:val="0"/>
          <w:marTop w:val="480"/>
          <w:marBottom w:val="360"/>
          <w:divBdr>
            <w:top w:val="none" w:sz="0" w:space="0" w:color="auto"/>
            <w:left w:val="none" w:sz="0" w:space="0" w:color="auto"/>
            <w:bottom w:val="none" w:sz="0" w:space="0" w:color="auto"/>
            <w:right w:val="none" w:sz="0" w:space="0" w:color="auto"/>
          </w:divBdr>
        </w:div>
        <w:div w:id="1199006091">
          <w:marLeft w:val="0"/>
          <w:marRight w:val="0"/>
          <w:marTop w:val="360"/>
          <w:marBottom w:val="0"/>
          <w:divBdr>
            <w:top w:val="none" w:sz="0" w:space="0" w:color="auto"/>
            <w:left w:val="none" w:sz="0" w:space="0" w:color="auto"/>
            <w:bottom w:val="none" w:sz="0" w:space="0" w:color="auto"/>
            <w:right w:val="none" w:sz="0" w:space="0" w:color="auto"/>
          </w:divBdr>
        </w:div>
        <w:div w:id="969894165">
          <w:marLeft w:val="0"/>
          <w:marRight w:val="0"/>
          <w:marTop w:val="360"/>
          <w:marBottom w:val="0"/>
          <w:divBdr>
            <w:top w:val="none" w:sz="0" w:space="0" w:color="auto"/>
            <w:left w:val="none" w:sz="0" w:space="0" w:color="auto"/>
            <w:bottom w:val="none" w:sz="0" w:space="0" w:color="auto"/>
            <w:right w:val="none" w:sz="0" w:space="0" w:color="auto"/>
          </w:divBdr>
        </w:div>
        <w:div w:id="19480177">
          <w:marLeft w:val="0"/>
          <w:marRight w:val="0"/>
          <w:marTop w:val="360"/>
          <w:marBottom w:val="0"/>
          <w:divBdr>
            <w:top w:val="none" w:sz="0" w:space="0" w:color="auto"/>
            <w:left w:val="none" w:sz="0" w:space="0" w:color="auto"/>
            <w:bottom w:val="none" w:sz="0" w:space="0" w:color="auto"/>
            <w:right w:val="none" w:sz="0" w:space="0" w:color="auto"/>
          </w:divBdr>
        </w:div>
        <w:div w:id="417335354">
          <w:marLeft w:val="0"/>
          <w:marRight w:val="0"/>
          <w:marTop w:val="360"/>
          <w:marBottom w:val="0"/>
          <w:divBdr>
            <w:top w:val="none" w:sz="0" w:space="0" w:color="auto"/>
            <w:left w:val="none" w:sz="0" w:space="0" w:color="auto"/>
            <w:bottom w:val="none" w:sz="0" w:space="0" w:color="auto"/>
            <w:right w:val="none" w:sz="0" w:space="0" w:color="auto"/>
          </w:divBdr>
        </w:div>
        <w:div w:id="688725376">
          <w:marLeft w:val="-75"/>
          <w:marRight w:val="0"/>
          <w:marTop w:val="480"/>
          <w:marBottom w:val="360"/>
          <w:divBdr>
            <w:top w:val="none" w:sz="0" w:space="0" w:color="auto"/>
            <w:left w:val="none" w:sz="0" w:space="0" w:color="auto"/>
            <w:bottom w:val="none" w:sz="0" w:space="0" w:color="auto"/>
            <w:right w:val="none" w:sz="0" w:space="0" w:color="auto"/>
          </w:divBdr>
        </w:div>
        <w:div w:id="1086536024">
          <w:marLeft w:val="0"/>
          <w:marRight w:val="0"/>
          <w:marTop w:val="360"/>
          <w:marBottom w:val="0"/>
          <w:divBdr>
            <w:top w:val="none" w:sz="0" w:space="0" w:color="auto"/>
            <w:left w:val="none" w:sz="0" w:space="0" w:color="auto"/>
            <w:bottom w:val="none" w:sz="0" w:space="0" w:color="auto"/>
            <w:right w:val="none" w:sz="0" w:space="0" w:color="auto"/>
          </w:divBdr>
        </w:div>
        <w:div w:id="151874126">
          <w:marLeft w:val="0"/>
          <w:marRight w:val="0"/>
          <w:marTop w:val="360"/>
          <w:marBottom w:val="0"/>
          <w:divBdr>
            <w:top w:val="none" w:sz="0" w:space="0" w:color="auto"/>
            <w:left w:val="none" w:sz="0" w:space="0" w:color="auto"/>
            <w:bottom w:val="none" w:sz="0" w:space="0" w:color="auto"/>
            <w:right w:val="none" w:sz="0" w:space="0" w:color="auto"/>
          </w:divBdr>
        </w:div>
        <w:div w:id="1251935301">
          <w:marLeft w:val="0"/>
          <w:marRight w:val="0"/>
          <w:marTop w:val="360"/>
          <w:marBottom w:val="0"/>
          <w:divBdr>
            <w:top w:val="none" w:sz="0" w:space="0" w:color="auto"/>
            <w:left w:val="none" w:sz="0" w:space="0" w:color="auto"/>
            <w:bottom w:val="none" w:sz="0" w:space="0" w:color="auto"/>
            <w:right w:val="none" w:sz="0" w:space="0" w:color="auto"/>
          </w:divBdr>
        </w:div>
        <w:div w:id="1666544497">
          <w:marLeft w:val="0"/>
          <w:marRight w:val="0"/>
          <w:marTop w:val="360"/>
          <w:marBottom w:val="0"/>
          <w:divBdr>
            <w:top w:val="none" w:sz="0" w:space="0" w:color="auto"/>
            <w:left w:val="none" w:sz="0" w:space="0" w:color="auto"/>
            <w:bottom w:val="none" w:sz="0" w:space="0" w:color="auto"/>
            <w:right w:val="none" w:sz="0" w:space="0" w:color="auto"/>
          </w:divBdr>
        </w:div>
        <w:div w:id="1347636199">
          <w:marLeft w:val="0"/>
          <w:marRight w:val="0"/>
          <w:marTop w:val="360"/>
          <w:marBottom w:val="0"/>
          <w:divBdr>
            <w:top w:val="none" w:sz="0" w:space="0" w:color="auto"/>
            <w:left w:val="none" w:sz="0" w:space="0" w:color="auto"/>
            <w:bottom w:val="none" w:sz="0" w:space="0" w:color="auto"/>
            <w:right w:val="none" w:sz="0" w:space="0" w:color="auto"/>
          </w:divBdr>
        </w:div>
      </w:divsChild>
    </w:div>
    <w:div w:id="2092576468">
      <w:bodyDiv w:val="1"/>
      <w:marLeft w:val="0"/>
      <w:marRight w:val="0"/>
      <w:marTop w:val="0"/>
      <w:marBottom w:val="0"/>
      <w:divBdr>
        <w:top w:val="none" w:sz="0" w:space="0" w:color="auto"/>
        <w:left w:val="none" w:sz="0" w:space="0" w:color="auto"/>
        <w:bottom w:val="none" w:sz="0" w:space="0" w:color="auto"/>
        <w:right w:val="none" w:sz="0" w:space="0" w:color="auto"/>
      </w:divBdr>
      <w:divsChild>
        <w:div w:id="361712390">
          <w:marLeft w:val="0"/>
          <w:marRight w:val="0"/>
          <w:marTop w:val="360"/>
          <w:marBottom w:val="0"/>
          <w:divBdr>
            <w:top w:val="none" w:sz="0" w:space="0" w:color="auto"/>
            <w:left w:val="none" w:sz="0" w:space="0" w:color="auto"/>
            <w:bottom w:val="none" w:sz="0" w:space="0" w:color="auto"/>
            <w:right w:val="none" w:sz="0" w:space="0" w:color="auto"/>
          </w:divBdr>
        </w:div>
        <w:div w:id="1148983335">
          <w:marLeft w:val="0"/>
          <w:marRight w:val="0"/>
          <w:marTop w:val="360"/>
          <w:marBottom w:val="0"/>
          <w:divBdr>
            <w:top w:val="none" w:sz="0" w:space="0" w:color="auto"/>
            <w:left w:val="none" w:sz="0" w:space="0" w:color="auto"/>
            <w:bottom w:val="none" w:sz="0" w:space="0" w:color="auto"/>
            <w:right w:val="none" w:sz="0" w:space="0" w:color="auto"/>
          </w:divBdr>
        </w:div>
        <w:div w:id="588002835">
          <w:marLeft w:val="0"/>
          <w:marRight w:val="0"/>
          <w:marTop w:val="360"/>
          <w:marBottom w:val="0"/>
          <w:divBdr>
            <w:top w:val="none" w:sz="0" w:space="0" w:color="auto"/>
            <w:left w:val="none" w:sz="0" w:space="0" w:color="auto"/>
            <w:bottom w:val="none" w:sz="0" w:space="0" w:color="auto"/>
            <w:right w:val="none" w:sz="0" w:space="0" w:color="auto"/>
          </w:divBdr>
        </w:div>
        <w:div w:id="433332810">
          <w:marLeft w:val="0"/>
          <w:marRight w:val="0"/>
          <w:marTop w:val="360"/>
          <w:marBottom w:val="0"/>
          <w:divBdr>
            <w:top w:val="none" w:sz="0" w:space="0" w:color="auto"/>
            <w:left w:val="none" w:sz="0" w:space="0" w:color="auto"/>
            <w:bottom w:val="none" w:sz="0" w:space="0" w:color="auto"/>
            <w:right w:val="none" w:sz="0" w:space="0" w:color="auto"/>
          </w:divBdr>
        </w:div>
        <w:div w:id="2088109153">
          <w:marLeft w:val="0"/>
          <w:marRight w:val="0"/>
          <w:marTop w:val="360"/>
          <w:marBottom w:val="0"/>
          <w:divBdr>
            <w:top w:val="none" w:sz="0" w:space="0" w:color="auto"/>
            <w:left w:val="none" w:sz="0" w:space="0" w:color="auto"/>
            <w:bottom w:val="none" w:sz="0" w:space="0" w:color="auto"/>
            <w:right w:val="none" w:sz="0" w:space="0" w:color="auto"/>
          </w:divBdr>
        </w:div>
        <w:div w:id="127556501">
          <w:marLeft w:val="0"/>
          <w:marRight w:val="0"/>
          <w:marTop w:val="360"/>
          <w:marBottom w:val="0"/>
          <w:divBdr>
            <w:top w:val="none" w:sz="0" w:space="0" w:color="auto"/>
            <w:left w:val="none" w:sz="0" w:space="0" w:color="auto"/>
            <w:bottom w:val="none" w:sz="0" w:space="0" w:color="auto"/>
            <w:right w:val="none" w:sz="0" w:space="0" w:color="auto"/>
          </w:divBdr>
        </w:div>
        <w:div w:id="325859322">
          <w:marLeft w:val="0"/>
          <w:marRight w:val="0"/>
          <w:marTop w:val="360"/>
          <w:marBottom w:val="0"/>
          <w:divBdr>
            <w:top w:val="none" w:sz="0" w:space="0" w:color="auto"/>
            <w:left w:val="none" w:sz="0" w:space="0" w:color="auto"/>
            <w:bottom w:val="none" w:sz="0" w:space="0" w:color="auto"/>
            <w:right w:val="none" w:sz="0" w:space="0" w:color="auto"/>
          </w:divBdr>
        </w:div>
        <w:div w:id="279840107">
          <w:marLeft w:val="0"/>
          <w:marRight w:val="0"/>
          <w:marTop w:val="360"/>
          <w:marBottom w:val="0"/>
          <w:divBdr>
            <w:top w:val="none" w:sz="0" w:space="0" w:color="auto"/>
            <w:left w:val="none" w:sz="0" w:space="0" w:color="auto"/>
            <w:bottom w:val="none" w:sz="0" w:space="0" w:color="auto"/>
            <w:right w:val="none" w:sz="0" w:space="0" w:color="auto"/>
          </w:divBdr>
        </w:div>
        <w:div w:id="1926457621">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fxzgy/"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doi.org/10.17605/OSF.IO/QEWCH" TargetMode="External"/><Relationship Id="rId4" Type="http://schemas.openxmlformats.org/officeDocument/2006/relationships/settings" Target="settings.xml"/><Relationship Id="rId9" Type="http://schemas.openxmlformats.org/officeDocument/2006/relationships/hyperlink" Target="https://github.com/EnricoToffalini/Meta-review-cognitive-profiles-ADHD-Dyslexia"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0BA61-6FB0-4700-9E96-308F302D6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7052</Words>
  <Characters>40200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2021-07-08T20:18:00Z</dcterms:created>
  <dcterms:modified xsi:type="dcterms:W3CDTF">2026-02-17T13:04:00Z</dcterms:modified>
</cp:coreProperties>
</file>