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AEE7E75" w:rsidR="007D2FA2" w:rsidRDefault="00935715" w:rsidP="00381BBD">
      <w:pPr>
        <w:pStyle w:val="Heading1"/>
        <w:spacing w:before="0" w:line="360" w:lineRule="auto"/>
        <w:ind w:right="358"/>
        <w:jc w:val="center"/>
      </w:pPr>
      <w:r>
        <w:softHyphen/>
      </w:r>
      <w:r>
        <w:softHyphen/>
      </w:r>
      <w:r>
        <w:softHyphen/>
      </w:r>
      <w:r>
        <w:softHyphen/>
      </w:r>
    </w:p>
    <w:p w14:paraId="00000002" w14:textId="77777777" w:rsidR="007D2FA2" w:rsidRDefault="007D2FA2" w:rsidP="00381BBD">
      <w:pPr>
        <w:pStyle w:val="Heading1"/>
        <w:spacing w:before="0" w:line="360" w:lineRule="auto"/>
        <w:ind w:right="358"/>
        <w:jc w:val="center"/>
      </w:pPr>
    </w:p>
    <w:p w14:paraId="00000003" w14:textId="77777777" w:rsidR="007D2FA2" w:rsidRDefault="00000000" w:rsidP="00381BBD">
      <w:pPr>
        <w:pStyle w:val="Heading1"/>
        <w:spacing w:before="0" w:line="360" w:lineRule="auto"/>
        <w:ind w:right="358"/>
        <w:jc w:val="center"/>
      </w:pPr>
      <w:r>
        <w:t>Tails or Types? A Critical Systematic Review of Taxometric Studies of Neurodevelopmental Conditions</w:t>
      </w:r>
    </w:p>
    <w:p w14:paraId="00000004" w14:textId="77777777" w:rsidR="007D2FA2" w:rsidRDefault="007D2FA2" w:rsidP="00381BBD">
      <w:pPr>
        <w:pBdr>
          <w:top w:val="nil"/>
          <w:left w:val="nil"/>
          <w:bottom w:val="nil"/>
          <w:right w:val="nil"/>
          <w:between w:val="nil"/>
        </w:pBdr>
        <w:spacing w:line="360" w:lineRule="auto"/>
        <w:rPr>
          <w:b/>
          <w:sz w:val="24"/>
          <w:szCs w:val="24"/>
        </w:rPr>
      </w:pPr>
    </w:p>
    <w:p w14:paraId="00000005" w14:textId="43B26D8A" w:rsidR="007D2FA2" w:rsidRDefault="00000000" w:rsidP="00381BBD">
      <w:pPr>
        <w:pBdr>
          <w:top w:val="nil"/>
          <w:left w:val="nil"/>
          <w:bottom w:val="nil"/>
          <w:right w:val="nil"/>
          <w:between w:val="nil"/>
        </w:pBdr>
        <w:spacing w:line="360" w:lineRule="auto"/>
        <w:ind w:left="284" w:right="652"/>
        <w:jc w:val="center"/>
        <w:rPr>
          <w:sz w:val="24"/>
          <w:szCs w:val="24"/>
          <w:vertAlign w:val="superscript"/>
          <w:lang w:val="it-IT"/>
        </w:rPr>
      </w:pPr>
      <w:r w:rsidRPr="001B4D5D">
        <w:rPr>
          <w:sz w:val="24"/>
          <w:szCs w:val="24"/>
          <w:lang w:val="it-IT"/>
        </w:rPr>
        <w:t>Enrico Toffalini</w:t>
      </w:r>
      <w:r w:rsidRPr="001B4D5D">
        <w:rPr>
          <w:sz w:val="36"/>
          <w:szCs w:val="36"/>
          <w:vertAlign w:val="superscript"/>
          <w:lang w:val="it-IT"/>
        </w:rPr>
        <w:t>1</w:t>
      </w:r>
      <w:r w:rsidR="007B18F3">
        <w:rPr>
          <w:sz w:val="36"/>
          <w:szCs w:val="36"/>
          <w:vertAlign w:val="superscript"/>
          <w:lang w:val="it-IT"/>
        </w:rPr>
        <w:t>*</w:t>
      </w:r>
      <w:r w:rsidRPr="001B4D5D">
        <w:rPr>
          <w:sz w:val="24"/>
          <w:szCs w:val="24"/>
          <w:lang w:val="it-IT"/>
        </w:rPr>
        <w:t>, Margherita Calderan</w:t>
      </w:r>
      <w:r w:rsidRPr="001B4D5D">
        <w:rPr>
          <w:sz w:val="36"/>
          <w:szCs w:val="36"/>
          <w:vertAlign w:val="superscript"/>
          <w:lang w:val="it-IT"/>
        </w:rPr>
        <w:t>1</w:t>
      </w:r>
      <w:r w:rsidRPr="001B4D5D">
        <w:rPr>
          <w:sz w:val="24"/>
          <w:szCs w:val="24"/>
          <w:lang w:val="it-IT"/>
        </w:rPr>
        <w:t>, Riccardo Pagan</w:t>
      </w:r>
      <w:r w:rsidRPr="001B4D5D">
        <w:rPr>
          <w:sz w:val="36"/>
          <w:szCs w:val="36"/>
          <w:vertAlign w:val="superscript"/>
          <w:lang w:val="it-IT"/>
        </w:rPr>
        <w:t>2</w:t>
      </w:r>
      <w:r w:rsidRPr="001B4D5D">
        <w:rPr>
          <w:sz w:val="24"/>
          <w:szCs w:val="24"/>
          <w:lang w:val="it-IT"/>
        </w:rPr>
        <w:t>, Valentina Tobia</w:t>
      </w:r>
      <w:r w:rsidRPr="001B4D5D">
        <w:rPr>
          <w:sz w:val="36"/>
          <w:szCs w:val="36"/>
          <w:vertAlign w:val="superscript"/>
          <w:lang w:val="it-IT"/>
        </w:rPr>
        <w:t>3</w:t>
      </w:r>
      <w:r w:rsidR="00AA5D37">
        <w:rPr>
          <w:sz w:val="36"/>
          <w:szCs w:val="36"/>
          <w:vertAlign w:val="superscript"/>
          <w:lang w:val="it-IT"/>
        </w:rPr>
        <w:softHyphen/>
      </w:r>
      <w:r w:rsidR="00AA5D37">
        <w:rPr>
          <w:sz w:val="36"/>
          <w:szCs w:val="36"/>
          <w:vertAlign w:val="superscript"/>
          <w:lang w:val="it-IT"/>
        </w:rPr>
        <w:softHyphen/>
      </w:r>
      <w:r w:rsidRPr="001B4D5D">
        <w:rPr>
          <w:sz w:val="24"/>
          <w:szCs w:val="24"/>
          <w:lang w:val="it-IT"/>
        </w:rPr>
        <w:t>, Edmund Sonuga-Barke</w:t>
      </w:r>
      <w:r w:rsidRPr="001B4D5D">
        <w:rPr>
          <w:sz w:val="24"/>
          <w:szCs w:val="24"/>
          <w:vertAlign w:val="superscript"/>
          <w:lang w:val="it-IT"/>
        </w:rPr>
        <w:t>4</w:t>
      </w:r>
    </w:p>
    <w:p w14:paraId="7677122F" w14:textId="77777777" w:rsidR="00381BBD" w:rsidRPr="001B4D5D" w:rsidRDefault="00381BBD" w:rsidP="00381BBD">
      <w:pPr>
        <w:pBdr>
          <w:top w:val="nil"/>
          <w:left w:val="nil"/>
          <w:bottom w:val="nil"/>
          <w:right w:val="nil"/>
          <w:between w:val="nil"/>
        </w:pBdr>
        <w:spacing w:line="360" w:lineRule="auto"/>
        <w:ind w:left="284" w:right="652"/>
        <w:jc w:val="center"/>
        <w:rPr>
          <w:sz w:val="36"/>
          <w:szCs w:val="36"/>
          <w:vertAlign w:val="superscript"/>
          <w:lang w:val="it-IT"/>
        </w:rPr>
      </w:pPr>
    </w:p>
    <w:p w14:paraId="00000006" w14:textId="77777777" w:rsidR="007D2FA2" w:rsidRDefault="00000000" w:rsidP="00381BBD">
      <w:pPr>
        <w:pBdr>
          <w:top w:val="nil"/>
          <w:left w:val="nil"/>
          <w:bottom w:val="nil"/>
          <w:right w:val="nil"/>
          <w:between w:val="nil"/>
        </w:pBdr>
        <w:spacing w:line="360" w:lineRule="auto"/>
        <w:ind w:left="284" w:right="652"/>
        <w:jc w:val="center"/>
        <w:rPr>
          <w:sz w:val="24"/>
          <w:szCs w:val="24"/>
        </w:rPr>
      </w:pPr>
      <w:r>
        <w:rPr>
          <w:sz w:val="36"/>
          <w:szCs w:val="36"/>
          <w:vertAlign w:val="superscript"/>
        </w:rPr>
        <w:t>1</w:t>
      </w:r>
      <w:r>
        <w:rPr>
          <w:sz w:val="24"/>
          <w:szCs w:val="24"/>
        </w:rPr>
        <w:t>Department of General Psychology, University of Padua, Italy</w:t>
      </w:r>
    </w:p>
    <w:p w14:paraId="00000007" w14:textId="77777777" w:rsidR="007D2FA2" w:rsidRDefault="00000000" w:rsidP="00381BBD">
      <w:pPr>
        <w:pBdr>
          <w:top w:val="nil"/>
          <w:left w:val="nil"/>
          <w:bottom w:val="nil"/>
          <w:right w:val="nil"/>
          <w:between w:val="nil"/>
        </w:pBdr>
        <w:spacing w:line="360" w:lineRule="auto"/>
        <w:ind w:left="1" w:right="358"/>
        <w:jc w:val="center"/>
        <w:rPr>
          <w:sz w:val="24"/>
          <w:szCs w:val="24"/>
        </w:rPr>
      </w:pPr>
      <w:r>
        <w:rPr>
          <w:sz w:val="36"/>
          <w:szCs w:val="36"/>
          <w:vertAlign w:val="superscript"/>
        </w:rPr>
        <w:t>2</w:t>
      </w:r>
      <w:r>
        <w:rPr>
          <w:sz w:val="24"/>
          <w:szCs w:val="24"/>
        </w:rPr>
        <w:t>Department of Social and Developmental Psychology, University of Padua, Italy</w:t>
      </w:r>
    </w:p>
    <w:p w14:paraId="00000008" w14:textId="77777777" w:rsidR="007D2FA2" w:rsidRPr="001B4D5D" w:rsidRDefault="00000000" w:rsidP="00381BBD">
      <w:pPr>
        <w:pBdr>
          <w:top w:val="nil"/>
          <w:left w:val="nil"/>
          <w:bottom w:val="nil"/>
          <w:right w:val="nil"/>
          <w:between w:val="nil"/>
        </w:pBdr>
        <w:spacing w:line="360" w:lineRule="auto"/>
        <w:ind w:left="1" w:right="358"/>
        <w:jc w:val="center"/>
        <w:rPr>
          <w:sz w:val="24"/>
          <w:szCs w:val="24"/>
          <w:lang w:val="it-IT"/>
        </w:rPr>
      </w:pPr>
      <w:r w:rsidRPr="001B4D5D">
        <w:rPr>
          <w:sz w:val="36"/>
          <w:szCs w:val="36"/>
          <w:vertAlign w:val="superscript"/>
          <w:lang w:val="it-IT"/>
        </w:rPr>
        <w:t>3</w:t>
      </w:r>
      <w:r w:rsidRPr="001B4D5D">
        <w:rPr>
          <w:sz w:val="24"/>
          <w:szCs w:val="24"/>
          <w:lang w:val="it-IT"/>
        </w:rPr>
        <w:t>University Vita-Salute San Raffaele, Milan, Italy</w:t>
      </w:r>
    </w:p>
    <w:p w14:paraId="3DA3E73C" w14:textId="1673BAE2" w:rsidR="00381BBD" w:rsidRDefault="00000000" w:rsidP="00381BBD">
      <w:pPr>
        <w:pBdr>
          <w:top w:val="nil"/>
          <w:left w:val="nil"/>
          <w:bottom w:val="nil"/>
          <w:right w:val="nil"/>
          <w:between w:val="nil"/>
        </w:pBdr>
        <w:spacing w:line="360" w:lineRule="auto"/>
        <w:ind w:left="1" w:right="358"/>
        <w:jc w:val="center"/>
        <w:rPr>
          <w:sz w:val="24"/>
          <w:szCs w:val="24"/>
        </w:rPr>
      </w:pPr>
      <w:r>
        <w:rPr>
          <w:sz w:val="24"/>
          <w:szCs w:val="24"/>
          <w:vertAlign w:val="superscript"/>
        </w:rPr>
        <w:t>4</w:t>
      </w:r>
      <w:r>
        <w:rPr>
          <w:sz w:val="24"/>
          <w:szCs w:val="24"/>
        </w:rPr>
        <w:t>King’s College London, UK</w:t>
      </w:r>
      <w:r w:rsidR="00AA5D37">
        <w:rPr>
          <w:sz w:val="24"/>
          <w:szCs w:val="24"/>
        </w:rPr>
        <w:softHyphen/>
      </w:r>
      <w:r w:rsidR="00AA5D37">
        <w:rPr>
          <w:sz w:val="24"/>
          <w:szCs w:val="24"/>
        </w:rPr>
        <w:softHyphen/>
      </w:r>
      <w:r w:rsidR="00AA5D37">
        <w:rPr>
          <w:sz w:val="24"/>
          <w:szCs w:val="24"/>
        </w:rPr>
        <w:softHyphen/>
      </w:r>
    </w:p>
    <w:p w14:paraId="75083742" w14:textId="77777777" w:rsidR="007B18F3" w:rsidRDefault="007B18F3" w:rsidP="007B18F3">
      <w:pPr>
        <w:pBdr>
          <w:top w:val="nil"/>
          <w:left w:val="nil"/>
          <w:bottom w:val="nil"/>
          <w:right w:val="nil"/>
          <w:between w:val="nil"/>
        </w:pBdr>
        <w:spacing w:line="360" w:lineRule="auto"/>
        <w:ind w:right="301"/>
        <w:rPr>
          <w:sz w:val="24"/>
          <w:szCs w:val="24"/>
        </w:rPr>
      </w:pPr>
    </w:p>
    <w:p w14:paraId="43536C8A" w14:textId="7277B283" w:rsidR="007B18F3" w:rsidRDefault="007B18F3" w:rsidP="007B18F3">
      <w:pPr>
        <w:pBdr>
          <w:top w:val="nil"/>
          <w:left w:val="nil"/>
          <w:bottom w:val="nil"/>
          <w:right w:val="nil"/>
          <w:between w:val="nil"/>
        </w:pBdr>
        <w:spacing w:line="360" w:lineRule="auto"/>
        <w:ind w:right="301"/>
        <w:rPr>
          <w:sz w:val="24"/>
          <w:szCs w:val="24"/>
        </w:rPr>
      </w:pPr>
      <w:r>
        <w:rPr>
          <w:sz w:val="24"/>
          <w:szCs w:val="24"/>
        </w:rPr>
        <w:t>*</w:t>
      </w:r>
      <w:r w:rsidRPr="003D0319">
        <w:rPr>
          <w:sz w:val="24"/>
          <w:szCs w:val="24"/>
        </w:rPr>
        <w:t>Correspondence</w:t>
      </w:r>
      <w:r>
        <w:rPr>
          <w:sz w:val="24"/>
          <w:szCs w:val="24"/>
        </w:rPr>
        <w:t xml:space="preserve"> to: </w:t>
      </w:r>
      <w:hyperlink r:id="rId8">
        <w:r>
          <w:rPr>
            <w:sz w:val="24"/>
            <w:szCs w:val="24"/>
          </w:rPr>
          <w:t>enrico.toffalini@unipd.it</w:t>
        </w:r>
      </w:hyperlink>
    </w:p>
    <w:p w14:paraId="3442AB4B" w14:textId="77777777" w:rsidR="004945F4" w:rsidRDefault="004945F4">
      <w:pPr>
        <w:pBdr>
          <w:top w:val="nil"/>
          <w:left w:val="nil"/>
          <w:bottom w:val="nil"/>
          <w:right w:val="nil"/>
          <w:between w:val="nil"/>
        </w:pBdr>
        <w:spacing w:line="360" w:lineRule="auto"/>
        <w:ind w:right="2596"/>
        <w:rPr>
          <w:b/>
          <w:bCs/>
          <w:sz w:val="24"/>
          <w:szCs w:val="24"/>
        </w:rPr>
      </w:pPr>
    </w:p>
    <w:p w14:paraId="0000000C" w14:textId="5B891049" w:rsidR="007D2FA2" w:rsidRPr="00D927B5" w:rsidRDefault="008A3DB9">
      <w:pPr>
        <w:pBdr>
          <w:top w:val="nil"/>
          <w:left w:val="nil"/>
          <w:bottom w:val="nil"/>
          <w:right w:val="nil"/>
          <w:between w:val="nil"/>
        </w:pBdr>
        <w:spacing w:line="360" w:lineRule="auto"/>
        <w:ind w:right="2596"/>
        <w:rPr>
          <w:b/>
          <w:bCs/>
          <w:sz w:val="24"/>
          <w:szCs w:val="24"/>
        </w:rPr>
      </w:pPr>
      <w:r w:rsidRPr="00D927B5">
        <w:rPr>
          <w:b/>
          <w:bCs/>
          <w:sz w:val="24"/>
          <w:szCs w:val="24"/>
        </w:rPr>
        <w:t>Review preregistered</w:t>
      </w:r>
      <w:r w:rsidR="001D115C" w:rsidRPr="00D927B5">
        <w:rPr>
          <w:b/>
          <w:bCs/>
          <w:sz w:val="24"/>
          <w:szCs w:val="24"/>
        </w:rPr>
        <w:t xml:space="preserve"> protocol</w:t>
      </w:r>
      <w:r w:rsidRPr="00D927B5">
        <w:rPr>
          <w:b/>
          <w:bCs/>
          <w:sz w:val="24"/>
          <w:szCs w:val="24"/>
        </w:rPr>
        <w:t>:</w:t>
      </w:r>
    </w:p>
    <w:p w14:paraId="0000000D" w14:textId="77777777" w:rsidR="007D2FA2" w:rsidRDefault="00000000">
      <w:pPr>
        <w:pBdr>
          <w:top w:val="nil"/>
          <w:left w:val="nil"/>
          <w:bottom w:val="nil"/>
          <w:right w:val="nil"/>
          <w:between w:val="nil"/>
        </w:pBdr>
        <w:spacing w:line="360" w:lineRule="auto"/>
        <w:ind w:right="357" w:firstLine="567"/>
        <w:rPr>
          <w:sz w:val="24"/>
          <w:szCs w:val="24"/>
        </w:rPr>
      </w:pPr>
      <w:r>
        <w:rPr>
          <w:sz w:val="24"/>
          <w:szCs w:val="24"/>
        </w:rPr>
        <w:t xml:space="preserve">https://osf.io/65y9g/?view_only=91e97c6b00dc444abb83fefcf67cbac0 </w:t>
      </w:r>
    </w:p>
    <w:p w14:paraId="0000000E" w14:textId="09BF7620" w:rsidR="007D2FA2" w:rsidRPr="00D927B5" w:rsidRDefault="00C75B3F">
      <w:pPr>
        <w:pBdr>
          <w:top w:val="nil"/>
          <w:left w:val="nil"/>
          <w:bottom w:val="nil"/>
          <w:right w:val="nil"/>
          <w:between w:val="nil"/>
        </w:pBdr>
        <w:spacing w:line="360" w:lineRule="auto"/>
        <w:ind w:right="357"/>
        <w:rPr>
          <w:b/>
          <w:bCs/>
          <w:sz w:val="24"/>
          <w:szCs w:val="24"/>
        </w:rPr>
      </w:pPr>
      <w:r w:rsidRPr="00D927B5">
        <w:rPr>
          <w:b/>
          <w:bCs/>
          <w:sz w:val="24"/>
          <w:szCs w:val="24"/>
        </w:rPr>
        <w:t>OSF repository:</w:t>
      </w:r>
    </w:p>
    <w:p w14:paraId="0000000F"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 xml:space="preserve">https://osf.io/ys5ad/?view_only=0e2812acfabf43fc8af01f883c7331ba </w:t>
      </w:r>
    </w:p>
    <w:p w14:paraId="00000010" w14:textId="77777777" w:rsidR="007D2FA2" w:rsidRPr="00D927B5" w:rsidRDefault="00000000">
      <w:pPr>
        <w:pBdr>
          <w:top w:val="nil"/>
          <w:left w:val="nil"/>
          <w:bottom w:val="nil"/>
          <w:right w:val="nil"/>
          <w:between w:val="nil"/>
        </w:pBdr>
        <w:spacing w:line="360" w:lineRule="auto"/>
        <w:ind w:right="357"/>
        <w:rPr>
          <w:b/>
          <w:bCs/>
          <w:sz w:val="24"/>
          <w:szCs w:val="24"/>
        </w:rPr>
      </w:pPr>
      <w:r w:rsidRPr="00D927B5">
        <w:rPr>
          <w:b/>
          <w:bCs/>
          <w:sz w:val="24"/>
          <w:szCs w:val="24"/>
        </w:rPr>
        <w:t xml:space="preserve">GitHub repository: </w:t>
      </w:r>
    </w:p>
    <w:p w14:paraId="00000011" w14:textId="77777777" w:rsidR="007D2FA2" w:rsidRDefault="00000000">
      <w:pPr>
        <w:pBdr>
          <w:top w:val="nil"/>
          <w:left w:val="nil"/>
          <w:bottom w:val="nil"/>
          <w:right w:val="nil"/>
          <w:between w:val="nil"/>
        </w:pBdr>
        <w:spacing w:line="360" w:lineRule="auto"/>
        <w:ind w:right="357" w:firstLine="720"/>
        <w:rPr>
          <w:sz w:val="24"/>
          <w:szCs w:val="24"/>
        </w:rPr>
      </w:pPr>
      <w:r>
        <w:rPr>
          <w:sz w:val="24"/>
          <w:szCs w:val="24"/>
        </w:rPr>
        <w:t>https://github.com/EnricoToffalini/Taxometrics-Neurodevelopmental-Disorders</w:t>
      </w:r>
    </w:p>
    <w:p w14:paraId="00000012" w14:textId="50518E55" w:rsidR="007D2FA2" w:rsidRDefault="00000000">
      <w:pPr>
        <w:pBdr>
          <w:top w:val="nil"/>
          <w:left w:val="nil"/>
          <w:bottom w:val="nil"/>
          <w:right w:val="nil"/>
          <w:between w:val="nil"/>
        </w:pBdr>
        <w:spacing w:line="360" w:lineRule="auto"/>
        <w:ind w:right="357"/>
        <w:rPr>
          <w:sz w:val="24"/>
          <w:szCs w:val="24"/>
        </w:rPr>
      </w:pPr>
      <w:r w:rsidRPr="00D927B5">
        <w:rPr>
          <w:b/>
          <w:bCs/>
          <w:sz w:val="24"/>
          <w:szCs w:val="24"/>
        </w:rPr>
        <w:t>Financial support:</w:t>
      </w:r>
      <w:r>
        <w:rPr>
          <w:sz w:val="24"/>
          <w:szCs w:val="24"/>
        </w:rPr>
        <w:t xml:space="preserve"> </w:t>
      </w:r>
      <w:r w:rsidRPr="000F11FC">
        <w:rPr>
          <w:iCs/>
          <w:sz w:val="24"/>
          <w:szCs w:val="24"/>
        </w:rPr>
        <w:t>Project 2022KBW99S “Tails or types? Testing the dimensional hypothesis in neurodevelopmental disorders”, Next Generation EU, Mission 4, Component 1, CUP</w:t>
      </w:r>
      <w:r>
        <w:rPr>
          <w:i/>
          <w:sz w:val="24"/>
          <w:szCs w:val="24"/>
        </w:rPr>
        <w:t xml:space="preserve"> C53D23004210006</w:t>
      </w:r>
      <w:r>
        <w:rPr>
          <w:sz w:val="24"/>
          <w:szCs w:val="24"/>
        </w:rPr>
        <w:t xml:space="preserve"> </w:t>
      </w:r>
    </w:p>
    <w:p w14:paraId="409CC999" w14:textId="77777777" w:rsidR="00015059" w:rsidRDefault="00015059">
      <w:pPr>
        <w:pBdr>
          <w:top w:val="nil"/>
          <w:left w:val="nil"/>
          <w:bottom w:val="nil"/>
          <w:right w:val="nil"/>
          <w:between w:val="nil"/>
        </w:pBdr>
        <w:spacing w:line="360" w:lineRule="auto"/>
        <w:ind w:right="357" w:firstLine="567"/>
        <w:rPr>
          <w:sz w:val="24"/>
          <w:szCs w:val="24"/>
        </w:rPr>
      </w:pPr>
    </w:p>
    <w:p w14:paraId="296CDD3F" w14:textId="77777777" w:rsidR="007D2FA2" w:rsidRDefault="00C228BF" w:rsidP="00C228BF">
      <w:pPr>
        <w:pBdr>
          <w:top w:val="nil"/>
          <w:left w:val="nil"/>
          <w:bottom w:val="nil"/>
          <w:right w:val="nil"/>
          <w:between w:val="nil"/>
        </w:pBdr>
        <w:spacing w:line="360" w:lineRule="auto"/>
        <w:ind w:right="357"/>
        <w:rPr>
          <w:sz w:val="24"/>
          <w:szCs w:val="24"/>
        </w:rPr>
      </w:pPr>
      <w:r>
        <w:rPr>
          <w:sz w:val="24"/>
          <w:szCs w:val="24"/>
        </w:rPr>
        <w:t>T</w:t>
      </w:r>
      <w:r w:rsidR="00A3587D">
        <w:rPr>
          <w:sz w:val="24"/>
          <w:szCs w:val="24"/>
        </w:rPr>
        <w:t>he first author is grateful to Athanasia Vasileiadou who first pointed him to the topic and to some of the reviewed articles.</w:t>
      </w:r>
    </w:p>
    <w:p w14:paraId="1E66F3E1" w14:textId="77777777" w:rsidR="00E77816" w:rsidRDefault="00E77816" w:rsidP="00C228BF">
      <w:pPr>
        <w:pBdr>
          <w:top w:val="nil"/>
          <w:left w:val="nil"/>
          <w:bottom w:val="nil"/>
          <w:right w:val="nil"/>
          <w:between w:val="nil"/>
        </w:pBdr>
        <w:spacing w:line="360" w:lineRule="auto"/>
        <w:ind w:right="357"/>
        <w:rPr>
          <w:sz w:val="24"/>
          <w:szCs w:val="24"/>
        </w:rPr>
      </w:pPr>
    </w:p>
    <w:p w14:paraId="00000014" w14:textId="3B351A68" w:rsidR="00E77816" w:rsidRDefault="00E77816" w:rsidP="00C228BF">
      <w:pPr>
        <w:pBdr>
          <w:top w:val="nil"/>
          <w:left w:val="nil"/>
          <w:bottom w:val="nil"/>
          <w:right w:val="nil"/>
          <w:between w:val="nil"/>
        </w:pBdr>
        <w:spacing w:line="360" w:lineRule="auto"/>
        <w:ind w:right="357"/>
        <w:rPr>
          <w:sz w:val="24"/>
          <w:szCs w:val="24"/>
        </w:rPr>
        <w:sectPr w:rsidR="00E77816">
          <w:headerReference w:type="default" r:id="rId9"/>
          <w:footerReference w:type="default" r:id="rId10"/>
          <w:pgSz w:w="12240" w:h="15840"/>
          <w:pgMar w:top="1300" w:right="1080" w:bottom="280" w:left="1440" w:header="667" w:footer="0" w:gutter="0"/>
          <w:pgNumType w:start="1"/>
          <w:cols w:space="720"/>
        </w:sectPr>
      </w:pPr>
      <w:r w:rsidRPr="00E77816">
        <w:rPr>
          <w:b/>
          <w:bCs/>
          <w:sz w:val="24"/>
          <w:szCs w:val="24"/>
        </w:rPr>
        <w:t xml:space="preserve">Word count: </w:t>
      </w:r>
      <w:r>
        <w:rPr>
          <w:sz w:val="24"/>
          <w:szCs w:val="24"/>
        </w:rPr>
        <w:t>4997</w:t>
      </w:r>
    </w:p>
    <w:p w14:paraId="00000015" w14:textId="77777777" w:rsidR="007D2FA2" w:rsidRDefault="00000000">
      <w:pPr>
        <w:pStyle w:val="Heading1"/>
        <w:spacing w:before="0" w:line="480" w:lineRule="auto"/>
        <w:ind w:right="359"/>
        <w:jc w:val="center"/>
      </w:pPr>
      <w:r>
        <w:lastRenderedPageBreak/>
        <w:t>Abstract</w:t>
      </w:r>
    </w:p>
    <w:p w14:paraId="00000016" w14:textId="08A2BB7E" w:rsidR="007D2FA2" w:rsidRDefault="00FA1DAC">
      <w:pPr>
        <w:pBdr>
          <w:top w:val="nil"/>
          <w:left w:val="nil"/>
          <w:bottom w:val="nil"/>
          <w:right w:val="nil"/>
          <w:between w:val="nil"/>
        </w:pBdr>
        <w:spacing w:line="480" w:lineRule="auto"/>
        <w:ind w:right="357"/>
        <w:rPr>
          <w:sz w:val="24"/>
          <w:szCs w:val="24"/>
        </w:rPr>
      </w:pPr>
      <w:r w:rsidRPr="00FA1DAC">
        <w:rPr>
          <w:b/>
          <w:bCs/>
          <w:sz w:val="24"/>
          <w:szCs w:val="24"/>
        </w:rPr>
        <w:t xml:space="preserve">Background. </w:t>
      </w:r>
      <w:r>
        <w:rPr>
          <w:sz w:val="24"/>
          <w:szCs w:val="24"/>
        </w:rPr>
        <w:t>Taxometric analysis is specifically designed to test whether the latent structures underlying clinical conditions are categorical (taxonic) or dimensional in nature. Despite its relevance to ongoing debates about the nature of neurodevelopmental conditions, its application to this field has been limited.</w:t>
      </w:r>
      <w:r w:rsidRPr="00FA1DAC">
        <w:rPr>
          <w:b/>
          <w:bCs/>
          <w:sz w:val="24"/>
          <w:szCs w:val="24"/>
        </w:rPr>
        <w:t xml:space="preserve"> Methods.</w:t>
      </w:r>
      <w:r w:rsidR="00463CA2" w:rsidRPr="00463CA2">
        <w:rPr>
          <w:b/>
          <w:bCs/>
          <w:sz w:val="24"/>
          <w:szCs w:val="24"/>
        </w:rPr>
        <w:t xml:space="preserve"> </w:t>
      </w:r>
      <w:r>
        <w:rPr>
          <w:sz w:val="24"/>
          <w:szCs w:val="24"/>
        </w:rPr>
        <w:t>We conducted a preregistered systematic review</w:t>
      </w:r>
      <w:r w:rsidR="00356C84">
        <w:rPr>
          <w:sz w:val="24"/>
          <w:szCs w:val="24"/>
        </w:rPr>
        <w:t xml:space="preserve"> </w:t>
      </w:r>
      <w:r w:rsidR="00B03D78">
        <w:rPr>
          <w:sz w:val="24"/>
          <w:szCs w:val="24"/>
        </w:rPr>
        <w:t xml:space="preserve">to </w:t>
      </w:r>
      <w:r w:rsidR="00826085">
        <w:rPr>
          <w:sz w:val="24"/>
          <w:szCs w:val="24"/>
        </w:rPr>
        <w:t xml:space="preserve">assess the </w:t>
      </w:r>
      <w:r w:rsidR="00067DB8">
        <w:rPr>
          <w:sz w:val="24"/>
          <w:szCs w:val="24"/>
        </w:rPr>
        <w:t>claims</w:t>
      </w:r>
      <w:r w:rsidR="00826085">
        <w:rPr>
          <w:sz w:val="24"/>
          <w:szCs w:val="24"/>
        </w:rPr>
        <w:t xml:space="preserve"> of </w:t>
      </w:r>
      <w:r w:rsidR="002447B5">
        <w:rPr>
          <w:sz w:val="24"/>
          <w:szCs w:val="24"/>
        </w:rPr>
        <w:t xml:space="preserve">all </w:t>
      </w:r>
      <w:r w:rsidR="00356C84" w:rsidRPr="00356C84">
        <w:rPr>
          <w:sz w:val="24"/>
          <w:szCs w:val="24"/>
        </w:rPr>
        <w:t>published taxometric studies on autism, ADHD, learning disorders, and language impairment</w:t>
      </w:r>
      <w:r w:rsidR="00356C84">
        <w:rPr>
          <w:sz w:val="24"/>
          <w:szCs w:val="24"/>
        </w:rPr>
        <w:t>,</w:t>
      </w:r>
      <w:r>
        <w:rPr>
          <w:sz w:val="24"/>
          <w:szCs w:val="24"/>
        </w:rPr>
        <w:t xml:space="preserve"> with a focus on methodological threats such as artificial admixture (the practice of </w:t>
      </w:r>
      <w:r w:rsidR="0068499E">
        <w:rPr>
          <w:sz w:val="24"/>
          <w:szCs w:val="24"/>
        </w:rPr>
        <w:t>compounding</w:t>
      </w:r>
      <w:r>
        <w:rPr>
          <w:sz w:val="24"/>
          <w:szCs w:val="24"/>
        </w:rPr>
        <w:t xml:space="preserve"> subsamples </w:t>
      </w:r>
      <w:r w:rsidR="0077478D">
        <w:rPr>
          <w:sz w:val="24"/>
          <w:szCs w:val="24"/>
        </w:rPr>
        <w:t>recruited</w:t>
      </w:r>
      <w:r>
        <w:rPr>
          <w:sz w:val="24"/>
          <w:szCs w:val="24"/>
        </w:rPr>
        <w:t xml:space="preserve"> via alternative methods, such as clinical and control group</w:t>
      </w:r>
      <w:r w:rsidR="007B1098">
        <w:rPr>
          <w:sz w:val="24"/>
          <w:szCs w:val="24"/>
        </w:rPr>
        <w:t>s</w:t>
      </w:r>
      <w:r>
        <w:rPr>
          <w:sz w:val="24"/>
          <w:szCs w:val="24"/>
        </w:rPr>
        <w:t>).</w:t>
      </w:r>
      <w:r w:rsidR="00056F7C">
        <w:rPr>
          <w:sz w:val="24"/>
          <w:szCs w:val="24"/>
        </w:rPr>
        <w:t xml:space="preserve"> </w:t>
      </w:r>
      <w:r w:rsidR="004F02E0">
        <w:rPr>
          <w:sz w:val="24"/>
          <w:szCs w:val="24"/>
        </w:rPr>
        <w:t>Furthermore</w:t>
      </w:r>
      <w:r w:rsidR="00583894">
        <w:rPr>
          <w:sz w:val="24"/>
          <w:szCs w:val="24"/>
        </w:rPr>
        <w:t>, a</w:t>
      </w:r>
      <w:r w:rsidRPr="00FA1DAC">
        <w:rPr>
          <w:sz w:val="24"/>
          <w:szCs w:val="24"/>
        </w:rPr>
        <w:t xml:space="preserve"> Monte Carlo simulation </w:t>
      </w:r>
      <w:r w:rsidR="00351E37">
        <w:rPr>
          <w:sz w:val="24"/>
          <w:szCs w:val="24"/>
        </w:rPr>
        <w:t>was run to illustrate</w:t>
      </w:r>
      <w:r w:rsidRPr="00FA1DAC">
        <w:rPr>
          <w:sz w:val="24"/>
          <w:szCs w:val="24"/>
        </w:rPr>
        <w:t xml:space="preserve"> how admixture can yield false taxonic results from dimensional data.</w:t>
      </w:r>
      <w:r>
        <w:rPr>
          <w:b/>
          <w:bCs/>
          <w:sz w:val="24"/>
          <w:szCs w:val="24"/>
        </w:rPr>
        <w:t xml:space="preserve"> </w:t>
      </w:r>
      <w:r w:rsidR="00351E37">
        <w:rPr>
          <w:b/>
          <w:bCs/>
          <w:sz w:val="24"/>
          <w:szCs w:val="24"/>
        </w:rPr>
        <w:t xml:space="preserve">Results. </w:t>
      </w:r>
      <w:r w:rsidR="00D41194">
        <w:rPr>
          <w:sz w:val="24"/>
          <w:szCs w:val="24"/>
        </w:rPr>
        <w:t>Fourteen</w:t>
      </w:r>
      <w:r>
        <w:rPr>
          <w:sz w:val="24"/>
          <w:szCs w:val="24"/>
        </w:rPr>
        <w:t xml:space="preserve"> </w:t>
      </w:r>
      <w:r w:rsidR="00D41194">
        <w:rPr>
          <w:sz w:val="24"/>
          <w:szCs w:val="24"/>
        </w:rPr>
        <w:t xml:space="preserve">articles met the </w:t>
      </w:r>
      <w:r w:rsidR="00356C84">
        <w:rPr>
          <w:sz w:val="24"/>
          <w:szCs w:val="24"/>
        </w:rPr>
        <w:t>inclusion criteria.</w:t>
      </w:r>
      <w:r w:rsidR="00056F7C">
        <w:rPr>
          <w:sz w:val="24"/>
          <w:szCs w:val="24"/>
        </w:rPr>
        <w:t xml:space="preserve"> S</w:t>
      </w:r>
      <w:r>
        <w:rPr>
          <w:sz w:val="24"/>
          <w:szCs w:val="24"/>
        </w:rPr>
        <w:t xml:space="preserve">tudies of ADHD and language impairment </w:t>
      </w:r>
      <w:r w:rsidR="00056F7C">
        <w:rPr>
          <w:sz w:val="24"/>
          <w:szCs w:val="24"/>
        </w:rPr>
        <w:t xml:space="preserve">largely </w:t>
      </w:r>
      <w:r>
        <w:rPr>
          <w:sz w:val="24"/>
          <w:szCs w:val="24"/>
        </w:rPr>
        <w:t>supported dimensional models, whereas most studies of autism and conditions</w:t>
      </w:r>
      <w:r w:rsidR="007F1188">
        <w:rPr>
          <w:sz w:val="24"/>
          <w:szCs w:val="24"/>
        </w:rPr>
        <w:t>’</w:t>
      </w:r>
      <w:r>
        <w:rPr>
          <w:sz w:val="24"/>
          <w:szCs w:val="24"/>
        </w:rPr>
        <w:t xml:space="preserve"> subtypes supported categori</w:t>
      </w:r>
      <w:r w:rsidR="00056F7C">
        <w:rPr>
          <w:sz w:val="24"/>
          <w:szCs w:val="24"/>
        </w:rPr>
        <w:t>c</w:t>
      </w:r>
      <w:r>
        <w:rPr>
          <w:sz w:val="24"/>
          <w:szCs w:val="24"/>
        </w:rPr>
        <w:t>al models.</w:t>
      </w:r>
      <w:r w:rsidR="00EA3E01">
        <w:rPr>
          <w:sz w:val="24"/>
          <w:szCs w:val="24"/>
        </w:rPr>
        <w:t xml:space="preserve"> No studies targeted learning disorders as taxa.</w:t>
      </w:r>
      <w:r w:rsidR="00E12C99">
        <w:rPr>
          <w:sz w:val="24"/>
          <w:szCs w:val="24"/>
        </w:rPr>
        <w:t xml:space="preserve"> A</w:t>
      </w:r>
      <w:r w:rsidR="00056F7C">
        <w:rPr>
          <w:sz w:val="24"/>
          <w:szCs w:val="24"/>
        </w:rPr>
        <w:t xml:space="preserve">dmixture was common in studies reaching taxonic conclusions, especially for autism. </w:t>
      </w:r>
      <w:r w:rsidR="00F54439" w:rsidRPr="00F54439">
        <w:rPr>
          <w:sz w:val="24"/>
          <w:szCs w:val="24"/>
        </w:rPr>
        <w:t xml:space="preserve">In simulations, admixture </w:t>
      </w:r>
      <w:r w:rsidR="00F54439">
        <w:rPr>
          <w:sz w:val="24"/>
          <w:szCs w:val="24"/>
        </w:rPr>
        <w:t xml:space="preserve">was consistently associated with </w:t>
      </w:r>
      <w:r w:rsidR="00E12C99">
        <w:rPr>
          <w:sz w:val="24"/>
          <w:szCs w:val="24"/>
        </w:rPr>
        <w:t xml:space="preserve">false positive </w:t>
      </w:r>
      <w:r w:rsidR="00F54439">
        <w:rPr>
          <w:sz w:val="24"/>
          <w:szCs w:val="24"/>
        </w:rPr>
        <w:t>taxonic findings</w:t>
      </w:r>
      <w:r w:rsidR="00F54439" w:rsidRPr="00F54439">
        <w:rPr>
          <w:sz w:val="24"/>
          <w:szCs w:val="24"/>
        </w:rPr>
        <w:t>.</w:t>
      </w:r>
      <w:r w:rsidR="00F54439">
        <w:rPr>
          <w:sz w:val="24"/>
          <w:szCs w:val="24"/>
        </w:rPr>
        <w:t xml:space="preserve"> </w:t>
      </w:r>
      <w:r w:rsidR="00F54439" w:rsidRPr="007F1188">
        <w:rPr>
          <w:b/>
          <w:bCs/>
          <w:sz w:val="24"/>
          <w:szCs w:val="24"/>
        </w:rPr>
        <w:t>Conclusions.</w:t>
      </w:r>
      <w:r w:rsidR="00F54439">
        <w:rPr>
          <w:sz w:val="24"/>
          <w:szCs w:val="24"/>
        </w:rPr>
        <w:t xml:space="preserve"> </w:t>
      </w:r>
      <w:r w:rsidR="007F1188" w:rsidRPr="007F1188">
        <w:rPr>
          <w:sz w:val="24"/>
          <w:szCs w:val="24"/>
        </w:rPr>
        <w:t>Evidence for categorical structure</w:t>
      </w:r>
      <w:r w:rsidR="007F1188">
        <w:rPr>
          <w:sz w:val="24"/>
          <w:szCs w:val="24"/>
        </w:rPr>
        <w:t>, especially</w:t>
      </w:r>
      <w:r w:rsidR="007F1188" w:rsidRPr="007F1188">
        <w:rPr>
          <w:sz w:val="24"/>
          <w:szCs w:val="24"/>
        </w:rPr>
        <w:t xml:space="preserve"> in autism and </w:t>
      </w:r>
      <w:r w:rsidR="007F1188">
        <w:rPr>
          <w:sz w:val="24"/>
          <w:szCs w:val="24"/>
        </w:rPr>
        <w:t xml:space="preserve">disorders’ </w:t>
      </w:r>
      <w:r w:rsidR="007F1188" w:rsidRPr="007F1188">
        <w:rPr>
          <w:sz w:val="24"/>
          <w:szCs w:val="24"/>
        </w:rPr>
        <w:t>subtypes</w:t>
      </w:r>
      <w:r w:rsidR="007F1188">
        <w:rPr>
          <w:sz w:val="24"/>
          <w:szCs w:val="24"/>
        </w:rPr>
        <w:t>,</w:t>
      </w:r>
      <w:r w:rsidR="007F1188" w:rsidRPr="007F1188">
        <w:rPr>
          <w:sz w:val="24"/>
          <w:szCs w:val="24"/>
        </w:rPr>
        <w:t xml:space="preserve"> is likely undermined by methodological </w:t>
      </w:r>
      <w:r w:rsidR="00587C18">
        <w:rPr>
          <w:sz w:val="24"/>
          <w:szCs w:val="24"/>
        </w:rPr>
        <w:t>limitations</w:t>
      </w:r>
      <w:r w:rsidR="007F1188" w:rsidRPr="007F1188">
        <w:rPr>
          <w:sz w:val="24"/>
          <w:szCs w:val="24"/>
        </w:rPr>
        <w:t>, particularly admixture.</w:t>
      </w:r>
      <w:r>
        <w:rPr>
          <w:sz w:val="24"/>
          <w:szCs w:val="24"/>
        </w:rPr>
        <w:t xml:space="preserve"> We advocate for more high-quality taxometric studies in this </w:t>
      </w:r>
      <w:r w:rsidR="00F00419">
        <w:rPr>
          <w:sz w:val="24"/>
          <w:szCs w:val="24"/>
        </w:rPr>
        <w:t>field</w:t>
      </w:r>
      <w:r>
        <w:rPr>
          <w:sz w:val="24"/>
          <w:szCs w:val="24"/>
        </w:rPr>
        <w:t>.</w:t>
      </w:r>
    </w:p>
    <w:p w14:paraId="4B743A92" w14:textId="77777777" w:rsidR="00B6752B" w:rsidRDefault="00B6752B" w:rsidP="00B6752B">
      <w:pPr>
        <w:pBdr>
          <w:top w:val="nil"/>
          <w:left w:val="nil"/>
          <w:bottom w:val="nil"/>
          <w:right w:val="nil"/>
          <w:between w:val="nil"/>
        </w:pBdr>
        <w:spacing w:line="480" w:lineRule="auto"/>
        <w:ind w:right="357"/>
        <w:rPr>
          <w:i/>
          <w:sz w:val="24"/>
          <w:szCs w:val="24"/>
        </w:rPr>
      </w:pPr>
    </w:p>
    <w:p w14:paraId="00000017" w14:textId="07FD9456" w:rsidR="007D2FA2" w:rsidRDefault="00000000" w:rsidP="00B6752B">
      <w:pPr>
        <w:pBdr>
          <w:top w:val="nil"/>
          <w:left w:val="nil"/>
          <w:bottom w:val="nil"/>
          <w:right w:val="nil"/>
          <w:between w:val="nil"/>
        </w:pBdr>
        <w:spacing w:line="480" w:lineRule="auto"/>
        <w:ind w:right="357"/>
        <w:rPr>
          <w:sz w:val="24"/>
          <w:szCs w:val="24"/>
        </w:rPr>
        <w:sectPr w:rsidR="007D2FA2">
          <w:pgSz w:w="12240" w:h="15840"/>
          <w:pgMar w:top="1300" w:right="1080" w:bottom="280" w:left="1440" w:header="667" w:footer="0" w:gutter="0"/>
          <w:cols w:space="720"/>
        </w:sectPr>
      </w:pPr>
      <w:r>
        <w:rPr>
          <w:i/>
          <w:sz w:val="24"/>
          <w:szCs w:val="24"/>
        </w:rPr>
        <w:t xml:space="preserve">Keywords: </w:t>
      </w:r>
      <w:r>
        <w:rPr>
          <w:sz w:val="24"/>
          <w:szCs w:val="24"/>
        </w:rPr>
        <w:t xml:space="preserve">Neurodevelopmental </w:t>
      </w:r>
      <w:r w:rsidR="00633666">
        <w:rPr>
          <w:sz w:val="24"/>
          <w:szCs w:val="24"/>
        </w:rPr>
        <w:t>conditions</w:t>
      </w:r>
      <w:r>
        <w:rPr>
          <w:sz w:val="24"/>
          <w:szCs w:val="24"/>
        </w:rPr>
        <w:t>, Taxometric analysis, Autism, ADHD, Learning disorders</w:t>
      </w:r>
    </w:p>
    <w:p w14:paraId="00000018" w14:textId="77777777" w:rsidR="007D2FA2" w:rsidRDefault="00000000">
      <w:pPr>
        <w:pStyle w:val="Heading1"/>
        <w:spacing w:before="0" w:line="480" w:lineRule="auto"/>
        <w:ind w:right="301"/>
        <w:jc w:val="center"/>
      </w:pPr>
      <w:r>
        <w:lastRenderedPageBreak/>
        <w:t>Tails or Types? A Critical Systematic Review of Taxometric Studies of Neurodevelopmental Conditions</w:t>
      </w:r>
    </w:p>
    <w:p w14:paraId="00000019" w14:textId="78F5FE43" w:rsidR="007D2FA2" w:rsidRDefault="00000000">
      <w:pPr>
        <w:pBdr>
          <w:top w:val="nil"/>
          <w:left w:val="nil"/>
          <w:bottom w:val="nil"/>
          <w:right w:val="nil"/>
          <w:between w:val="nil"/>
        </w:pBdr>
        <w:spacing w:line="480" w:lineRule="auto"/>
        <w:ind w:right="357" w:firstLine="720"/>
        <w:rPr>
          <w:sz w:val="24"/>
          <w:szCs w:val="24"/>
        </w:rPr>
      </w:pPr>
      <w:r>
        <w:rPr>
          <w:sz w:val="24"/>
          <w:szCs w:val="24"/>
        </w:rPr>
        <w:t>In recent years, there has been a reconsideration of the conceptual foundations of neurodevelopmental conditions (NDCs). The notion that diagnostic entities defined in the DSM-5 reflect discrete categories with identifiable non-arbitrary ‘natural’ boundaries,   separating disorder from non-disorder, and one disorder from another (</w:t>
      </w:r>
      <w:hyperlink w:anchor="_heading=h.gesvqslmnpf1">
        <w:r>
          <w:rPr>
            <w:sz w:val="24"/>
            <w:szCs w:val="24"/>
          </w:rPr>
          <w:t>American</w:t>
        </w:r>
      </w:hyperlink>
      <w:r>
        <w:rPr>
          <w:sz w:val="24"/>
          <w:szCs w:val="24"/>
        </w:rPr>
        <w:t xml:space="preserve"> </w:t>
      </w:r>
      <w:hyperlink w:anchor="_heading=h.gesvqslmnpf1">
        <w:r>
          <w:rPr>
            <w:sz w:val="24"/>
            <w:szCs w:val="24"/>
          </w:rPr>
          <w:t>Psychiatric Association, 2013</w:t>
        </w:r>
      </w:hyperlink>
      <w:r>
        <w:rPr>
          <w:sz w:val="24"/>
          <w:szCs w:val="24"/>
        </w:rPr>
        <w:t xml:space="preserve">) has increasingly been questioned in favor of dimensional and transdiagnostic perspectives (e.g., </w:t>
      </w:r>
      <w:hyperlink w:anchor="_heading=h.9ncjwgnoho5p">
        <w:r>
          <w:rPr>
            <w:sz w:val="24"/>
            <w:szCs w:val="24"/>
          </w:rPr>
          <w:t>Astle et al., 2022</w:t>
        </w:r>
      </w:hyperlink>
      <w:r>
        <w:rPr>
          <w:sz w:val="24"/>
          <w:szCs w:val="24"/>
        </w:rPr>
        <w:t xml:space="preserve">; </w:t>
      </w:r>
      <w:hyperlink w:anchor="_heading=h.tasz5zrfzvb4">
        <w:r>
          <w:rPr>
            <w:sz w:val="24"/>
            <w:szCs w:val="24"/>
          </w:rPr>
          <w:t>Caviola et al., 2024</w:t>
        </w:r>
      </w:hyperlink>
      <w:r>
        <w:rPr>
          <w:sz w:val="24"/>
          <w:szCs w:val="24"/>
        </w:rPr>
        <w:t xml:space="preserve">; </w:t>
      </w:r>
      <w:hyperlink w:anchor="_heading=h.o00sa5b2zdqm">
        <w:r>
          <w:rPr>
            <w:sz w:val="24"/>
            <w:szCs w:val="24"/>
          </w:rPr>
          <w:t>Happé &amp; Frith, 2020</w:t>
        </w:r>
      </w:hyperlink>
      <w:r>
        <w:rPr>
          <w:sz w:val="24"/>
          <w:szCs w:val="24"/>
        </w:rPr>
        <w:t xml:space="preserve">, </w:t>
      </w:r>
      <w:hyperlink w:anchor="_heading=h.q43z9ku1hzxj">
        <w:r>
          <w:rPr>
            <w:sz w:val="24"/>
            <w:szCs w:val="24"/>
          </w:rPr>
          <w:t>2021</w:t>
        </w:r>
      </w:hyperlink>
      <w:r>
        <w:rPr>
          <w:sz w:val="24"/>
          <w:szCs w:val="24"/>
        </w:rPr>
        <w:t xml:space="preserve">; </w:t>
      </w:r>
      <w:hyperlink w:anchor="_heading=h.6hzb32hctbs6">
        <w:r>
          <w:rPr>
            <w:sz w:val="24"/>
            <w:szCs w:val="24"/>
          </w:rPr>
          <w:t>Mammarella et al., 2021</w:t>
        </w:r>
      </w:hyperlink>
      <w:r>
        <w:rPr>
          <w:sz w:val="24"/>
          <w:szCs w:val="24"/>
        </w:rPr>
        <w:t xml:space="preserve">; </w:t>
      </w:r>
      <w:hyperlink w:anchor="_heading=h.wypemuedcmqa">
        <w:r>
          <w:rPr>
            <w:sz w:val="24"/>
            <w:szCs w:val="24"/>
          </w:rPr>
          <w:t>Michelini et al., 2024</w:t>
        </w:r>
      </w:hyperlink>
      <w:r>
        <w:rPr>
          <w:sz w:val="24"/>
          <w:szCs w:val="24"/>
        </w:rPr>
        <w:t xml:space="preserve">; Posner et al., 2020; </w:t>
      </w:r>
      <w:hyperlink w:anchor="_heading=h.cuch0tkpta1">
        <w:r>
          <w:rPr>
            <w:sz w:val="24"/>
            <w:szCs w:val="24"/>
          </w:rPr>
          <w:t>Sonuga-Barke, 2020</w:t>
        </w:r>
      </w:hyperlink>
      <w:r>
        <w:rPr>
          <w:sz w:val="24"/>
          <w:szCs w:val="24"/>
        </w:rPr>
        <w:t xml:space="preserve">). </w:t>
      </w:r>
      <w:r w:rsidR="001B4D5D">
        <w:rPr>
          <w:sz w:val="24"/>
          <w:szCs w:val="24"/>
        </w:rPr>
        <w:t>In fact,</w:t>
      </w:r>
      <w:r>
        <w:rPr>
          <w:sz w:val="24"/>
          <w:szCs w:val="24"/>
        </w:rPr>
        <w:t xml:space="preserve"> the issue has been discussed for a long time. Sonuga-Barke (1998) questioned whether a medical model that frames childhood conditions as categorical disorders intrinsically linked to dysfunction was appropriate and useful. While diagnostic manuals such as the DSM are presented as atheoretical, they in practice adopt a "neo-Kraepelinian" vision of psychopathology, treating disorders as natural disease entities (see also Coghill &amp; Sonuga-Barke, 2012).</w:t>
      </w:r>
    </w:p>
    <w:p w14:paraId="0000001A" w14:textId="75423AA9" w:rsidR="007D2FA2" w:rsidRDefault="00000000">
      <w:pPr>
        <w:pBdr>
          <w:top w:val="nil"/>
          <w:left w:val="nil"/>
          <w:bottom w:val="nil"/>
          <w:right w:val="nil"/>
          <w:between w:val="nil"/>
        </w:pBdr>
        <w:spacing w:line="480" w:lineRule="auto"/>
        <w:ind w:right="357" w:firstLine="720"/>
        <w:rPr>
          <w:sz w:val="24"/>
          <w:szCs w:val="24"/>
        </w:rPr>
      </w:pPr>
      <w:r>
        <w:rPr>
          <w:sz w:val="24"/>
          <w:szCs w:val="24"/>
        </w:rPr>
        <w:t>A dimensional perspective reinterprets NDCs as extreme variations along continuous multivariate traits that are at least quasi-normally distributed in the general population. Accordingly, individuals with NDCs are not categorically distinct</w:t>
      </w:r>
      <w:r w:rsidR="001B4D5D">
        <w:rPr>
          <w:sz w:val="24"/>
          <w:szCs w:val="24"/>
        </w:rPr>
        <w:t>, and differ</w:t>
      </w:r>
      <w:r>
        <w:rPr>
          <w:sz w:val="24"/>
          <w:szCs w:val="24"/>
        </w:rPr>
        <w:t xml:space="preserve"> quantitatively rather than qualitatively from the neurotypical population. From this perspective diagnostic thresholds are </w:t>
      </w:r>
      <w:r w:rsidR="00FF0A89">
        <w:rPr>
          <w:sz w:val="24"/>
          <w:szCs w:val="24"/>
        </w:rPr>
        <w:t xml:space="preserve">essentially </w:t>
      </w:r>
      <w:r>
        <w:rPr>
          <w:sz w:val="24"/>
          <w:szCs w:val="24"/>
        </w:rPr>
        <w:t>arbitrary, determined not by natural discontinuities but by pragmatic considerations such as clinical need (Arildskov et al., 2022; Haslam et al., 2006).</w:t>
      </w:r>
    </w:p>
    <w:p w14:paraId="0000001B" w14:textId="70EF84A8" w:rsidR="007D2FA2" w:rsidRDefault="00000000">
      <w:pPr>
        <w:pBdr>
          <w:top w:val="nil"/>
          <w:left w:val="nil"/>
          <w:bottom w:val="nil"/>
          <w:right w:val="nil"/>
          <w:between w:val="nil"/>
        </w:pBdr>
        <w:spacing w:line="480" w:lineRule="auto"/>
        <w:ind w:right="357" w:firstLine="720"/>
        <w:rPr>
          <w:sz w:val="24"/>
          <w:szCs w:val="24"/>
        </w:rPr>
      </w:pPr>
      <w:r>
        <w:rPr>
          <w:sz w:val="24"/>
          <w:szCs w:val="24"/>
        </w:rPr>
        <w:t>Determining whether NDCs represent tails of continuous distributions</w:t>
      </w:r>
      <w:r w:rsidR="00ED3956">
        <w:rPr>
          <w:sz w:val="24"/>
          <w:szCs w:val="24"/>
        </w:rPr>
        <w:t xml:space="preserve"> or</w:t>
      </w:r>
      <w:r>
        <w:rPr>
          <w:sz w:val="24"/>
          <w:szCs w:val="24"/>
        </w:rPr>
        <w:t xml:space="preserve"> discrete categories with boundaries grounded in biology or clinical reality, is important for our </w:t>
      </w:r>
      <w:r>
        <w:rPr>
          <w:sz w:val="24"/>
          <w:szCs w:val="24"/>
        </w:rPr>
        <w:lastRenderedPageBreak/>
        <w:t xml:space="preserve">understanding of the ontological status of neurodevelopmental phenomena and for assessing the adequacy of the medical dysfunction paradigm. If NDCs are dimensional in nature, then the diagnostic thresholds used to categorize disorders are, by definition, arbitrary, reframing diagnostic categories as socially constructed groupings that include individuals at the margins of trait continua. The implications </w:t>
      </w:r>
      <w:r w:rsidR="00ED3956">
        <w:rPr>
          <w:sz w:val="24"/>
          <w:szCs w:val="24"/>
        </w:rPr>
        <w:t xml:space="preserve">potentially </w:t>
      </w:r>
      <w:r>
        <w:rPr>
          <w:sz w:val="24"/>
          <w:szCs w:val="24"/>
        </w:rPr>
        <w:t>affect how diagnosed individuals understand their social identity, how clinicians make decisions, how classrooms and support systems are organized to accommodate neurodivergence, and how research is designed and interpreted (Caviola et al., 2024).</w:t>
      </w:r>
    </w:p>
    <w:p w14:paraId="0000001C" w14:textId="3B814204" w:rsidR="007D2FA2" w:rsidRDefault="00000000">
      <w:pPr>
        <w:pBdr>
          <w:top w:val="nil"/>
          <w:left w:val="nil"/>
          <w:bottom w:val="nil"/>
          <w:right w:val="nil"/>
          <w:between w:val="nil"/>
        </w:pBdr>
        <w:spacing w:line="480" w:lineRule="auto"/>
        <w:ind w:right="357" w:firstLine="720"/>
        <w:rPr>
          <w:sz w:val="24"/>
          <w:szCs w:val="24"/>
        </w:rPr>
      </w:pPr>
      <w:r>
        <w:rPr>
          <w:sz w:val="24"/>
          <w:szCs w:val="24"/>
        </w:rPr>
        <w:t>Support for a dimensional account of NDCs arises from several converging lines of evidence. First, individuals sharing the same diagnostic label often show substantial heterogeneity in symptom profiles, cognitive functioning, and developmental trajectories (e.g., Astle et al., 202</w:t>
      </w:r>
      <w:r w:rsidR="007B2C7F">
        <w:rPr>
          <w:sz w:val="24"/>
          <w:szCs w:val="24"/>
        </w:rPr>
        <w:t>2</w:t>
      </w:r>
      <w:r>
        <w:rPr>
          <w:sz w:val="24"/>
          <w:szCs w:val="24"/>
        </w:rPr>
        <w:t xml:space="preserve">). Second, the boundaries between diagnostic categories are frequently blurred, with </w:t>
      </w:r>
      <w:r w:rsidR="00ED3956">
        <w:rPr>
          <w:sz w:val="24"/>
          <w:szCs w:val="24"/>
        </w:rPr>
        <w:t>h</w:t>
      </w:r>
      <w:r>
        <w:rPr>
          <w:sz w:val="24"/>
          <w:szCs w:val="24"/>
        </w:rPr>
        <w:t>igh comorbidity (Coghill &amp; Sonuga-Barke, 2012; Michelini et al., 2024). Third, dimensional models are consistent with the growing evidence supporting multifactorial and polygenic etiology in NDCs (</w:t>
      </w:r>
      <w:hyperlink w:anchor="_heading=h.gesvqslmnpf1">
        <w:r>
          <w:rPr>
            <w:sz w:val="24"/>
            <w:szCs w:val="24"/>
          </w:rPr>
          <w:t>Astle &amp; Fletcher-Watson, 2020</w:t>
        </w:r>
      </w:hyperlink>
      <w:r>
        <w:rPr>
          <w:sz w:val="24"/>
          <w:szCs w:val="24"/>
        </w:rPr>
        <w:t xml:space="preserve">; </w:t>
      </w:r>
      <w:hyperlink w:anchor="_heading=h.tasz5zrfzvb4">
        <w:r>
          <w:rPr>
            <w:sz w:val="24"/>
            <w:szCs w:val="24"/>
          </w:rPr>
          <w:t>Caviola et al., 2024</w:t>
        </w:r>
      </w:hyperlink>
      <w:r>
        <w:rPr>
          <w:sz w:val="24"/>
          <w:szCs w:val="24"/>
        </w:rPr>
        <w:t xml:space="preserve">; </w:t>
      </w:r>
      <w:hyperlink w:anchor="_heading=h.xwc27qcf6gze">
        <w:r>
          <w:rPr>
            <w:sz w:val="24"/>
            <w:szCs w:val="24"/>
          </w:rPr>
          <w:t>Demontis et al., 2023</w:t>
        </w:r>
      </w:hyperlink>
      <w:r>
        <w:rPr>
          <w:sz w:val="24"/>
          <w:szCs w:val="24"/>
        </w:rPr>
        <w:t xml:space="preserve">; </w:t>
      </w:r>
      <w:hyperlink w:anchor="_heading=h.86uokgl12nkt">
        <w:r>
          <w:rPr>
            <w:sz w:val="24"/>
            <w:szCs w:val="24"/>
          </w:rPr>
          <w:t>Kovas &amp; Plomin, 2006</w:t>
        </w:r>
      </w:hyperlink>
      <w:r>
        <w:rPr>
          <w:sz w:val="24"/>
          <w:szCs w:val="24"/>
        </w:rPr>
        <w:t xml:space="preserve">; </w:t>
      </w:r>
      <w:hyperlink w:anchor="_heading=h.h3zp98et63q0">
        <w:r>
          <w:rPr>
            <w:sz w:val="24"/>
            <w:szCs w:val="24"/>
          </w:rPr>
          <w:t>Pennington et al., 2012</w:t>
        </w:r>
      </w:hyperlink>
      <w:r>
        <w:rPr>
          <w:sz w:val="24"/>
          <w:szCs w:val="24"/>
        </w:rPr>
        <w:t xml:space="preserve">; </w:t>
      </w:r>
      <w:hyperlink w:anchor="_heading=h.zbjamq6auhdr">
        <w:r>
          <w:rPr>
            <w:sz w:val="24"/>
            <w:szCs w:val="24"/>
          </w:rPr>
          <w:t>Plomin &amp; Kovas, 2005</w:t>
        </w:r>
      </w:hyperlink>
      <w:r>
        <w:rPr>
          <w:sz w:val="24"/>
          <w:szCs w:val="24"/>
        </w:rPr>
        <w:t>). According to the central limit theorem (</w:t>
      </w:r>
      <w:hyperlink w:anchor="_heading=h.2xoo6clo4oki">
        <w:r>
          <w:rPr>
            <w:sz w:val="24"/>
            <w:szCs w:val="24"/>
          </w:rPr>
          <w:t>Fischer, 2011</w:t>
        </w:r>
      </w:hyperlink>
      <w:r>
        <w:rPr>
          <w:sz w:val="24"/>
          <w:szCs w:val="24"/>
        </w:rPr>
        <w:t xml:space="preserve">), </w:t>
      </w:r>
      <w:r w:rsidR="00ED3956">
        <w:rPr>
          <w:sz w:val="24"/>
          <w:szCs w:val="24"/>
        </w:rPr>
        <w:t>when</w:t>
      </w:r>
      <w:r>
        <w:rPr>
          <w:sz w:val="24"/>
          <w:szCs w:val="24"/>
        </w:rPr>
        <w:t xml:space="preserve"> many individual causes </w:t>
      </w:r>
      <w:r w:rsidR="00ED3956">
        <w:rPr>
          <w:sz w:val="24"/>
          <w:szCs w:val="24"/>
        </w:rPr>
        <w:t xml:space="preserve">(e.g., genetic variants) </w:t>
      </w:r>
      <w:r>
        <w:rPr>
          <w:sz w:val="24"/>
          <w:szCs w:val="24"/>
        </w:rPr>
        <w:t>contribute additively, the resulting trait tends to approximate a continuous, Gaussian distribution. Despite this body of evidence, categorical thinking still dominates parts of the neurodevelopmental literature, for example concerning the categorical nature of ASD (</w:t>
      </w:r>
      <w:hyperlink w:anchor="_heading=h.c551auvciqco">
        <w:r>
          <w:rPr>
            <w:sz w:val="24"/>
            <w:szCs w:val="24"/>
          </w:rPr>
          <w:t>Chown &amp; Leatherland, 2021</w:t>
        </w:r>
      </w:hyperlink>
      <w:r>
        <w:rPr>
          <w:sz w:val="24"/>
          <w:szCs w:val="24"/>
        </w:rPr>
        <w:t xml:space="preserve">; </w:t>
      </w:r>
      <w:hyperlink w:anchor="_heading=h.jqk7bok2em2e">
        <w:r>
          <w:rPr>
            <w:sz w:val="24"/>
            <w:szCs w:val="24"/>
          </w:rPr>
          <w:t>Frazier et al., 2023</w:t>
        </w:r>
      </w:hyperlink>
      <w:r>
        <w:rPr>
          <w:sz w:val="24"/>
          <w:szCs w:val="24"/>
        </w:rPr>
        <w:t xml:space="preserve">; e.g., </w:t>
      </w:r>
      <w:hyperlink w:anchor="_heading=h.q43z9ku1hzxj">
        <w:r>
          <w:rPr>
            <w:sz w:val="24"/>
            <w:szCs w:val="24"/>
          </w:rPr>
          <w:t>Happé &amp; Frith, 2021</w:t>
        </w:r>
      </w:hyperlink>
      <w:r>
        <w:rPr>
          <w:sz w:val="24"/>
          <w:szCs w:val="24"/>
        </w:rPr>
        <w:t xml:space="preserve">), subtypes within NDCs (e.g., </w:t>
      </w:r>
      <w:hyperlink w:anchor="_heading=h.8xmpdcbquauf">
        <w:r>
          <w:rPr>
            <w:sz w:val="24"/>
            <w:szCs w:val="24"/>
          </w:rPr>
          <w:t>Burgess et al., 2018</w:t>
        </w:r>
      </w:hyperlink>
      <w:r>
        <w:rPr>
          <w:sz w:val="24"/>
          <w:szCs w:val="24"/>
        </w:rPr>
        <w:t>) or the proposed interpretation of emerging data-driven taxa (</w:t>
      </w:r>
      <w:hyperlink w:anchor="_heading=h.9ncjwgnoho5p">
        <w:r>
          <w:rPr>
            <w:sz w:val="24"/>
            <w:szCs w:val="24"/>
          </w:rPr>
          <w:t>Astle et al., 2022</w:t>
        </w:r>
      </w:hyperlink>
      <w:r>
        <w:rPr>
          <w:sz w:val="24"/>
          <w:szCs w:val="24"/>
        </w:rPr>
        <w:t>).</w:t>
      </w:r>
    </w:p>
    <w:p w14:paraId="0000001D" w14:textId="166B3E3B"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While much of the evidence for dimensionality is circumstantial, taxometric analyses, originally introduced by Paul Meehl and colleagues (</w:t>
      </w:r>
      <w:hyperlink w:anchor="_heading=h.dxqbpyfrhhkz">
        <w:r>
          <w:rPr>
            <w:sz w:val="24"/>
            <w:szCs w:val="24"/>
          </w:rPr>
          <w:t>Meehl, 1995</w:t>
        </w:r>
      </w:hyperlink>
      <w:r>
        <w:rPr>
          <w:sz w:val="24"/>
          <w:szCs w:val="24"/>
        </w:rPr>
        <w:t xml:space="preserve">), were developed to provide a direct empirical test of whether latent clinical construct </w:t>
      </w:r>
      <w:r w:rsidR="00ED3956">
        <w:rPr>
          <w:sz w:val="24"/>
          <w:szCs w:val="24"/>
        </w:rPr>
        <w:t>are</w:t>
      </w:r>
      <w:r>
        <w:rPr>
          <w:sz w:val="24"/>
          <w:szCs w:val="24"/>
        </w:rPr>
        <w:t xml:space="preserve"> categorical (taxonic) or dimensional</w:t>
      </w:r>
      <w:r w:rsidR="00ED3956">
        <w:rPr>
          <w:sz w:val="24"/>
          <w:szCs w:val="24"/>
        </w:rPr>
        <w:t xml:space="preserve"> in nature</w:t>
      </w:r>
      <w:r>
        <w:rPr>
          <w:sz w:val="24"/>
          <w:szCs w:val="24"/>
        </w:rPr>
        <w:t xml:space="preserve">. Taxometric methods evaluate the structure of covariance among observed variables to determine whether there exists a latent boundary that divides individuals into qualitatively distinct groups. Conceptually, if such a boundary exists, it should alter and disrupt the patterns of relationships between indicators. Otherwise, the patterns are smooth and continuous across the entire range of observed values, supporting a dimensional model. Frequently used taxometric procedures include MAMBAC (Mean Above Minus Below A Cut), MAXCOV (Maximum Covariance), MAXEIG (Maximum Eigenvalue), and L-Mode (Latent Mode Factor Analysis) (Cole, 2004; Ruscio, 2007; Ruscio &amp; Ruscio, 2004a). </w:t>
      </w:r>
      <w:r w:rsidR="008B63F4">
        <w:rPr>
          <w:sz w:val="24"/>
          <w:szCs w:val="24"/>
        </w:rPr>
        <w:t>R</w:t>
      </w:r>
      <w:r>
        <w:rPr>
          <w:sz w:val="24"/>
          <w:szCs w:val="24"/>
        </w:rPr>
        <w:t xml:space="preserve">ecently, simulation-based tools such as the Comparison Curve Fit Index (CCFI) have been introduced to provide objective, quantitative indices of fit between observed data and simulated taxonic versus dimensional comparison curves, facilitating inference (Ruscio et al., 2018). </w:t>
      </w:r>
    </w:p>
    <w:p w14:paraId="0000001E" w14:textId="33660D6A" w:rsidR="007D2FA2" w:rsidRDefault="005E6FDF">
      <w:pPr>
        <w:pBdr>
          <w:top w:val="nil"/>
          <w:left w:val="nil"/>
          <w:bottom w:val="nil"/>
          <w:right w:val="nil"/>
          <w:between w:val="nil"/>
        </w:pBdr>
        <w:spacing w:line="480" w:lineRule="auto"/>
        <w:ind w:right="357" w:firstLine="720"/>
        <w:rPr>
          <w:sz w:val="24"/>
          <w:szCs w:val="24"/>
        </w:rPr>
      </w:pPr>
      <w:r>
        <w:rPr>
          <w:sz w:val="24"/>
          <w:szCs w:val="24"/>
        </w:rPr>
        <w:t>Taxometric analyses have been widely applied in adult psychopathology, generally supporting dimensional structures for most adult psychiatric conditions (Haslam et al., 2012; Haslam et al., 2020). However, their use in neurodevelopmental research has remained limited, though the importance of taxometric methods as explicit tests for determining whether childhood disorders are categorical or dimensional has been repeatedly emphasized (Sonuga-Barke, 1998; Beauchaine, 2003; Coghill &amp; Sonuga-Barke, 2012). In their debate on whether ASD reflects a category or a continuum, Happé and Frith (</w:t>
      </w:r>
      <w:hyperlink w:anchor="_heading=h.q43z9ku1hzxj">
        <w:r>
          <w:rPr>
            <w:sz w:val="24"/>
            <w:szCs w:val="24"/>
          </w:rPr>
          <w:t>2021</w:t>
        </w:r>
      </w:hyperlink>
      <w:r>
        <w:rPr>
          <w:sz w:val="24"/>
          <w:szCs w:val="24"/>
        </w:rPr>
        <w:t>) and Chown and Leatherland (</w:t>
      </w:r>
      <w:hyperlink w:anchor="_heading=h.c551auvciqco">
        <w:r>
          <w:rPr>
            <w:sz w:val="24"/>
            <w:szCs w:val="24"/>
          </w:rPr>
          <w:t>2021</w:t>
        </w:r>
      </w:hyperlink>
      <w:r>
        <w:rPr>
          <w:sz w:val="24"/>
          <w:szCs w:val="24"/>
        </w:rPr>
        <w:t xml:space="preserve">) do not mention such methods. In their review, Astle et al. (2022) briefly </w:t>
      </w:r>
      <w:r>
        <w:rPr>
          <w:sz w:val="24"/>
          <w:szCs w:val="24"/>
        </w:rPr>
        <w:lastRenderedPageBreak/>
        <w:t>acknowledge taxometry, but predominantly emphasize studies using cluster analysis (a family of data-driven methods aimed at grouping individuals based on similarity across multiple variables). However, the limitations of clustering methods for assessing taxonicity have been discussed for decades: clustering algorithms tend to impose (rather than test for) categorical structures, they provide weak tests of taxonicity, and often fail to recover known taxa in simulations (</w:t>
      </w:r>
      <w:hyperlink w:anchor="_heading=h.z4vdbbo3gpvn">
        <w:r>
          <w:rPr>
            <w:sz w:val="24"/>
            <w:szCs w:val="24"/>
          </w:rPr>
          <w:t>Beauchaine, 2003</w:t>
        </w:r>
      </w:hyperlink>
      <w:r>
        <w:rPr>
          <w:sz w:val="24"/>
          <w:szCs w:val="24"/>
        </w:rPr>
        <w:t xml:space="preserve">; </w:t>
      </w:r>
      <w:hyperlink w:anchor="_heading=h.oufmb6f03e7z">
        <w:r>
          <w:rPr>
            <w:sz w:val="24"/>
            <w:szCs w:val="24"/>
          </w:rPr>
          <w:t>Ruscio &amp; Ruscio, 2004b</w:t>
        </w:r>
      </w:hyperlink>
      <w:r>
        <w:rPr>
          <w:sz w:val="24"/>
          <w:szCs w:val="24"/>
        </w:rPr>
        <w:t xml:space="preserve">). Recent simulations using psychometrically realistic data suggest that commonly used clustering methods are prone to </w:t>
      </w:r>
      <w:r w:rsidR="00BC6431">
        <w:rPr>
          <w:sz w:val="24"/>
          <w:szCs w:val="24"/>
        </w:rPr>
        <w:t>inflate the</w:t>
      </w:r>
      <w:r>
        <w:rPr>
          <w:sz w:val="24"/>
          <w:szCs w:val="24"/>
        </w:rPr>
        <w:t xml:space="preserve"> number of </w:t>
      </w:r>
      <w:r w:rsidR="00BC6431">
        <w:rPr>
          <w:sz w:val="24"/>
          <w:szCs w:val="24"/>
        </w:rPr>
        <w:t xml:space="preserve">detected </w:t>
      </w:r>
      <w:r>
        <w:rPr>
          <w:sz w:val="24"/>
          <w:szCs w:val="24"/>
        </w:rPr>
        <w:t>clusters</w:t>
      </w:r>
      <w:r w:rsidR="00BC6431">
        <w:rPr>
          <w:sz w:val="24"/>
          <w:szCs w:val="24"/>
        </w:rPr>
        <w:t xml:space="preserve"> </w:t>
      </w:r>
      <w:r>
        <w:rPr>
          <w:sz w:val="24"/>
          <w:szCs w:val="24"/>
        </w:rPr>
        <w:t>(</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Indeed, Astle et al. (</w:t>
      </w:r>
      <w:hyperlink w:anchor="_heading=h.9ncjwgnoho5p">
        <w:r>
          <w:rPr>
            <w:sz w:val="24"/>
            <w:szCs w:val="24"/>
          </w:rPr>
          <w:t>2022</w:t>
        </w:r>
      </w:hyperlink>
      <w:r>
        <w:rPr>
          <w:sz w:val="24"/>
          <w:szCs w:val="24"/>
        </w:rPr>
        <w:t xml:space="preserve">) interpreted clustering results as evidence that data-driven groups </w:t>
      </w:r>
      <w:r w:rsidR="00BC6431">
        <w:rPr>
          <w:sz w:val="24"/>
          <w:szCs w:val="24"/>
        </w:rPr>
        <w:t>fail to</w:t>
      </w:r>
      <w:r>
        <w:rPr>
          <w:sz w:val="24"/>
          <w:szCs w:val="24"/>
        </w:rPr>
        <w:t xml:space="preserve"> align with DSM-5 categories, rather than as strong tests of </w:t>
      </w:r>
      <w:r w:rsidR="00BC6431">
        <w:rPr>
          <w:sz w:val="24"/>
          <w:szCs w:val="24"/>
        </w:rPr>
        <w:t>taxonicity</w:t>
      </w:r>
      <w:r>
        <w:rPr>
          <w:sz w:val="24"/>
          <w:szCs w:val="24"/>
        </w:rPr>
        <w:t>.</w:t>
      </w:r>
    </w:p>
    <w:p w14:paraId="00000021" w14:textId="454F1AC8"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Like any method, taxometric analysis has its limitations. Commonly cited </w:t>
      </w:r>
      <w:r w:rsidR="000D3A24">
        <w:rPr>
          <w:sz w:val="24"/>
          <w:szCs w:val="24"/>
        </w:rPr>
        <w:t>sources of bias in taxometric conclusions</w:t>
      </w:r>
      <w:r>
        <w:rPr>
          <w:sz w:val="24"/>
          <w:szCs w:val="24"/>
        </w:rPr>
        <w:t xml:space="preserve"> include poor indicator validity, nuisance covariance, low base rate</w:t>
      </w:r>
      <w:r w:rsidR="00AA5D37">
        <w:rPr>
          <w:sz w:val="24"/>
          <w:szCs w:val="24"/>
        </w:rPr>
        <w:t xml:space="preserve">, </w:t>
      </w:r>
      <w:r>
        <w:rPr>
          <w:sz w:val="24"/>
          <w:szCs w:val="24"/>
        </w:rPr>
        <w:t>and artificial admixture</w:t>
      </w:r>
      <w:r w:rsidR="00C02544">
        <w:rPr>
          <w:sz w:val="24"/>
          <w:szCs w:val="24"/>
        </w:rPr>
        <w:t>/</w:t>
      </w:r>
      <w:r w:rsidR="00BC3287">
        <w:rPr>
          <w:sz w:val="24"/>
          <w:szCs w:val="24"/>
        </w:rPr>
        <w:t>compound</w:t>
      </w:r>
      <w:r w:rsidR="00C02544">
        <w:rPr>
          <w:sz w:val="24"/>
          <w:szCs w:val="24"/>
        </w:rPr>
        <w:t xml:space="preserve"> sampling</w:t>
      </w:r>
      <w:r>
        <w:rPr>
          <w:sz w:val="24"/>
          <w:szCs w:val="24"/>
        </w:rPr>
        <w:t xml:space="preserve"> (</w:t>
      </w:r>
      <w:hyperlink w:anchor="_heading=h.pe22nf4l7zzj">
        <w:r>
          <w:rPr>
            <w:sz w:val="24"/>
            <w:szCs w:val="24"/>
          </w:rPr>
          <w:t>Cole, 2004</w:t>
        </w:r>
      </w:hyperlink>
      <w:r>
        <w:rPr>
          <w:sz w:val="24"/>
          <w:szCs w:val="24"/>
        </w:rPr>
        <w:t xml:space="preserve">; </w:t>
      </w:r>
      <w:hyperlink w:anchor="_heading=h.5cmxbt7tvimw">
        <w:r>
          <w:rPr>
            <w:sz w:val="24"/>
            <w:szCs w:val="24"/>
          </w:rPr>
          <w:t>Haslam et al., 2020</w:t>
        </w:r>
      </w:hyperlink>
      <w:r>
        <w:rPr>
          <w:sz w:val="24"/>
          <w:szCs w:val="24"/>
        </w:rPr>
        <w:t xml:space="preserve">; </w:t>
      </w:r>
      <w:hyperlink w:anchor="_heading=h.ex3avwwqkeun">
        <w:r>
          <w:rPr>
            <w:sz w:val="24"/>
            <w:szCs w:val="24"/>
          </w:rPr>
          <w:t>Ruscio et al., 2018</w:t>
        </w:r>
      </w:hyperlink>
      <w:r>
        <w:rPr>
          <w:sz w:val="24"/>
          <w:szCs w:val="24"/>
        </w:rPr>
        <w:t xml:space="preserve">; </w:t>
      </w:r>
      <w:hyperlink w:anchor="_heading=h.pq1qz17tdmxe">
        <w:r>
          <w:rPr>
            <w:sz w:val="24"/>
            <w:szCs w:val="24"/>
          </w:rPr>
          <w:t>Ruscio &amp; Ruscio, 2004a</w:t>
        </w:r>
      </w:hyperlink>
      <w:r>
        <w:rPr>
          <w:sz w:val="24"/>
          <w:szCs w:val="24"/>
        </w:rPr>
        <w:t>).</w:t>
      </w:r>
      <w:r w:rsidR="00BC6431">
        <w:rPr>
          <w:sz w:val="24"/>
          <w:szCs w:val="24"/>
        </w:rPr>
        <w:t xml:space="preserve"> </w:t>
      </w:r>
      <w:r>
        <w:rPr>
          <w:sz w:val="24"/>
          <w:szCs w:val="24"/>
        </w:rPr>
        <w:t xml:space="preserve">Poor indicator validity implies that indicators present little mean difference between individuals with and without the target condition. Ideally, Cohen’s </w:t>
      </w:r>
      <w:r>
        <w:rPr>
          <w:i/>
          <w:sz w:val="24"/>
          <w:szCs w:val="24"/>
        </w:rPr>
        <w:t xml:space="preserve">d </w:t>
      </w:r>
      <w:r>
        <w:rPr>
          <w:sz w:val="24"/>
          <w:szCs w:val="24"/>
        </w:rPr>
        <w:t xml:space="preserve">for each indicator should substantially exceed </w:t>
      </w:r>
      <w:r w:rsidR="00C65648">
        <w:rPr>
          <w:sz w:val="24"/>
          <w:szCs w:val="24"/>
        </w:rPr>
        <w:t>1</w:t>
      </w:r>
      <w:r>
        <w:rPr>
          <w:sz w:val="24"/>
          <w:szCs w:val="24"/>
        </w:rPr>
        <w:t xml:space="preserve">. Nuisance covariance refers to strong residual correlations among indicators after accounting for group membership, indicating </w:t>
      </w:r>
      <w:r w:rsidR="00C65648">
        <w:rPr>
          <w:sz w:val="24"/>
          <w:szCs w:val="24"/>
        </w:rPr>
        <w:t>redundant information</w:t>
      </w:r>
      <w:r>
        <w:rPr>
          <w:sz w:val="24"/>
          <w:szCs w:val="24"/>
        </w:rPr>
        <w:t xml:space="preserve">. Low base rate </w:t>
      </w:r>
      <w:r w:rsidR="00B05B3F">
        <w:rPr>
          <w:sz w:val="24"/>
          <w:szCs w:val="24"/>
        </w:rPr>
        <w:t>implies</w:t>
      </w:r>
      <w:r>
        <w:rPr>
          <w:sz w:val="24"/>
          <w:szCs w:val="24"/>
        </w:rPr>
        <w:t xml:space="preserve"> that too few individuals in the sample belong to the taxon, limiting power</w:t>
      </w:r>
      <w:r w:rsidR="00C65648">
        <w:rPr>
          <w:sz w:val="24"/>
          <w:szCs w:val="24"/>
        </w:rPr>
        <w:t xml:space="preserve"> to detect it</w:t>
      </w:r>
      <w:r>
        <w:rPr>
          <w:sz w:val="24"/>
          <w:szCs w:val="24"/>
        </w:rPr>
        <w:t xml:space="preserve"> (</w:t>
      </w:r>
      <w:r>
        <w:rPr>
          <w:i/>
          <w:sz w:val="24"/>
          <w:szCs w:val="24"/>
        </w:rPr>
        <w:t>n</w:t>
      </w:r>
      <w:r w:rsidR="00C65648">
        <w:rPr>
          <w:i/>
          <w:sz w:val="24"/>
          <w:szCs w:val="24"/>
        </w:rPr>
        <w:t>&gt;</w:t>
      </w:r>
      <w:r>
        <w:rPr>
          <w:sz w:val="24"/>
          <w:szCs w:val="24"/>
        </w:rPr>
        <w:t xml:space="preserve">30 for the taxonic group </w:t>
      </w:r>
      <w:r w:rsidR="00C65648">
        <w:rPr>
          <w:sz w:val="24"/>
          <w:szCs w:val="24"/>
        </w:rPr>
        <w:t>is</w:t>
      </w:r>
      <w:r>
        <w:rPr>
          <w:sz w:val="24"/>
          <w:szCs w:val="24"/>
        </w:rPr>
        <w:t xml:space="preserve"> usually </w:t>
      </w:r>
      <w:r w:rsidR="00C65648">
        <w:rPr>
          <w:sz w:val="24"/>
          <w:szCs w:val="24"/>
        </w:rPr>
        <w:t>considered necessary</w:t>
      </w:r>
      <w:r>
        <w:rPr>
          <w:sz w:val="24"/>
          <w:szCs w:val="24"/>
        </w:rPr>
        <w:t>)</w:t>
      </w:r>
      <w:r w:rsidR="00C65648">
        <w:rPr>
          <w:sz w:val="24"/>
          <w:szCs w:val="24"/>
        </w:rPr>
        <w:t>, which</w:t>
      </w:r>
      <w:r>
        <w:rPr>
          <w:sz w:val="24"/>
          <w:szCs w:val="24"/>
        </w:rPr>
        <w:t xml:space="preserve"> is </w:t>
      </w:r>
      <w:r w:rsidR="00C65648">
        <w:rPr>
          <w:sz w:val="24"/>
          <w:szCs w:val="24"/>
        </w:rPr>
        <w:t>problematic</w:t>
      </w:r>
      <w:r>
        <w:rPr>
          <w:sz w:val="24"/>
          <w:szCs w:val="24"/>
        </w:rPr>
        <w:t xml:space="preserve"> when studying rare conditions.</w:t>
      </w:r>
      <w:r w:rsidR="00BE7E9F">
        <w:rPr>
          <w:sz w:val="24"/>
          <w:szCs w:val="24"/>
        </w:rPr>
        <w:t xml:space="preserve"> </w:t>
      </w:r>
      <w:r w:rsidR="00EC1A6B">
        <w:rPr>
          <w:sz w:val="24"/>
          <w:szCs w:val="24"/>
        </w:rPr>
        <w:t>Finally,</w:t>
      </w:r>
      <w:r w:rsidR="00526E23">
        <w:rPr>
          <w:sz w:val="24"/>
          <w:szCs w:val="24"/>
        </w:rPr>
        <w:t xml:space="preserve"> </w:t>
      </w:r>
      <w:r>
        <w:rPr>
          <w:sz w:val="24"/>
          <w:szCs w:val="24"/>
        </w:rPr>
        <w:t>admixture</w:t>
      </w:r>
      <w:r w:rsidR="00670B13">
        <w:rPr>
          <w:sz w:val="24"/>
          <w:szCs w:val="24"/>
        </w:rPr>
        <w:t>/</w:t>
      </w:r>
      <w:r w:rsidR="00FA5AF5">
        <w:rPr>
          <w:sz w:val="24"/>
          <w:szCs w:val="24"/>
        </w:rPr>
        <w:t>compound sampling</w:t>
      </w:r>
      <w:r w:rsidR="00BC6431">
        <w:rPr>
          <w:sz w:val="24"/>
          <w:szCs w:val="24"/>
        </w:rPr>
        <w:t xml:space="preserve"> </w:t>
      </w:r>
      <w:r>
        <w:rPr>
          <w:sz w:val="24"/>
          <w:szCs w:val="24"/>
        </w:rPr>
        <w:t>occurs when participants are combined from different recruitment sources or selection criteri</w:t>
      </w:r>
      <w:r w:rsidR="00565815">
        <w:rPr>
          <w:sz w:val="24"/>
          <w:szCs w:val="24"/>
        </w:rPr>
        <w:t>a</w:t>
      </w:r>
      <w:r>
        <w:rPr>
          <w:sz w:val="24"/>
          <w:szCs w:val="24"/>
        </w:rPr>
        <w:t xml:space="preserve">. </w:t>
      </w:r>
      <w:sdt>
        <w:sdtPr>
          <w:tag w:val="goog_rdk_0"/>
          <w:id w:val="403582432"/>
        </w:sdtPr>
        <w:sdtContent/>
      </w:sdt>
      <w:sdt>
        <w:sdtPr>
          <w:tag w:val="goog_rdk_1"/>
          <w:id w:val="1046302411"/>
        </w:sdtPr>
        <w:sdtContent/>
      </w:sdt>
      <w:r>
        <w:rPr>
          <w:sz w:val="24"/>
          <w:szCs w:val="24"/>
        </w:rPr>
        <w:t>Ruscio and Ruscio (</w:t>
      </w:r>
      <w:hyperlink r:id="rId11" w:anchor="heading=h.pq1qz17tdmxe">
        <w:r>
          <w:rPr>
            <w:sz w:val="24"/>
            <w:szCs w:val="24"/>
          </w:rPr>
          <w:t>2004a</w:t>
        </w:r>
      </w:hyperlink>
      <w:r>
        <w:rPr>
          <w:sz w:val="24"/>
          <w:szCs w:val="24"/>
        </w:rPr>
        <w:t xml:space="preserve">) </w:t>
      </w:r>
      <w:r w:rsidR="003B3EBC" w:rsidRPr="003B3EBC">
        <w:rPr>
          <w:sz w:val="24"/>
          <w:szCs w:val="24"/>
        </w:rPr>
        <w:t>three sampling practices that may lead to pseudotaxonic results</w:t>
      </w:r>
      <w:r>
        <w:rPr>
          <w:sz w:val="24"/>
          <w:szCs w:val="24"/>
        </w:rPr>
        <w:t xml:space="preserve">. First, when clinical and nonclinical participants are </w:t>
      </w:r>
      <w:r>
        <w:rPr>
          <w:sz w:val="24"/>
          <w:szCs w:val="24"/>
        </w:rPr>
        <w:lastRenderedPageBreak/>
        <w:t>separately recruited and merged into a single sample</w:t>
      </w:r>
      <w:r w:rsidR="005952BC">
        <w:rPr>
          <w:sz w:val="24"/>
          <w:szCs w:val="24"/>
        </w:rPr>
        <w:t xml:space="preserve">, </w:t>
      </w:r>
      <w:r w:rsidR="00565815">
        <w:rPr>
          <w:sz w:val="24"/>
          <w:szCs w:val="24"/>
        </w:rPr>
        <w:t>often as an attempt to compensate for a low base rate</w:t>
      </w:r>
      <w:r>
        <w:rPr>
          <w:sz w:val="24"/>
          <w:szCs w:val="24"/>
        </w:rPr>
        <w:t>. Second, when a sample is artificially split into subsamples based on different selection criteria, and these are then used to test taxometric questions</w:t>
      </w:r>
      <w:r>
        <w:rPr>
          <w:b/>
          <w:sz w:val="24"/>
          <w:szCs w:val="24"/>
        </w:rPr>
        <w:t xml:space="preserve"> </w:t>
      </w:r>
      <w:r>
        <w:rPr>
          <w:sz w:val="24"/>
          <w:szCs w:val="24"/>
        </w:rPr>
        <w:t>(“subtractive” compound sampling</w:t>
      </w:r>
      <w:r w:rsidR="007E3C96">
        <w:rPr>
          <w:sz w:val="24"/>
          <w:szCs w:val="24"/>
        </w:rPr>
        <w:t>;</w:t>
      </w:r>
      <w:r>
        <w:rPr>
          <w:sz w:val="24"/>
          <w:szCs w:val="24"/>
        </w:rPr>
        <w:t xml:space="preserve"> </w:t>
      </w:r>
      <w:hyperlink r:id="rId12" w:anchor="heading=h.5cmxbt7tvimw">
        <w:r>
          <w:rPr>
            <w:sz w:val="24"/>
            <w:szCs w:val="24"/>
          </w:rPr>
          <w:t>Haslam et al., 2020</w:t>
        </w:r>
      </w:hyperlink>
      <w:r>
        <w:rPr>
          <w:sz w:val="24"/>
          <w:szCs w:val="24"/>
        </w:rPr>
        <w:t xml:space="preserve">). Third, when researchers trim observations from the putative complement (individuals without a diagnosis) to inflate the base rate of the taxon. All these scenarios tend to artificially impose categorical structures onto data that might be </w:t>
      </w:r>
      <w:r w:rsidR="00154F55">
        <w:rPr>
          <w:sz w:val="24"/>
          <w:szCs w:val="24"/>
        </w:rPr>
        <w:t>strictly</w:t>
      </w:r>
      <w:r w:rsidR="003B3EBC">
        <w:rPr>
          <w:sz w:val="24"/>
          <w:szCs w:val="24"/>
        </w:rPr>
        <w:t xml:space="preserve"> </w:t>
      </w:r>
      <w:r>
        <w:rPr>
          <w:sz w:val="24"/>
          <w:szCs w:val="24"/>
        </w:rPr>
        <w:t>dimensional.</w:t>
      </w:r>
    </w:p>
    <w:p w14:paraId="00000022" w14:textId="77777777" w:rsidR="007D2FA2" w:rsidRDefault="00000000">
      <w:pPr>
        <w:pStyle w:val="Heading1"/>
        <w:spacing w:before="0" w:line="480" w:lineRule="auto"/>
        <w:rPr>
          <w:b w:val="0"/>
        </w:rPr>
      </w:pPr>
      <w:bookmarkStart w:id="0" w:name="bookmark=id.go7llwuq21lb" w:colFirst="0" w:colLast="0"/>
      <w:bookmarkEnd w:id="0"/>
      <w:r>
        <w:t>Goals of the Present Review</w:t>
      </w:r>
    </w:p>
    <w:p w14:paraId="00000023" w14:textId="5F65C159" w:rsidR="007D2FA2" w:rsidRDefault="0032588E">
      <w:pPr>
        <w:pBdr>
          <w:top w:val="nil"/>
          <w:left w:val="nil"/>
          <w:bottom w:val="nil"/>
          <w:right w:val="nil"/>
          <w:between w:val="nil"/>
        </w:pBdr>
        <w:spacing w:line="480" w:lineRule="auto"/>
        <w:ind w:right="357" w:firstLine="720"/>
        <w:rPr>
          <w:sz w:val="24"/>
          <w:szCs w:val="24"/>
        </w:rPr>
      </w:pPr>
      <w:r>
        <w:rPr>
          <w:sz w:val="24"/>
          <w:szCs w:val="24"/>
        </w:rPr>
        <w:t xml:space="preserve">We aimed to critically review the use of taxometric methods in published studies of NDCs. We focused on the most commonly investigated categories: Autism Spectrum Disorder (ASD), Attention-Deficit/Hyperactivity Disorder (ADHD), Learning Disorders, and the closely related condition of Language Impairment/Disorder (the latter constitutes a minor deviation from the preregistration protocol). We excluded Intellectual Disability, </w:t>
      </w:r>
      <w:r w:rsidR="00C33297">
        <w:rPr>
          <w:sz w:val="24"/>
          <w:szCs w:val="24"/>
        </w:rPr>
        <w:t>whose</w:t>
      </w:r>
      <w:r>
        <w:rPr>
          <w:sz w:val="24"/>
          <w:szCs w:val="24"/>
        </w:rPr>
        <w:t xml:space="preserve"> etiology is often identifiable and taxonic/syndromic by definition (e.g., Down syndrome), or linked to </w:t>
      </w:r>
      <w:r w:rsidR="006C435F">
        <w:rPr>
          <w:sz w:val="24"/>
          <w:szCs w:val="24"/>
        </w:rPr>
        <w:t>specific</w:t>
      </w:r>
      <w:r>
        <w:rPr>
          <w:sz w:val="24"/>
          <w:szCs w:val="24"/>
        </w:rPr>
        <w:t xml:space="preserve"> medical risk factors.</w:t>
      </w:r>
    </w:p>
    <w:p w14:paraId="00000024" w14:textId="6A23E92A" w:rsidR="007D2FA2" w:rsidRDefault="00000000">
      <w:pPr>
        <w:pBdr>
          <w:top w:val="nil"/>
          <w:left w:val="nil"/>
          <w:bottom w:val="nil"/>
          <w:right w:val="nil"/>
          <w:between w:val="nil"/>
        </w:pBdr>
        <w:spacing w:line="480" w:lineRule="auto"/>
        <w:ind w:right="357" w:firstLine="720"/>
        <w:rPr>
          <w:sz w:val="24"/>
          <w:szCs w:val="24"/>
        </w:rPr>
      </w:pPr>
      <w:r>
        <w:rPr>
          <w:sz w:val="24"/>
          <w:szCs w:val="24"/>
        </w:rPr>
        <w:t>A crucial goal was to assess the methodological quality and credibility of taxometric findings. We evaluated potential sources of bias, such as artificial admixture, and assessed whether studies provided methodological information to evaluate other known threats to validity</w:t>
      </w:r>
      <w:r w:rsidR="00E01C54">
        <w:rPr>
          <w:sz w:val="24"/>
          <w:szCs w:val="24"/>
        </w:rPr>
        <w:t xml:space="preserve">: </w:t>
      </w:r>
      <w:r>
        <w:rPr>
          <w:sz w:val="24"/>
          <w:szCs w:val="24"/>
        </w:rPr>
        <w:t>low indicator validity,</w:t>
      </w:r>
      <w:r w:rsidR="00236999">
        <w:rPr>
          <w:sz w:val="24"/>
          <w:szCs w:val="24"/>
        </w:rPr>
        <w:t xml:space="preserve"> </w:t>
      </w:r>
      <w:r>
        <w:rPr>
          <w:sz w:val="24"/>
          <w:szCs w:val="24"/>
        </w:rPr>
        <w:t>high nuisance covariance</w:t>
      </w:r>
      <w:r w:rsidR="00236999">
        <w:rPr>
          <w:sz w:val="24"/>
          <w:szCs w:val="24"/>
        </w:rPr>
        <w:t xml:space="preserve">, indicators skewness </w:t>
      </w:r>
      <w:r w:rsidR="00236999" w:rsidRPr="00236999">
        <w:rPr>
          <w:sz w:val="24"/>
          <w:szCs w:val="24"/>
        </w:rPr>
        <w:t>(</w:t>
      </w:r>
      <w:r w:rsidR="00236999">
        <w:rPr>
          <w:sz w:val="24"/>
          <w:szCs w:val="24"/>
        </w:rPr>
        <w:t>extreme</w:t>
      </w:r>
      <w:r w:rsidR="00236999" w:rsidRPr="00236999">
        <w:rPr>
          <w:sz w:val="24"/>
          <w:szCs w:val="24"/>
        </w:rPr>
        <w:t xml:space="preserve"> skewness can </w:t>
      </w:r>
      <w:r w:rsidR="00236999">
        <w:rPr>
          <w:sz w:val="24"/>
          <w:szCs w:val="24"/>
        </w:rPr>
        <w:t xml:space="preserve">also </w:t>
      </w:r>
      <w:r w:rsidR="00236999" w:rsidRPr="00236999">
        <w:rPr>
          <w:sz w:val="24"/>
          <w:szCs w:val="24"/>
        </w:rPr>
        <w:t>create the illusion of categorical structure</w:t>
      </w:r>
      <w:r w:rsidR="00236999">
        <w:rPr>
          <w:sz w:val="24"/>
          <w:szCs w:val="24"/>
        </w:rPr>
        <w:t>s</w:t>
      </w:r>
      <w:r w:rsidR="00236999" w:rsidRPr="00236999">
        <w:rPr>
          <w:sz w:val="24"/>
          <w:szCs w:val="24"/>
        </w:rPr>
        <w:t>,</w:t>
      </w:r>
      <w:r w:rsidR="00236999">
        <w:rPr>
          <w:sz w:val="24"/>
          <w:szCs w:val="24"/>
        </w:rPr>
        <w:t xml:space="preserve"> Ruscio &amp; Ruscio, 2004a, 2004b</w:t>
      </w:r>
      <w:r w:rsidR="003225EE">
        <w:rPr>
          <w:sz w:val="24"/>
          <w:szCs w:val="24"/>
        </w:rPr>
        <w:t>; this</w:t>
      </w:r>
      <w:r w:rsidR="00236999" w:rsidRPr="00236999">
        <w:rPr>
          <w:sz w:val="24"/>
          <w:szCs w:val="24"/>
        </w:rPr>
        <w:t xml:space="preserve"> might be relevant when assessing rare or extreme behaviors)</w:t>
      </w:r>
      <w:r w:rsidR="00236999">
        <w:rPr>
          <w:sz w:val="24"/>
          <w:szCs w:val="24"/>
        </w:rPr>
        <w:t>.</w:t>
      </w:r>
    </w:p>
    <w:p w14:paraId="00000025" w14:textId="63EB0DBE" w:rsidR="007D2FA2" w:rsidRDefault="00C33297">
      <w:pPr>
        <w:pBdr>
          <w:top w:val="nil"/>
          <w:left w:val="nil"/>
          <w:bottom w:val="nil"/>
          <w:right w:val="nil"/>
          <w:between w:val="nil"/>
        </w:pBdr>
        <w:spacing w:line="480" w:lineRule="auto"/>
        <w:ind w:right="357" w:firstLine="720"/>
        <w:rPr>
          <w:sz w:val="24"/>
          <w:szCs w:val="24"/>
        </w:rPr>
      </w:pPr>
      <w:r>
        <w:rPr>
          <w:sz w:val="24"/>
          <w:szCs w:val="24"/>
        </w:rPr>
        <w:t>Finally, we conduct</w:t>
      </w:r>
      <w:r w:rsidR="00E350EF">
        <w:rPr>
          <w:sz w:val="24"/>
          <w:szCs w:val="24"/>
        </w:rPr>
        <w:t>ed</w:t>
      </w:r>
      <w:r>
        <w:rPr>
          <w:sz w:val="24"/>
          <w:szCs w:val="24"/>
        </w:rPr>
        <w:t xml:space="preserve"> a Monte Carlo simulation study to empirically illustrate the extent to which artificial admixture can lead to the risk to reaching taxonic conclusions in </w:t>
      </w:r>
      <w:r>
        <w:rPr>
          <w:sz w:val="24"/>
          <w:szCs w:val="24"/>
        </w:rPr>
        <w:lastRenderedPageBreak/>
        <w:t>otherwise dimensional data. We simulate</w:t>
      </w:r>
      <w:r w:rsidR="003F3E42">
        <w:rPr>
          <w:sz w:val="24"/>
          <w:szCs w:val="24"/>
        </w:rPr>
        <w:t>d</w:t>
      </w:r>
      <w:r>
        <w:rPr>
          <w:sz w:val="24"/>
          <w:szCs w:val="24"/>
        </w:rPr>
        <w:t xml:space="preserve"> a dimensional scenario where clinical and nonclinical participants are separately recruited and merged into a single sample; taxometric (and model-based cluster) analyses </w:t>
      </w:r>
      <w:r w:rsidR="003F3E42">
        <w:rPr>
          <w:sz w:val="24"/>
          <w:szCs w:val="24"/>
        </w:rPr>
        <w:t>were</w:t>
      </w:r>
      <w:r>
        <w:rPr>
          <w:sz w:val="24"/>
          <w:szCs w:val="24"/>
        </w:rPr>
        <w:t xml:space="preserve"> then performed on a set of observed indicators reflecting the latent clinical dimension. </w:t>
      </w:r>
    </w:p>
    <w:p w14:paraId="00000026" w14:textId="77777777" w:rsidR="007D2FA2" w:rsidRDefault="007D2FA2">
      <w:pPr>
        <w:pStyle w:val="Heading1"/>
        <w:spacing w:before="0" w:line="480" w:lineRule="auto"/>
        <w:ind w:left="2054"/>
      </w:pPr>
    </w:p>
    <w:p w14:paraId="00000027" w14:textId="77777777" w:rsidR="007D2FA2" w:rsidRDefault="00000000" w:rsidP="001D115C">
      <w:pPr>
        <w:spacing w:line="480" w:lineRule="auto"/>
        <w:jc w:val="center"/>
        <w:rPr>
          <w:b/>
          <w:sz w:val="24"/>
          <w:szCs w:val="24"/>
        </w:rPr>
      </w:pPr>
      <w:r>
        <w:rPr>
          <w:b/>
          <w:sz w:val="24"/>
          <w:szCs w:val="24"/>
        </w:rPr>
        <w:t>Methods</w:t>
      </w:r>
    </w:p>
    <w:p w14:paraId="00000028" w14:textId="1FEB1AD4"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systematic review was conducted in accordance with the </w:t>
      </w:r>
      <w:r>
        <w:rPr>
          <w:i/>
          <w:sz w:val="24"/>
          <w:szCs w:val="24"/>
        </w:rPr>
        <w:t>Preferred Reporting items for Systematic Reviews and Meta-Analysis</w:t>
      </w:r>
      <w:r>
        <w:rPr>
          <w:sz w:val="24"/>
          <w:szCs w:val="24"/>
        </w:rPr>
        <w:t xml:space="preserve"> (PRISMA) 2020 guidelines. A review protocol was preregistered on OSF registries at: https://osf.io/65y9g/?view_only=91e97c6b00dc444abb83fefcf67cbac0</w:t>
      </w:r>
    </w:p>
    <w:p w14:paraId="00000029" w14:textId="77777777" w:rsidR="007D2FA2" w:rsidRDefault="00000000">
      <w:pPr>
        <w:pStyle w:val="Heading2"/>
        <w:spacing w:before="0" w:line="480" w:lineRule="auto"/>
      </w:pPr>
      <w:bookmarkStart w:id="1" w:name="bookmark=id.v45pyopmreok" w:colFirst="0" w:colLast="0"/>
      <w:bookmarkEnd w:id="1"/>
      <w:r>
        <w:t>Sources and Search strategy</w:t>
      </w:r>
    </w:p>
    <w:p w14:paraId="0000002A" w14:textId="26290D82" w:rsidR="007D2FA2" w:rsidRDefault="00000000">
      <w:pPr>
        <w:pBdr>
          <w:top w:val="nil"/>
          <w:left w:val="nil"/>
          <w:bottom w:val="nil"/>
          <w:right w:val="nil"/>
          <w:between w:val="nil"/>
        </w:pBdr>
        <w:spacing w:line="480" w:lineRule="auto"/>
        <w:ind w:right="357" w:firstLine="720"/>
        <w:rPr>
          <w:sz w:val="24"/>
          <w:szCs w:val="24"/>
        </w:rPr>
      </w:pPr>
      <w:r>
        <w:rPr>
          <w:sz w:val="24"/>
          <w:szCs w:val="24"/>
        </w:rPr>
        <w:t>A systematic search for relevant peer-reviewed articles was conducted in April 2025 using four electronic databases: PsycINFO, PubMed, Scopus, and Web of Science. No time limits were applied. The following search query, reflecting the methods and populations of interest, was applied to titles, abstracts, keywords:</w:t>
      </w:r>
    </w:p>
    <w:p w14:paraId="0000002B"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t>(("taxometric*" OR "MAMBAC" OR "MAXCOV" OR "MAXEIG" OR "L-Mode") AND ("autis*" OR "ASD" OR "attention-deficit*" OR "ADHD" OR "learning dis*" OR "reading dis*" OR "dyslexia" OR "math* dis*" OR "math* diff*"))</w:t>
      </w:r>
    </w:p>
    <w:p w14:paraId="0000002C" w14:textId="137FAFFE"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w:t>
      </w:r>
      <w:r w:rsidR="00C33297">
        <w:rPr>
          <w:sz w:val="24"/>
          <w:szCs w:val="24"/>
        </w:rPr>
        <w:t>PubMed,</w:t>
      </w:r>
      <w:r>
        <w:rPr>
          <w:sz w:val="24"/>
          <w:szCs w:val="24"/>
        </w:rPr>
        <w:t xml:space="preserve"> where the wildcard * was not supported, it was replaced with full terms (</w:t>
      </w:r>
      <w:r w:rsidR="00C33297">
        <w:rPr>
          <w:sz w:val="24"/>
          <w:szCs w:val="24"/>
        </w:rPr>
        <w:t xml:space="preserve">e.g., </w:t>
      </w:r>
      <w:r>
        <w:rPr>
          <w:sz w:val="24"/>
          <w:szCs w:val="24"/>
        </w:rPr>
        <w:t xml:space="preserve">"disorder", "disability" </w:t>
      </w:r>
      <w:r w:rsidR="00C33297">
        <w:rPr>
          <w:sz w:val="24"/>
          <w:szCs w:val="24"/>
        </w:rPr>
        <w:t>for</w:t>
      </w:r>
      <w:r>
        <w:rPr>
          <w:sz w:val="24"/>
          <w:szCs w:val="24"/>
        </w:rPr>
        <w:t xml:space="preserve"> "dis*"; "mathematical", "mathematics", "math" </w:t>
      </w:r>
      <w:r w:rsidR="00C33297">
        <w:rPr>
          <w:sz w:val="24"/>
          <w:szCs w:val="24"/>
        </w:rPr>
        <w:t>for</w:t>
      </w:r>
      <w:r>
        <w:rPr>
          <w:sz w:val="24"/>
          <w:szCs w:val="24"/>
        </w:rPr>
        <w:t xml:space="preserve"> "math*").</w:t>
      </w:r>
    </w:p>
    <w:p w14:paraId="0000002D"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Language disorder was subsequently added as a deviation from the preregistered protocol, replacing the second part of the search query with:</w:t>
      </w:r>
    </w:p>
    <w:p w14:paraId="0000002E" w14:textId="77777777" w:rsidR="007D2FA2" w:rsidRPr="00C33297" w:rsidRDefault="00000000">
      <w:pPr>
        <w:pBdr>
          <w:top w:val="nil"/>
          <w:left w:val="nil"/>
          <w:bottom w:val="nil"/>
          <w:right w:val="nil"/>
          <w:between w:val="nil"/>
        </w:pBdr>
        <w:spacing w:line="480" w:lineRule="auto"/>
        <w:rPr>
          <w:i/>
          <w:iCs/>
          <w:sz w:val="24"/>
          <w:szCs w:val="24"/>
        </w:rPr>
      </w:pPr>
      <w:r w:rsidRPr="00C33297">
        <w:rPr>
          <w:i/>
          <w:iCs/>
          <w:sz w:val="24"/>
          <w:szCs w:val="24"/>
        </w:rPr>
        <w:lastRenderedPageBreak/>
        <w:t>("language imp*" OR "language dis*")</w:t>
      </w:r>
    </w:p>
    <w:p w14:paraId="0000002F" w14:textId="5968BC02" w:rsidR="007D2FA2" w:rsidRDefault="00000000">
      <w:pPr>
        <w:pBdr>
          <w:top w:val="nil"/>
          <w:left w:val="nil"/>
          <w:bottom w:val="nil"/>
          <w:right w:val="nil"/>
          <w:between w:val="nil"/>
        </w:pBdr>
        <w:spacing w:line="480" w:lineRule="auto"/>
        <w:ind w:right="357" w:firstLine="720"/>
        <w:rPr>
          <w:sz w:val="24"/>
          <w:szCs w:val="24"/>
        </w:rPr>
      </w:pPr>
      <w:r>
        <w:rPr>
          <w:sz w:val="24"/>
          <w:szCs w:val="24"/>
        </w:rPr>
        <w:t>Additionally, the full search query was launched on Google Scholar, and the first 10 pages of results were screened manually. References cited in, and articles citing, Haslam et al. (</w:t>
      </w:r>
      <w:hyperlink w:anchor="_heading=h.5cmxbt7tvimw">
        <w:r>
          <w:rPr>
            <w:sz w:val="24"/>
            <w:szCs w:val="24"/>
          </w:rPr>
          <w:t>2020</w:t>
        </w:r>
      </w:hyperlink>
      <w:r>
        <w:rPr>
          <w:sz w:val="24"/>
          <w:szCs w:val="24"/>
        </w:rPr>
        <w:t xml:space="preserve">) were also screened via Google Scholar. Finally, an exploratory search using OpenAI’s GPT-4o “Deep Research” tool was conducted, providing the preregistration protocol as context. All </w:t>
      </w:r>
      <w:r w:rsidR="00C33297">
        <w:rPr>
          <w:sz w:val="24"/>
          <w:szCs w:val="24"/>
        </w:rPr>
        <w:t xml:space="preserve">additional </w:t>
      </w:r>
      <w:r>
        <w:rPr>
          <w:sz w:val="24"/>
          <w:szCs w:val="24"/>
        </w:rPr>
        <w:t xml:space="preserve">promising records identified through these methods were listed </w:t>
      </w:r>
      <w:bookmarkStart w:id="2" w:name="bookmark=id.6bpl03v10y46" w:colFirst="0" w:colLast="0"/>
      <w:bookmarkEnd w:id="2"/>
      <w:r>
        <w:rPr>
          <w:sz w:val="24"/>
          <w:szCs w:val="24"/>
        </w:rPr>
        <w:t xml:space="preserve">under the </w:t>
      </w:r>
      <w:r>
        <w:rPr>
          <w:i/>
          <w:sz w:val="24"/>
          <w:szCs w:val="24"/>
        </w:rPr>
        <w:t xml:space="preserve">“Identification of studies via other methods” </w:t>
      </w:r>
      <w:r>
        <w:rPr>
          <w:sz w:val="24"/>
          <w:szCs w:val="24"/>
        </w:rPr>
        <w:t>section of the flowchart.</w:t>
      </w:r>
    </w:p>
    <w:p w14:paraId="00000030" w14:textId="77777777" w:rsidR="007D2FA2" w:rsidRDefault="00000000">
      <w:pPr>
        <w:pStyle w:val="Heading2"/>
        <w:spacing w:before="0" w:line="480" w:lineRule="auto"/>
      </w:pPr>
      <w:r>
        <w:t>Eligibility Criteria</w:t>
      </w:r>
    </w:p>
    <w:p w14:paraId="00000031" w14:textId="22016D06" w:rsidR="007D2FA2" w:rsidRDefault="00000000">
      <w:pPr>
        <w:pBdr>
          <w:top w:val="nil"/>
          <w:left w:val="nil"/>
          <w:bottom w:val="nil"/>
          <w:right w:val="nil"/>
          <w:between w:val="nil"/>
        </w:pBdr>
        <w:spacing w:line="480" w:lineRule="auto"/>
        <w:rPr>
          <w:sz w:val="24"/>
          <w:szCs w:val="24"/>
        </w:rPr>
      </w:pPr>
      <w:r>
        <w:rPr>
          <w:sz w:val="24"/>
          <w:szCs w:val="24"/>
        </w:rPr>
        <w:t>Inclusion criteria were:</w:t>
      </w:r>
    </w:p>
    <w:p w14:paraId="00000032" w14:textId="674C1342"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r>
        <w:rPr>
          <w:sz w:val="24"/>
          <w:szCs w:val="24"/>
        </w:rPr>
        <w:t xml:space="preserve">The study applied at least one taxometric procedure (MAMBAC, MAXCOV, MAXEIG, L-Mode, MAXSLOPE; other procedures </w:t>
      </w:r>
      <w:r w:rsidR="00C33297">
        <w:rPr>
          <w:sz w:val="24"/>
          <w:szCs w:val="24"/>
        </w:rPr>
        <w:t>w</w:t>
      </w:r>
      <w:r>
        <w:rPr>
          <w:sz w:val="24"/>
          <w:szCs w:val="24"/>
        </w:rPr>
        <w:t>ould be considered if</w:t>
      </w:r>
      <w:r w:rsidR="00C33297">
        <w:rPr>
          <w:sz w:val="24"/>
          <w:szCs w:val="24"/>
        </w:rPr>
        <w:t xml:space="preserve"> explicitly</w:t>
      </w:r>
      <w:r>
        <w:rPr>
          <w:sz w:val="24"/>
          <w:szCs w:val="24"/>
        </w:rPr>
        <w:t xml:space="preserve"> described as taxometric);</w:t>
      </w:r>
    </w:p>
    <w:p w14:paraId="00000033" w14:textId="14F20B40" w:rsidR="007D2FA2" w:rsidRDefault="00000000">
      <w:pPr>
        <w:numPr>
          <w:ilvl w:val="0"/>
          <w:numId w:val="2"/>
        </w:numPr>
        <w:pBdr>
          <w:top w:val="nil"/>
          <w:left w:val="nil"/>
          <w:bottom w:val="nil"/>
          <w:right w:val="nil"/>
          <w:between w:val="nil"/>
        </w:pBdr>
        <w:tabs>
          <w:tab w:val="left" w:pos="978"/>
        </w:tabs>
        <w:spacing w:line="480" w:lineRule="auto"/>
        <w:ind w:hanging="258"/>
        <w:rPr>
          <w:sz w:val="24"/>
          <w:szCs w:val="24"/>
        </w:rPr>
      </w:pPr>
      <w:r>
        <w:rPr>
          <w:sz w:val="24"/>
          <w:szCs w:val="24"/>
        </w:rPr>
        <w:t>The target population consisted of individuals with ND</w:t>
      </w:r>
      <w:r w:rsidR="00C33297">
        <w:rPr>
          <w:sz w:val="24"/>
          <w:szCs w:val="24"/>
        </w:rPr>
        <w:t>C</w:t>
      </w:r>
      <w:r>
        <w:rPr>
          <w:sz w:val="24"/>
          <w:szCs w:val="24"/>
        </w:rPr>
        <w:t>s</w:t>
      </w:r>
      <w:r w:rsidR="00C33297">
        <w:rPr>
          <w:sz w:val="24"/>
          <w:szCs w:val="24"/>
        </w:rPr>
        <w:t>/traits</w:t>
      </w:r>
      <w:r>
        <w:rPr>
          <w:sz w:val="24"/>
          <w:szCs w:val="24"/>
        </w:rPr>
        <w:t>;</w:t>
      </w:r>
    </w:p>
    <w:p w14:paraId="00000034" w14:textId="19EA8802" w:rsidR="007D2FA2" w:rsidRDefault="00000000">
      <w:pPr>
        <w:numPr>
          <w:ilvl w:val="0"/>
          <w:numId w:val="2"/>
        </w:numPr>
        <w:pBdr>
          <w:top w:val="nil"/>
          <w:left w:val="nil"/>
          <w:bottom w:val="nil"/>
          <w:right w:val="nil"/>
          <w:between w:val="nil"/>
        </w:pBdr>
        <w:tabs>
          <w:tab w:val="left" w:pos="978"/>
        </w:tabs>
        <w:spacing w:line="480" w:lineRule="auto"/>
        <w:ind w:left="0" w:right="421" w:firstLine="720"/>
        <w:rPr>
          <w:sz w:val="24"/>
          <w:szCs w:val="24"/>
        </w:rPr>
      </w:pPr>
      <w:r>
        <w:rPr>
          <w:sz w:val="24"/>
          <w:szCs w:val="24"/>
        </w:rPr>
        <w:t>The study drew a conclusion about the latent structure (categorical</w:t>
      </w:r>
      <w:r w:rsidR="00C33297">
        <w:rPr>
          <w:sz w:val="24"/>
          <w:szCs w:val="24"/>
        </w:rPr>
        <w:t xml:space="preserve"> vs. </w:t>
      </w:r>
      <w:r>
        <w:rPr>
          <w:sz w:val="24"/>
          <w:szCs w:val="24"/>
        </w:rPr>
        <w:t>dimensional) or reported sufficient information</w:t>
      </w:r>
      <w:r w:rsidR="00190965">
        <w:rPr>
          <w:sz w:val="24"/>
          <w:szCs w:val="24"/>
        </w:rPr>
        <w:t xml:space="preserve"> (e.g., CCFIs)</w:t>
      </w:r>
      <w:r>
        <w:rPr>
          <w:sz w:val="24"/>
          <w:szCs w:val="24"/>
        </w:rPr>
        <w:t xml:space="preserve"> to infer a conclusion.</w:t>
      </w:r>
    </w:p>
    <w:p w14:paraId="00000035" w14:textId="77777777" w:rsidR="007D2FA2" w:rsidRDefault="00000000">
      <w:pPr>
        <w:pBdr>
          <w:top w:val="nil"/>
          <w:left w:val="nil"/>
          <w:bottom w:val="nil"/>
          <w:right w:val="nil"/>
          <w:between w:val="nil"/>
        </w:pBdr>
        <w:spacing w:line="480" w:lineRule="auto"/>
        <w:rPr>
          <w:sz w:val="24"/>
          <w:szCs w:val="24"/>
        </w:rPr>
      </w:pPr>
      <w:r>
        <w:rPr>
          <w:sz w:val="24"/>
          <w:szCs w:val="24"/>
        </w:rPr>
        <w:t>Exclusion criteria were:</w:t>
      </w:r>
    </w:p>
    <w:p w14:paraId="00000036" w14:textId="5EC19445" w:rsidR="007D2FA2" w:rsidRDefault="00000000">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article was theoretical, methodological, simulation study without empirical</w:t>
      </w:r>
    </w:p>
    <w:p w14:paraId="00000037" w14:textId="77777777" w:rsidR="007D2FA2" w:rsidRDefault="00000000">
      <w:pPr>
        <w:pBdr>
          <w:top w:val="nil"/>
          <w:left w:val="nil"/>
          <w:bottom w:val="nil"/>
          <w:right w:val="nil"/>
          <w:between w:val="nil"/>
        </w:pBdr>
        <w:spacing w:line="480" w:lineRule="auto"/>
        <w:rPr>
          <w:sz w:val="24"/>
          <w:szCs w:val="24"/>
        </w:rPr>
      </w:pPr>
      <w:r>
        <w:rPr>
          <w:sz w:val="24"/>
          <w:szCs w:val="24"/>
        </w:rPr>
        <w:t>data;</w:t>
      </w:r>
    </w:p>
    <w:p w14:paraId="00000039" w14:textId="635D3427"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sidRPr="001E0416">
        <w:rPr>
          <w:sz w:val="24"/>
          <w:szCs w:val="24"/>
        </w:rPr>
        <w:t xml:space="preserve">The study did not </w:t>
      </w:r>
      <w:r w:rsidR="001E0416" w:rsidRPr="001E0416">
        <w:rPr>
          <w:sz w:val="24"/>
          <w:szCs w:val="24"/>
        </w:rPr>
        <w:t>analyze</w:t>
      </w:r>
      <w:r w:rsidRPr="001E0416">
        <w:rPr>
          <w:sz w:val="24"/>
          <w:szCs w:val="24"/>
        </w:rPr>
        <w:t xml:space="preserve"> behavioral data</w:t>
      </w:r>
      <w:r w:rsidR="001E0416" w:rsidRPr="001E0416">
        <w:rPr>
          <w:sz w:val="24"/>
          <w:szCs w:val="24"/>
        </w:rPr>
        <w:t>;</w:t>
      </w:r>
    </w:p>
    <w:p w14:paraId="0000003B" w14:textId="0A686E54" w:rsidR="007D2FA2" w:rsidRPr="001E0416" w:rsidRDefault="00000000" w:rsidP="001E0416">
      <w:pPr>
        <w:numPr>
          <w:ilvl w:val="0"/>
          <w:numId w:val="1"/>
        </w:numPr>
        <w:pBdr>
          <w:top w:val="nil"/>
          <w:left w:val="nil"/>
          <w:bottom w:val="nil"/>
          <w:right w:val="nil"/>
          <w:between w:val="nil"/>
        </w:pBdr>
        <w:tabs>
          <w:tab w:val="left" w:pos="978"/>
        </w:tabs>
        <w:spacing w:line="480" w:lineRule="auto"/>
        <w:ind w:hanging="258"/>
        <w:rPr>
          <w:sz w:val="24"/>
          <w:szCs w:val="24"/>
        </w:rPr>
      </w:pPr>
      <w:r>
        <w:rPr>
          <w:sz w:val="24"/>
          <w:szCs w:val="24"/>
        </w:rPr>
        <w:t>The study was a review and/or meta-analysis</w:t>
      </w:r>
      <w:r w:rsidR="001D2F3E">
        <w:rPr>
          <w:sz w:val="24"/>
          <w:szCs w:val="24"/>
        </w:rPr>
        <w:t>.</w:t>
      </w:r>
    </w:p>
    <w:p w14:paraId="0000003C" w14:textId="338D3C28" w:rsidR="007D2FA2" w:rsidRDefault="00000000">
      <w:pPr>
        <w:pBdr>
          <w:top w:val="nil"/>
          <w:left w:val="nil"/>
          <w:bottom w:val="nil"/>
          <w:right w:val="nil"/>
          <w:between w:val="nil"/>
        </w:pBdr>
        <w:spacing w:line="480" w:lineRule="auto"/>
        <w:ind w:firstLine="567"/>
        <w:rPr>
          <w:sz w:val="24"/>
          <w:szCs w:val="24"/>
        </w:rPr>
      </w:pPr>
      <w:r>
        <w:rPr>
          <w:sz w:val="24"/>
          <w:szCs w:val="24"/>
        </w:rPr>
        <w:t>The search was limited to published, peer-reviewed journal articles</w:t>
      </w:r>
      <w:r w:rsidR="001D2F3E">
        <w:rPr>
          <w:sz w:val="24"/>
          <w:szCs w:val="24"/>
        </w:rPr>
        <w:t>, as we aimed to</w:t>
      </w:r>
      <w:r>
        <w:rPr>
          <w:sz w:val="24"/>
          <w:szCs w:val="24"/>
        </w:rPr>
        <w:t xml:space="preserve"> provid</w:t>
      </w:r>
      <w:r w:rsidR="001D2F3E">
        <w:rPr>
          <w:sz w:val="24"/>
          <w:szCs w:val="24"/>
        </w:rPr>
        <w:t>e</w:t>
      </w:r>
      <w:r>
        <w:rPr>
          <w:sz w:val="24"/>
          <w:szCs w:val="24"/>
        </w:rPr>
        <w:t xml:space="preserve"> a critical review of the existing </w:t>
      </w:r>
      <w:r w:rsidR="001D2F3E">
        <w:rPr>
          <w:sz w:val="24"/>
          <w:szCs w:val="24"/>
        </w:rPr>
        <w:t xml:space="preserve">high-quality </w:t>
      </w:r>
      <w:r>
        <w:rPr>
          <w:sz w:val="24"/>
          <w:szCs w:val="24"/>
        </w:rPr>
        <w:t>literature. Only one potentially relevant non-journal record was identified and, while excluded from the systematic review, is</w:t>
      </w:r>
      <w:r w:rsidR="001D2F3E">
        <w:rPr>
          <w:sz w:val="24"/>
          <w:szCs w:val="24"/>
        </w:rPr>
        <w:t xml:space="preserve"> commented</w:t>
      </w:r>
      <w:r>
        <w:rPr>
          <w:sz w:val="24"/>
          <w:szCs w:val="24"/>
        </w:rPr>
        <w:t xml:space="preserve"> separately </w:t>
      </w:r>
      <w:r>
        <w:rPr>
          <w:sz w:val="24"/>
          <w:szCs w:val="24"/>
        </w:rPr>
        <w:lastRenderedPageBreak/>
        <w:t xml:space="preserve">in the </w:t>
      </w:r>
      <w:bookmarkStart w:id="3" w:name="bookmark=id.noz3cuvp8grb" w:colFirst="0" w:colLast="0"/>
      <w:bookmarkEnd w:id="3"/>
      <w:r w:rsidR="001D2F3E">
        <w:rPr>
          <w:sz w:val="24"/>
          <w:szCs w:val="24"/>
        </w:rPr>
        <w:t>Discussion</w:t>
      </w:r>
      <w:r>
        <w:rPr>
          <w:sz w:val="24"/>
          <w:szCs w:val="24"/>
        </w:rPr>
        <w:t>.</w:t>
      </w:r>
    </w:p>
    <w:p w14:paraId="0000003D" w14:textId="77777777" w:rsidR="007D2FA2" w:rsidRDefault="00000000">
      <w:pPr>
        <w:pStyle w:val="Heading2"/>
        <w:spacing w:before="0" w:line="480" w:lineRule="auto"/>
      </w:pPr>
      <w:r>
        <w:t>Screening and Coding</w:t>
      </w:r>
    </w:p>
    <w:p w14:paraId="0000003E" w14:textId="1E732801" w:rsidR="007D2FA2" w:rsidRDefault="00000000">
      <w:pPr>
        <w:pBdr>
          <w:top w:val="nil"/>
          <w:left w:val="nil"/>
          <w:bottom w:val="nil"/>
          <w:right w:val="nil"/>
          <w:between w:val="nil"/>
        </w:pBdr>
        <w:spacing w:line="480" w:lineRule="auto"/>
        <w:ind w:right="357" w:firstLine="720"/>
        <w:rPr>
          <w:sz w:val="24"/>
          <w:szCs w:val="24"/>
        </w:rPr>
      </w:pPr>
      <w:r>
        <w:rPr>
          <w:sz w:val="24"/>
          <w:szCs w:val="24"/>
        </w:rPr>
        <w:t>Two independent human coders (MC and RP) screened and coded all articles</w:t>
      </w:r>
      <w:r w:rsidR="001D2F3E">
        <w:rPr>
          <w:sz w:val="24"/>
          <w:szCs w:val="24"/>
        </w:rPr>
        <w:t xml:space="preserve">. </w:t>
      </w:r>
      <w:r>
        <w:rPr>
          <w:sz w:val="24"/>
          <w:szCs w:val="24"/>
        </w:rPr>
        <w:t>All discrepancies were resolved through discussion and were later reviewed by the PI (ET).</w:t>
      </w:r>
    </w:p>
    <w:p w14:paraId="0000003F" w14:textId="1864015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Since a single article could report multiple (sub)samples and/or taxometric analyses, the full coded dataset followed a long-form data structure, with articles appearing across multiple rows. Coded variables were defined in the data dictionary included in the preregistration </w:t>
      </w:r>
      <w:r w:rsidR="009048AB">
        <w:rPr>
          <w:sz w:val="24"/>
          <w:szCs w:val="24"/>
        </w:rPr>
        <w:t>protocol and</w:t>
      </w:r>
      <w:r w:rsidR="000E4665">
        <w:rPr>
          <w:sz w:val="24"/>
          <w:szCs w:val="24"/>
        </w:rPr>
        <w:t xml:space="preserve"> served as an </w:t>
      </w:r>
      <w:r w:rsidR="000E4665" w:rsidRPr="009048AB">
        <w:rPr>
          <w:i/>
          <w:iCs/>
          <w:sz w:val="24"/>
          <w:szCs w:val="24"/>
        </w:rPr>
        <w:t>ad hoc</w:t>
      </w:r>
      <w:r w:rsidR="000E4665">
        <w:rPr>
          <w:sz w:val="24"/>
          <w:szCs w:val="24"/>
        </w:rPr>
        <w:t xml:space="preserve"> risk of bias assessment tool. A</w:t>
      </w:r>
      <w:r>
        <w:rPr>
          <w:sz w:val="24"/>
          <w:szCs w:val="24"/>
        </w:rPr>
        <w:t xml:space="preserve"> few fields</w:t>
      </w:r>
      <w:r w:rsidR="000E4665">
        <w:rPr>
          <w:sz w:val="24"/>
          <w:szCs w:val="24"/>
        </w:rPr>
        <w:t xml:space="preserve"> were</w:t>
      </w:r>
      <w:r>
        <w:rPr>
          <w:sz w:val="24"/>
          <w:szCs w:val="24"/>
        </w:rPr>
        <w:t xml:space="preserve"> added </w:t>
      </w:r>
      <w:r w:rsidR="000E4665">
        <w:rPr>
          <w:sz w:val="24"/>
          <w:szCs w:val="24"/>
        </w:rPr>
        <w:t xml:space="preserve">for </w:t>
      </w:r>
      <w:r>
        <w:rPr>
          <w:sz w:val="24"/>
          <w:szCs w:val="24"/>
        </w:rPr>
        <w:t>coder notes and agreement metrics.</w:t>
      </w:r>
    </w:p>
    <w:p w14:paraId="00000040" w14:textId="2A7AC87B"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Inter-coder agreement was fair to good across all phases. In the title and abstract screening phase, Cohen’s </w:t>
      </w:r>
      <w:r>
        <w:rPr>
          <w:i/>
          <w:sz w:val="24"/>
          <w:szCs w:val="24"/>
        </w:rPr>
        <w:t>κ</w:t>
      </w:r>
      <w:r>
        <w:rPr>
          <w:sz w:val="24"/>
          <w:szCs w:val="24"/>
        </w:rPr>
        <w:t xml:space="preserve">=0.79 (34 out of 38 independent decisions matched). In the full-text eligibility screening, Cohen’s </w:t>
      </w:r>
      <w:r>
        <w:rPr>
          <w:i/>
          <w:sz w:val="24"/>
          <w:szCs w:val="24"/>
        </w:rPr>
        <w:t>κ</w:t>
      </w:r>
      <w:r>
        <w:rPr>
          <w:sz w:val="24"/>
          <w:szCs w:val="24"/>
        </w:rPr>
        <w:t xml:space="preserve">=0.52 (15 out of 19). For the final data extraction, 84% of rows (71 out of 85) were extracted by both coders. Agreement on critical variables was high: for the “authors’ taxonic conclusion” agreement was 94%; for “artificial admixture”, it was 95% at the </w:t>
      </w:r>
      <w:r w:rsidR="001D2F3E">
        <w:rPr>
          <w:sz w:val="24"/>
          <w:szCs w:val="24"/>
        </w:rPr>
        <w:t>(sub)sample</w:t>
      </w:r>
      <w:r>
        <w:rPr>
          <w:sz w:val="24"/>
          <w:szCs w:val="24"/>
        </w:rPr>
        <w:t xml:space="preserve"> level.</w:t>
      </w:r>
    </w:p>
    <w:p w14:paraId="00000041" w14:textId="77777777" w:rsidR="007D2FA2" w:rsidRDefault="00000000" w:rsidP="001D115C">
      <w:pPr>
        <w:pStyle w:val="Heading1"/>
        <w:spacing w:before="0" w:line="480" w:lineRule="auto"/>
        <w:jc w:val="center"/>
      </w:pPr>
      <w:bookmarkStart w:id="4" w:name="bookmark=id.ydunds589cuu" w:colFirst="0" w:colLast="0"/>
      <w:bookmarkEnd w:id="4"/>
      <w:r>
        <w:t>Results</w:t>
      </w:r>
    </w:p>
    <w:p w14:paraId="00000045" w14:textId="3F466481" w:rsidR="007D2FA2" w:rsidRDefault="00000000" w:rsidP="002D4FC2">
      <w:pPr>
        <w:pBdr>
          <w:top w:val="nil"/>
          <w:left w:val="nil"/>
          <w:bottom w:val="nil"/>
          <w:right w:val="nil"/>
          <w:between w:val="nil"/>
        </w:pBdr>
        <w:spacing w:line="480" w:lineRule="auto"/>
        <w:ind w:right="301" w:firstLine="720"/>
        <w:rPr>
          <w:sz w:val="24"/>
          <w:szCs w:val="24"/>
        </w:rPr>
      </w:pPr>
      <w:r>
        <w:rPr>
          <w:sz w:val="24"/>
          <w:szCs w:val="24"/>
        </w:rPr>
        <w:t xml:space="preserve">A total of 110 records were identified through database searches. After removing 67 duplicates and excluding 5 additional records (dissertations or book chapters, only one of which appeared to include primary taxometric analyses but could not be retrieved), 38 articles were screened </w:t>
      </w:r>
      <w:r w:rsidR="0087030E">
        <w:rPr>
          <w:sz w:val="24"/>
          <w:szCs w:val="24"/>
        </w:rPr>
        <w:t>for</w:t>
      </w:r>
      <w:r>
        <w:rPr>
          <w:sz w:val="24"/>
          <w:szCs w:val="24"/>
        </w:rPr>
        <w:t xml:space="preserve"> title</w:t>
      </w:r>
      <w:r w:rsidR="0087030E">
        <w:rPr>
          <w:sz w:val="24"/>
          <w:szCs w:val="24"/>
        </w:rPr>
        <w:t>/</w:t>
      </w:r>
      <w:r>
        <w:rPr>
          <w:sz w:val="24"/>
          <w:szCs w:val="24"/>
        </w:rPr>
        <w:t>abstract.</w:t>
      </w:r>
      <w:r w:rsidR="0087030E">
        <w:rPr>
          <w:sz w:val="24"/>
          <w:szCs w:val="24"/>
        </w:rPr>
        <w:t xml:space="preserve"> </w:t>
      </w:r>
      <w:r>
        <w:rPr>
          <w:sz w:val="24"/>
          <w:szCs w:val="24"/>
        </w:rPr>
        <w:t>Nineteen records were excluded at this stage. Full-text assessment was then conducted on the remaining 19 articles, of which 7 were excluded for not meeting the inclusion criteria.</w:t>
      </w:r>
      <w:r w:rsidR="002D4FC2">
        <w:rPr>
          <w:sz w:val="24"/>
          <w:szCs w:val="24"/>
        </w:rPr>
        <w:t xml:space="preserve"> </w:t>
      </w:r>
      <w:r>
        <w:rPr>
          <w:sz w:val="24"/>
          <w:szCs w:val="24"/>
        </w:rPr>
        <w:t>An additional 4 records were identified through citation tracking and online browsing</w:t>
      </w:r>
      <w:r w:rsidR="002D4FC2">
        <w:rPr>
          <w:sz w:val="24"/>
          <w:szCs w:val="24"/>
        </w:rPr>
        <w:t>, of which 2 were included in the final review</w:t>
      </w:r>
      <w:r>
        <w:rPr>
          <w:sz w:val="24"/>
          <w:szCs w:val="24"/>
        </w:rPr>
        <w:t>.</w:t>
      </w:r>
      <w:r w:rsidR="002D4FC2">
        <w:rPr>
          <w:sz w:val="24"/>
          <w:szCs w:val="24"/>
        </w:rPr>
        <w:t xml:space="preserve"> </w:t>
      </w:r>
      <w:r>
        <w:rPr>
          <w:sz w:val="24"/>
          <w:szCs w:val="24"/>
        </w:rPr>
        <w:t xml:space="preserve">The PRISMA </w:t>
      </w:r>
      <w:r>
        <w:rPr>
          <w:sz w:val="24"/>
          <w:szCs w:val="24"/>
        </w:rPr>
        <w:lastRenderedPageBreak/>
        <w:t xml:space="preserve">flowchart in Figure </w:t>
      </w:r>
      <w:hyperlink w:anchor="_heading=h.lxv93dp4w8r8">
        <w:r>
          <w:rPr>
            <w:sz w:val="24"/>
            <w:szCs w:val="24"/>
          </w:rPr>
          <w:t>1</w:t>
        </w:r>
      </w:hyperlink>
      <w:r>
        <w:rPr>
          <w:sz w:val="24"/>
          <w:szCs w:val="24"/>
        </w:rPr>
        <w:t xml:space="preserve"> summarizes the study selection process.</w:t>
      </w:r>
    </w:p>
    <w:p w14:paraId="00000046" w14:textId="77777777" w:rsidR="007D2FA2" w:rsidRPr="001B2000" w:rsidRDefault="00000000" w:rsidP="001B2000">
      <w:pPr>
        <w:spacing w:line="480" w:lineRule="auto"/>
        <w:jc w:val="center"/>
        <w:rPr>
          <w:i/>
          <w:iCs/>
          <w:sz w:val="24"/>
          <w:szCs w:val="24"/>
        </w:rPr>
      </w:pPr>
      <w:r w:rsidRPr="001B2000">
        <w:rPr>
          <w:i/>
          <w:iCs/>
          <w:sz w:val="24"/>
          <w:szCs w:val="24"/>
        </w:rPr>
        <w:t xml:space="preserve">Figure </w:t>
      </w:r>
      <w:hyperlink w:anchor="_heading=h.lxv93dp4w8r8">
        <w:r w:rsidRPr="001B2000">
          <w:rPr>
            <w:i/>
            <w:iCs/>
            <w:sz w:val="24"/>
            <w:szCs w:val="24"/>
          </w:rPr>
          <w:t>1</w:t>
        </w:r>
      </w:hyperlink>
      <w:r w:rsidRPr="001B2000">
        <w:rPr>
          <w:i/>
          <w:iCs/>
          <w:sz w:val="24"/>
          <w:szCs w:val="24"/>
        </w:rPr>
        <w:t xml:space="preserve"> about here</w:t>
      </w:r>
    </w:p>
    <w:p w14:paraId="00000047" w14:textId="6C6C0DBB" w:rsidR="007D2FA2" w:rsidRDefault="00000000">
      <w:pPr>
        <w:pBdr>
          <w:top w:val="nil"/>
          <w:left w:val="nil"/>
          <w:bottom w:val="nil"/>
          <w:right w:val="nil"/>
          <w:between w:val="nil"/>
        </w:pBdr>
        <w:spacing w:line="480" w:lineRule="auto"/>
        <w:ind w:right="510" w:firstLine="720"/>
        <w:rPr>
          <w:sz w:val="24"/>
          <w:szCs w:val="24"/>
        </w:rPr>
      </w:pPr>
      <w:r>
        <w:rPr>
          <w:sz w:val="24"/>
          <w:szCs w:val="24"/>
        </w:rPr>
        <w:t xml:space="preserve">A summary of the included studies, simplified to one row per article, is presented in Table </w:t>
      </w:r>
      <w:hyperlink w:anchor="_heading=h.4o5lc1ynm3op">
        <w:r>
          <w:rPr>
            <w:sz w:val="24"/>
            <w:szCs w:val="24"/>
          </w:rPr>
          <w:t>1</w:t>
        </w:r>
      </w:hyperlink>
      <w:r>
        <w:rPr>
          <w:sz w:val="24"/>
          <w:szCs w:val="24"/>
        </w:rPr>
        <w:t>. A full reporting of all coded data for each individual taxometric analysis is available in the Supplemental Online Material. The total number of taxometric analyses was 85, ranging from 1 to 22 per article. Targeted disorders were ADHD (6 articles), ASD (6 articles), dyslexia (1 article), and Specific Language Impairment (SLI; 2 articles), with one article addressing both ADHD and ASD. Most articles (10 out of 14) examined whether a given disorder constituted a taxon</w:t>
      </w:r>
      <w:r w:rsidR="002D4FC2">
        <w:rPr>
          <w:sz w:val="24"/>
          <w:szCs w:val="24"/>
        </w:rPr>
        <w:t xml:space="preserve">; </w:t>
      </w:r>
      <w:r>
        <w:rPr>
          <w:sz w:val="24"/>
          <w:szCs w:val="24"/>
        </w:rPr>
        <w:t xml:space="preserve">the remaining 4 focused on whether putative subtypes within a disorder </w:t>
      </w:r>
      <w:r w:rsidR="002D4FC2">
        <w:rPr>
          <w:sz w:val="24"/>
          <w:szCs w:val="24"/>
        </w:rPr>
        <w:t>showed</w:t>
      </w:r>
      <w:r>
        <w:rPr>
          <w:sz w:val="24"/>
          <w:szCs w:val="24"/>
        </w:rPr>
        <w:t xml:space="preserve"> taxonic structure.</w:t>
      </w:r>
    </w:p>
    <w:p w14:paraId="00000048" w14:textId="2B45D508"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The </w:t>
      </w:r>
      <w:r w:rsidR="002D4FC2">
        <w:rPr>
          <w:sz w:val="24"/>
          <w:szCs w:val="24"/>
        </w:rPr>
        <w:t>most used</w:t>
      </w:r>
      <w:r>
        <w:rPr>
          <w:sz w:val="24"/>
          <w:szCs w:val="24"/>
        </w:rPr>
        <w:t xml:space="preserve"> taxometric method was MAMBAC, applied in 13 out of 14 articles and in 84 out of 85 analyses. This was followed by MAXEIG (9 articles), L-Mode (7 articles), MAXCOV (2 articles), and MAXSLOPE (1 article). Most studies employed more than one taxometric procedure, with a median of 3 methods per analysis. In 11 out of 14 articles, interpretation was based on a quantitative fit index (Fit</w:t>
      </w:r>
      <w:r>
        <w:rPr>
          <w:sz w:val="24"/>
          <w:szCs w:val="24"/>
          <w:vertAlign w:val="subscript"/>
        </w:rPr>
        <w:t>d</w:t>
      </w:r>
      <w:r>
        <w:rPr>
          <w:sz w:val="24"/>
          <w:szCs w:val="24"/>
        </w:rPr>
        <w:t xml:space="preserve"> or CCFI), while the remaining 3 relied on visual inspection of taxometric curves. The number of indicators </w:t>
      </w:r>
      <w:r w:rsidR="00117585">
        <w:rPr>
          <w:sz w:val="24"/>
          <w:szCs w:val="24"/>
        </w:rPr>
        <w:t>per</w:t>
      </w:r>
      <w:r>
        <w:rPr>
          <w:sz w:val="24"/>
          <w:szCs w:val="24"/>
        </w:rPr>
        <w:t xml:space="preserve"> analys</w:t>
      </w:r>
      <w:r w:rsidR="00117585">
        <w:rPr>
          <w:sz w:val="24"/>
          <w:szCs w:val="24"/>
        </w:rPr>
        <w:t>i</w:t>
      </w:r>
      <w:r>
        <w:rPr>
          <w:sz w:val="24"/>
          <w:szCs w:val="24"/>
        </w:rPr>
        <w:t>s ranged from 2 to 9, with a median of 3 (excluding one article in which the number was not clearly reported). The median sample size across all analyses was 600, or 611.25 when averaged within articles.</w:t>
      </w:r>
    </w:p>
    <w:p w14:paraId="00000049" w14:textId="518BB16A"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Taxonic conclusions were mixed. All five articles targeting ADHD as a disorder concluded in favor of a dimensional structure, as did both articles focusing on SLI. In contrast, all four articles examining ASD as a disorder leaned toward, or explicitly supported, a categorical (taxonic) structure. The remaining four articles investigated subtypes of </w:t>
      </w:r>
      <w:r>
        <w:rPr>
          <w:sz w:val="24"/>
          <w:szCs w:val="24"/>
        </w:rPr>
        <w:lastRenderedPageBreak/>
        <w:t xml:space="preserve">disorders, and all </w:t>
      </w:r>
      <w:r w:rsidR="00117585">
        <w:rPr>
          <w:sz w:val="24"/>
          <w:szCs w:val="24"/>
        </w:rPr>
        <w:t>favored</w:t>
      </w:r>
      <w:r>
        <w:rPr>
          <w:sz w:val="24"/>
          <w:szCs w:val="24"/>
        </w:rPr>
        <w:t xml:space="preserve"> taxonic conclusions</w:t>
      </w:r>
      <w:r w:rsidR="00117585">
        <w:rPr>
          <w:sz w:val="24"/>
          <w:szCs w:val="24"/>
        </w:rPr>
        <w:t xml:space="preserve">, either predominantly </w:t>
      </w:r>
      <w:r>
        <w:rPr>
          <w:sz w:val="24"/>
          <w:szCs w:val="24"/>
        </w:rPr>
        <w:t>(</w:t>
      </w:r>
      <w:hyperlink w:anchor="_heading=h.biur3pnkfsfi">
        <w:r>
          <w:rPr>
            <w:sz w:val="24"/>
            <w:szCs w:val="24"/>
          </w:rPr>
          <w:t>Stevens et al., 2018</w:t>
        </w:r>
      </w:hyperlink>
      <w:r>
        <w:rPr>
          <w:sz w:val="24"/>
          <w:szCs w:val="24"/>
        </w:rPr>
        <w:t xml:space="preserve"> on ADHD subtypes; </w:t>
      </w:r>
      <w:hyperlink w:anchor="_heading=h.2wfjlgwxds5w">
        <w:r>
          <w:rPr>
            <w:sz w:val="24"/>
            <w:szCs w:val="24"/>
          </w:rPr>
          <w:t>Munson et al., 2008</w:t>
        </w:r>
      </w:hyperlink>
      <w:r>
        <w:rPr>
          <w:sz w:val="24"/>
          <w:szCs w:val="24"/>
        </w:rPr>
        <w:t xml:space="preserve"> on ASD subtypes; </w:t>
      </w:r>
      <w:hyperlink w:anchor="_heading=h.wb85q77edjeg">
        <w:r>
          <w:rPr>
            <w:sz w:val="24"/>
            <w:szCs w:val="24"/>
          </w:rPr>
          <w:t>O’Brien et al., 2012</w:t>
        </w:r>
      </w:hyperlink>
      <w:r>
        <w:rPr>
          <w:sz w:val="24"/>
          <w:szCs w:val="24"/>
        </w:rPr>
        <w:t xml:space="preserve"> on dyslexia subtypes), or partially (</w:t>
      </w:r>
      <w:hyperlink w:anchor="_heading=h.xiyh4bgvvbp3">
        <w:r>
          <w:rPr>
            <w:sz w:val="24"/>
            <w:szCs w:val="24"/>
          </w:rPr>
          <w:t>Ingram et al., 2008</w:t>
        </w:r>
      </w:hyperlink>
      <w:r w:rsidR="00117585">
        <w:rPr>
          <w:sz w:val="24"/>
          <w:szCs w:val="24"/>
        </w:rPr>
        <w:t xml:space="preserve"> </w:t>
      </w:r>
      <w:r>
        <w:rPr>
          <w:sz w:val="24"/>
          <w:szCs w:val="24"/>
        </w:rPr>
        <w:t xml:space="preserve">supported </w:t>
      </w:r>
      <w:r w:rsidR="00117585">
        <w:rPr>
          <w:sz w:val="24"/>
          <w:szCs w:val="24"/>
        </w:rPr>
        <w:t xml:space="preserve">taxonic </w:t>
      </w:r>
      <w:r>
        <w:rPr>
          <w:sz w:val="24"/>
          <w:szCs w:val="24"/>
        </w:rPr>
        <w:t>ASD subtypes depending on the set of indicators used). In total, 8 out of 14 articles reached a taxonic conclusion in at least some of their taxometric analyses. Specifically, 28 out of 85 total analyses (32.9%) yielded taxonic results. These were primarily associated with ASD: 21 out of 29 analyses involving ASD (i.e., 72.4%) supported a categorical structure.</w:t>
      </w:r>
    </w:p>
    <w:p w14:paraId="0000004A" w14:textId="63DE9072" w:rsidR="007D2FA2" w:rsidRDefault="00000000">
      <w:pPr>
        <w:pBdr>
          <w:top w:val="nil"/>
          <w:left w:val="nil"/>
          <w:bottom w:val="nil"/>
          <w:right w:val="nil"/>
          <w:between w:val="nil"/>
        </w:pBdr>
        <w:spacing w:line="480" w:lineRule="auto"/>
        <w:ind w:right="357" w:firstLine="720"/>
        <w:rPr>
          <w:sz w:val="24"/>
          <w:szCs w:val="24"/>
        </w:rPr>
      </w:pPr>
      <w:sdt>
        <w:sdtPr>
          <w:tag w:val="goog_rdk_3"/>
          <w:id w:val="185317144"/>
        </w:sdtPr>
        <w:sdtContent/>
      </w:sdt>
      <w:sdt>
        <w:sdtPr>
          <w:tag w:val="goog_rdk_4"/>
          <w:id w:val="-52119290"/>
        </w:sdtPr>
        <w:sdtContent/>
      </w:sdt>
      <w:r>
        <w:rPr>
          <w:sz w:val="24"/>
          <w:szCs w:val="24"/>
        </w:rPr>
        <w:t>Artificial admixture was evident or strongly suspected in at least part of the analyses in 8 out of 14 articles</w:t>
      </w:r>
      <w:r w:rsidR="00117585">
        <w:rPr>
          <w:sz w:val="24"/>
          <w:szCs w:val="24"/>
        </w:rPr>
        <w:t xml:space="preserve"> (</w:t>
      </w:r>
      <w:r>
        <w:rPr>
          <w:sz w:val="24"/>
          <w:szCs w:val="24"/>
        </w:rPr>
        <w:t>including all those targeting ASD</w:t>
      </w:r>
      <w:r w:rsidR="00117585">
        <w:rPr>
          <w:sz w:val="24"/>
          <w:szCs w:val="24"/>
        </w:rPr>
        <w:t>)</w:t>
      </w:r>
      <w:r>
        <w:rPr>
          <w:sz w:val="24"/>
          <w:szCs w:val="24"/>
        </w:rPr>
        <w:t xml:space="preserve"> and involving a total of 31 out of 85 analyses. </w:t>
      </w:r>
      <w:r w:rsidR="00117585">
        <w:rPr>
          <w:sz w:val="24"/>
          <w:szCs w:val="24"/>
        </w:rPr>
        <w:t>A</w:t>
      </w:r>
      <w:r>
        <w:rPr>
          <w:sz w:val="24"/>
          <w:szCs w:val="24"/>
        </w:rPr>
        <w:t xml:space="preserve">rticles that incurred artificial admixture tended to align with those that reached taxonic conclusions: 6 of the 8 articles with suspected admixture also reported taxonic findings. </w:t>
      </w:r>
      <w:r w:rsidR="00117585">
        <w:rPr>
          <w:sz w:val="24"/>
          <w:szCs w:val="24"/>
        </w:rPr>
        <w:t>A</w:t>
      </w:r>
      <w:r>
        <w:rPr>
          <w:sz w:val="24"/>
          <w:szCs w:val="24"/>
        </w:rPr>
        <w:t>t the level of individual analyses</w:t>
      </w:r>
      <w:r w:rsidR="00117585">
        <w:rPr>
          <w:sz w:val="24"/>
          <w:szCs w:val="24"/>
        </w:rPr>
        <w:t>,</w:t>
      </w:r>
      <w:r>
        <w:rPr>
          <w:sz w:val="24"/>
          <w:szCs w:val="24"/>
        </w:rPr>
        <w:t xml:space="preserve"> </w:t>
      </w:r>
      <w:r w:rsidR="00117585">
        <w:rPr>
          <w:sz w:val="24"/>
          <w:szCs w:val="24"/>
        </w:rPr>
        <w:t>a</w:t>
      </w:r>
      <w:r>
        <w:rPr>
          <w:sz w:val="24"/>
          <w:szCs w:val="24"/>
        </w:rPr>
        <w:t xml:space="preserve"> taxonic conclusion was reached in 20 out of 31 analyses (64.5%) where admixture was evident or suspected. In contrast, only 8 out of 54 analyses (14.8%) reached a taxonic conclusion when admixture was likely or certainly absent.</w:t>
      </w:r>
    </w:p>
    <w:p w14:paraId="0000004B" w14:textId="39F586F1" w:rsidR="007D2FA2" w:rsidRDefault="00117585">
      <w:pPr>
        <w:pBdr>
          <w:top w:val="nil"/>
          <w:left w:val="nil"/>
          <w:bottom w:val="nil"/>
          <w:right w:val="nil"/>
          <w:between w:val="nil"/>
        </w:pBdr>
        <w:spacing w:line="480" w:lineRule="auto"/>
        <w:ind w:right="357" w:firstLine="720"/>
        <w:rPr>
          <w:sz w:val="24"/>
          <w:szCs w:val="24"/>
        </w:rPr>
      </w:pPr>
      <w:r>
        <w:rPr>
          <w:sz w:val="24"/>
          <w:szCs w:val="24"/>
        </w:rPr>
        <w:t xml:space="preserve">Other methodological issues concerned missing information about key descriptive statistics and validity indices. </w:t>
      </w:r>
      <w:r w:rsidR="00522705">
        <w:rPr>
          <w:sz w:val="24"/>
          <w:szCs w:val="24"/>
        </w:rPr>
        <w:t>Nuisance</w:t>
      </w:r>
      <w:r>
        <w:rPr>
          <w:sz w:val="24"/>
          <w:szCs w:val="24"/>
        </w:rPr>
        <w:t xml:space="preserve"> covariance could be coded for only 2 out of 14 articles. Where reported, it was small to negligible in James et al. (</w:t>
      </w:r>
      <w:hyperlink w:anchor="_heading=h.bxc48b1e04xq">
        <w:r>
          <w:rPr>
            <w:sz w:val="24"/>
            <w:szCs w:val="24"/>
          </w:rPr>
          <w:t>2016</w:t>
        </w:r>
      </w:hyperlink>
      <w:r>
        <w:rPr>
          <w:sz w:val="24"/>
          <w:szCs w:val="24"/>
        </w:rPr>
        <w:t>), but exceeded 0.40 for many indicators in Frazier et al. (</w:t>
      </w:r>
      <w:hyperlink w:anchor="_heading=h.jqk7bok2em2e">
        <w:r>
          <w:rPr>
            <w:sz w:val="24"/>
            <w:szCs w:val="24"/>
          </w:rPr>
          <w:t>2023</w:t>
        </w:r>
      </w:hyperlink>
      <w:r>
        <w:rPr>
          <w:sz w:val="24"/>
          <w:szCs w:val="24"/>
        </w:rPr>
        <w:t xml:space="preserve">). Both studies reached a taxonic conclusion. Skewness of indicator score distributions was reported in only 5 articles, where skewness values were often near or beyond ±1 for at least one indicator in </w:t>
      </w:r>
      <w:r w:rsidR="00522705">
        <w:rPr>
          <w:sz w:val="24"/>
          <w:szCs w:val="24"/>
        </w:rPr>
        <w:t>about</w:t>
      </w:r>
      <w:r>
        <w:rPr>
          <w:sz w:val="24"/>
          <w:szCs w:val="24"/>
        </w:rPr>
        <w:t xml:space="preserve"> one-third of analyses. However, there was no clear association between skewness and whether a taxonic conclusion was reached. By contrast, indicator validity was more consistently reported, and could be </w:t>
      </w:r>
      <w:r>
        <w:rPr>
          <w:sz w:val="24"/>
          <w:szCs w:val="24"/>
        </w:rPr>
        <w:lastRenderedPageBreak/>
        <w:t xml:space="preserve">coded in all but 3 articles. Where available, it was almost always large or very large (Cohen’s </w:t>
      </w:r>
      <w:r>
        <w:rPr>
          <w:i/>
          <w:sz w:val="24"/>
          <w:szCs w:val="24"/>
        </w:rPr>
        <w:t xml:space="preserve">d </w:t>
      </w:r>
      <w:r>
        <w:rPr>
          <w:rFonts w:ascii="Cambria Math" w:eastAsia="Cambria Math" w:hAnsi="Cambria Math" w:cs="Cambria Math"/>
          <w:sz w:val="24"/>
          <w:szCs w:val="24"/>
        </w:rPr>
        <w:t>≫</w:t>
      </w:r>
      <w:r>
        <w:rPr>
          <w:sz w:val="24"/>
          <w:szCs w:val="24"/>
        </w:rPr>
        <w:t xml:space="preserve"> 1), consistent with best-practice recommendations for taxometric analysis.</w:t>
      </w:r>
    </w:p>
    <w:p w14:paraId="0000004C" w14:textId="77777777" w:rsidR="007D2FA2" w:rsidRPr="005C2C9B" w:rsidRDefault="00000000" w:rsidP="005C2C9B">
      <w:pPr>
        <w:spacing w:line="480" w:lineRule="auto"/>
        <w:jc w:val="center"/>
        <w:rPr>
          <w:i/>
          <w:iCs/>
          <w:sz w:val="24"/>
          <w:szCs w:val="24"/>
        </w:rPr>
      </w:pPr>
      <w:r w:rsidRPr="005C2C9B">
        <w:rPr>
          <w:i/>
          <w:iCs/>
          <w:sz w:val="24"/>
          <w:szCs w:val="24"/>
        </w:rPr>
        <w:t xml:space="preserve">Table </w:t>
      </w:r>
      <w:hyperlink w:anchor="_heading=h.4o5lc1ynm3op">
        <w:r w:rsidRPr="005C2C9B">
          <w:rPr>
            <w:i/>
            <w:iCs/>
            <w:sz w:val="24"/>
            <w:szCs w:val="24"/>
          </w:rPr>
          <w:t>1</w:t>
        </w:r>
      </w:hyperlink>
      <w:r w:rsidRPr="005C2C9B">
        <w:rPr>
          <w:i/>
          <w:iCs/>
          <w:sz w:val="24"/>
          <w:szCs w:val="24"/>
        </w:rPr>
        <w:t xml:space="preserve"> </w:t>
      </w:r>
      <w:bookmarkStart w:id="5" w:name="bookmark=id.ao1szoqjv50m" w:colFirst="0" w:colLast="0"/>
      <w:bookmarkEnd w:id="5"/>
      <w:r w:rsidRPr="005C2C9B">
        <w:rPr>
          <w:i/>
          <w:iCs/>
          <w:sz w:val="24"/>
          <w:szCs w:val="24"/>
        </w:rPr>
        <w:t>about here</w:t>
      </w:r>
    </w:p>
    <w:p w14:paraId="0000004D" w14:textId="77777777" w:rsidR="007D2FA2" w:rsidRDefault="00000000">
      <w:pPr>
        <w:pStyle w:val="Heading1"/>
        <w:spacing w:before="0" w:line="480" w:lineRule="auto"/>
      </w:pPr>
      <w:r>
        <w:t>Additional Use of Cluster Analysis</w:t>
      </w:r>
    </w:p>
    <w:p w14:paraId="0000004E" w14:textId="6EB6DEBF"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Among the 14 identified articles, </w:t>
      </w:r>
      <w:sdt>
        <w:sdtPr>
          <w:tag w:val="goog_rdk_5"/>
          <w:id w:val="2074466589"/>
        </w:sdtPr>
        <w:sdtContent/>
      </w:sdt>
      <w:sdt>
        <w:sdtPr>
          <w:tag w:val="goog_rdk_6"/>
          <w:id w:val="636596997"/>
        </w:sdtPr>
        <w:sdtContent/>
      </w:sdt>
      <w:r>
        <w:rPr>
          <w:sz w:val="24"/>
          <w:szCs w:val="24"/>
        </w:rPr>
        <w:t>6 also employed clustering methods</w:t>
      </w:r>
      <w:r w:rsidR="00117585">
        <w:rPr>
          <w:sz w:val="24"/>
          <w:szCs w:val="24"/>
        </w:rPr>
        <w:t>:</w:t>
      </w:r>
      <w:r>
        <w:rPr>
          <w:sz w:val="24"/>
          <w:szCs w:val="24"/>
        </w:rPr>
        <w:t xml:space="preserve"> in </w:t>
      </w:r>
      <w:r w:rsidR="00117585">
        <w:rPr>
          <w:sz w:val="24"/>
          <w:szCs w:val="24"/>
        </w:rPr>
        <w:t>5</w:t>
      </w:r>
      <w:r>
        <w:rPr>
          <w:sz w:val="24"/>
          <w:szCs w:val="24"/>
        </w:rPr>
        <w:t xml:space="preserve"> case</w:t>
      </w:r>
      <w:r w:rsidR="00117585">
        <w:rPr>
          <w:sz w:val="24"/>
          <w:szCs w:val="24"/>
        </w:rPr>
        <w:t>s</w:t>
      </w:r>
      <w:r>
        <w:rPr>
          <w:sz w:val="24"/>
          <w:szCs w:val="24"/>
        </w:rPr>
        <w:t xml:space="preserve"> consisting of latent class</w:t>
      </w:r>
      <w:r w:rsidR="00117585">
        <w:rPr>
          <w:sz w:val="24"/>
          <w:szCs w:val="24"/>
        </w:rPr>
        <w:t>/</w:t>
      </w:r>
      <w:r>
        <w:rPr>
          <w:sz w:val="24"/>
          <w:szCs w:val="24"/>
        </w:rPr>
        <w:t>profile analysis (</w:t>
      </w:r>
      <w:r w:rsidR="00117585">
        <w:rPr>
          <w:sz w:val="24"/>
          <w:szCs w:val="24"/>
        </w:rPr>
        <w:t xml:space="preserve">LCA, </w:t>
      </w:r>
      <w:r>
        <w:rPr>
          <w:sz w:val="24"/>
          <w:szCs w:val="24"/>
        </w:rPr>
        <w:t>LPA)</w:t>
      </w:r>
      <w:r w:rsidR="00117585">
        <w:rPr>
          <w:sz w:val="24"/>
          <w:szCs w:val="24"/>
        </w:rPr>
        <w:t>;</w:t>
      </w:r>
      <w:r>
        <w:rPr>
          <w:sz w:val="24"/>
          <w:szCs w:val="24"/>
        </w:rPr>
        <w:t xml:space="preserve"> the remaining case employing community detection in a graph analysis. In 5 of these 6 </w:t>
      </w:r>
      <w:r w:rsidR="00117585">
        <w:rPr>
          <w:sz w:val="24"/>
          <w:szCs w:val="24"/>
        </w:rPr>
        <w:t>articles</w:t>
      </w:r>
      <w:r>
        <w:rPr>
          <w:sz w:val="24"/>
          <w:szCs w:val="24"/>
        </w:rPr>
        <w:t xml:space="preserve"> clustering was conducted in parallel with taxometric analysis (</w:t>
      </w:r>
      <w:hyperlink w:anchor="_heading=h.48jge9xmiitr">
        <w:r>
          <w:rPr>
            <w:sz w:val="24"/>
            <w:szCs w:val="24"/>
          </w:rPr>
          <w:t>Deserno et al., 2023</w:t>
        </w:r>
      </w:hyperlink>
      <w:r>
        <w:rPr>
          <w:sz w:val="24"/>
          <w:szCs w:val="24"/>
        </w:rPr>
        <w:t xml:space="preserve">; </w:t>
      </w:r>
      <w:hyperlink w:anchor="_heading=h.9puhrlqdlzz7">
        <w:r>
          <w:rPr>
            <w:sz w:val="24"/>
            <w:szCs w:val="24"/>
          </w:rPr>
          <w:t>Frazier et al., 2007</w:t>
        </w:r>
      </w:hyperlink>
      <w:r>
        <w:rPr>
          <w:sz w:val="24"/>
          <w:szCs w:val="24"/>
        </w:rPr>
        <w:t xml:space="preserve">; </w:t>
      </w:r>
      <w:hyperlink w:anchor="_heading=h.jqk7bok2em2e">
        <w:r>
          <w:rPr>
            <w:sz w:val="24"/>
            <w:szCs w:val="24"/>
          </w:rPr>
          <w:t>Frazier</w:t>
        </w:r>
      </w:hyperlink>
      <w:r>
        <w:rPr>
          <w:sz w:val="24"/>
          <w:szCs w:val="24"/>
        </w:rPr>
        <w:t xml:space="preserve"> </w:t>
      </w:r>
      <w:hyperlink w:anchor="_heading=h.jqk7bok2em2e">
        <w:r>
          <w:rPr>
            <w:sz w:val="24"/>
            <w:szCs w:val="24"/>
          </w:rPr>
          <w:t>et al., 2023</w:t>
        </w:r>
      </w:hyperlink>
      <w:r>
        <w:rPr>
          <w:sz w:val="24"/>
          <w:szCs w:val="24"/>
        </w:rPr>
        <w:t xml:space="preserve">; </w:t>
      </w:r>
      <w:hyperlink w:anchor="_heading=h.bxc48b1e04xq">
        <w:r>
          <w:rPr>
            <w:sz w:val="24"/>
            <w:szCs w:val="24"/>
          </w:rPr>
          <w:t>James et al., 2016</w:t>
        </w:r>
      </w:hyperlink>
      <w:r>
        <w:rPr>
          <w:sz w:val="24"/>
          <w:szCs w:val="24"/>
        </w:rPr>
        <w:t xml:space="preserve">; </w:t>
      </w:r>
      <w:hyperlink w:anchor="_heading=h.2wfjlgwxds5w">
        <w:r>
          <w:rPr>
            <w:sz w:val="24"/>
            <w:szCs w:val="24"/>
          </w:rPr>
          <w:t>Munson et al., 2008</w:t>
        </w:r>
      </w:hyperlink>
      <w:r>
        <w:rPr>
          <w:sz w:val="24"/>
          <w:szCs w:val="24"/>
        </w:rPr>
        <w:t xml:space="preserve">), while in one case it </w:t>
      </w:r>
      <w:r w:rsidR="00546DBB">
        <w:rPr>
          <w:sz w:val="24"/>
          <w:szCs w:val="24"/>
        </w:rPr>
        <w:t>represented</w:t>
      </w:r>
      <w:r>
        <w:rPr>
          <w:sz w:val="24"/>
          <w:szCs w:val="24"/>
        </w:rPr>
        <w:t xml:space="preserve"> a secondary analysis (</w:t>
      </w:r>
      <w:hyperlink w:anchor="_heading=h.9puhrlqdlzz7">
        <w:r>
          <w:rPr>
            <w:sz w:val="24"/>
            <w:szCs w:val="24"/>
          </w:rPr>
          <w:t>Frazier et al., 2010</w:t>
        </w:r>
      </w:hyperlink>
      <w:r>
        <w:rPr>
          <w:sz w:val="24"/>
          <w:szCs w:val="24"/>
        </w:rPr>
        <w:t>). All six studies targeted ADHD and/or ASD, and in all cases clustering results were interpreted as supporting taxonic conclusions. These interpretations generally converged with those from taxometric analysis, with one exception: in Frazier et al. (</w:t>
      </w:r>
      <w:hyperlink w:anchor="_heading=h.9puhrlqdlzz7">
        <w:r>
          <w:rPr>
            <w:sz w:val="24"/>
            <w:szCs w:val="24"/>
          </w:rPr>
          <w:t>2007</w:t>
        </w:r>
      </w:hyperlink>
      <w:r>
        <w:rPr>
          <w:sz w:val="24"/>
          <w:szCs w:val="24"/>
        </w:rPr>
        <w:t xml:space="preserve">), </w:t>
      </w:r>
      <w:sdt>
        <w:sdtPr>
          <w:tag w:val="goog_rdk_7"/>
          <w:id w:val="1654622709"/>
        </w:sdtPr>
        <w:sdtContent/>
      </w:sdt>
      <w:sdt>
        <w:sdtPr>
          <w:tag w:val="goog_rdk_8"/>
          <w:id w:val="-504530887"/>
        </w:sdtPr>
        <w:sdtContent/>
      </w:sdt>
      <w:r>
        <w:rPr>
          <w:sz w:val="24"/>
          <w:szCs w:val="24"/>
        </w:rPr>
        <w:t xml:space="preserve">clustering results </w:t>
      </w:r>
      <w:r w:rsidR="005C2C9B">
        <w:rPr>
          <w:sz w:val="24"/>
          <w:szCs w:val="24"/>
        </w:rPr>
        <w:t>inconclusively</w:t>
      </w:r>
      <w:r>
        <w:rPr>
          <w:sz w:val="24"/>
          <w:szCs w:val="24"/>
        </w:rPr>
        <w:t xml:space="preserve"> suggested the presence of subgroups within ADHD, contrasting with the dimensional structure favored by the taxometric analysis</w:t>
      </w:r>
      <w:r w:rsidR="005C2C9B">
        <w:rPr>
          <w:sz w:val="24"/>
          <w:szCs w:val="24"/>
        </w:rPr>
        <w:t xml:space="preserve"> (it</w:t>
      </w:r>
      <w:r>
        <w:rPr>
          <w:sz w:val="24"/>
          <w:szCs w:val="24"/>
        </w:rPr>
        <w:t xml:space="preserve"> </w:t>
      </w:r>
      <w:r w:rsidR="005C2C9B">
        <w:rPr>
          <w:sz w:val="24"/>
          <w:szCs w:val="24"/>
        </w:rPr>
        <w:t xml:space="preserve">is worth reminding </w:t>
      </w:r>
      <w:r>
        <w:rPr>
          <w:sz w:val="24"/>
          <w:szCs w:val="24"/>
        </w:rPr>
        <w:t xml:space="preserve">that clustering methods do not provide explicit tests of </w:t>
      </w:r>
      <w:r w:rsidR="005C2C9B">
        <w:rPr>
          <w:sz w:val="24"/>
          <w:szCs w:val="24"/>
        </w:rPr>
        <w:t>taxonicity)</w:t>
      </w:r>
      <w:r>
        <w:rPr>
          <w:sz w:val="24"/>
          <w:szCs w:val="24"/>
        </w:rPr>
        <w:t>. In all but two studies (</w:t>
      </w:r>
      <w:hyperlink w:anchor="_heading=h.9puhrlqdlzz7">
        <w:r>
          <w:rPr>
            <w:sz w:val="24"/>
            <w:szCs w:val="24"/>
          </w:rPr>
          <w:t>Frazier et al., 2007</w:t>
        </w:r>
      </w:hyperlink>
      <w:r>
        <w:rPr>
          <w:sz w:val="24"/>
          <w:szCs w:val="24"/>
        </w:rPr>
        <w:t xml:space="preserve">; </w:t>
      </w:r>
      <w:hyperlink w:anchor="_heading=h.2wfjlgwxds5w">
        <w:r>
          <w:rPr>
            <w:sz w:val="24"/>
            <w:szCs w:val="24"/>
          </w:rPr>
          <w:t>Munson et al., 2008</w:t>
        </w:r>
      </w:hyperlink>
      <w:r>
        <w:rPr>
          <w:sz w:val="24"/>
          <w:szCs w:val="24"/>
        </w:rPr>
        <w:t>), we identified at least some risk of artificial admixture.</w:t>
      </w:r>
    </w:p>
    <w:p w14:paraId="1F76844E" w14:textId="77777777" w:rsidR="005C2C9B" w:rsidRDefault="00000000" w:rsidP="001D115C">
      <w:pPr>
        <w:pStyle w:val="Heading1"/>
        <w:spacing w:before="0" w:line="480" w:lineRule="auto"/>
        <w:ind w:left="1" w:right="358"/>
        <w:jc w:val="center"/>
      </w:pPr>
      <w:bookmarkStart w:id="6" w:name="bookmark=id.vpdl8cko44b1" w:colFirst="0" w:colLast="0"/>
      <w:bookmarkEnd w:id="6"/>
      <w:r>
        <w:t>A Monte Carlo Simulation of the effects of Artificial Admixture of Taxonomic Analyses</w:t>
      </w:r>
    </w:p>
    <w:p w14:paraId="12610CF9" w14:textId="77777777" w:rsidR="005C2C9B" w:rsidRDefault="005C2C9B" w:rsidP="005C2C9B">
      <w:pPr>
        <w:pStyle w:val="Heading1"/>
        <w:spacing w:before="0" w:line="480" w:lineRule="auto"/>
        <w:ind w:left="1" w:right="358" w:firstLine="708"/>
        <w:rPr>
          <w:b w:val="0"/>
        </w:rPr>
      </w:pPr>
      <w:r w:rsidRPr="005C2C9B">
        <w:rPr>
          <w:b w:val="0"/>
          <w:bCs/>
        </w:rPr>
        <w:t>Ar</w:t>
      </w:r>
      <w:r>
        <w:rPr>
          <w:b w:val="0"/>
        </w:rPr>
        <w:t xml:space="preserve">tificial admixture represents a common and powerful threat to validity, but also one that is easily avoidable by </w:t>
      </w:r>
      <w:r w:rsidRPr="005C2C9B">
        <w:rPr>
          <w:b w:val="0"/>
        </w:rPr>
        <w:t xml:space="preserve">design. In our review, it presented a marked risk of bias </w:t>
      </w:r>
      <w:r>
        <w:rPr>
          <w:b w:val="0"/>
        </w:rPr>
        <w:t>for</w:t>
      </w:r>
      <w:r w:rsidRPr="005C2C9B">
        <w:rPr>
          <w:b w:val="0"/>
        </w:rPr>
        <w:t xml:space="preserve"> studies supporting </w:t>
      </w:r>
      <w:r>
        <w:rPr>
          <w:b w:val="0"/>
        </w:rPr>
        <w:t>the</w:t>
      </w:r>
      <w:r w:rsidRPr="005C2C9B">
        <w:rPr>
          <w:b w:val="0"/>
        </w:rPr>
        <w:t xml:space="preserve"> taxonic nature of autism. To illustrate the risks associated with artificial admixture, </w:t>
      </w:r>
      <w:sdt>
        <w:sdtPr>
          <w:rPr>
            <w:b w:val="0"/>
          </w:rPr>
          <w:tag w:val="goog_rdk_13"/>
          <w:id w:val="1945612587"/>
        </w:sdtPr>
        <w:sdtContent/>
      </w:sdt>
      <w:sdt>
        <w:sdtPr>
          <w:rPr>
            <w:b w:val="0"/>
          </w:rPr>
          <w:tag w:val="goog_rdk_14"/>
          <w:id w:val="1815228721"/>
        </w:sdtPr>
        <w:sdtContent/>
      </w:sdt>
      <w:r w:rsidRPr="005C2C9B">
        <w:rPr>
          <w:b w:val="0"/>
        </w:rPr>
        <w:t xml:space="preserve">we simulate a dimensional scenario where clinical and nonclinical participants are separately recruited and merged into a single sample. </w:t>
      </w:r>
    </w:p>
    <w:p w14:paraId="00000051" w14:textId="2E1694A2" w:rsidR="007D2FA2" w:rsidRDefault="00000000" w:rsidP="005C2C9B">
      <w:pPr>
        <w:pStyle w:val="Heading1"/>
        <w:spacing w:before="0" w:line="480" w:lineRule="auto"/>
        <w:ind w:left="1" w:right="358" w:firstLine="708"/>
      </w:pPr>
      <w:r w:rsidRPr="005C2C9B">
        <w:rPr>
          <w:b w:val="0"/>
        </w:rPr>
        <w:lastRenderedPageBreak/>
        <w:t xml:space="preserve">A single normally distributed latent variable </w:t>
      </w:r>
      <w:r w:rsidRPr="005C2C9B">
        <w:rPr>
          <w:rFonts w:ascii="Cambria Math" w:eastAsia="Cambria Math" w:hAnsi="Cambria Math" w:cs="Cambria Math"/>
          <w:b w:val="0"/>
          <w:i/>
        </w:rPr>
        <w:t>𝑋</w:t>
      </w:r>
      <w:r w:rsidRPr="005C2C9B">
        <w:rPr>
          <w:b w:val="0"/>
          <w:i/>
        </w:rPr>
        <w:t xml:space="preserve"> </w:t>
      </w:r>
      <w:r w:rsidRPr="005C2C9B">
        <w:rPr>
          <w:b w:val="0"/>
        </w:rPr>
        <w:t>is generated to represent the clinical trait of interest. A set of observed indicators (</w:t>
      </w:r>
      <w:r w:rsidRPr="005C2C9B">
        <w:rPr>
          <w:rFonts w:ascii="Cambria Math" w:eastAsia="Cambria Math" w:hAnsi="Cambria Math" w:cs="Cambria Math"/>
          <w:b w:val="0"/>
          <w:i/>
        </w:rPr>
        <w:t>𝑥</w:t>
      </w:r>
      <w:r w:rsidRPr="005C2C9B">
        <w:rPr>
          <w:b w:val="0"/>
          <w:vertAlign w:val="subscript"/>
        </w:rPr>
        <w:t>1</w:t>
      </w:r>
      <w:r w:rsidRPr="005C2C9B">
        <w:rPr>
          <w:b w:val="0"/>
        </w:rPr>
        <w:t xml:space="preserve">, </w:t>
      </w:r>
      <w:r w:rsidRPr="005C2C9B">
        <w:rPr>
          <w:rFonts w:ascii="Cambria Math" w:eastAsia="Cambria Math" w:hAnsi="Cambria Math" w:cs="Cambria Math"/>
          <w:b w:val="0"/>
          <w:i/>
        </w:rPr>
        <w:t>𝑥</w:t>
      </w:r>
      <w:r w:rsidRPr="005C2C9B">
        <w:rPr>
          <w:b w:val="0"/>
          <w:vertAlign w:val="subscript"/>
        </w:rPr>
        <w:t>2</w:t>
      </w:r>
      <w:r w:rsidRPr="005C2C9B">
        <w:rPr>
          <w:b w:val="0"/>
        </w:rPr>
        <w:t xml:space="preserve">, </w:t>
      </w:r>
      <w:r w:rsidRPr="005C2C9B">
        <w:rPr>
          <w:rFonts w:ascii="Cambria Math" w:eastAsia="Cambria Math" w:hAnsi="Cambria Math" w:cs="Cambria Math"/>
          <w:b w:val="0"/>
          <w:i/>
        </w:rPr>
        <w:t>𝑥</w:t>
      </w:r>
      <w:r w:rsidRPr="005C2C9B">
        <w:rPr>
          <w:b w:val="0"/>
          <w:vertAlign w:val="subscript"/>
        </w:rPr>
        <w:t>3</w:t>
      </w:r>
      <w:r w:rsidRPr="005C2C9B">
        <w:rPr>
          <w:b w:val="0"/>
        </w:rPr>
        <w:t xml:space="preserve">) are then simulated as linear functions of </w:t>
      </w:r>
      <w:r w:rsidRPr="005C2C9B">
        <w:rPr>
          <w:rFonts w:ascii="Cambria Math" w:eastAsia="Cambria Math" w:hAnsi="Cambria Math" w:cs="Cambria Math"/>
          <w:b w:val="0"/>
          <w:i/>
        </w:rPr>
        <w:t>𝑋</w:t>
      </w:r>
      <w:r w:rsidRPr="005C2C9B">
        <w:rPr>
          <w:b w:val="0"/>
          <w:i/>
        </w:rPr>
        <w:t xml:space="preserve"> </w:t>
      </w:r>
      <w:r w:rsidRPr="005C2C9B">
        <w:rPr>
          <w:b w:val="0"/>
        </w:rPr>
        <w:t xml:space="preserve">plus normally distributed random noise, yielding </w:t>
      </w:r>
      <w:r w:rsidRPr="005C2C9B">
        <w:rPr>
          <w:rFonts w:ascii="Cambria Math" w:eastAsia="Cambria Math" w:hAnsi="Cambria Math" w:cs="Cambria Math"/>
          <w:b w:val="0"/>
          <w:i/>
        </w:rPr>
        <w:t>𝑅</w:t>
      </w:r>
      <w:r w:rsidRPr="005C2C9B">
        <w:rPr>
          <w:b w:val="0"/>
          <w:vertAlign w:val="superscript"/>
        </w:rPr>
        <w:t>2</w:t>
      </w:r>
      <w:r w:rsidR="005C2C9B">
        <w:rPr>
          <w:b w:val="0"/>
        </w:rPr>
        <w:t>=</w:t>
      </w:r>
      <w:r w:rsidRPr="005C2C9B">
        <w:rPr>
          <w:b w:val="0"/>
        </w:rPr>
        <w:t>0.77 for each indicator. Individuals above the 99</w:t>
      </w:r>
      <w:r w:rsidRPr="001E1C02">
        <w:rPr>
          <w:b w:val="0"/>
          <w:vertAlign w:val="superscript"/>
        </w:rPr>
        <w:t>th</w:t>
      </w:r>
      <w:r w:rsidRPr="005C2C9B">
        <w:rPr>
          <w:b w:val="0"/>
        </w:rPr>
        <w:t xml:space="preserve"> percentile of </w:t>
      </w:r>
      <w:r w:rsidRPr="005C2C9B">
        <w:rPr>
          <w:rFonts w:ascii="Cambria Math" w:eastAsia="Cambria Math" w:hAnsi="Cambria Math" w:cs="Cambria Math"/>
          <w:b w:val="0"/>
          <w:i/>
        </w:rPr>
        <w:t>𝑋</w:t>
      </w:r>
      <w:r w:rsidRPr="005C2C9B">
        <w:rPr>
          <w:b w:val="0"/>
          <w:i/>
        </w:rPr>
        <w:t xml:space="preserve"> </w:t>
      </w:r>
      <w:r w:rsidRPr="005C2C9B">
        <w:rPr>
          <w:b w:val="0"/>
        </w:rPr>
        <w:t xml:space="preserve">are assumed to receive a diagnosis via global clinical assessment. A sample of </w:t>
      </w:r>
      <w:r w:rsidRPr="005C2C9B">
        <w:rPr>
          <w:rFonts w:ascii="Cambria Math" w:eastAsia="Cambria Math" w:hAnsi="Cambria Math" w:cs="Cambria Math"/>
          <w:b w:val="0"/>
          <w:i/>
        </w:rPr>
        <w:t>𝑁</w:t>
      </w:r>
      <w:r w:rsidRPr="005C2C9B">
        <w:rPr>
          <w:b w:val="0"/>
        </w:rPr>
        <w:t xml:space="preserve">=1000 individuals is drawn from the general population. Given the low base rate, only about 10 </w:t>
      </w:r>
      <w:r w:rsidR="005C2C9B">
        <w:rPr>
          <w:b w:val="0"/>
        </w:rPr>
        <w:t>individuals</w:t>
      </w:r>
      <w:r w:rsidRPr="005C2C9B">
        <w:rPr>
          <w:b w:val="0"/>
        </w:rPr>
        <w:t xml:space="preserve"> are expected to naturally receive a diagnosis. To address this, researchers draw a second sample</w:t>
      </w:r>
      <w:r>
        <w:rPr>
          <w:b w:val="0"/>
        </w:rPr>
        <w:t xml:space="preserve"> consisting of an additional </w:t>
      </w:r>
      <w:r>
        <w:rPr>
          <w:rFonts w:ascii="Cambria Math" w:eastAsia="Cambria Math" w:hAnsi="Cambria Math" w:cs="Cambria Math"/>
          <w:b w:val="0"/>
          <w:i/>
        </w:rPr>
        <w:t>𝑛</w:t>
      </w:r>
      <w:r>
        <w:rPr>
          <w:b w:val="0"/>
          <w:i/>
        </w:rPr>
        <w:t xml:space="preserve"> </w:t>
      </w:r>
      <w:r>
        <w:rPr>
          <w:b w:val="0"/>
        </w:rPr>
        <w:t>= 1000, targeting clinically diagnosed cases, and merge it with the original sample. The full simulation code and data are available in the online materials:</w:t>
      </w:r>
    </w:p>
    <w:p w14:paraId="00000052" w14:textId="77777777" w:rsidR="007D2FA2" w:rsidRDefault="00000000">
      <w:pPr>
        <w:pBdr>
          <w:top w:val="nil"/>
          <w:left w:val="nil"/>
          <w:bottom w:val="nil"/>
          <w:right w:val="nil"/>
          <w:between w:val="nil"/>
        </w:pBdr>
        <w:spacing w:line="480" w:lineRule="auto"/>
        <w:ind w:left="720"/>
        <w:rPr>
          <w:sz w:val="24"/>
          <w:szCs w:val="24"/>
        </w:rPr>
      </w:pPr>
      <w:hyperlink r:id="rId13">
        <w:r>
          <w:rPr>
            <w:sz w:val="24"/>
            <w:szCs w:val="24"/>
          </w:rPr>
          <w:t>https://osf.io/ys5ad/?view_only=0e2812acfabf43fc8af01f883c7331ba</w:t>
        </w:r>
      </w:hyperlink>
    </w:p>
    <w:p w14:paraId="00000053" w14:textId="7DB81C42"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An instance of the simulation, illustrating two observed variables </w:t>
      </w:r>
      <w:r>
        <w:rPr>
          <w:rFonts w:ascii="Cambria Math" w:eastAsia="Cambria Math" w:hAnsi="Cambria Math" w:cs="Cambria Math"/>
          <w:i/>
          <w:sz w:val="24"/>
          <w:szCs w:val="24"/>
        </w:rPr>
        <w:t>𝑥</w:t>
      </w:r>
      <w:r>
        <w:rPr>
          <w:sz w:val="24"/>
          <w:szCs w:val="24"/>
          <w:vertAlign w:val="subscript"/>
        </w:rPr>
        <w:t>1</w:t>
      </w:r>
      <w:r>
        <w:rPr>
          <w:sz w:val="24"/>
          <w:szCs w:val="24"/>
        </w:rPr>
        <w:t xml:space="preserve"> and </w:t>
      </w:r>
      <w:r>
        <w:rPr>
          <w:rFonts w:ascii="Cambria Math" w:eastAsia="Cambria Math" w:hAnsi="Cambria Math" w:cs="Cambria Math"/>
          <w:i/>
          <w:sz w:val="24"/>
          <w:szCs w:val="24"/>
        </w:rPr>
        <w:t>𝑥</w:t>
      </w:r>
      <w:r>
        <w:rPr>
          <w:sz w:val="24"/>
          <w:szCs w:val="24"/>
          <w:vertAlign w:val="subscript"/>
        </w:rPr>
        <w:t>2</w:t>
      </w:r>
      <w:r>
        <w:rPr>
          <w:sz w:val="24"/>
          <w:szCs w:val="24"/>
        </w:rPr>
        <w:t xml:space="preserve">, is presented in Figure </w:t>
      </w:r>
      <w:hyperlink w:anchor="_heading=h.eut5h0tugup4">
        <w:r>
          <w:rPr>
            <w:sz w:val="24"/>
            <w:szCs w:val="24"/>
          </w:rPr>
          <w:t>2</w:t>
        </w:r>
      </w:hyperlink>
      <w:r>
        <w:rPr>
          <w:sz w:val="24"/>
          <w:szCs w:val="24"/>
        </w:rPr>
        <w:t xml:space="preserve">. Color is used to distinguish individuals with and without a diagnosis, but even without this aid, two clusters visually emerge. This apparent separation is misleading: </w:t>
      </w:r>
      <w:r w:rsidRPr="005C2C9B">
        <w:rPr>
          <w:sz w:val="24"/>
          <w:szCs w:val="24"/>
        </w:rPr>
        <w:t xml:space="preserve">no latent categories exist in the data. The appearance of a categorical structure is a consequence of artificial admixture. In this simulated example, indicator validity is high (Cohen’s </w:t>
      </w:r>
      <w:r w:rsidRPr="005C2C9B">
        <w:rPr>
          <w:i/>
          <w:sz w:val="24"/>
          <w:szCs w:val="24"/>
        </w:rPr>
        <w:t>d</w:t>
      </w:r>
      <w:sdt>
        <w:sdtPr>
          <w:tag w:val="goog_rdk_15"/>
          <w:id w:val="1633514567"/>
        </w:sdtPr>
        <w:sdtContent>
          <w:r w:rsidRPr="005C2C9B">
            <w:rPr>
              <w:rFonts w:eastAsia="Gungsuh"/>
              <w:sz w:val="24"/>
              <w:szCs w:val="24"/>
            </w:rPr>
            <w:t xml:space="preserve">≈2), suggesting strong separation between groups on each variable. </w:t>
          </w:r>
          <w:r w:rsidR="005C2C9B">
            <w:rPr>
              <w:rFonts w:eastAsia="Gungsuh"/>
              <w:sz w:val="24"/>
              <w:szCs w:val="24"/>
            </w:rPr>
            <w:t>N</w:t>
          </w:r>
          <w:r w:rsidRPr="005C2C9B">
            <w:rPr>
              <w:rFonts w:eastAsia="Gungsuh"/>
              <w:sz w:val="24"/>
              <w:szCs w:val="24"/>
            </w:rPr>
            <w:t>uisance covariance is partly problematic: among diagnosed individuals, the correlation between indicators is close to zero (</w:t>
          </w:r>
        </w:sdtContent>
      </w:sdt>
      <w:r w:rsidRPr="005C2C9B">
        <w:rPr>
          <w:rFonts w:ascii="Cambria Math" w:eastAsia="Cambria Math" w:hAnsi="Cambria Math" w:cs="Cambria Math"/>
          <w:i/>
          <w:sz w:val="24"/>
          <w:szCs w:val="24"/>
        </w:rPr>
        <w:t>𝑟</w:t>
      </w:r>
      <w:sdt>
        <w:sdtPr>
          <w:tag w:val="goog_rdk_16"/>
          <w:id w:val="1040646261"/>
        </w:sdtPr>
        <w:sdtContent>
          <w:r w:rsidRPr="005C2C9B">
            <w:rPr>
              <w:rFonts w:eastAsia="Gungsuh"/>
              <w:sz w:val="24"/>
              <w:szCs w:val="24"/>
            </w:rPr>
            <w:t>≈0</w:t>
          </w:r>
        </w:sdtContent>
      </w:sdt>
      <w:r w:rsidRPr="005C2C9B">
        <w:rPr>
          <w:i/>
          <w:sz w:val="24"/>
          <w:szCs w:val="24"/>
        </w:rPr>
        <w:t>.</w:t>
      </w:r>
      <w:r w:rsidRPr="005C2C9B">
        <w:rPr>
          <w:sz w:val="24"/>
          <w:szCs w:val="24"/>
        </w:rPr>
        <w:t xml:space="preserve">05), </w:t>
      </w:r>
      <w:r w:rsidR="005C2C9B">
        <w:rPr>
          <w:sz w:val="24"/>
          <w:szCs w:val="24"/>
        </w:rPr>
        <w:t>but</w:t>
      </w:r>
      <w:r w:rsidRPr="005C2C9B">
        <w:rPr>
          <w:sz w:val="24"/>
          <w:szCs w:val="24"/>
        </w:rPr>
        <w:t xml:space="preserve"> among non-diagnosed individuals it is substantial (</w:t>
      </w:r>
      <w:r w:rsidRPr="005C2C9B">
        <w:rPr>
          <w:rFonts w:ascii="Cambria Math" w:eastAsia="Cambria Math" w:hAnsi="Cambria Math" w:cs="Cambria Math"/>
          <w:i/>
          <w:sz w:val="24"/>
          <w:szCs w:val="24"/>
        </w:rPr>
        <w:t>𝑟</w:t>
      </w:r>
      <w:sdt>
        <w:sdtPr>
          <w:tag w:val="goog_rdk_17"/>
          <w:id w:val="-2044760108"/>
        </w:sdtPr>
        <w:sdtContent>
          <w:r w:rsidRPr="005C2C9B">
            <w:rPr>
              <w:rFonts w:eastAsia="Gungsuh"/>
              <w:sz w:val="24"/>
              <w:szCs w:val="24"/>
            </w:rPr>
            <w:t>≈0</w:t>
          </w:r>
        </w:sdtContent>
      </w:sdt>
      <w:r w:rsidRPr="005C2C9B">
        <w:rPr>
          <w:i/>
          <w:sz w:val="24"/>
          <w:szCs w:val="24"/>
        </w:rPr>
        <w:t>.</w:t>
      </w:r>
      <w:r w:rsidRPr="005C2C9B">
        <w:rPr>
          <w:sz w:val="24"/>
          <w:szCs w:val="24"/>
        </w:rPr>
        <w:t>60).</w:t>
      </w:r>
    </w:p>
    <w:p w14:paraId="00000054" w14:textId="77777777" w:rsidR="007D2FA2" w:rsidRPr="005C2C9B" w:rsidRDefault="00000000" w:rsidP="005C2C9B">
      <w:pPr>
        <w:spacing w:line="480" w:lineRule="auto"/>
        <w:jc w:val="center"/>
        <w:rPr>
          <w:i/>
          <w:iCs/>
          <w:sz w:val="24"/>
          <w:szCs w:val="24"/>
        </w:rPr>
      </w:pPr>
      <w:r w:rsidRPr="005C2C9B">
        <w:rPr>
          <w:i/>
          <w:iCs/>
          <w:sz w:val="24"/>
          <w:szCs w:val="24"/>
        </w:rPr>
        <w:t xml:space="preserve">Figure </w:t>
      </w:r>
      <w:hyperlink w:anchor="_heading=h.eut5h0tugup4">
        <w:r w:rsidRPr="005C2C9B">
          <w:rPr>
            <w:i/>
            <w:iCs/>
            <w:sz w:val="24"/>
            <w:szCs w:val="24"/>
          </w:rPr>
          <w:t>2</w:t>
        </w:r>
      </w:hyperlink>
      <w:r w:rsidRPr="005C2C9B">
        <w:rPr>
          <w:i/>
          <w:iCs/>
          <w:sz w:val="24"/>
          <w:szCs w:val="24"/>
        </w:rPr>
        <w:t xml:space="preserve"> about here</w:t>
      </w:r>
    </w:p>
    <w:p w14:paraId="00000055" w14:textId="0072349B" w:rsidR="007D2FA2" w:rsidRDefault="00000000">
      <w:pPr>
        <w:pBdr>
          <w:top w:val="nil"/>
          <w:left w:val="nil"/>
          <w:bottom w:val="nil"/>
          <w:right w:val="nil"/>
          <w:between w:val="nil"/>
        </w:pBdr>
        <w:spacing w:line="480" w:lineRule="auto"/>
        <w:ind w:right="357" w:firstLine="720"/>
        <w:rPr>
          <w:sz w:val="24"/>
          <w:szCs w:val="24"/>
        </w:rPr>
      </w:pPr>
      <w:r>
        <w:rPr>
          <w:sz w:val="24"/>
          <w:szCs w:val="24"/>
        </w:rPr>
        <w:t>A Monte Carlo simulation was</w:t>
      </w:r>
      <w:r w:rsidR="00C82604">
        <w:rPr>
          <w:sz w:val="24"/>
          <w:szCs w:val="24"/>
        </w:rPr>
        <w:t xml:space="preserve"> then conducted </w:t>
      </w:r>
      <w:r>
        <w:rPr>
          <w:sz w:val="24"/>
          <w:szCs w:val="24"/>
        </w:rPr>
        <w:t xml:space="preserve">with 1000 iterations. </w:t>
      </w:r>
      <w:r w:rsidR="009F6317">
        <w:rPr>
          <w:sz w:val="24"/>
          <w:szCs w:val="24"/>
        </w:rPr>
        <w:t>Taxometric analysis</w:t>
      </w:r>
      <w:r>
        <w:rPr>
          <w:sz w:val="24"/>
          <w:szCs w:val="24"/>
        </w:rPr>
        <w:t xml:space="preserve"> </w:t>
      </w:r>
      <w:r w:rsidR="009F6317">
        <w:rPr>
          <w:sz w:val="24"/>
          <w:szCs w:val="24"/>
        </w:rPr>
        <w:t>was</w:t>
      </w:r>
      <w:r>
        <w:rPr>
          <w:sz w:val="24"/>
          <w:szCs w:val="24"/>
        </w:rPr>
        <w:t xml:space="preserve"> performed using the RTaxometric package in R.</w:t>
      </w:r>
      <w:r w:rsidR="009F6317">
        <w:rPr>
          <w:sz w:val="24"/>
          <w:szCs w:val="24"/>
        </w:rPr>
        <w:t xml:space="preserve"> I</w:t>
      </w:r>
      <w:r>
        <w:rPr>
          <w:sz w:val="24"/>
          <w:szCs w:val="24"/>
        </w:rPr>
        <w:t xml:space="preserve">nference was based on the Comparison Curve Fit Index (CCFI), which ranges from 0 (indicating strong support for a </w:t>
      </w:r>
      <w:r>
        <w:rPr>
          <w:sz w:val="24"/>
          <w:szCs w:val="24"/>
        </w:rPr>
        <w:lastRenderedPageBreak/>
        <w:t xml:space="preserve">dimensional structure) to 1 (strong support for a categorical structure), with values around 0.5 considered </w:t>
      </w:r>
      <w:r w:rsidR="009F6317">
        <w:rPr>
          <w:sz w:val="24"/>
          <w:szCs w:val="24"/>
        </w:rPr>
        <w:t>inconclusive</w:t>
      </w:r>
      <w:r>
        <w:rPr>
          <w:sz w:val="24"/>
          <w:szCs w:val="24"/>
        </w:rPr>
        <w:t>. The default procedures (MAMBAC, MAXEIG, and L-Mode) were applied to each simulated dataset. To enable all procedures, three observed indicators (</w:t>
      </w:r>
      <w:r>
        <w:rPr>
          <w:rFonts w:ascii="Cambria Math" w:eastAsia="Cambria Math" w:hAnsi="Cambria Math" w:cs="Cambria Math"/>
          <w:i/>
          <w:sz w:val="24"/>
          <w:szCs w:val="24"/>
        </w:rPr>
        <w:t>𝑥</w:t>
      </w:r>
      <w:r>
        <w:rPr>
          <w:sz w:val="24"/>
          <w:szCs w:val="24"/>
          <w:vertAlign w:val="subscript"/>
        </w:rPr>
        <w:t>1</w:t>
      </w:r>
      <w:r>
        <w:rPr>
          <w:sz w:val="24"/>
          <w:szCs w:val="24"/>
        </w:rPr>
        <w:t xml:space="preserve">, </w:t>
      </w:r>
      <w:r>
        <w:rPr>
          <w:rFonts w:ascii="Cambria Math" w:eastAsia="Cambria Math" w:hAnsi="Cambria Math" w:cs="Cambria Math"/>
          <w:i/>
          <w:sz w:val="24"/>
          <w:szCs w:val="24"/>
        </w:rPr>
        <w:t>𝑥</w:t>
      </w:r>
      <w:r>
        <w:rPr>
          <w:sz w:val="24"/>
          <w:szCs w:val="24"/>
          <w:vertAlign w:val="subscript"/>
        </w:rPr>
        <w:t>2</w:t>
      </w:r>
      <w:r>
        <w:rPr>
          <w:sz w:val="24"/>
          <w:szCs w:val="24"/>
        </w:rPr>
        <w:t xml:space="preserve">, </w:t>
      </w:r>
      <w:r>
        <w:rPr>
          <w:rFonts w:ascii="Cambria Math" w:eastAsia="Cambria Math" w:hAnsi="Cambria Math" w:cs="Cambria Math"/>
          <w:i/>
          <w:sz w:val="24"/>
          <w:szCs w:val="24"/>
        </w:rPr>
        <w:t>𝑥</w:t>
      </w:r>
      <w:r>
        <w:rPr>
          <w:sz w:val="24"/>
          <w:szCs w:val="24"/>
          <w:vertAlign w:val="subscript"/>
        </w:rPr>
        <w:t>3</w:t>
      </w:r>
      <w:r>
        <w:rPr>
          <w:sz w:val="24"/>
          <w:szCs w:val="24"/>
        </w:rPr>
        <w:t>) were included in the simulations.</w:t>
      </w:r>
    </w:p>
    <w:p w14:paraId="00000056" w14:textId="18AF826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Over 1000 simulated datasets, results consistently and strongly favored a categorical interpretation: median combined CCFI=0.88, 95% quantile interval [0.83, 0.92]; median MAMBAC CCFI=0.90; average MAXEIG CCFI=0.86; average L-Mode CCFI=0.88. The smallest combined CCFI over 1000 iterations was 0.80. Therefore, admixture </w:t>
      </w:r>
      <w:r w:rsidR="009F6317">
        <w:rPr>
          <w:sz w:val="24"/>
          <w:szCs w:val="24"/>
        </w:rPr>
        <w:t>can be an</w:t>
      </w:r>
      <w:r>
        <w:rPr>
          <w:sz w:val="24"/>
          <w:szCs w:val="24"/>
        </w:rPr>
        <w:t xml:space="preserve"> extremely strong driver of false </w:t>
      </w:r>
      <w:r w:rsidR="009F6317">
        <w:rPr>
          <w:sz w:val="24"/>
          <w:szCs w:val="24"/>
        </w:rPr>
        <w:t>taxonic</w:t>
      </w:r>
      <w:r>
        <w:rPr>
          <w:sz w:val="24"/>
          <w:szCs w:val="24"/>
        </w:rPr>
        <w:t xml:space="preserve"> findings.</w:t>
      </w:r>
    </w:p>
    <w:p w14:paraId="00000057" w14:textId="184CC43F" w:rsidR="007D2FA2" w:rsidRDefault="00000000">
      <w:pPr>
        <w:pBdr>
          <w:top w:val="nil"/>
          <w:left w:val="nil"/>
          <w:bottom w:val="nil"/>
          <w:right w:val="nil"/>
          <w:between w:val="nil"/>
        </w:pBdr>
        <w:spacing w:line="480" w:lineRule="auto"/>
        <w:ind w:right="357" w:firstLine="720"/>
        <w:rPr>
          <w:sz w:val="24"/>
          <w:szCs w:val="24"/>
        </w:rPr>
      </w:pPr>
      <w:r>
        <w:rPr>
          <w:sz w:val="24"/>
          <w:szCs w:val="24"/>
        </w:rPr>
        <w:t>To verify that artificial admixture also produces misleading results when using clustering methods, we ran Gaussian Mixture Models (GMMs) comparing 1-component versus 2-component solutions, using the mclust package in R. Model selection was based on the Bayesian Information Criterion (BIC), as per default. GMM is a model-based clustering</w:t>
      </w:r>
      <w:r w:rsidR="009F6317">
        <w:rPr>
          <w:sz w:val="24"/>
          <w:szCs w:val="24"/>
        </w:rPr>
        <w:t xml:space="preserve"> method</w:t>
      </w:r>
      <w:r>
        <w:rPr>
          <w:sz w:val="24"/>
          <w:szCs w:val="24"/>
        </w:rPr>
        <w:t xml:space="preserve"> grounded in finite mixture modeling. It is conceptually similar to </w:t>
      </w:r>
      <w:r w:rsidR="009F6317">
        <w:rPr>
          <w:sz w:val="24"/>
          <w:szCs w:val="24"/>
        </w:rPr>
        <w:t>LPA</w:t>
      </w:r>
      <w:r>
        <w:rPr>
          <w:sz w:val="24"/>
          <w:szCs w:val="24"/>
        </w:rPr>
        <w:t xml:space="preserve"> (with which it is often confused) but is more flexible </w:t>
      </w:r>
      <w:r w:rsidR="009F6317">
        <w:rPr>
          <w:sz w:val="24"/>
          <w:szCs w:val="24"/>
        </w:rPr>
        <w:t>as</w:t>
      </w:r>
      <w:r>
        <w:rPr>
          <w:sz w:val="24"/>
          <w:szCs w:val="24"/>
        </w:rPr>
        <w:t xml:space="preserve"> it models covariances among indicators. Across 1,000 simulated datasets, results consistently favored the 2-component solution. The median difference in BIC (ΔBIC) was -548.67, in favor of the 2-component model.</w:t>
      </w:r>
    </w:p>
    <w:p w14:paraId="00000058" w14:textId="58F71AF6" w:rsidR="007D2FA2" w:rsidRDefault="00000000">
      <w:pPr>
        <w:pBdr>
          <w:top w:val="nil"/>
          <w:left w:val="nil"/>
          <w:bottom w:val="nil"/>
          <w:right w:val="nil"/>
          <w:between w:val="nil"/>
        </w:pBdr>
        <w:spacing w:line="480" w:lineRule="auto"/>
        <w:ind w:right="1080" w:firstLine="720"/>
        <w:rPr>
          <w:sz w:val="24"/>
          <w:szCs w:val="24"/>
        </w:rPr>
      </w:pPr>
      <w:r>
        <w:rPr>
          <w:sz w:val="24"/>
          <w:szCs w:val="24"/>
        </w:rPr>
        <w:t xml:space="preserve">To confirm that the categorical structure was incorrectly favored due to artificial admixture, we run a second Monte Carlo simulation using the same dimensional data-generating process as before, but without admixture. In this case, a single sample of </w:t>
      </w:r>
      <w:r>
        <w:rPr>
          <w:rFonts w:ascii="Cambria Math" w:eastAsia="Cambria Math" w:hAnsi="Cambria Math" w:cs="Cambria Math"/>
          <w:i/>
          <w:sz w:val="24"/>
          <w:szCs w:val="24"/>
        </w:rPr>
        <w:t>𝑁</w:t>
      </w:r>
      <w:r>
        <w:rPr>
          <w:sz w:val="24"/>
          <w:szCs w:val="24"/>
        </w:rPr>
        <w:t xml:space="preserve">=2000 observations was drawn at each iteration. Therefore, nuisance covariance remains present, but there is no admixture. Median combined CCFI=0.47, 95% quantile interval [0.40, 0.58]; median MAMBAC CCFI=0.39; </w:t>
      </w:r>
      <w:r>
        <w:rPr>
          <w:sz w:val="24"/>
          <w:szCs w:val="24"/>
        </w:rPr>
        <w:lastRenderedPageBreak/>
        <w:t>average MAXEIG CCFI=0.49; average L-Mode CCFI=0.53. Clustering with GMM consistently favored the 1-component model (over the 2-component model), with an average ΔBIC = -30.36 in favor of the 1-component model.</w:t>
      </w:r>
    </w:p>
    <w:p w14:paraId="00000059" w14:textId="34EA2074" w:rsidR="007D2FA2" w:rsidRDefault="00000000">
      <w:pPr>
        <w:pBdr>
          <w:top w:val="nil"/>
          <w:left w:val="nil"/>
          <w:bottom w:val="nil"/>
          <w:right w:val="nil"/>
          <w:between w:val="nil"/>
        </w:pBdr>
        <w:spacing w:line="480" w:lineRule="auto"/>
        <w:ind w:right="357" w:firstLine="720"/>
        <w:rPr>
          <w:sz w:val="24"/>
          <w:szCs w:val="24"/>
        </w:rPr>
      </w:pPr>
      <w:r>
        <w:rPr>
          <w:sz w:val="24"/>
          <w:szCs w:val="24"/>
        </w:rPr>
        <w:t>Thus, without admixture taxometric results leaned towards a dimensional conclusion, but frequently remained inconclusive</w:t>
      </w:r>
      <w:r w:rsidR="009F6317">
        <w:rPr>
          <w:sz w:val="24"/>
          <w:szCs w:val="24"/>
        </w:rPr>
        <w:t xml:space="preserve">, </w:t>
      </w:r>
      <w:r>
        <w:rPr>
          <w:sz w:val="24"/>
          <w:szCs w:val="24"/>
        </w:rPr>
        <w:t>probably due to nuisance covariance. It is worth noting, however, that under a dimensional structure achieving both high indicator validity and low within-group covariance might be practically impossible</w:t>
      </w:r>
      <w:r w:rsidR="002D2737">
        <w:rPr>
          <w:sz w:val="24"/>
          <w:szCs w:val="24"/>
        </w:rPr>
        <w:t>,</w:t>
      </w:r>
      <w:r>
        <w:rPr>
          <w:sz w:val="24"/>
          <w:szCs w:val="24"/>
        </w:rPr>
        <w:t xml:space="preserve"> because indicators that </w:t>
      </w:r>
      <w:r w:rsidR="009F6317">
        <w:rPr>
          <w:sz w:val="24"/>
          <w:szCs w:val="24"/>
        </w:rPr>
        <w:t>strongly</w:t>
      </w:r>
      <w:r>
        <w:rPr>
          <w:sz w:val="24"/>
          <w:szCs w:val="24"/>
        </w:rPr>
        <w:t xml:space="preserve"> differentiate individuals with and without a diagnosis must be strongly associated with the underlying trait, </w:t>
      </w:r>
      <w:r w:rsidR="009F6317">
        <w:rPr>
          <w:sz w:val="24"/>
          <w:szCs w:val="24"/>
        </w:rPr>
        <w:t>thus producing</w:t>
      </w:r>
      <w:r>
        <w:rPr>
          <w:sz w:val="24"/>
          <w:szCs w:val="24"/>
        </w:rPr>
        <w:t xml:space="preserve"> inter-indicator covariance.</w:t>
      </w:r>
    </w:p>
    <w:p w14:paraId="0000005A" w14:textId="77777777" w:rsidR="007D2FA2" w:rsidRDefault="00000000">
      <w:pPr>
        <w:pStyle w:val="Heading1"/>
        <w:spacing w:before="0" w:line="480" w:lineRule="auto"/>
        <w:ind w:left="4141"/>
      </w:pPr>
      <w:bookmarkStart w:id="7" w:name="bookmark=id.6ox5lh2idtkf" w:colFirst="0" w:colLast="0"/>
      <w:bookmarkEnd w:id="7"/>
      <w:r>
        <w:t>Discussion</w:t>
      </w:r>
    </w:p>
    <w:p w14:paraId="0000005B" w14:textId="49915A76" w:rsidR="007D2FA2" w:rsidRDefault="00D95DFA">
      <w:pPr>
        <w:pBdr>
          <w:top w:val="nil"/>
          <w:left w:val="nil"/>
          <w:bottom w:val="nil"/>
          <w:right w:val="nil"/>
          <w:between w:val="nil"/>
        </w:pBdr>
        <w:spacing w:line="480" w:lineRule="auto"/>
        <w:ind w:right="357" w:firstLine="720"/>
        <w:rPr>
          <w:sz w:val="24"/>
          <w:szCs w:val="24"/>
        </w:rPr>
      </w:pPr>
      <w:r>
        <w:rPr>
          <w:sz w:val="24"/>
          <w:szCs w:val="24"/>
        </w:rPr>
        <w:t>We found that taxometric analysis remains underused in neurodevelopmental research</w:t>
      </w:r>
      <w:r w:rsidR="00C8715D">
        <w:rPr>
          <w:sz w:val="24"/>
          <w:szCs w:val="24"/>
        </w:rPr>
        <w:t>, which is unfortunate</w:t>
      </w:r>
      <w:r>
        <w:rPr>
          <w:sz w:val="24"/>
          <w:szCs w:val="24"/>
        </w:rPr>
        <w:t xml:space="preserve"> given the unique relevance of this method to the ongoing debate about the nature of NDCs (</w:t>
      </w:r>
      <w:hyperlink w:anchor="_heading=h.9ncjwgnoho5p">
        <w:r>
          <w:rPr>
            <w:sz w:val="24"/>
            <w:szCs w:val="24"/>
          </w:rPr>
          <w:t>Astle et al., 2022</w:t>
        </w:r>
      </w:hyperlink>
      <w:r>
        <w:rPr>
          <w:sz w:val="24"/>
          <w:szCs w:val="24"/>
        </w:rPr>
        <w:t xml:space="preserve">; </w:t>
      </w:r>
      <w:hyperlink w:anchor="_heading=h.q43z9ku1hzxj">
        <w:r>
          <w:rPr>
            <w:sz w:val="24"/>
            <w:szCs w:val="24"/>
          </w:rPr>
          <w:t>Happé &amp; Frith, 2021</w:t>
        </w:r>
      </w:hyperlink>
      <w:r>
        <w:rPr>
          <w:sz w:val="24"/>
          <w:szCs w:val="24"/>
        </w:rPr>
        <w:t xml:space="preserve">; </w:t>
      </w:r>
      <w:hyperlink w:anchor="_heading=h.wypemuedcmqa">
        <w:r>
          <w:rPr>
            <w:sz w:val="24"/>
            <w:szCs w:val="24"/>
          </w:rPr>
          <w:t>Michelini et al., 2024</w:t>
        </w:r>
      </w:hyperlink>
      <w:r>
        <w:rPr>
          <w:sz w:val="24"/>
          <w:szCs w:val="24"/>
        </w:rPr>
        <w:t xml:space="preserve">; </w:t>
      </w:r>
      <w:hyperlink w:anchor="_heading=h.cuch0tkpta1">
        <w:r>
          <w:rPr>
            <w:sz w:val="24"/>
            <w:szCs w:val="24"/>
          </w:rPr>
          <w:t>Sonuga-Barke,</w:t>
        </w:r>
      </w:hyperlink>
      <w:r>
        <w:rPr>
          <w:sz w:val="24"/>
          <w:szCs w:val="24"/>
        </w:rPr>
        <w:t xml:space="preserve"> 1998; </w:t>
      </w:r>
      <w:hyperlink w:anchor="_heading=h.cuch0tkpta1">
        <w:r>
          <w:rPr>
            <w:sz w:val="24"/>
            <w:szCs w:val="24"/>
          </w:rPr>
          <w:t>2020</w:t>
        </w:r>
      </w:hyperlink>
      <w:r>
        <w:rPr>
          <w:sz w:val="24"/>
          <w:szCs w:val="24"/>
        </w:rPr>
        <w:t>). That underuse was expected, however. Haslam et al. (</w:t>
      </w:r>
      <w:hyperlink w:anchor="_heading=h.5cmxbt7tvimw">
        <w:r>
          <w:rPr>
            <w:sz w:val="24"/>
            <w:szCs w:val="24"/>
          </w:rPr>
          <w:t>2020</w:t>
        </w:r>
      </w:hyperlink>
      <w:r>
        <w:rPr>
          <w:sz w:val="24"/>
          <w:szCs w:val="24"/>
        </w:rPr>
        <w:t>) classified only 15 out of 183 taxometric studies in the “childhood” category (which included heterogeneous conditions, and even sleep problems). In the studies identified in our review, only ASD, ADHD, and SLI were targeted as disorders in taxometric analysis. None of learning disorders employed taxometric approaches, with Dyslexia being covered in one single article, but only for investigating its subtypes.</w:t>
      </w:r>
    </w:p>
    <w:p w14:paraId="0000005C" w14:textId="586D89DB" w:rsidR="007D2FA2" w:rsidRDefault="00000000">
      <w:pPr>
        <w:pBdr>
          <w:top w:val="nil"/>
          <w:left w:val="nil"/>
          <w:bottom w:val="nil"/>
          <w:right w:val="nil"/>
          <w:between w:val="nil"/>
        </w:pBdr>
        <w:spacing w:line="480" w:lineRule="auto"/>
        <w:ind w:right="301" w:firstLine="720"/>
        <w:rPr>
          <w:sz w:val="24"/>
          <w:szCs w:val="24"/>
        </w:rPr>
      </w:pPr>
      <w:r>
        <w:rPr>
          <w:sz w:val="24"/>
          <w:szCs w:val="24"/>
        </w:rPr>
        <w:t>Taxometric results appeared relatively consistent. Dimensional conclusions were predominantly reached for ADHD and SLI, while categorical conclusions prevailed for ASD and studies examining subtypes of any disorder. This may seem to offer a compelling answer to the debate raised by Chown and Leatherland (</w:t>
      </w:r>
      <w:hyperlink w:anchor="_heading=h.c551auvciqco">
        <w:r>
          <w:rPr>
            <w:sz w:val="24"/>
            <w:szCs w:val="24"/>
          </w:rPr>
          <w:t>2021</w:t>
        </w:r>
      </w:hyperlink>
      <w:r>
        <w:rPr>
          <w:sz w:val="24"/>
          <w:szCs w:val="24"/>
        </w:rPr>
        <w:t>) and Happé and Frith (</w:t>
      </w:r>
      <w:hyperlink w:anchor="_heading=h.q43z9ku1hzxj">
        <w:r>
          <w:rPr>
            <w:sz w:val="24"/>
            <w:szCs w:val="24"/>
          </w:rPr>
          <w:t>2021</w:t>
        </w:r>
      </w:hyperlink>
      <w:r>
        <w:rPr>
          <w:sz w:val="24"/>
          <w:szCs w:val="24"/>
        </w:rPr>
        <w:t xml:space="preserve">). However, </w:t>
      </w:r>
      <w:r>
        <w:rPr>
          <w:sz w:val="24"/>
          <w:szCs w:val="24"/>
        </w:rPr>
        <w:lastRenderedPageBreak/>
        <w:t>a closer inspection of the methodological limitations in the reviewed studies suggests that such conclusions should be interpreted with caution.</w:t>
      </w:r>
    </w:p>
    <w:p w14:paraId="0000005D" w14:textId="77777777" w:rsidR="007D2FA2" w:rsidRDefault="00000000">
      <w:pPr>
        <w:pBdr>
          <w:top w:val="nil"/>
          <w:left w:val="nil"/>
          <w:bottom w:val="nil"/>
          <w:right w:val="nil"/>
          <w:between w:val="nil"/>
        </w:pBdr>
        <w:spacing w:line="480" w:lineRule="auto"/>
        <w:ind w:right="301" w:firstLine="720"/>
        <w:rPr>
          <w:sz w:val="24"/>
          <w:szCs w:val="24"/>
        </w:rPr>
      </w:pPr>
      <w:r>
        <w:rPr>
          <w:sz w:val="24"/>
          <w:szCs w:val="24"/>
        </w:rPr>
        <w:t>We identified four ASD taxometric analyses, and all of them reached taxonic conclusions, with some degree of artificial admixture. This represents a major threat to validity of the conclusions of these studies, as demonstrated both in our data simulation and in prior literature (</w:t>
      </w:r>
      <w:hyperlink w:anchor="_heading=h.pq1qz17tdmxe">
        <w:r>
          <w:rPr>
            <w:sz w:val="24"/>
            <w:szCs w:val="24"/>
          </w:rPr>
          <w:t>Ruscio &amp; Ruscio, 2004a</w:t>
        </w:r>
      </w:hyperlink>
      <w:r>
        <w:rPr>
          <w:sz w:val="24"/>
          <w:szCs w:val="24"/>
        </w:rPr>
        <w:t xml:space="preserve">, </w:t>
      </w:r>
      <w:hyperlink w:anchor="_heading=h.oufmb6f03e7z">
        <w:r>
          <w:rPr>
            <w:sz w:val="24"/>
            <w:szCs w:val="24"/>
          </w:rPr>
          <w:t>2004b</w:t>
        </w:r>
      </w:hyperlink>
      <w:r>
        <w:rPr>
          <w:sz w:val="24"/>
          <w:szCs w:val="24"/>
        </w:rPr>
        <w:t>). Admixture in the reviewed studies ranged from sampling participants through different methods, only some of which explicitly targeted clinical populations (</w:t>
      </w:r>
      <w:hyperlink w:anchor="_heading=h.bxc48b1e04xq">
        <w:r>
          <w:rPr>
            <w:sz w:val="24"/>
            <w:szCs w:val="24"/>
          </w:rPr>
          <w:t>James et al., 2016</w:t>
        </w:r>
      </w:hyperlink>
      <w:r>
        <w:rPr>
          <w:sz w:val="24"/>
          <w:szCs w:val="24"/>
        </w:rPr>
        <w:t>), to combining clinical and non-clinical samples (</w:t>
      </w:r>
      <w:hyperlink w:anchor="_heading=h.48jge9xmiitr">
        <w:r>
          <w:rPr>
            <w:sz w:val="24"/>
            <w:szCs w:val="24"/>
          </w:rPr>
          <w:t>Deserno et al., 2023</w:t>
        </w:r>
      </w:hyperlink>
      <w:r>
        <w:rPr>
          <w:sz w:val="24"/>
          <w:szCs w:val="24"/>
        </w:rPr>
        <w:t xml:space="preserve">; </w:t>
      </w:r>
      <w:hyperlink w:anchor="_heading=h.jqk7bok2em2e">
        <w:r>
          <w:rPr>
            <w:sz w:val="24"/>
            <w:szCs w:val="24"/>
          </w:rPr>
          <w:t>Frazier et al., 2023</w:t>
        </w:r>
      </w:hyperlink>
      <w:r>
        <w:rPr>
          <w:sz w:val="24"/>
          <w:szCs w:val="24"/>
        </w:rPr>
        <w:t>). In one case, inclusion criteria from a larger database were partly unclear, but the sample was explicitly structured by diagnostic status (</w:t>
      </w:r>
      <w:hyperlink w:anchor="_heading=h.48jge9xmiitr">
        <w:r>
          <w:rPr>
            <w:sz w:val="24"/>
            <w:szCs w:val="24"/>
          </w:rPr>
          <w:t>Deserno et al., 2023</w:t>
        </w:r>
      </w:hyperlink>
      <w:r>
        <w:rPr>
          <w:sz w:val="24"/>
          <w:szCs w:val="24"/>
        </w:rPr>
        <w:t>). Another form of admixture involved constructing a sample of affected and unaffected siblings (</w:t>
      </w:r>
      <w:hyperlink w:anchor="_heading=h.9puhrlqdlzz7">
        <w:r>
          <w:rPr>
            <w:sz w:val="24"/>
            <w:szCs w:val="24"/>
          </w:rPr>
          <w:t>Frazier et al., 2010</w:t>
        </w:r>
      </w:hyperlink>
      <w:r>
        <w:rPr>
          <w:sz w:val="24"/>
          <w:szCs w:val="24"/>
        </w:rPr>
        <w:t xml:space="preserve">). </w:t>
      </w:r>
      <w:sdt>
        <w:sdtPr>
          <w:tag w:val="goog_rdk_18"/>
          <w:id w:val="-101705137"/>
        </w:sdtPr>
        <w:sdtContent/>
      </w:sdt>
      <w:sdt>
        <w:sdtPr>
          <w:tag w:val="goog_rdk_19"/>
          <w:id w:val="-1450489732"/>
        </w:sdtPr>
        <w:sdtContent/>
      </w:sdt>
      <w:r>
        <w:rPr>
          <w:sz w:val="24"/>
          <w:szCs w:val="24"/>
        </w:rPr>
        <w:t>According to our interpretation, the only relatively unbiased taxometric evidence suggesting that ASD may be a taxon as a disorder comes from a secondary analysis by Frazier et al. (</w:t>
      </w:r>
      <w:hyperlink w:anchor="_heading=h.9puhrlqdlzz7">
        <w:r>
          <w:rPr>
            <w:sz w:val="24"/>
            <w:szCs w:val="24"/>
          </w:rPr>
          <w:t>2010</w:t>
        </w:r>
      </w:hyperlink>
      <w:r>
        <w:rPr>
          <w:sz w:val="24"/>
          <w:szCs w:val="24"/>
        </w:rPr>
        <w:t>), in which only unaffected siblings were examined.</w:t>
      </w:r>
    </w:p>
    <w:p w14:paraId="0000005E" w14:textId="323BD615" w:rsidR="007D2FA2" w:rsidRDefault="00000000">
      <w:pPr>
        <w:pBdr>
          <w:top w:val="nil"/>
          <w:left w:val="nil"/>
          <w:bottom w:val="nil"/>
          <w:right w:val="nil"/>
          <w:between w:val="nil"/>
        </w:pBdr>
        <w:spacing w:line="480" w:lineRule="auto"/>
        <w:ind w:right="357" w:firstLine="720"/>
        <w:rPr>
          <w:sz w:val="24"/>
          <w:szCs w:val="24"/>
        </w:rPr>
      </w:pPr>
      <w:sdt>
        <w:sdtPr>
          <w:tag w:val="goog_rdk_20"/>
          <w:id w:val="1576059633"/>
        </w:sdtPr>
        <w:sdtContent/>
      </w:sdt>
      <w:sdt>
        <w:sdtPr>
          <w:tag w:val="goog_rdk_21"/>
          <w:id w:val="1636389087"/>
        </w:sdtPr>
        <w:sdtContent/>
      </w:sdt>
      <w:r>
        <w:rPr>
          <w:sz w:val="24"/>
          <w:szCs w:val="24"/>
        </w:rPr>
        <w:t>Concerning subtypes, the situation was similar. All four reviewed articles reached some taxonic conclusions, but three of them likely involved some form of artificial admixture. However, the issue appeared to be nuanced and less severe in this subset of studies. For example, O’Brien et al. (</w:t>
      </w:r>
      <w:hyperlink w:anchor="_heading=h.wb85q77edjeg">
        <w:r>
          <w:rPr>
            <w:sz w:val="24"/>
            <w:szCs w:val="24"/>
          </w:rPr>
          <w:t>2012</w:t>
        </w:r>
      </w:hyperlink>
      <w:r>
        <w:rPr>
          <w:sz w:val="24"/>
          <w:szCs w:val="24"/>
        </w:rPr>
        <w:t xml:space="preserve">) used psychometric cutoffs across different tools and alternate inclusion criteria, which may not necessarily have biased the results, unless the selection criteria correlate with different underlying cognitive impairments in dyslexia (phonological vs. non-phonological). However, the authors themselves acknowledged this possibility, writing that </w:t>
      </w:r>
      <w:r>
        <w:rPr>
          <w:i/>
          <w:sz w:val="24"/>
          <w:szCs w:val="24"/>
        </w:rPr>
        <w:t xml:space="preserve">“depending on the dyslexia criterion used, samples may vary in </w:t>
      </w:r>
      <w:r>
        <w:rPr>
          <w:i/>
          <w:sz w:val="24"/>
          <w:szCs w:val="24"/>
        </w:rPr>
        <w:lastRenderedPageBreak/>
        <w:t xml:space="preserve">composition with regard to their subtypes” </w:t>
      </w:r>
      <w:r>
        <w:rPr>
          <w:sz w:val="24"/>
          <w:szCs w:val="24"/>
        </w:rPr>
        <w:t xml:space="preserve">(p.33). A </w:t>
      </w:r>
      <w:r w:rsidR="000F6957">
        <w:rPr>
          <w:sz w:val="24"/>
          <w:szCs w:val="24"/>
        </w:rPr>
        <w:t>subtle and potentially</w:t>
      </w:r>
      <w:r>
        <w:rPr>
          <w:sz w:val="24"/>
          <w:szCs w:val="24"/>
        </w:rPr>
        <w:t xml:space="preserve"> overlooked cause of </w:t>
      </w:r>
      <w:r w:rsidR="00E05796">
        <w:rPr>
          <w:sz w:val="24"/>
          <w:szCs w:val="24"/>
        </w:rPr>
        <w:t>admixture</w:t>
      </w:r>
      <w:r>
        <w:rPr>
          <w:sz w:val="24"/>
          <w:szCs w:val="24"/>
        </w:rPr>
        <w:t xml:space="preserve"> in studies targeting subtypes within entirely </w:t>
      </w:r>
      <w:r w:rsidR="00D75785">
        <w:rPr>
          <w:sz w:val="24"/>
          <w:szCs w:val="24"/>
        </w:rPr>
        <w:t>clinical</w:t>
      </w:r>
      <w:r>
        <w:rPr>
          <w:sz w:val="24"/>
          <w:szCs w:val="24"/>
        </w:rPr>
        <w:t xml:space="preserve"> samples is that the diagnoses might be based on exceeding cutoff thresholds on partly independent </w:t>
      </w:r>
      <w:r w:rsidR="00696DC2">
        <w:rPr>
          <w:sz w:val="24"/>
          <w:szCs w:val="24"/>
        </w:rPr>
        <w:t>dimensions</w:t>
      </w:r>
      <w:r w:rsidR="008422D2">
        <w:rPr>
          <w:sz w:val="24"/>
          <w:szCs w:val="24"/>
        </w:rPr>
        <w:t>/scales</w:t>
      </w:r>
      <w:r w:rsidR="005D5174">
        <w:rPr>
          <w:sz w:val="24"/>
          <w:szCs w:val="24"/>
        </w:rPr>
        <w:t xml:space="preserve">, </w:t>
      </w:r>
      <w:r w:rsidR="0063145A">
        <w:rPr>
          <w:sz w:val="24"/>
          <w:szCs w:val="24"/>
        </w:rPr>
        <w:t>reflecting</w:t>
      </w:r>
      <w:r w:rsidR="005D5174">
        <w:rPr>
          <w:sz w:val="24"/>
          <w:szCs w:val="24"/>
        </w:rPr>
        <w:t xml:space="preserve"> </w:t>
      </w:r>
      <w:r w:rsidR="00462DAB">
        <w:rPr>
          <w:sz w:val="24"/>
          <w:szCs w:val="24"/>
        </w:rPr>
        <w:t xml:space="preserve">a variant of </w:t>
      </w:r>
      <w:r w:rsidR="005D5174">
        <w:rPr>
          <w:sz w:val="24"/>
          <w:szCs w:val="24"/>
        </w:rPr>
        <w:t xml:space="preserve">the second type of problematic sampling </w:t>
      </w:r>
      <w:r>
        <w:rPr>
          <w:sz w:val="24"/>
          <w:szCs w:val="24"/>
        </w:rPr>
        <w:t xml:space="preserve">listed by </w:t>
      </w:r>
      <w:sdt>
        <w:sdtPr>
          <w:tag w:val="goog_rdk_22"/>
          <w:id w:val="-259548840"/>
        </w:sdtPr>
        <w:sdtContent/>
      </w:sdt>
      <w:sdt>
        <w:sdtPr>
          <w:tag w:val="goog_rdk_23"/>
          <w:id w:val="-1759569500"/>
        </w:sdtPr>
        <w:sdtContent/>
      </w:sdt>
      <w:r>
        <w:rPr>
          <w:sz w:val="24"/>
          <w:szCs w:val="24"/>
        </w:rPr>
        <w:t>Ruscio and Ruscio (</w:t>
      </w:r>
      <w:hyperlink r:id="rId14" w:anchor="heading=h.pq1qz17tdmxe">
        <w:r>
          <w:rPr>
            <w:sz w:val="24"/>
            <w:szCs w:val="24"/>
          </w:rPr>
          <w:t>2004a</w:t>
        </w:r>
      </w:hyperlink>
      <w:r>
        <w:rPr>
          <w:sz w:val="24"/>
          <w:szCs w:val="24"/>
        </w:rPr>
        <w:t xml:space="preserve">) as reported in the introduction. In general, a taxonic structure of subtypes should be regarded as inconsistent, and in principle unlikely, if the main condition as a whole is seen as dimensional. </w:t>
      </w:r>
    </w:p>
    <w:p w14:paraId="0000005F"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Overall, the presence of artificial admixture was most frequently associated with taxonic conclusions. Only two notable mismatches were identified: Marcus et al. (</w:t>
      </w:r>
      <w:hyperlink w:anchor="_heading=h.uz6h5n5lfpsf">
        <w:r>
          <w:rPr>
            <w:sz w:val="24"/>
            <w:szCs w:val="24"/>
          </w:rPr>
          <w:t>2012</w:t>
        </w:r>
      </w:hyperlink>
      <w:r>
        <w:rPr>
          <w:sz w:val="24"/>
          <w:szCs w:val="24"/>
        </w:rPr>
        <w:t>) reached a dimensional conclusion regarding ADHD despite having incurred admixture of clinical cases, while Munson et al. (</w:t>
      </w:r>
      <w:hyperlink w:anchor="_heading=h.2wfjlgwxds5w">
        <w:r>
          <w:rPr>
            <w:sz w:val="24"/>
            <w:szCs w:val="24"/>
          </w:rPr>
          <w:t>2008</w:t>
        </w:r>
      </w:hyperlink>
      <w:r>
        <w:rPr>
          <w:sz w:val="24"/>
          <w:szCs w:val="24"/>
        </w:rPr>
        <w:t>) reached a taxonic conclusion about ASD subtypes without evidence of admixture (all children had received an ASD diagnosis based on a seemingly uniform clinical assessment). Together with the above discussed exception in a secondary analysis of a subsample by Frazier et al. (</w:t>
      </w:r>
      <w:hyperlink w:anchor="_heading=h.9puhrlqdlzz7">
        <w:r>
          <w:rPr>
            <w:sz w:val="24"/>
            <w:szCs w:val="24"/>
          </w:rPr>
          <w:t>2010</w:t>
        </w:r>
      </w:hyperlink>
      <w:r>
        <w:rPr>
          <w:sz w:val="24"/>
          <w:szCs w:val="24"/>
        </w:rPr>
        <w:t>) targeting ASD, these findings reinforce the view that ADHD is best conceptualized as dimensional, while ASD may exhibit certain taxonic features. However, the latter conclusion is supported by limited unbiased evidence.</w:t>
      </w:r>
    </w:p>
    <w:p w14:paraId="00000060" w14:textId="77777777" w:rsidR="007D2FA2" w:rsidRDefault="00000000">
      <w:pPr>
        <w:pBdr>
          <w:top w:val="nil"/>
          <w:left w:val="nil"/>
          <w:bottom w:val="nil"/>
          <w:right w:val="nil"/>
          <w:between w:val="nil"/>
        </w:pBdr>
        <w:spacing w:line="480" w:lineRule="auto"/>
        <w:ind w:right="357" w:firstLine="720"/>
        <w:rPr>
          <w:sz w:val="24"/>
          <w:szCs w:val="24"/>
        </w:rPr>
      </w:pPr>
      <w:r>
        <w:rPr>
          <w:sz w:val="24"/>
          <w:szCs w:val="24"/>
        </w:rPr>
        <w:t xml:space="preserve">In our simulated example, we showed that artificial admixture represents a major threat to the validity of taxometric analysis, and to clustering methods as well. One might argue that our simulated scenario, in which half of sample was separately recruited, was extreme. However, this design is broadly consistent with the degree of admixture observed in the reviewed literature. </w:t>
      </w:r>
    </w:p>
    <w:p w14:paraId="00000061" w14:textId="66740117" w:rsidR="007D2FA2" w:rsidRDefault="00D01520">
      <w:pPr>
        <w:pStyle w:val="Heading1"/>
        <w:spacing w:before="0" w:line="480" w:lineRule="auto"/>
      </w:pPr>
      <w:bookmarkStart w:id="8" w:name="bookmark=id.9imy8qpjejie" w:colFirst="0" w:colLast="0"/>
      <w:bookmarkEnd w:id="8"/>
      <w:r>
        <w:t xml:space="preserve">Conclusions, Limitations, Future Directions </w:t>
      </w:r>
    </w:p>
    <w:p w14:paraId="00000062" w14:textId="5BD800FE" w:rsidR="007D2FA2" w:rsidRDefault="00000000">
      <w:pPr>
        <w:pBdr>
          <w:top w:val="nil"/>
          <w:left w:val="nil"/>
          <w:bottom w:val="nil"/>
          <w:right w:val="nil"/>
          <w:between w:val="nil"/>
        </w:pBdr>
        <w:spacing w:line="480" w:lineRule="auto"/>
        <w:ind w:right="357" w:firstLine="720"/>
        <w:rPr>
          <w:sz w:val="24"/>
          <w:szCs w:val="24"/>
        </w:rPr>
      </w:pPr>
      <w:r>
        <w:rPr>
          <w:sz w:val="24"/>
          <w:szCs w:val="24"/>
        </w:rPr>
        <w:lastRenderedPageBreak/>
        <w:t xml:space="preserve">An obvious limitation of the present review concerns the small number of studies identified, and the virtual lack of studies exploring taxa within learning disorders. </w:t>
      </w:r>
      <w:r w:rsidR="008462A2">
        <w:rPr>
          <w:sz w:val="24"/>
          <w:szCs w:val="24"/>
        </w:rPr>
        <w:t xml:space="preserve">Furthermore, </w:t>
      </w:r>
      <w:r>
        <w:rPr>
          <w:sz w:val="24"/>
          <w:szCs w:val="24"/>
        </w:rPr>
        <w:t>the available evidence was too scattered and methodologically heterogeneous</w:t>
      </w:r>
      <w:r w:rsidR="008462A2">
        <w:rPr>
          <w:sz w:val="24"/>
          <w:szCs w:val="24"/>
        </w:rPr>
        <w:t xml:space="preserve"> to conduct a meta-analysis</w:t>
      </w:r>
      <w:r>
        <w:rPr>
          <w:sz w:val="24"/>
          <w:szCs w:val="24"/>
        </w:rPr>
        <w:t xml:space="preserve">. </w:t>
      </w:r>
      <w:r w:rsidR="008676E7">
        <w:rPr>
          <w:sz w:val="24"/>
          <w:szCs w:val="24"/>
        </w:rPr>
        <w:t>These</w:t>
      </w:r>
      <w:r>
        <w:rPr>
          <w:sz w:val="24"/>
          <w:szCs w:val="24"/>
        </w:rPr>
        <w:t xml:space="preserve"> limitation</w:t>
      </w:r>
      <w:r w:rsidR="008676E7">
        <w:rPr>
          <w:sz w:val="24"/>
          <w:szCs w:val="24"/>
        </w:rPr>
        <w:t>s are them</w:t>
      </w:r>
      <w:r>
        <w:rPr>
          <w:sz w:val="24"/>
          <w:szCs w:val="24"/>
        </w:rPr>
        <w:t>sel</w:t>
      </w:r>
      <w:r w:rsidR="008676E7">
        <w:rPr>
          <w:sz w:val="24"/>
          <w:szCs w:val="24"/>
        </w:rPr>
        <w:t>ves</w:t>
      </w:r>
      <w:r>
        <w:rPr>
          <w:sz w:val="24"/>
          <w:szCs w:val="24"/>
        </w:rPr>
        <w:t xml:space="preserve"> informative, highlighting the need for more taxometric investigation in the field. </w:t>
      </w:r>
      <w:r w:rsidR="008676E7">
        <w:rPr>
          <w:sz w:val="24"/>
          <w:szCs w:val="24"/>
        </w:rPr>
        <w:t>It is</w:t>
      </w:r>
      <w:r>
        <w:rPr>
          <w:sz w:val="24"/>
          <w:szCs w:val="24"/>
        </w:rPr>
        <w:t xml:space="preserve"> unlikely </w:t>
      </w:r>
      <w:r w:rsidR="008676E7">
        <w:rPr>
          <w:sz w:val="24"/>
          <w:szCs w:val="24"/>
        </w:rPr>
        <w:t xml:space="preserve">that </w:t>
      </w:r>
      <w:r w:rsidR="00372232">
        <w:rPr>
          <w:sz w:val="24"/>
          <w:szCs w:val="24"/>
        </w:rPr>
        <w:t xml:space="preserve">many </w:t>
      </w:r>
      <w:r w:rsidR="008676E7">
        <w:rPr>
          <w:sz w:val="24"/>
          <w:szCs w:val="24"/>
        </w:rPr>
        <w:t>more studies would be included by relaxing eligibility criteria</w:t>
      </w:r>
      <w:r>
        <w:rPr>
          <w:sz w:val="24"/>
          <w:szCs w:val="24"/>
        </w:rPr>
        <w:t>. Exclusion criteria specified the lack of use of behavioral indicators</w:t>
      </w:r>
      <w:r w:rsidR="00C2101C">
        <w:rPr>
          <w:sz w:val="24"/>
          <w:szCs w:val="24"/>
        </w:rPr>
        <w:t xml:space="preserve">; however, </w:t>
      </w:r>
      <w:r>
        <w:rPr>
          <w:sz w:val="24"/>
          <w:szCs w:val="24"/>
        </w:rPr>
        <w:t>no study was excluded on this basis. One record was screened out for being a dissertation (</w:t>
      </w:r>
      <w:hyperlink w:anchor="_heading=h.bxyd5u1ohof2">
        <w:r>
          <w:rPr>
            <w:sz w:val="24"/>
            <w:szCs w:val="24"/>
          </w:rPr>
          <w:t>Clemons, 2006</w:t>
        </w:r>
      </w:hyperlink>
      <w:r>
        <w:rPr>
          <w:sz w:val="24"/>
          <w:szCs w:val="24"/>
        </w:rPr>
        <w:t>)</w:t>
      </w:r>
      <w:r w:rsidR="008A6707">
        <w:rPr>
          <w:sz w:val="24"/>
          <w:szCs w:val="24"/>
        </w:rPr>
        <w:t>; however, t</w:t>
      </w:r>
      <w:r>
        <w:rPr>
          <w:sz w:val="24"/>
          <w:szCs w:val="24"/>
        </w:rPr>
        <w:t xml:space="preserve">he full document could not be retrieved. Based on its abstract, </w:t>
      </w:r>
      <w:r w:rsidR="00090146">
        <w:rPr>
          <w:sz w:val="24"/>
          <w:szCs w:val="24"/>
        </w:rPr>
        <w:t>it</w:t>
      </w:r>
      <w:r>
        <w:rPr>
          <w:sz w:val="24"/>
          <w:szCs w:val="24"/>
        </w:rPr>
        <w:t xml:space="preserve"> focused on whether ADHD subtypes represent distinct </w:t>
      </w:r>
      <w:r w:rsidR="00A3095C">
        <w:rPr>
          <w:sz w:val="24"/>
          <w:szCs w:val="24"/>
        </w:rPr>
        <w:t>taxa,</w:t>
      </w:r>
      <w:r>
        <w:rPr>
          <w:sz w:val="24"/>
          <w:szCs w:val="24"/>
        </w:rPr>
        <w:t xml:space="preserve"> and it reached a taxonic conclusion,</w:t>
      </w:r>
      <w:r w:rsidR="00A3095C">
        <w:rPr>
          <w:sz w:val="24"/>
          <w:szCs w:val="24"/>
        </w:rPr>
        <w:t xml:space="preserve"> but</w:t>
      </w:r>
      <w:r>
        <w:rPr>
          <w:sz w:val="24"/>
          <w:szCs w:val="24"/>
        </w:rPr>
        <w:t xml:space="preserve"> some degree of admixture was possible (</w:t>
      </w:r>
      <w:r w:rsidR="00A3095C">
        <w:rPr>
          <w:sz w:val="24"/>
          <w:szCs w:val="24"/>
        </w:rPr>
        <w:t xml:space="preserve">as </w:t>
      </w:r>
      <w:r>
        <w:rPr>
          <w:sz w:val="24"/>
          <w:szCs w:val="24"/>
        </w:rPr>
        <w:t>participants were separately recruited from clinical centers and schools).</w:t>
      </w:r>
    </w:p>
    <w:p w14:paraId="00000063" w14:textId="728C0A28" w:rsidR="007D2FA2" w:rsidRDefault="00000000">
      <w:pPr>
        <w:pBdr>
          <w:top w:val="nil"/>
          <w:left w:val="nil"/>
          <w:bottom w:val="nil"/>
          <w:right w:val="nil"/>
          <w:between w:val="nil"/>
        </w:pBdr>
        <w:spacing w:line="480" w:lineRule="auto"/>
        <w:ind w:right="357" w:firstLine="720"/>
        <w:rPr>
          <w:sz w:val="24"/>
          <w:szCs w:val="24"/>
        </w:rPr>
      </w:pPr>
      <w:r>
        <w:rPr>
          <w:sz w:val="24"/>
          <w:szCs w:val="24"/>
        </w:rPr>
        <w:t>A relevant future direction concerns a systematic examination of the use and results of cluster analysis</w:t>
      </w:r>
      <w:r w:rsidR="00336F5D">
        <w:rPr>
          <w:sz w:val="24"/>
          <w:szCs w:val="24"/>
        </w:rPr>
        <w:t>, which was employed by some</w:t>
      </w:r>
      <w:r>
        <w:rPr>
          <w:sz w:val="24"/>
          <w:szCs w:val="24"/>
        </w:rPr>
        <w:t xml:space="preserve"> of the reviewed articles</w:t>
      </w:r>
      <w:r w:rsidR="00336F5D">
        <w:rPr>
          <w:sz w:val="24"/>
          <w:szCs w:val="24"/>
        </w:rPr>
        <w:t>, and</w:t>
      </w:r>
      <w:r>
        <w:rPr>
          <w:sz w:val="24"/>
          <w:szCs w:val="24"/>
        </w:rPr>
        <w:t xml:space="preserve"> is a prominent tool in this field (</w:t>
      </w:r>
      <w:hyperlink w:anchor="_heading=h.9ncjwgnoho5p">
        <w:r>
          <w:rPr>
            <w:sz w:val="24"/>
            <w:szCs w:val="24"/>
          </w:rPr>
          <w:t>Astle et al., 2022</w:t>
        </w:r>
      </w:hyperlink>
      <w:r>
        <w:rPr>
          <w:sz w:val="24"/>
          <w:szCs w:val="24"/>
        </w:rPr>
        <w:t xml:space="preserve">). Model-based approaches, such as latent class/profile analysis, were the most frequently used. </w:t>
      </w:r>
      <w:r w:rsidR="00540E97">
        <w:rPr>
          <w:sz w:val="24"/>
          <w:szCs w:val="24"/>
        </w:rPr>
        <w:t>Clustering algorithms are</w:t>
      </w:r>
      <w:r>
        <w:rPr>
          <w:sz w:val="24"/>
          <w:szCs w:val="24"/>
        </w:rPr>
        <w:t xml:space="preserve"> not without problems. First, while </w:t>
      </w:r>
      <w:r w:rsidR="00540E97">
        <w:rPr>
          <w:sz w:val="24"/>
          <w:szCs w:val="24"/>
        </w:rPr>
        <w:t>they are</w:t>
      </w:r>
      <w:r>
        <w:rPr>
          <w:sz w:val="24"/>
          <w:szCs w:val="24"/>
        </w:rPr>
        <w:t xml:space="preserve"> more flexible and can address broader questions, </w:t>
      </w:r>
      <w:r w:rsidR="00CC5A2E">
        <w:rPr>
          <w:sz w:val="24"/>
          <w:szCs w:val="24"/>
        </w:rPr>
        <w:t>they</w:t>
      </w:r>
      <w:r>
        <w:rPr>
          <w:sz w:val="24"/>
          <w:szCs w:val="24"/>
        </w:rPr>
        <w:t xml:space="preserve"> do</w:t>
      </w:r>
      <w:r w:rsidR="00CC5A2E">
        <w:rPr>
          <w:sz w:val="24"/>
          <w:szCs w:val="24"/>
        </w:rPr>
        <w:t xml:space="preserve"> </w:t>
      </w:r>
      <w:r>
        <w:rPr>
          <w:sz w:val="24"/>
          <w:szCs w:val="24"/>
        </w:rPr>
        <w:t>not offer direct or consistent test</w:t>
      </w:r>
      <w:r w:rsidR="00E153A9">
        <w:rPr>
          <w:sz w:val="24"/>
          <w:szCs w:val="24"/>
        </w:rPr>
        <w:t>s</w:t>
      </w:r>
      <w:r>
        <w:rPr>
          <w:sz w:val="24"/>
          <w:szCs w:val="24"/>
        </w:rPr>
        <w:t xml:space="preserve"> of taxonicity (</w:t>
      </w:r>
      <w:hyperlink w:anchor="_heading=h.z4vdbbo3gpvn">
        <w:r>
          <w:rPr>
            <w:sz w:val="24"/>
            <w:szCs w:val="24"/>
          </w:rPr>
          <w:t>Beauchaine, 2003</w:t>
        </w:r>
      </w:hyperlink>
      <w:r>
        <w:rPr>
          <w:sz w:val="24"/>
          <w:szCs w:val="24"/>
        </w:rPr>
        <w:t xml:space="preserve">; </w:t>
      </w:r>
      <w:hyperlink w:anchor="_heading=h.oufmb6f03e7z">
        <w:r>
          <w:rPr>
            <w:sz w:val="24"/>
            <w:szCs w:val="24"/>
          </w:rPr>
          <w:t>Ruscio &amp;</w:t>
        </w:r>
      </w:hyperlink>
      <w:r>
        <w:rPr>
          <w:sz w:val="24"/>
          <w:szCs w:val="24"/>
        </w:rPr>
        <w:t xml:space="preserve"> </w:t>
      </w:r>
      <w:hyperlink w:anchor="_heading=h.oufmb6f03e7z">
        <w:r>
          <w:rPr>
            <w:sz w:val="24"/>
            <w:szCs w:val="24"/>
          </w:rPr>
          <w:t>Ruscio, 2004b</w:t>
        </w:r>
      </w:hyperlink>
      <w:r>
        <w:rPr>
          <w:sz w:val="24"/>
          <w:szCs w:val="24"/>
        </w:rPr>
        <w:t xml:space="preserve">). Second, meaningful scientific inference from clustering (beyond its use as a </w:t>
      </w:r>
      <w:r w:rsidR="00307FF6">
        <w:rPr>
          <w:sz w:val="24"/>
          <w:szCs w:val="24"/>
        </w:rPr>
        <w:t xml:space="preserve">mere </w:t>
      </w:r>
      <w:r>
        <w:rPr>
          <w:sz w:val="24"/>
          <w:szCs w:val="24"/>
        </w:rPr>
        <w:t>data reduction technique) requires careful handling of assumptions, as the risk of detecting pseudoclusters is high (</w:t>
      </w:r>
      <w:hyperlink w:anchor="_heading=h.x69gkat12upc">
        <w:r>
          <w:rPr>
            <w:sz w:val="24"/>
            <w:szCs w:val="24"/>
          </w:rPr>
          <w:t>Toffalini et al., 2022</w:t>
        </w:r>
      </w:hyperlink>
      <w:r>
        <w:rPr>
          <w:sz w:val="24"/>
          <w:szCs w:val="24"/>
        </w:rPr>
        <w:t xml:space="preserve">, </w:t>
      </w:r>
      <w:hyperlink w:anchor="_heading=h.3tc548wjudtl">
        <w:r>
          <w:rPr>
            <w:sz w:val="24"/>
            <w:szCs w:val="24"/>
          </w:rPr>
          <w:t>2024</w:t>
        </w:r>
      </w:hyperlink>
      <w:r>
        <w:rPr>
          <w:sz w:val="24"/>
          <w:szCs w:val="24"/>
        </w:rPr>
        <w:t>). Finally, it is not immune to risks such as artificial admixture. Nonetheless, clustering and taxometric analysis could be more directly, and critically, compared when addressing the question of whether neurodevelopmental conditions reflect categories or dimensions.</w:t>
      </w:r>
      <w:bookmarkStart w:id="9" w:name="bookmark=id.xtbzlkq2sime" w:colFirst="0" w:colLast="0"/>
      <w:bookmarkEnd w:id="9"/>
    </w:p>
    <w:p w14:paraId="00000065" w14:textId="796550D5" w:rsidR="007D2FA2" w:rsidRDefault="00000000" w:rsidP="00186452">
      <w:pPr>
        <w:pBdr>
          <w:top w:val="nil"/>
          <w:left w:val="nil"/>
          <w:bottom w:val="nil"/>
          <w:right w:val="nil"/>
          <w:between w:val="nil"/>
        </w:pBdr>
        <w:spacing w:line="480" w:lineRule="auto"/>
        <w:ind w:right="510" w:firstLine="720"/>
        <w:rPr>
          <w:b/>
          <w:sz w:val="24"/>
          <w:szCs w:val="24"/>
        </w:rPr>
      </w:pPr>
      <w:r>
        <w:rPr>
          <w:sz w:val="24"/>
          <w:szCs w:val="24"/>
        </w:rPr>
        <w:lastRenderedPageBreak/>
        <w:t xml:space="preserve">A crucial </w:t>
      </w:r>
      <w:r w:rsidR="00273EB8">
        <w:rPr>
          <w:sz w:val="24"/>
          <w:szCs w:val="24"/>
        </w:rPr>
        <w:t>implication</w:t>
      </w:r>
      <w:r>
        <w:rPr>
          <w:sz w:val="24"/>
          <w:szCs w:val="24"/>
        </w:rPr>
        <w:t xml:space="preserve"> of our </w:t>
      </w:r>
      <w:r w:rsidR="00AC3104">
        <w:rPr>
          <w:sz w:val="24"/>
          <w:szCs w:val="24"/>
        </w:rPr>
        <w:t>work</w:t>
      </w:r>
      <w:r>
        <w:rPr>
          <w:sz w:val="24"/>
          <w:szCs w:val="24"/>
        </w:rPr>
        <w:t xml:space="preserve"> concerns how taxometric findings should inform our interpretation of traditional diagnostic categories of NDCs such as those in the DSM-5, which have come under criticism (</w:t>
      </w:r>
      <w:hyperlink w:anchor="_heading=h.9ncjwgnoho5p">
        <w:r>
          <w:rPr>
            <w:sz w:val="24"/>
            <w:szCs w:val="24"/>
          </w:rPr>
          <w:t>Astle et al., 2022</w:t>
        </w:r>
      </w:hyperlink>
      <w:r>
        <w:rPr>
          <w:sz w:val="24"/>
          <w:szCs w:val="24"/>
        </w:rPr>
        <w:t xml:space="preserve">; </w:t>
      </w:r>
      <w:hyperlink w:anchor="_heading=h.cuch0tkpta1">
        <w:r>
          <w:rPr>
            <w:sz w:val="24"/>
            <w:szCs w:val="24"/>
          </w:rPr>
          <w:t>Sonuga-Barke, 2020</w:t>
        </w:r>
      </w:hyperlink>
      <w:r>
        <w:rPr>
          <w:sz w:val="24"/>
          <w:szCs w:val="24"/>
        </w:rPr>
        <w:t xml:space="preserve">, </w:t>
      </w:r>
      <w:hyperlink w:anchor="_heading=h.5b2ks3uth5f6">
        <w:r>
          <w:rPr>
            <w:sz w:val="24"/>
            <w:szCs w:val="24"/>
          </w:rPr>
          <w:t>2022</w:t>
        </w:r>
      </w:hyperlink>
      <w:r>
        <w:rPr>
          <w:sz w:val="24"/>
          <w:szCs w:val="24"/>
        </w:rPr>
        <w:t xml:space="preserve">). Although described as atheoretical and agnostic about etiology, the DSM operationalizes disorders in ways that reinforce a neo-Kraepelinian medical paradigm, implicitly reflecting the idea that NDCs reflect discrete categories underpinned by well-defined, </w:t>
      </w:r>
      <w:r w:rsidR="00304D15">
        <w:rPr>
          <w:sz w:val="24"/>
          <w:szCs w:val="24"/>
        </w:rPr>
        <w:t>sp</w:t>
      </w:r>
      <w:r>
        <w:rPr>
          <w:sz w:val="24"/>
          <w:szCs w:val="24"/>
        </w:rPr>
        <w:t>ecific dysfunctions. This view continues to shape research and clinical practice (Coghill &amp; Sonuga-Barke, 2012). Finding that the latent structure of one or many NDCs is dimensional does not deny the practical utility of diagnostic systems. However, it requires researchers and clinicians to be explicit about their assumptions and models, instead of implicitly reifying categories as natural taxa and overinterpreting their ontological status. High-quality taxometric studies offer a direct solution of the issue</w:t>
      </w:r>
      <w:r w:rsidR="00375A66">
        <w:rPr>
          <w:sz w:val="24"/>
          <w:szCs w:val="24"/>
        </w:rPr>
        <w:t>.</w:t>
      </w:r>
      <w:r>
        <w:rPr>
          <w:sz w:val="24"/>
          <w:szCs w:val="24"/>
        </w:rPr>
        <w:t xml:space="preserve"> </w:t>
      </w:r>
      <w:r w:rsidR="00375A66">
        <w:rPr>
          <w:sz w:val="24"/>
          <w:szCs w:val="24"/>
        </w:rPr>
        <w:t>W</w:t>
      </w:r>
      <w:r>
        <w:rPr>
          <w:sz w:val="24"/>
          <w:szCs w:val="24"/>
        </w:rPr>
        <w:t>e argue that they deserve a more central role in the study of NDCs.</w:t>
      </w:r>
    </w:p>
    <w:p w14:paraId="523B3C0F" w14:textId="77777777" w:rsidR="006304F4" w:rsidRPr="009E6A5F" w:rsidRDefault="006304F4" w:rsidP="007A11C0">
      <w:pPr>
        <w:spacing w:line="480" w:lineRule="auto"/>
        <w:rPr>
          <w:b/>
          <w:sz w:val="24"/>
          <w:szCs w:val="24"/>
        </w:rPr>
      </w:pPr>
    </w:p>
    <w:p w14:paraId="035AB3F7" w14:textId="77777777" w:rsidR="006304F4" w:rsidRPr="009E6A5F" w:rsidRDefault="006304F4" w:rsidP="007A11C0">
      <w:pPr>
        <w:spacing w:line="480" w:lineRule="auto"/>
        <w:rPr>
          <w:b/>
          <w:sz w:val="24"/>
          <w:szCs w:val="24"/>
        </w:rPr>
      </w:pPr>
      <w:r w:rsidRPr="009E6A5F">
        <w:rPr>
          <w:sz w:val="24"/>
          <w:szCs w:val="24"/>
        </w:rPr>
        <w:br w:type="page"/>
      </w:r>
    </w:p>
    <w:p w14:paraId="00000066" w14:textId="259FED2E" w:rsidR="007D2FA2" w:rsidRDefault="00000000">
      <w:pPr>
        <w:pStyle w:val="Heading1"/>
        <w:spacing w:before="0" w:line="480" w:lineRule="auto"/>
        <w:ind w:left="1" w:right="358"/>
        <w:jc w:val="center"/>
      </w:pPr>
      <w:r>
        <w:lastRenderedPageBreak/>
        <w:t>References</w:t>
      </w:r>
    </w:p>
    <w:p w14:paraId="00000067" w14:textId="77777777" w:rsidR="007D2FA2" w:rsidRDefault="00000000">
      <w:pPr>
        <w:spacing w:line="480" w:lineRule="auto"/>
        <w:ind w:left="567" w:right="357" w:hanging="567"/>
        <w:rPr>
          <w:sz w:val="24"/>
          <w:szCs w:val="24"/>
        </w:rPr>
      </w:pPr>
      <w:bookmarkStart w:id="10" w:name="_heading=h.gesvqslmnpf1" w:colFirst="0" w:colLast="0"/>
      <w:bookmarkEnd w:id="10"/>
      <w:r>
        <w:rPr>
          <w:sz w:val="24"/>
          <w:szCs w:val="24"/>
        </w:rPr>
        <w:t xml:space="preserve">American Psychiatric Association. (2013). </w:t>
      </w:r>
      <w:r>
        <w:rPr>
          <w:i/>
          <w:sz w:val="24"/>
          <w:szCs w:val="24"/>
        </w:rPr>
        <w:t xml:space="preserve">Diagnostic and statistical manual of mental disorders: DSM-5. </w:t>
      </w:r>
      <w:r>
        <w:rPr>
          <w:sz w:val="24"/>
          <w:szCs w:val="24"/>
        </w:rPr>
        <w:t xml:space="preserve">(5th edition). American Psychiatric Association. </w:t>
      </w:r>
    </w:p>
    <w:p w14:paraId="00000068" w14:textId="77777777" w:rsidR="007D2FA2" w:rsidRDefault="00000000">
      <w:pPr>
        <w:spacing w:line="480" w:lineRule="auto"/>
        <w:ind w:left="567" w:right="357" w:hanging="567"/>
        <w:rPr>
          <w:sz w:val="24"/>
          <w:szCs w:val="24"/>
        </w:rPr>
      </w:pPr>
      <w:bookmarkStart w:id="11" w:name="_heading=h.9ncjwgnoho5p" w:colFirst="0" w:colLast="0"/>
      <w:bookmarkEnd w:id="11"/>
      <w:r>
        <w:rPr>
          <w:sz w:val="24"/>
          <w:szCs w:val="24"/>
        </w:rPr>
        <w:t>Arildskov, T. W., Sonuga-Barke, E. J., Thomsen, P. H., Virring, A., Østergaard, S. (2022). How much impairment is required for ADHD? No evidence of a discrete threshold. Journal of Child Psychology and Psychiatry, 63(2), 229-237. https://doi.org/10.1111/jcpp.13440</w:t>
      </w:r>
    </w:p>
    <w:p w14:paraId="00000069" w14:textId="77777777" w:rsidR="007D2FA2" w:rsidRDefault="00000000">
      <w:pPr>
        <w:spacing w:line="480" w:lineRule="auto"/>
        <w:ind w:left="567" w:right="357" w:hanging="567"/>
        <w:rPr>
          <w:sz w:val="24"/>
          <w:szCs w:val="24"/>
        </w:rPr>
      </w:pPr>
      <w:r>
        <w:rPr>
          <w:sz w:val="24"/>
          <w:szCs w:val="24"/>
        </w:rPr>
        <w:t xml:space="preserve">Astle, D. E., &amp; Fletcher-Watson, S. (2020). Beyond the Core-Deficit Hypothesis in Developmental Disorders. </w:t>
      </w:r>
      <w:r>
        <w:rPr>
          <w:i/>
          <w:sz w:val="24"/>
          <w:szCs w:val="24"/>
        </w:rPr>
        <w:t>Current Directions in Psychological Science</w:t>
      </w:r>
      <w:r>
        <w:rPr>
          <w:sz w:val="24"/>
          <w:szCs w:val="24"/>
        </w:rPr>
        <w:t xml:space="preserve">, </w:t>
      </w:r>
      <w:r>
        <w:rPr>
          <w:i/>
          <w:sz w:val="24"/>
          <w:szCs w:val="24"/>
        </w:rPr>
        <w:t>29</w:t>
      </w:r>
      <w:r>
        <w:rPr>
          <w:sz w:val="24"/>
          <w:szCs w:val="24"/>
        </w:rPr>
        <w:t xml:space="preserve">(5), 431–437. </w:t>
      </w:r>
      <w:hyperlink r:id="rId15">
        <w:r>
          <w:rPr>
            <w:sz w:val="24"/>
            <w:szCs w:val="24"/>
          </w:rPr>
          <w:t>https://doi.org/10.1177/0963721420925518</w:t>
        </w:r>
      </w:hyperlink>
    </w:p>
    <w:p w14:paraId="0000006A" w14:textId="77777777" w:rsidR="007D2FA2" w:rsidRDefault="00000000">
      <w:pPr>
        <w:spacing w:line="480" w:lineRule="auto"/>
        <w:ind w:left="567" w:right="357" w:hanging="567"/>
        <w:rPr>
          <w:sz w:val="24"/>
          <w:szCs w:val="24"/>
        </w:rPr>
      </w:pPr>
      <w:bookmarkStart w:id="12" w:name="_heading=h.z4vdbbo3gpvn" w:colFirst="0" w:colLast="0"/>
      <w:bookmarkEnd w:id="12"/>
      <w:r>
        <w:rPr>
          <w:sz w:val="24"/>
          <w:szCs w:val="24"/>
        </w:rPr>
        <w:t xml:space="preserve">Astle, D. E., Holmes, J., Kievit, R., &amp; Gathercole, S. E. (2022). Annual Research Review: The transdiagnostic revolution in neurodevelopmental disorders. </w:t>
      </w:r>
      <w:r>
        <w:rPr>
          <w:i/>
          <w:sz w:val="24"/>
          <w:szCs w:val="24"/>
        </w:rPr>
        <w:t>Journal of Child Psychology and Psychiatry, and Allied Disciplines</w:t>
      </w:r>
      <w:r>
        <w:rPr>
          <w:sz w:val="24"/>
          <w:szCs w:val="24"/>
        </w:rPr>
        <w:t xml:space="preserve">, </w:t>
      </w:r>
      <w:r>
        <w:rPr>
          <w:i/>
          <w:sz w:val="24"/>
          <w:szCs w:val="24"/>
        </w:rPr>
        <w:t>63</w:t>
      </w:r>
      <w:r>
        <w:rPr>
          <w:sz w:val="24"/>
          <w:szCs w:val="24"/>
        </w:rPr>
        <w:t xml:space="preserve">(4), 397–417. </w:t>
      </w:r>
      <w:hyperlink r:id="rId16">
        <w:r>
          <w:rPr>
            <w:sz w:val="24"/>
            <w:szCs w:val="24"/>
          </w:rPr>
          <w:t>https://doi.org/10.1111/jcpp.13481</w:t>
        </w:r>
      </w:hyperlink>
    </w:p>
    <w:p w14:paraId="0000006B" w14:textId="77777777" w:rsidR="007D2FA2" w:rsidRDefault="00000000">
      <w:pPr>
        <w:spacing w:line="480" w:lineRule="auto"/>
        <w:ind w:left="567" w:right="719" w:hanging="567"/>
        <w:rPr>
          <w:sz w:val="24"/>
          <w:szCs w:val="24"/>
        </w:rPr>
      </w:pPr>
      <w:bookmarkStart w:id="13" w:name="_heading=h.8xmpdcbquauf" w:colFirst="0" w:colLast="0"/>
      <w:bookmarkEnd w:id="13"/>
      <w:r>
        <w:rPr>
          <w:sz w:val="24"/>
          <w:szCs w:val="24"/>
        </w:rPr>
        <w:t xml:space="preserve">Beauchaine, T. P. (2003). Taxometrics and developmental psychopathology. </w:t>
      </w:r>
      <w:r>
        <w:rPr>
          <w:i/>
          <w:sz w:val="24"/>
          <w:szCs w:val="24"/>
        </w:rPr>
        <w:t>Development and Psychopathology</w:t>
      </w:r>
      <w:r>
        <w:rPr>
          <w:sz w:val="24"/>
          <w:szCs w:val="24"/>
        </w:rPr>
        <w:t xml:space="preserve">, </w:t>
      </w:r>
      <w:r>
        <w:rPr>
          <w:i/>
          <w:sz w:val="24"/>
          <w:szCs w:val="24"/>
        </w:rPr>
        <w:t>15</w:t>
      </w:r>
      <w:r>
        <w:rPr>
          <w:sz w:val="24"/>
          <w:szCs w:val="24"/>
        </w:rPr>
        <w:t xml:space="preserve">(3), 501–527. </w:t>
      </w:r>
      <w:hyperlink r:id="rId17">
        <w:r>
          <w:rPr>
            <w:sz w:val="24"/>
            <w:szCs w:val="24"/>
          </w:rPr>
          <w:t>https://doi.org/10.1017/s0954579403000270</w:t>
        </w:r>
      </w:hyperlink>
    </w:p>
    <w:p w14:paraId="0000006C" w14:textId="77777777" w:rsidR="007D2FA2" w:rsidRDefault="00000000">
      <w:pPr>
        <w:spacing w:line="480" w:lineRule="auto"/>
        <w:ind w:left="567" w:right="357" w:hanging="567"/>
        <w:rPr>
          <w:sz w:val="24"/>
          <w:szCs w:val="24"/>
        </w:rPr>
      </w:pPr>
      <w:bookmarkStart w:id="14" w:name="_heading=h.tasz5zrfzvb4" w:colFirst="0" w:colLast="0"/>
      <w:bookmarkEnd w:id="14"/>
      <w:r>
        <w:rPr>
          <w:sz w:val="24"/>
          <w:szCs w:val="24"/>
        </w:rPr>
        <w:t xml:space="preserve">Burgess, A. P., Witton, C., Shapiro, L., &amp; Talcott, J. B. (2018). </w:t>
      </w:r>
      <w:r>
        <w:rPr>
          <w:i/>
          <w:sz w:val="24"/>
          <w:szCs w:val="24"/>
        </w:rPr>
        <w:t xml:space="preserve">From Subtypes to Taxons: Identifying Distinctive Profiles of Reading Development in Children </w:t>
      </w:r>
      <w:r>
        <w:rPr>
          <w:sz w:val="24"/>
          <w:szCs w:val="24"/>
        </w:rPr>
        <w:t xml:space="preserve">(T. Lachmann &amp; T. Weis, Eds.; pp. 213–233). Springer International Publishing. </w:t>
      </w:r>
      <w:hyperlink r:id="rId18">
        <w:r>
          <w:rPr>
            <w:sz w:val="24"/>
            <w:szCs w:val="24"/>
          </w:rPr>
          <w:t>https://doi.org/10.1007/978-3-319-90805-2_11</w:t>
        </w:r>
      </w:hyperlink>
    </w:p>
    <w:p w14:paraId="0000006D" w14:textId="3D2DC5F9" w:rsidR="007D2FA2" w:rsidRPr="00AE7647" w:rsidRDefault="00000000">
      <w:pPr>
        <w:pBdr>
          <w:top w:val="nil"/>
          <w:left w:val="nil"/>
          <w:bottom w:val="nil"/>
          <w:right w:val="nil"/>
          <w:between w:val="nil"/>
        </w:pBdr>
        <w:spacing w:line="480" w:lineRule="auto"/>
        <w:ind w:left="567" w:right="357" w:hanging="567"/>
        <w:rPr>
          <w:sz w:val="24"/>
          <w:szCs w:val="24"/>
        </w:rPr>
      </w:pPr>
      <w:bookmarkStart w:id="15" w:name="_heading=h.f4cl7uhyavwy" w:colFirst="0" w:colLast="0"/>
      <w:bookmarkEnd w:id="15"/>
      <w:r>
        <w:rPr>
          <w:sz w:val="24"/>
          <w:szCs w:val="24"/>
        </w:rPr>
        <w:t xml:space="preserve">Caviola, S., Greiff, S., &amp; Toffalini, E. (2024). Learning disorders and difficulties: From a categorical to a dimensional perspective. </w:t>
      </w:r>
      <w:r>
        <w:rPr>
          <w:i/>
          <w:sz w:val="24"/>
          <w:szCs w:val="24"/>
        </w:rPr>
        <w:t>Learning and Individual Differences</w:t>
      </w:r>
      <w:r>
        <w:rPr>
          <w:sz w:val="24"/>
          <w:szCs w:val="24"/>
        </w:rPr>
        <w:t xml:space="preserve">, </w:t>
      </w:r>
      <w:r>
        <w:rPr>
          <w:i/>
          <w:sz w:val="24"/>
          <w:szCs w:val="24"/>
        </w:rPr>
        <w:t>113</w:t>
      </w:r>
      <w:r>
        <w:rPr>
          <w:sz w:val="24"/>
          <w:szCs w:val="24"/>
        </w:rPr>
        <w:t xml:space="preserve">, </w:t>
      </w:r>
      <w:r>
        <w:rPr>
          <w:sz w:val="24"/>
          <w:szCs w:val="24"/>
        </w:rPr>
        <w:lastRenderedPageBreak/>
        <w:t xml:space="preserve">102490. </w:t>
      </w:r>
      <w:r w:rsidRPr="00AE7647">
        <w:rPr>
          <w:sz w:val="24"/>
          <w:szCs w:val="24"/>
        </w:rPr>
        <w:t>https://doi.org/10.1016/j.lindif.2024.102490</w:t>
      </w:r>
    </w:p>
    <w:p w14:paraId="0000006E" w14:textId="77777777" w:rsidR="007D2FA2" w:rsidRDefault="00000000">
      <w:pPr>
        <w:pBdr>
          <w:top w:val="nil"/>
          <w:left w:val="nil"/>
          <w:bottom w:val="nil"/>
          <w:right w:val="nil"/>
          <w:between w:val="nil"/>
        </w:pBdr>
        <w:spacing w:line="480" w:lineRule="auto"/>
        <w:ind w:left="567" w:right="357" w:hanging="567"/>
        <w:rPr>
          <w:sz w:val="24"/>
          <w:szCs w:val="24"/>
        </w:rPr>
      </w:pPr>
      <w:bookmarkStart w:id="16" w:name="_heading=h.c551auvciqco" w:colFirst="0" w:colLast="0"/>
      <w:bookmarkEnd w:id="16"/>
      <w:r>
        <w:rPr>
          <w:sz w:val="24"/>
          <w:szCs w:val="24"/>
        </w:rPr>
        <w:t xml:space="preserve">Chabris, C. F., Lee, J. J., Cesarini, D., Benjamin, D. J., &amp; Laibson, D. I. (2015). The Fourth Law of Behavior Genetics. </w:t>
      </w:r>
      <w:r>
        <w:rPr>
          <w:i/>
          <w:sz w:val="24"/>
          <w:szCs w:val="24"/>
        </w:rPr>
        <w:t>Current Directions in Psychological Science</w:t>
      </w:r>
      <w:r>
        <w:rPr>
          <w:sz w:val="24"/>
          <w:szCs w:val="24"/>
        </w:rPr>
        <w:t xml:space="preserve">, </w:t>
      </w:r>
      <w:r>
        <w:rPr>
          <w:i/>
          <w:sz w:val="24"/>
          <w:szCs w:val="24"/>
        </w:rPr>
        <w:t>24</w:t>
      </w:r>
      <w:r>
        <w:rPr>
          <w:sz w:val="24"/>
          <w:szCs w:val="24"/>
        </w:rPr>
        <w:t xml:space="preserve">(4), 304–312. </w:t>
      </w:r>
      <w:hyperlink r:id="rId19">
        <w:r>
          <w:rPr>
            <w:sz w:val="24"/>
            <w:szCs w:val="24"/>
          </w:rPr>
          <w:t>https://doi.org/10.1177/0963721415580430</w:t>
        </w:r>
      </w:hyperlink>
    </w:p>
    <w:p w14:paraId="0000006F" w14:textId="77777777" w:rsidR="007D2FA2" w:rsidRDefault="00000000">
      <w:pPr>
        <w:spacing w:line="480" w:lineRule="auto"/>
        <w:ind w:left="567" w:right="421" w:hanging="567"/>
        <w:rPr>
          <w:sz w:val="24"/>
          <w:szCs w:val="24"/>
        </w:rPr>
      </w:pPr>
      <w:bookmarkStart w:id="17" w:name="_heading=h.bxyd5u1ohof2" w:colFirst="0" w:colLast="0"/>
      <w:bookmarkEnd w:id="17"/>
      <w:r>
        <w:rPr>
          <w:sz w:val="24"/>
          <w:szCs w:val="24"/>
        </w:rPr>
        <w:t xml:space="preserve">Chown, N., &amp; Leatherland, J. (2021). Can a Person be ‘A Bit Autistic’? A Response to Francesca Happé and Uta Frith. </w:t>
      </w:r>
      <w:r>
        <w:rPr>
          <w:i/>
          <w:sz w:val="24"/>
          <w:szCs w:val="24"/>
        </w:rPr>
        <w:t>Journal of Autism and Developmental Disorders</w:t>
      </w:r>
      <w:r>
        <w:rPr>
          <w:sz w:val="24"/>
          <w:szCs w:val="24"/>
        </w:rPr>
        <w:t xml:space="preserve">, </w:t>
      </w:r>
      <w:r>
        <w:rPr>
          <w:i/>
          <w:sz w:val="24"/>
          <w:szCs w:val="24"/>
        </w:rPr>
        <w:t>51</w:t>
      </w:r>
      <w:r>
        <w:rPr>
          <w:sz w:val="24"/>
          <w:szCs w:val="24"/>
        </w:rPr>
        <w:t xml:space="preserve">(2), 749–751. </w:t>
      </w:r>
      <w:hyperlink r:id="rId20">
        <w:r>
          <w:rPr>
            <w:sz w:val="24"/>
            <w:szCs w:val="24"/>
          </w:rPr>
          <w:t>https://doi.org/10.1007/s10803-020-04541-0</w:t>
        </w:r>
      </w:hyperlink>
    </w:p>
    <w:p w14:paraId="00000070" w14:textId="77777777" w:rsidR="007D2FA2" w:rsidRDefault="00000000">
      <w:pPr>
        <w:spacing w:line="480" w:lineRule="auto"/>
        <w:ind w:left="567" w:right="386" w:hanging="567"/>
        <w:rPr>
          <w:sz w:val="24"/>
          <w:szCs w:val="24"/>
        </w:rPr>
      </w:pPr>
      <w:bookmarkStart w:id="18" w:name="_heading=h.pe22nf4l7zzj" w:colFirst="0" w:colLast="0"/>
      <w:bookmarkEnd w:id="18"/>
      <w:r>
        <w:rPr>
          <w:sz w:val="24"/>
          <w:szCs w:val="24"/>
        </w:rPr>
        <w:t xml:space="preserve">Clemons, S. D. (2006). </w:t>
      </w:r>
      <w:r>
        <w:rPr>
          <w:i/>
          <w:sz w:val="24"/>
          <w:szCs w:val="24"/>
        </w:rPr>
        <w:t xml:space="preserve">A taxometric comparison of attention deficit hyperactive disorder: Inattentive subtype and combined subtype. </w:t>
      </w:r>
      <w:r>
        <w:rPr>
          <w:sz w:val="24"/>
          <w:szCs w:val="24"/>
        </w:rPr>
        <w:t xml:space="preserve">[PhD thesis]. </w:t>
      </w:r>
      <w:hyperlink r:id="rId21">
        <w:r>
          <w:rPr>
            <w:sz w:val="24"/>
            <w:szCs w:val="24"/>
          </w:rPr>
          <w:t>https://research.ebsco.com/linkprocessor/plink?id=03d321c9-6249-390d-9639-9de020c77f90</w:t>
        </w:r>
      </w:hyperlink>
    </w:p>
    <w:p w14:paraId="5BC6BDC8" w14:textId="2C482D4B" w:rsidR="000E73EA" w:rsidRPr="000E73EA" w:rsidRDefault="000E73EA">
      <w:pPr>
        <w:pBdr>
          <w:top w:val="nil"/>
          <w:left w:val="nil"/>
          <w:bottom w:val="nil"/>
          <w:right w:val="nil"/>
          <w:between w:val="nil"/>
        </w:pBdr>
        <w:spacing w:line="480" w:lineRule="auto"/>
        <w:ind w:left="567" w:right="425" w:hanging="567"/>
        <w:rPr>
          <w:sz w:val="24"/>
          <w:szCs w:val="24"/>
          <w:lang w:val="en-GB"/>
        </w:rPr>
      </w:pPr>
      <w:bookmarkStart w:id="19" w:name="_heading=h.xwc27qcf6gze" w:colFirst="0" w:colLast="0"/>
      <w:bookmarkEnd w:id="19"/>
      <w:r w:rsidRPr="000E73EA">
        <w:rPr>
          <w:sz w:val="24"/>
          <w:szCs w:val="24"/>
          <w:lang w:val="en-GB"/>
        </w:rPr>
        <w:t xml:space="preserve">Coghill, D., &amp; Sonuga-Barke, E. </w:t>
      </w:r>
      <w:r>
        <w:rPr>
          <w:sz w:val="24"/>
          <w:szCs w:val="24"/>
          <w:lang w:val="en-GB"/>
        </w:rPr>
        <w:t xml:space="preserve">(2012). </w:t>
      </w:r>
      <w:r w:rsidR="004378E8" w:rsidRPr="004378E8">
        <w:rPr>
          <w:sz w:val="24"/>
          <w:szCs w:val="24"/>
          <w:lang w:val="en-GB"/>
        </w:rPr>
        <w:t>Annual research review: categories versus dimensions in the classification and conceptualisation of child and adolescent mental disorders</w:t>
      </w:r>
      <w:r w:rsidR="004378E8">
        <w:rPr>
          <w:sz w:val="24"/>
          <w:szCs w:val="24"/>
          <w:lang w:val="en-GB"/>
        </w:rPr>
        <w:t>–</w:t>
      </w:r>
      <w:r w:rsidR="004378E8" w:rsidRPr="004378E8">
        <w:rPr>
          <w:sz w:val="24"/>
          <w:szCs w:val="24"/>
          <w:lang w:val="en-GB"/>
        </w:rPr>
        <w:t>implications of recent empirical study</w:t>
      </w:r>
      <w:r w:rsidR="004378E8">
        <w:rPr>
          <w:sz w:val="24"/>
          <w:szCs w:val="24"/>
          <w:lang w:val="en-GB"/>
        </w:rPr>
        <w:t xml:space="preserve">. </w:t>
      </w:r>
      <w:r w:rsidR="004866F9" w:rsidRPr="00AC133D">
        <w:rPr>
          <w:i/>
          <w:iCs/>
          <w:sz w:val="24"/>
          <w:szCs w:val="24"/>
          <w:lang w:val="en-GB"/>
        </w:rPr>
        <w:t xml:space="preserve">Journal of Child Psychology and Psychiatry, </w:t>
      </w:r>
      <w:r w:rsidR="004F0C89" w:rsidRPr="00AC133D">
        <w:rPr>
          <w:i/>
          <w:iCs/>
          <w:sz w:val="24"/>
          <w:szCs w:val="24"/>
          <w:lang w:val="en-GB"/>
        </w:rPr>
        <w:t>53</w:t>
      </w:r>
      <w:r w:rsidR="004F0C89">
        <w:rPr>
          <w:sz w:val="24"/>
          <w:szCs w:val="24"/>
          <w:lang w:val="en-GB"/>
        </w:rPr>
        <w:t xml:space="preserve">(5), 469-489. </w:t>
      </w:r>
      <w:r w:rsidR="00C1159B">
        <w:rPr>
          <w:sz w:val="24"/>
          <w:szCs w:val="24"/>
          <w:lang w:val="en-GB"/>
        </w:rPr>
        <w:t>https://doi.org/</w:t>
      </w:r>
      <w:r w:rsidR="00C1159B" w:rsidRPr="00C1159B">
        <w:rPr>
          <w:sz w:val="24"/>
          <w:szCs w:val="24"/>
          <w:lang w:val="en-GB"/>
        </w:rPr>
        <w:t>10.1111/j.1469-7610.2011.02511.x</w:t>
      </w:r>
    </w:p>
    <w:p w14:paraId="00000071" w14:textId="0863126E" w:rsidR="007D2FA2" w:rsidRDefault="00000000">
      <w:pPr>
        <w:pBdr>
          <w:top w:val="nil"/>
          <w:left w:val="nil"/>
          <w:bottom w:val="nil"/>
          <w:right w:val="nil"/>
          <w:between w:val="nil"/>
        </w:pBdr>
        <w:spacing w:line="480" w:lineRule="auto"/>
        <w:ind w:left="567" w:right="425" w:hanging="567"/>
        <w:rPr>
          <w:sz w:val="24"/>
          <w:szCs w:val="24"/>
        </w:rPr>
      </w:pPr>
      <w:r>
        <w:rPr>
          <w:sz w:val="24"/>
          <w:szCs w:val="24"/>
        </w:rPr>
        <w:t xml:space="preserve">Cole, D. A. (2004). Taxometrics in psychopathology research: an introduction to some of the procedures and related methodological issues. </w:t>
      </w:r>
      <w:r>
        <w:rPr>
          <w:i/>
          <w:sz w:val="24"/>
          <w:szCs w:val="24"/>
        </w:rPr>
        <w:t>Journal of Abnormal Psychology</w:t>
      </w:r>
      <w:r>
        <w:rPr>
          <w:sz w:val="24"/>
          <w:szCs w:val="24"/>
        </w:rPr>
        <w:t xml:space="preserve">, </w:t>
      </w:r>
      <w:r>
        <w:rPr>
          <w:i/>
          <w:sz w:val="24"/>
          <w:szCs w:val="24"/>
        </w:rPr>
        <w:t>113</w:t>
      </w:r>
      <w:r>
        <w:rPr>
          <w:sz w:val="24"/>
          <w:szCs w:val="24"/>
        </w:rPr>
        <w:t xml:space="preserve">(1), 3–9. </w:t>
      </w:r>
      <w:hyperlink r:id="rId22">
        <w:r>
          <w:rPr>
            <w:sz w:val="24"/>
            <w:szCs w:val="24"/>
          </w:rPr>
          <w:t>https://doi.org/10.1037/0021-843X.113.1.3</w:t>
        </w:r>
      </w:hyperlink>
    </w:p>
    <w:p w14:paraId="00000072" w14:textId="77777777" w:rsidR="007D2FA2" w:rsidRDefault="00000000">
      <w:pPr>
        <w:pBdr>
          <w:top w:val="nil"/>
          <w:left w:val="nil"/>
          <w:bottom w:val="nil"/>
          <w:right w:val="nil"/>
          <w:between w:val="nil"/>
        </w:pBdr>
        <w:spacing w:line="480" w:lineRule="auto"/>
        <w:ind w:left="567" w:right="357" w:hanging="567"/>
        <w:rPr>
          <w:sz w:val="24"/>
          <w:szCs w:val="24"/>
        </w:rPr>
      </w:pPr>
      <w:bookmarkStart w:id="20" w:name="_heading=h.48jge9xmiitr" w:colFirst="0" w:colLast="0"/>
      <w:bookmarkEnd w:id="20"/>
      <w:r>
        <w:rPr>
          <w:sz w:val="24"/>
          <w:szCs w:val="24"/>
        </w:rPr>
        <w:t xml:space="preserve">Demontis, D., Walters, G. B., Athanasiadis, G., Walters, R., Therrien, K., Nielsen, T. T., Farajzadeh, L., Voloudakis, G., Bendl, J., Zeng, B., Zhang, W., Grove, J., Als, T. D., Duan, J., Satterstrom, F. K., Bybjerg-Grauholm, J., Bækved-Hansen, M., Gudmundsson, O. O., Magnusson, S. H., … Børglum, A. D. (2023). Genome-wide analyses of ADHD identify 27 risk loci, refine the genetic architecture and implicate </w:t>
      </w:r>
      <w:r>
        <w:rPr>
          <w:sz w:val="24"/>
          <w:szCs w:val="24"/>
        </w:rPr>
        <w:lastRenderedPageBreak/>
        <w:t xml:space="preserve">several cognitive domains. </w:t>
      </w:r>
      <w:r>
        <w:rPr>
          <w:i/>
          <w:sz w:val="24"/>
          <w:szCs w:val="24"/>
        </w:rPr>
        <w:t>Nature Genetics</w:t>
      </w:r>
      <w:r>
        <w:rPr>
          <w:sz w:val="24"/>
          <w:szCs w:val="24"/>
        </w:rPr>
        <w:t xml:space="preserve">, </w:t>
      </w:r>
      <w:r>
        <w:rPr>
          <w:i/>
          <w:sz w:val="24"/>
          <w:szCs w:val="24"/>
        </w:rPr>
        <w:t>55</w:t>
      </w:r>
      <w:r>
        <w:rPr>
          <w:sz w:val="24"/>
          <w:szCs w:val="24"/>
        </w:rPr>
        <w:t xml:space="preserve">(2), 198–208. </w:t>
      </w:r>
      <w:hyperlink r:id="rId23">
        <w:r>
          <w:rPr>
            <w:sz w:val="24"/>
            <w:szCs w:val="24"/>
          </w:rPr>
          <w:t>https://doi.org/10.1038/s41588-022-01285-8</w:t>
        </w:r>
      </w:hyperlink>
    </w:p>
    <w:p w14:paraId="00000073" w14:textId="77777777" w:rsidR="007D2FA2" w:rsidRDefault="00000000">
      <w:pPr>
        <w:pBdr>
          <w:top w:val="nil"/>
          <w:left w:val="nil"/>
          <w:bottom w:val="nil"/>
          <w:right w:val="nil"/>
          <w:between w:val="nil"/>
        </w:pBdr>
        <w:spacing w:line="480" w:lineRule="auto"/>
        <w:ind w:left="567" w:right="620" w:hanging="567"/>
        <w:rPr>
          <w:sz w:val="24"/>
          <w:szCs w:val="24"/>
        </w:rPr>
      </w:pPr>
      <w:bookmarkStart w:id="21" w:name="_heading=h.2xoo6clo4oki" w:colFirst="0" w:colLast="0"/>
      <w:bookmarkEnd w:id="21"/>
      <w:r>
        <w:rPr>
          <w:sz w:val="24"/>
          <w:szCs w:val="24"/>
        </w:rPr>
        <w:t xml:space="preserve">Deserno, M. K., Bathelt, J., Groenman, A. P., &amp; Geurts, H. M. (2023). Probing the overarching continuum theory: data-driven phenotypic clustering of children with ASD or ADHD. </w:t>
      </w:r>
      <w:r>
        <w:rPr>
          <w:i/>
          <w:sz w:val="24"/>
          <w:szCs w:val="24"/>
        </w:rPr>
        <w:t>European Child &amp; Adolescent Psychiatry</w:t>
      </w:r>
      <w:r>
        <w:rPr>
          <w:sz w:val="24"/>
          <w:szCs w:val="24"/>
        </w:rPr>
        <w:t xml:space="preserve">, </w:t>
      </w:r>
      <w:r>
        <w:rPr>
          <w:i/>
          <w:sz w:val="24"/>
          <w:szCs w:val="24"/>
        </w:rPr>
        <w:t>32</w:t>
      </w:r>
      <w:r>
        <w:rPr>
          <w:sz w:val="24"/>
          <w:szCs w:val="24"/>
        </w:rPr>
        <w:t xml:space="preserve">(10), 1909–1923. </w:t>
      </w:r>
      <w:hyperlink r:id="rId24">
        <w:r>
          <w:rPr>
            <w:sz w:val="24"/>
            <w:szCs w:val="24"/>
          </w:rPr>
          <w:t>https://doi.org/10.1007/s00787-022-01986-9</w:t>
        </w:r>
      </w:hyperlink>
    </w:p>
    <w:p w14:paraId="671170CF" w14:textId="20B7A426" w:rsidR="00D35E44" w:rsidRDefault="00D35E44">
      <w:pPr>
        <w:spacing w:line="480" w:lineRule="auto"/>
        <w:ind w:left="567" w:right="510" w:hanging="567"/>
        <w:rPr>
          <w:sz w:val="24"/>
          <w:szCs w:val="24"/>
        </w:rPr>
      </w:pPr>
      <w:bookmarkStart w:id="22" w:name="_heading=h.jqk7bok2em2e" w:colFirst="0" w:colLast="0"/>
      <w:bookmarkEnd w:id="22"/>
      <w:r w:rsidRPr="00D35E44">
        <w:rPr>
          <w:sz w:val="24"/>
          <w:szCs w:val="24"/>
        </w:rPr>
        <w:t xml:space="preserve">Dollaghan, C. A. (2004). Taxometric analyses of specific language impairment in 3-and 4-year-old children. </w:t>
      </w:r>
      <w:r w:rsidRPr="00D35E44">
        <w:rPr>
          <w:i/>
          <w:iCs/>
          <w:sz w:val="24"/>
          <w:szCs w:val="24"/>
        </w:rPr>
        <w:t>Journal of Speech, Language &amp; Hearing Research, 47</w:t>
      </w:r>
      <w:r w:rsidRPr="00D35E44">
        <w:rPr>
          <w:sz w:val="24"/>
          <w:szCs w:val="24"/>
        </w:rPr>
        <w:t>(2)</w:t>
      </w:r>
      <w:r>
        <w:rPr>
          <w:sz w:val="24"/>
          <w:szCs w:val="24"/>
        </w:rPr>
        <w:t>, 464-475</w:t>
      </w:r>
      <w:r w:rsidRPr="00D35E44">
        <w:rPr>
          <w:sz w:val="24"/>
          <w:szCs w:val="24"/>
        </w:rPr>
        <w:t>.</w:t>
      </w:r>
      <w:r>
        <w:rPr>
          <w:sz w:val="24"/>
          <w:szCs w:val="24"/>
        </w:rPr>
        <w:t xml:space="preserve"> </w:t>
      </w:r>
      <w:r w:rsidR="002E7F69" w:rsidRPr="002E7F69">
        <w:rPr>
          <w:sz w:val="24"/>
          <w:szCs w:val="24"/>
        </w:rPr>
        <w:t>https://doi.org/10.1044/1092-4388(2004/037)</w:t>
      </w:r>
    </w:p>
    <w:p w14:paraId="30CA8610" w14:textId="6F9FA287" w:rsidR="007235CB" w:rsidRDefault="007235CB">
      <w:pPr>
        <w:spacing w:line="480" w:lineRule="auto"/>
        <w:ind w:left="567" w:right="510" w:hanging="567"/>
        <w:rPr>
          <w:sz w:val="24"/>
          <w:szCs w:val="24"/>
        </w:rPr>
      </w:pPr>
      <w:r w:rsidRPr="007235CB">
        <w:rPr>
          <w:sz w:val="24"/>
          <w:szCs w:val="24"/>
        </w:rPr>
        <w:t xml:space="preserve">Dollaghan, C. A. (2011). Taxometric analyses of specific language impairment in 6-year-old children. </w:t>
      </w:r>
      <w:r w:rsidRPr="00763468">
        <w:rPr>
          <w:i/>
          <w:iCs/>
          <w:sz w:val="24"/>
          <w:szCs w:val="24"/>
        </w:rPr>
        <w:t>Journal of Speech, Language, and Hearing Research, 54</w:t>
      </w:r>
      <w:r w:rsidRPr="007235CB">
        <w:rPr>
          <w:sz w:val="24"/>
          <w:szCs w:val="24"/>
        </w:rPr>
        <w:t>(5), 1361-1371.</w:t>
      </w:r>
      <w:r>
        <w:rPr>
          <w:sz w:val="24"/>
          <w:szCs w:val="24"/>
        </w:rPr>
        <w:t xml:space="preserve"> </w:t>
      </w:r>
      <w:r w:rsidRPr="007235CB">
        <w:rPr>
          <w:sz w:val="24"/>
          <w:szCs w:val="24"/>
        </w:rPr>
        <w:t>https://doi.org/10.1044/1092-4388(2011/10-0187)</w:t>
      </w:r>
    </w:p>
    <w:p w14:paraId="00000074" w14:textId="7604CA1C" w:rsidR="007D2FA2" w:rsidRDefault="00000000">
      <w:pPr>
        <w:spacing w:line="480" w:lineRule="auto"/>
        <w:ind w:left="567" w:right="510" w:hanging="567"/>
        <w:rPr>
          <w:sz w:val="24"/>
          <w:szCs w:val="24"/>
        </w:rPr>
      </w:pPr>
      <w:r>
        <w:rPr>
          <w:sz w:val="24"/>
          <w:szCs w:val="24"/>
        </w:rPr>
        <w:t xml:space="preserve">Fischer, H. (2011). </w:t>
      </w:r>
      <w:r>
        <w:rPr>
          <w:i/>
          <w:sz w:val="24"/>
          <w:szCs w:val="24"/>
        </w:rPr>
        <w:t>A History of the Central Limit Theorem: From Classical to Modern Probability Theory</w:t>
      </w:r>
      <w:r>
        <w:rPr>
          <w:sz w:val="24"/>
          <w:szCs w:val="24"/>
        </w:rPr>
        <w:t xml:space="preserve">. Springer. </w:t>
      </w:r>
      <w:hyperlink r:id="rId25">
        <w:r>
          <w:rPr>
            <w:sz w:val="24"/>
            <w:szCs w:val="24"/>
          </w:rPr>
          <w:t>https://doi.org/10.1007/978-0-387-87857-7</w:t>
        </w:r>
      </w:hyperlink>
    </w:p>
    <w:p w14:paraId="00000075"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Frazier, T. W., Chetcuti, L., Al-Shaban, F. A., Haslam, N., Ghazal, I., Klingemier, E. W., Aldosari, M., Whitehouse, A. J. O., Youngstrom, E. A., Hardan, A. Y., &amp; Uljarević, M. (2023). Categorical versus dimensional structure of autism spectrum disorder: A multi-method investigation. </w:t>
      </w:r>
      <w:r>
        <w:rPr>
          <w:i/>
          <w:sz w:val="24"/>
          <w:szCs w:val="24"/>
        </w:rPr>
        <w:t>JCPP Advances</w:t>
      </w:r>
      <w:r>
        <w:rPr>
          <w:sz w:val="24"/>
          <w:szCs w:val="24"/>
        </w:rPr>
        <w:t xml:space="preserve">, </w:t>
      </w:r>
      <w:r>
        <w:rPr>
          <w:i/>
          <w:sz w:val="24"/>
          <w:szCs w:val="24"/>
        </w:rPr>
        <w:t>3</w:t>
      </w:r>
      <w:r>
        <w:rPr>
          <w:sz w:val="24"/>
          <w:szCs w:val="24"/>
        </w:rPr>
        <w:t xml:space="preserve">(2), e12142. </w:t>
      </w:r>
      <w:hyperlink r:id="rId26">
        <w:r>
          <w:rPr>
            <w:sz w:val="24"/>
            <w:szCs w:val="24"/>
          </w:rPr>
          <w:t>https://doi.org/10.1002/jcv2.12142</w:t>
        </w:r>
      </w:hyperlink>
    </w:p>
    <w:p w14:paraId="00000076" w14:textId="77777777" w:rsidR="007D2FA2" w:rsidRDefault="00000000">
      <w:pPr>
        <w:pBdr>
          <w:top w:val="nil"/>
          <w:left w:val="nil"/>
          <w:bottom w:val="nil"/>
          <w:right w:val="nil"/>
          <w:between w:val="nil"/>
        </w:pBdr>
        <w:spacing w:line="480" w:lineRule="auto"/>
        <w:ind w:left="567" w:hanging="567"/>
        <w:rPr>
          <w:sz w:val="24"/>
          <w:szCs w:val="24"/>
        </w:rPr>
      </w:pPr>
      <w:bookmarkStart w:id="23" w:name="_heading=h.9puhrlqdlzz7" w:colFirst="0" w:colLast="0"/>
      <w:bookmarkEnd w:id="23"/>
      <w:r>
        <w:rPr>
          <w:sz w:val="24"/>
          <w:szCs w:val="24"/>
        </w:rPr>
        <w:t xml:space="preserve">Frazier, T. W., Youngstrom, E. A., &amp; Naugle, R. I. (2007). The latent structure of attention-deficit/hyperactivity disorder in a clinic-referred sample. </w:t>
      </w:r>
      <w:r>
        <w:rPr>
          <w:i/>
          <w:sz w:val="24"/>
          <w:szCs w:val="24"/>
        </w:rPr>
        <w:t>Neuropsychology</w:t>
      </w:r>
      <w:r>
        <w:rPr>
          <w:sz w:val="24"/>
          <w:szCs w:val="24"/>
        </w:rPr>
        <w:t xml:space="preserve">, </w:t>
      </w:r>
      <w:r>
        <w:rPr>
          <w:i/>
          <w:sz w:val="24"/>
          <w:szCs w:val="24"/>
        </w:rPr>
        <w:t>21</w:t>
      </w:r>
      <w:r>
        <w:rPr>
          <w:sz w:val="24"/>
          <w:szCs w:val="24"/>
        </w:rPr>
        <w:t xml:space="preserve">(1), 45–64. </w:t>
      </w:r>
      <w:hyperlink r:id="rId27">
        <w:r>
          <w:rPr>
            <w:sz w:val="24"/>
            <w:szCs w:val="24"/>
          </w:rPr>
          <w:t>https://doi.org/10.1037/0894-4105.21.1.45</w:t>
        </w:r>
      </w:hyperlink>
    </w:p>
    <w:p w14:paraId="00000077" w14:textId="77777777" w:rsidR="007D2FA2" w:rsidRDefault="00000000">
      <w:pPr>
        <w:pBdr>
          <w:top w:val="nil"/>
          <w:left w:val="nil"/>
          <w:bottom w:val="nil"/>
          <w:right w:val="nil"/>
          <w:between w:val="nil"/>
        </w:pBdr>
        <w:spacing w:line="480" w:lineRule="auto"/>
        <w:ind w:left="567" w:right="301" w:hanging="567"/>
        <w:rPr>
          <w:sz w:val="24"/>
          <w:szCs w:val="24"/>
        </w:rPr>
      </w:pPr>
      <w:bookmarkStart w:id="24" w:name="_heading=h.o00sa5b2zdqm" w:colFirst="0" w:colLast="0"/>
      <w:bookmarkEnd w:id="24"/>
      <w:r>
        <w:rPr>
          <w:sz w:val="24"/>
          <w:szCs w:val="24"/>
        </w:rPr>
        <w:t xml:space="preserve">Frazier, T. W., Youngstrom, E. A., Sinclair, L., Kubu, C. S., Law, P., Rezai, A., Constantino, </w:t>
      </w:r>
      <w:r>
        <w:rPr>
          <w:sz w:val="24"/>
          <w:szCs w:val="24"/>
        </w:rPr>
        <w:lastRenderedPageBreak/>
        <w:t xml:space="preserve">J. N., &amp; Eng, C. (2010). Autism Spectrum Disorders as a Qualitatively Distinct Category From Typical Behavior in a Large, Clinically Ascertained Sample. </w:t>
      </w:r>
      <w:r>
        <w:rPr>
          <w:i/>
          <w:sz w:val="24"/>
          <w:szCs w:val="24"/>
        </w:rPr>
        <w:t>Assessment</w:t>
      </w:r>
      <w:r>
        <w:rPr>
          <w:sz w:val="24"/>
          <w:szCs w:val="24"/>
        </w:rPr>
        <w:t xml:space="preserve">, </w:t>
      </w:r>
      <w:r>
        <w:rPr>
          <w:i/>
          <w:sz w:val="24"/>
          <w:szCs w:val="24"/>
        </w:rPr>
        <w:t>17</w:t>
      </w:r>
      <w:r>
        <w:rPr>
          <w:sz w:val="24"/>
          <w:szCs w:val="24"/>
        </w:rPr>
        <w:t xml:space="preserve">(3), 308–320. </w:t>
      </w:r>
      <w:hyperlink r:id="rId28">
        <w:r>
          <w:rPr>
            <w:sz w:val="24"/>
            <w:szCs w:val="24"/>
          </w:rPr>
          <w:t>https://doi.org/10.1177/1073191109356534</w:t>
        </w:r>
      </w:hyperlink>
    </w:p>
    <w:p w14:paraId="00000078" w14:textId="77777777" w:rsidR="007D2FA2" w:rsidRDefault="00000000">
      <w:pPr>
        <w:pBdr>
          <w:top w:val="nil"/>
          <w:left w:val="nil"/>
          <w:bottom w:val="nil"/>
          <w:right w:val="nil"/>
          <w:between w:val="nil"/>
        </w:pBdr>
        <w:spacing w:line="480" w:lineRule="auto"/>
        <w:ind w:left="567" w:right="358" w:hanging="567"/>
        <w:jc w:val="both"/>
        <w:rPr>
          <w:sz w:val="24"/>
          <w:szCs w:val="24"/>
        </w:rPr>
      </w:pPr>
      <w:bookmarkStart w:id="25" w:name="_heading=h.q43z9ku1hzxj" w:colFirst="0" w:colLast="0"/>
      <w:bookmarkEnd w:id="25"/>
      <w:r>
        <w:rPr>
          <w:sz w:val="24"/>
          <w:szCs w:val="24"/>
        </w:rPr>
        <w:t xml:space="preserve">Happé, F., &amp; Frith, U. (2020). Annual Research Review: Looking back to look forward – changes in the concept of autism and implications for future research. </w:t>
      </w:r>
      <w:r>
        <w:rPr>
          <w:i/>
          <w:sz w:val="24"/>
          <w:szCs w:val="24"/>
        </w:rPr>
        <w:t>Journal of Child Psychology and Psychiatry</w:t>
      </w:r>
      <w:r>
        <w:rPr>
          <w:sz w:val="24"/>
          <w:szCs w:val="24"/>
        </w:rPr>
        <w:t xml:space="preserve">, </w:t>
      </w:r>
      <w:r>
        <w:rPr>
          <w:i/>
          <w:sz w:val="24"/>
          <w:szCs w:val="24"/>
        </w:rPr>
        <w:t>61</w:t>
      </w:r>
      <w:r>
        <w:rPr>
          <w:sz w:val="24"/>
          <w:szCs w:val="24"/>
        </w:rPr>
        <w:t xml:space="preserve">(3), 218–232. </w:t>
      </w:r>
      <w:hyperlink r:id="rId29">
        <w:r>
          <w:rPr>
            <w:sz w:val="24"/>
            <w:szCs w:val="24"/>
          </w:rPr>
          <w:t>https://doi.org/10.1111/jcpp.13176</w:t>
        </w:r>
      </w:hyperlink>
    </w:p>
    <w:p w14:paraId="00000079" w14:textId="77777777" w:rsidR="007D2FA2" w:rsidRDefault="00000000">
      <w:pPr>
        <w:pBdr>
          <w:top w:val="nil"/>
          <w:left w:val="nil"/>
          <w:bottom w:val="nil"/>
          <w:right w:val="nil"/>
          <w:between w:val="nil"/>
        </w:pBdr>
        <w:spacing w:line="480" w:lineRule="auto"/>
        <w:ind w:left="567" w:right="510" w:hanging="567"/>
        <w:rPr>
          <w:sz w:val="24"/>
          <w:szCs w:val="24"/>
        </w:rPr>
      </w:pPr>
      <w:bookmarkStart w:id="26" w:name="_heading=h.jmed5ssxh3nb" w:colFirst="0" w:colLast="0"/>
      <w:bookmarkEnd w:id="26"/>
      <w:r>
        <w:rPr>
          <w:sz w:val="24"/>
          <w:szCs w:val="24"/>
        </w:rPr>
        <w:t xml:space="preserve">Happé, F., &amp; Frith, U. (2021). Dimensional or Categorical Approaches to Autism? Both are Needed. A Reply to Nick Chown and Julia Leatherland. </w:t>
      </w:r>
      <w:r>
        <w:rPr>
          <w:i/>
          <w:sz w:val="24"/>
          <w:szCs w:val="24"/>
        </w:rPr>
        <w:t>Journal of Autism and Developmental Disorders</w:t>
      </w:r>
      <w:r>
        <w:rPr>
          <w:sz w:val="24"/>
          <w:szCs w:val="24"/>
        </w:rPr>
        <w:t xml:space="preserve">, </w:t>
      </w:r>
      <w:r>
        <w:rPr>
          <w:i/>
          <w:sz w:val="24"/>
          <w:szCs w:val="24"/>
        </w:rPr>
        <w:t>51</w:t>
      </w:r>
      <w:r>
        <w:rPr>
          <w:sz w:val="24"/>
          <w:szCs w:val="24"/>
        </w:rPr>
        <w:t xml:space="preserve">(2), 752–753. </w:t>
      </w:r>
      <w:hyperlink r:id="rId30">
        <w:r>
          <w:rPr>
            <w:sz w:val="24"/>
            <w:szCs w:val="24"/>
          </w:rPr>
          <w:t>https://doi.org/10.1007/s10803-020-04728-5</w:t>
        </w:r>
      </w:hyperlink>
    </w:p>
    <w:p w14:paraId="0000007A" w14:textId="77777777" w:rsidR="007D2FA2" w:rsidRDefault="00000000">
      <w:pPr>
        <w:pBdr>
          <w:top w:val="nil"/>
          <w:left w:val="nil"/>
          <w:bottom w:val="nil"/>
          <w:right w:val="nil"/>
          <w:between w:val="nil"/>
        </w:pBdr>
        <w:spacing w:line="480" w:lineRule="auto"/>
        <w:ind w:left="567" w:right="357" w:hanging="567"/>
        <w:rPr>
          <w:sz w:val="24"/>
          <w:szCs w:val="24"/>
        </w:rPr>
      </w:pPr>
      <w:bookmarkStart w:id="27" w:name="_heading=h.5cmxbt7tvimw" w:colFirst="0" w:colLast="0"/>
      <w:bookmarkEnd w:id="27"/>
      <w:r>
        <w:rPr>
          <w:sz w:val="24"/>
          <w:szCs w:val="24"/>
        </w:rPr>
        <w:t xml:space="preserve">Haslam, N., Holland, E., &amp; Kuppens, P. (2012). Categories versus dimensions in personality and psychopathology: a quantitative review of taxometric research. </w:t>
      </w:r>
      <w:r>
        <w:rPr>
          <w:i/>
          <w:sz w:val="24"/>
          <w:szCs w:val="24"/>
        </w:rPr>
        <w:t>Psychological Medicine</w:t>
      </w:r>
      <w:r>
        <w:rPr>
          <w:sz w:val="24"/>
          <w:szCs w:val="24"/>
        </w:rPr>
        <w:t xml:space="preserve">, </w:t>
      </w:r>
      <w:r>
        <w:rPr>
          <w:i/>
          <w:sz w:val="24"/>
          <w:szCs w:val="24"/>
        </w:rPr>
        <w:t>42</w:t>
      </w:r>
      <w:r>
        <w:rPr>
          <w:sz w:val="24"/>
          <w:szCs w:val="24"/>
        </w:rPr>
        <w:t xml:space="preserve">(5), 903–920. </w:t>
      </w:r>
      <w:hyperlink r:id="rId31">
        <w:r>
          <w:rPr>
            <w:sz w:val="24"/>
            <w:szCs w:val="24"/>
          </w:rPr>
          <w:t>https://doi.org/10.1017/S0033291711001966</w:t>
        </w:r>
      </w:hyperlink>
    </w:p>
    <w:p w14:paraId="0000007B" w14:textId="77777777" w:rsidR="007D2FA2" w:rsidRDefault="00000000">
      <w:pPr>
        <w:pBdr>
          <w:top w:val="nil"/>
          <w:left w:val="nil"/>
          <w:bottom w:val="nil"/>
          <w:right w:val="nil"/>
          <w:between w:val="nil"/>
        </w:pBdr>
        <w:spacing w:line="480" w:lineRule="auto"/>
        <w:ind w:left="567" w:right="357" w:hanging="567"/>
        <w:rPr>
          <w:sz w:val="24"/>
          <w:szCs w:val="24"/>
        </w:rPr>
      </w:pPr>
      <w:bookmarkStart w:id="28" w:name="_heading=h.xiyh4bgvvbp3" w:colFirst="0" w:colLast="0"/>
      <w:bookmarkEnd w:id="28"/>
      <w:r>
        <w:rPr>
          <w:sz w:val="24"/>
          <w:szCs w:val="24"/>
        </w:rPr>
        <w:t xml:space="preserve">Haslam, N., McGrath, M. J., Viechtbauer, W., &amp; Kuppens, P. (2020). Dimensions over categories: a meta-analysis of taxometric research. </w:t>
      </w:r>
      <w:r>
        <w:rPr>
          <w:i/>
          <w:sz w:val="24"/>
          <w:szCs w:val="24"/>
        </w:rPr>
        <w:t>Psychological Medicine</w:t>
      </w:r>
      <w:r>
        <w:rPr>
          <w:sz w:val="24"/>
          <w:szCs w:val="24"/>
        </w:rPr>
        <w:t xml:space="preserve">, </w:t>
      </w:r>
      <w:r>
        <w:rPr>
          <w:i/>
          <w:sz w:val="24"/>
          <w:szCs w:val="24"/>
        </w:rPr>
        <w:t>50</w:t>
      </w:r>
      <w:r>
        <w:rPr>
          <w:sz w:val="24"/>
          <w:szCs w:val="24"/>
        </w:rPr>
        <w:t xml:space="preserve">(9), 1418–1432. </w:t>
      </w:r>
      <w:hyperlink r:id="rId32">
        <w:r>
          <w:rPr>
            <w:sz w:val="24"/>
            <w:szCs w:val="24"/>
          </w:rPr>
          <w:t>https://doi.org/10.1017/S003329172000183X</w:t>
        </w:r>
      </w:hyperlink>
    </w:p>
    <w:p w14:paraId="500D4CFF" w14:textId="0E1FB642" w:rsidR="009D7C69" w:rsidRDefault="009D7C69" w:rsidP="00213840">
      <w:pPr>
        <w:spacing w:line="480" w:lineRule="auto"/>
        <w:ind w:left="567" w:right="483" w:hanging="567"/>
        <w:rPr>
          <w:sz w:val="24"/>
          <w:szCs w:val="24"/>
        </w:rPr>
      </w:pPr>
      <w:bookmarkStart w:id="29" w:name="_heading=h.bxc48b1e04xq" w:colFirst="0" w:colLast="0"/>
      <w:bookmarkEnd w:id="29"/>
      <w:r>
        <w:rPr>
          <w:sz w:val="24"/>
          <w:szCs w:val="24"/>
        </w:rPr>
        <w:t xml:space="preserve">Haslam, N., Williams, B., Prior, M., Haslam, R., Graetz, B., &amp; Sawyer, M. (2006). The latent structure of attention-deficit/hyperactivity disorder: a taxometric analysis. </w:t>
      </w:r>
      <w:r w:rsidR="003B3E77" w:rsidRPr="00A178D4">
        <w:rPr>
          <w:i/>
          <w:iCs/>
          <w:sz w:val="24"/>
          <w:szCs w:val="24"/>
        </w:rPr>
        <w:t xml:space="preserve">Australian &amp; New Zealand Journal of Psychiatry, </w:t>
      </w:r>
      <w:r w:rsidR="00FE06DD" w:rsidRPr="00A178D4">
        <w:rPr>
          <w:i/>
          <w:iCs/>
          <w:sz w:val="24"/>
          <w:szCs w:val="24"/>
        </w:rPr>
        <w:t>40</w:t>
      </w:r>
      <w:r w:rsidR="00FE06DD">
        <w:rPr>
          <w:sz w:val="24"/>
          <w:szCs w:val="24"/>
        </w:rPr>
        <w:t>(8), 639-647.</w:t>
      </w:r>
      <w:r w:rsidR="00213840">
        <w:rPr>
          <w:sz w:val="24"/>
          <w:szCs w:val="24"/>
        </w:rPr>
        <w:t xml:space="preserve"> </w:t>
      </w:r>
      <w:r w:rsidR="00213840" w:rsidRPr="00213840">
        <w:rPr>
          <w:sz w:val="24"/>
          <w:szCs w:val="24"/>
        </w:rPr>
        <w:t>https://doi.org/10.1080/j.1440-1614.2006.01863</w:t>
      </w:r>
    </w:p>
    <w:p w14:paraId="0000007C" w14:textId="14099E5F" w:rsidR="007D2FA2" w:rsidRDefault="00000000">
      <w:pPr>
        <w:spacing w:line="480" w:lineRule="auto"/>
        <w:ind w:left="567" w:right="483" w:hanging="567"/>
        <w:rPr>
          <w:sz w:val="24"/>
          <w:szCs w:val="24"/>
        </w:rPr>
      </w:pPr>
      <w:r>
        <w:rPr>
          <w:sz w:val="24"/>
          <w:szCs w:val="24"/>
        </w:rPr>
        <w:t xml:space="preserve">Ingram, D. G., Takahashi, T. N., &amp; Miles, J. H. (2008). Defining autism subgroups: a taxometric solution. </w:t>
      </w:r>
      <w:r>
        <w:rPr>
          <w:i/>
          <w:sz w:val="24"/>
          <w:szCs w:val="24"/>
        </w:rPr>
        <w:t>Journal of Autism and Developmental Disorders</w:t>
      </w:r>
      <w:r>
        <w:rPr>
          <w:sz w:val="24"/>
          <w:szCs w:val="24"/>
        </w:rPr>
        <w:t xml:space="preserve">, </w:t>
      </w:r>
      <w:r>
        <w:rPr>
          <w:i/>
          <w:sz w:val="24"/>
          <w:szCs w:val="24"/>
        </w:rPr>
        <w:t>38</w:t>
      </w:r>
      <w:r>
        <w:rPr>
          <w:sz w:val="24"/>
          <w:szCs w:val="24"/>
        </w:rPr>
        <w:t xml:space="preserve">(5), 950–960. </w:t>
      </w:r>
      <w:hyperlink r:id="rId33">
        <w:r>
          <w:rPr>
            <w:sz w:val="24"/>
            <w:szCs w:val="24"/>
          </w:rPr>
          <w:t>https://doi.org/10.1007/s10803-007-0469-y</w:t>
        </w:r>
      </w:hyperlink>
    </w:p>
    <w:p w14:paraId="0000007D" w14:textId="77777777" w:rsidR="007D2FA2" w:rsidRDefault="00000000">
      <w:pPr>
        <w:pBdr>
          <w:top w:val="nil"/>
          <w:left w:val="nil"/>
          <w:bottom w:val="nil"/>
          <w:right w:val="nil"/>
          <w:between w:val="nil"/>
        </w:pBdr>
        <w:spacing w:line="480" w:lineRule="auto"/>
        <w:ind w:left="567" w:right="566" w:hanging="567"/>
        <w:rPr>
          <w:sz w:val="24"/>
          <w:szCs w:val="24"/>
        </w:rPr>
      </w:pPr>
      <w:bookmarkStart w:id="30" w:name="_heading=h.86uokgl12nkt" w:colFirst="0" w:colLast="0"/>
      <w:bookmarkEnd w:id="30"/>
      <w:r>
        <w:rPr>
          <w:sz w:val="24"/>
          <w:szCs w:val="24"/>
        </w:rPr>
        <w:lastRenderedPageBreak/>
        <w:t xml:space="preserve">James, R. J. E., Dubey, I., Smith, D., Ropar, D., &amp; Tunney, R. J. (2016). The Latent Structure of Autistic Traits: A Taxometric, Latent Class and Latent Profile Analysis of the Adult Autism Spectrum Quotient. </w:t>
      </w:r>
      <w:r>
        <w:rPr>
          <w:i/>
          <w:sz w:val="24"/>
          <w:szCs w:val="24"/>
        </w:rPr>
        <w:t>Journal of Autism and Developmental Disorders</w:t>
      </w:r>
      <w:r>
        <w:rPr>
          <w:sz w:val="24"/>
          <w:szCs w:val="24"/>
        </w:rPr>
        <w:t xml:space="preserve">, </w:t>
      </w:r>
      <w:r>
        <w:rPr>
          <w:i/>
          <w:sz w:val="24"/>
          <w:szCs w:val="24"/>
        </w:rPr>
        <w:t>46</w:t>
      </w:r>
      <w:r>
        <w:rPr>
          <w:sz w:val="24"/>
          <w:szCs w:val="24"/>
        </w:rPr>
        <w:t xml:space="preserve">(12), 3712–3728. </w:t>
      </w:r>
      <w:hyperlink r:id="rId34">
        <w:r>
          <w:rPr>
            <w:sz w:val="24"/>
            <w:szCs w:val="24"/>
          </w:rPr>
          <w:t>https://doi.org/10.1007/s10803-016-2897-z</w:t>
        </w:r>
      </w:hyperlink>
    </w:p>
    <w:p w14:paraId="0000007E" w14:textId="77777777" w:rsidR="007D2FA2" w:rsidRDefault="00000000">
      <w:pPr>
        <w:pBdr>
          <w:top w:val="nil"/>
          <w:left w:val="nil"/>
          <w:bottom w:val="nil"/>
          <w:right w:val="nil"/>
          <w:between w:val="nil"/>
        </w:pBdr>
        <w:spacing w:line="480" w:lineRule="auto"/>
        <w:ind w:left="567" w:right="357" w:hanging="567"/>
        <w:rPr>
          <w:sz w:val="24"/>
          <w:szCs w:val="24"/>
        </w:rPr>
      </w:pPr>
      <w:bookmarkStart w:id="31" w:name="_heading=h.6hzb32hctbs6" w:colFirst="0" w:colLast="0"/>
      <w:bookmarkEnd w:id="31"/>
      <w:r>
        <w:rPr>
          <w:sz w:val="24"/>
          <w:szCs w:val="24"/>
        </w:rPr>
        <w:t xml:space="preserve">Kovas, Y., &amp; Plomin, R. (2006). Generalist genes: implications for the cognitive sciences. </w:t>
      </w:r>
      <w:r>
        <w:rPr>
          <w:i/>
          <w:sz w:val="24"/>
          <w:szCs w:val="24"/>
        </w:rPr>
        <w:t>Trends  in Cognitive Sciences</w:t>
      </w:r>
      <w:r>
        <w:rPr>
          <w:sz w:val="24"/>
          <w:szCs w:val="24"/>
        </w:rPr>
        <w:t xml:space="preserve">, </w:t>
      </w:r>
      <w:r>
        <w:rPr>
          <w:i/>
          <w:sz w:val="24"/>
          <w:szCs w:val="24"/>
        </w:rPr>
        <w:t>10</w:t>
      </w:r>
      <w:r>
        <w:rPr>
          <w:sz w:val="24"/>
          <w:szCs w:val="24"/>
        </w:rPr>
        <w:t xml:space="preserve">(5), 198–203. </w:t>
      </w:r>
      <w:hyperlink r:id="rId35">
        <w:r>
          <w:rPr>
            <w:sz w:val="24"/>
            <w:szCs w:val="24"/>
          </w:rPr>
          <w:t>https://doi.org/10.1016/j.tics.2006.03.001</w:t>
        </w:r>
      </w:hyperlink>
    </w:p>
    <w:p w14:paraId="0000007F" w14:textId="77777777" w:rsidR="007D2FA2" w:rsidRDefault="00000000">
      <w:pPr>
        <w:pBdr>
          <w:top w:val="nil"/>
          <w:left w:val="nil"/>
          <w:bottom w:val="nil"/>
          <w:right w:val="nil"/>
          <w:between w:val="nil"/>
        </w:pBdr>
        <w:spacing w:line="480" w:lineRule="auto"/>
        <w:ind w:left="567" w:right="357" w:hanging="567"/>
        <w:rPr>
          <w:sz w:val="24"/>
          <w:szCs w:val="24"/>
        </w:rPr>
      </w:pPr>
      <w:bookmarkStart w:id="32" w:name="_heading=h.uz6h5n5lfpsf" w:colFirst="0" w:colLast="0"/>
      <w:bookmarkEnd w:id="32"/>
      <w:r w:rsidRPr="00EA3E01">
        <w:rPr>
          <w:sz w:val="24"/>
          <w:szCs w:val="24"/>
        </w:rPr>
        <w:t xml:space="preserve">Mammarella, I. C., Toffalini, E., Caviola, S., Colling, L., &amp; Szűcs, D. (2021). </w:t>
      </w:r>
      <w:r>
        <w:rPr>
          <w:sz w:val="24"/>
          <w:szCs w:val="24"/>
        </w:rPr>
        <w:t xml:space="preserve">No evidence for a core deficit in developmental dyscalculia or mathematical learning disabilities. </w:t>
      </w:r>
      <w:r>
        <w:rPr>
          <w:i/>
          <w:sz w:val="24"/>
          <w:szCs w:val="24"/>
        </w:rPr>
        <w:t>Journal of Child Psychology and Psychiatry</w:t>
      </w:r>
      <w:r>
        <w:rPr>
          <w:sz w:val="24"/>
          <w:szCs w:val="24"/>
        </w:rPr>
        <w:t xml:space="preserve">, </w:t>
      </w:r>
      <w:r>
        <w:rPr>
          <w:i/>
          <w:sz w:val="24"/>
          <w:szCs w:val="24"/>
        </w:rPr>
        <w:t>62</w:t>
      </w:r>
      <w:r>
        <w:rPr>
          <w:sz w:val="24"/>
          <w:szCs w:val="24"/>
        </w:rPr>
        <w:t xml:space="preserve">(6), 704–714. </w:t>
      </w:r>
      <w:hyperlink r:id="rId36">
        <w:r>
          <w:rPr>
            <w:sz w:val="24"/>
            <w:szCs w:val="24"/>
          </w:rPr>
          <w:t>https://doi.org/10.1111/jcpp.13397</w:t>
        </w:r>
      </w:hyperlink>
    </w:p>
    <w:p w14:paraId="5AE2489D" w14:textId="0F9EAD04" w:rsidR="008D3B36" w:rsidRPr="008D3B36" w:rsidRDefault="008D3B36">
      <w:pPr>
        <w:pBdr>
          <w:top w:val="nil"/>
          <w:left w:val="nil"/>
          <w:bottom w:val="nil"/>
          <w:right w:val="nil"/>
          <w:between w:val="nil"/>
        </w:pBdr>
        <w:spacing w:line="480" w:lineRule="auto"/>
        <w:ind w:left="567" w:right="357" w:hanging="567"/>
        <w:rPr>
          <w:sz w:val="24"/>
          <w:szCs w:val="24"/>
          <w:lang w:val="en-GB"/>
        </w:rPr>
      </w:pPr>
      <w:bookmarkStart w:id="33" w:name="_heading=h.dxqbpyfrhhkz" w:colFirst="0" w:colLast="0"/>
      <w:bookmarkEnd w:id="33"/>
      <w:r w:rsidRPr="008D3B36">
        <w:rPr>
          <w:sz w:val="24"/>
          <w:szCs w:val="24"/>
          <w:lang w:val="en-GB"/>
        </w:rPr>
        <w:t>Marcus, D. K., &amp; B</w:t>
      </w:r>
      <w:r>
        <w:rPr>
          <w:sz w:val="24"/>
          <w:szCs w:val="24"/>
          <w:lang w:val="en-GB"/>
        </w:rPr>
        <w:t xml:space="preserve">arry, </w:t>
      </w:r>
      <w:r w:rsidR="004B12FA">
        <w:rPr>
          <w:sz w:val="24"/>
          <w:szCs w:val="24"/>
          <w:lang w:val="en-GB"/>
        </w:rPr>
        <w:t xml:space="preserve">T. (2011). Does attention-deficit/hyperactivity disorder have a dimensional latent structure? A taxometric analysis. </w:t>
      </w:r>
      <w:r w:rsidR="00BA16FA" w:rsidRPr="00D35E44">
        <w:rPr>
          <w:i/>
          <w:iCs/>
          <w:sz w:val="24"/>
          <w:szCs w:val="24"/>
          <w:lang w:val="en-GB"/>
        </w:rPr>
        <w:t>Journal of Abnormal Psychology, 120</w:t>
      </w:r>
      <w:r w:rsidR="00BA16FA">
        <w:rPr>
          <w:sz w:val="24"/>
          <w:szCs w:val="24"/>
          <w:lang w:val="en-GB"/>
        </w:rPr>
        <w:t xml:space="preserve">(2), 427-442. </w:t>
      </w:r>
      <w:r w:rsidR="006C6032">
        <w:rPr>
          <w:sz w:val="24"/>
          <w:szCs w:val="24"/>
          <w:lang w:val="en-GB"/>
        </w:rPr>
        <w:t>https://doi.org/</w:t>
      </w:r>
      <w:r w:rsidR="00D35E44" w:rsidRPr="00D35E44">
        <w:rPr>
          <w:sz w:val="24"/>
          <w:szCs w:val="24"/>
          <w:lang w:val="en-GB"/>
        </w:rPr>
        <w:t>10.1037/a0021405</w:t>
      </w:r>
    </w:p>
    <w:p w14:paraId="00000080" w14:textId="79415838" w:rsidR="007D2FA2" w:rsidRDefault="00000000">
      <w:pPr>
        <w:pBdr>
          <w:top w:val="nil"/>
          <w:left w:val="nil"/>
          <w:bottom w:val="nil"/>
          <w:right w:val="nil"/>
          <w:between w:val="nil"/>
        </w:pBdr>
        <w:spacing w:line="480" w:lineRule="auto"/>
        <w:ind w:left="567" w:right="357" w:hanging="567"/>
        <w:rPr>
          <w:sz w:val="24"/>
          <w:szCs w:val="24"/>
        </w:rPr>
      </w:pPr>
      <w:r w:rsidRPr="008D3B36">
        <w:rPr>
          <w:sz w:val="24"/>
          <w:szCs w:val="24"/>
          <w:lang w:val="en-GB"/>
        </w:rPr>
        <w:t xml:space="preserve">Marcus, D. K., Norris, A. L., &amp; Coccaro, E. F. (2012). </w:t>
      </w:r>
      <w:r>
        <w:rPr>
          <w:sz w:val="24"/>
          <w:szCs w:val="24"/>
        </w:rPr>
        <w:t xml:space="preserve">The latent structure of attention deficit/hyperactivity disorder in an adult sample. </w:t>
      </w:r>
      <w:r>
        <w:rPr>
          <w:i/>
          <w:sz w:val="24"/>
          <w:szCs w:val="24"/>
        </w:rPr>
        <w:t>Journal of Psychiatric Research</w:t>
      </w:r>
      <w:r>
        <w:rPr>
          <w:sz w:val="24"/>
          <w:szCs w:val="24"/>
        </w:rPr>
        <w:t xml:space="preserve">, </w:t>
      </w:r>
      <w:r>
        <w:rPr>
          <w:i/>
          <w:sz w:val="24"/>
          <w:szCs w:val="24"/>
        </w:rPr>
        <w:t>46</w:t>
      </w:r>
      <w:r>
        <w:rPr>
          <w:sz w:val="24"/>
          <w:szCs w:val="24"/>
        </w:rPr>
        <w:t>(6), 782789.</w:t>
      </w:r>
    </w:p>
    <w:p w14:paraId="00000081" w14:textId="77777777" w:rsidR="007D2FA2" w:rsidRDefault="00000000">
      <w:pPr>
        <w:pBdr>
          <w:top w:val="nil"/>
          <w:left w:val="nil"/>
          <w:bottom w:val="nil"/>
          <w:right w:val="nil"/>
          <w:between w:val="nil"/>
        </w:pBdr>
        <w:spacing w:line="480" w:lineRule="auto"/>
        <w:ind w:left="567" w:right="357" w:hanging="567"/>
        <w:rPr>
          <w:sz w:val="24"/>
          <w:szCs w:val="24"/>
        </w:rPr>
      </w:pPr>
      <w:bookmarkStart w:id="34" w:name="_heading=h.wypemuedcmqa" w:colFirst="0" w:colLast="0"/>
      <w:bookmarkEnd w:id="34"/>
      <w:r>
        <w:rPr>
          <w:sz w:val="24"/>
          <w:szCs w:val="24"/>
        </w:rPr>
        <w:t xml:space="preserve">Meehl, P. E. (1995). Bootstraps taxometrics: Solving the classification problem in psychopathology. </w:t>
      </w:r>
      <w:r>
        <w:rPr>
          <w:i/>
          <w:sz w:val="24"/>
          <w:szCs w:val="24"/>
        </w:rPr>
        <w:t>American Psychologist</w:t>
      </w:r>
      <w:r>
        <w:rPr>
          <w:sz w:val="24"/>
          <w:szCs w:val="24"/>
        </w:rPr>
        <w:t xml:space="preserve">, </w:t>
      </w:r>
      <w:r>
        <w:rPr>
          <w:i/>
          <w:sz w:val="24"/>
          <w:szCs w:val="24"/>
        </w:rPr>
        <w:t>50</w:t>
      </w:r>
      <w:r>
        <w:rPr>
          <w:sz w:val="24"/>
          <w:szCs w:val="24"/>
        </w:rPr>
        <w:t>(4), 266–275.</w:t>
      </w:r>
    </w:p>
    <w:p w14:paraId="00000082" w14:textId="77777777" w:rsidR="007D2FA2" w:rsidRDefault="00000000">
      <w:pPr>
        <w:pBdr>
          <w:top w:val="nil"/>
          <w:left w:val="nil"/>
          <w:bottom w:val="nil"/>
          <w:right w:val="nil"/>
          <w:between w:val="nil"/>
        </w:pBdr>
        <w:spacing w:line="480" w:lineRule="auto"/>
        <w:ind w:left="567" w:hanging="567"/>
        <w:rPr>
          <w:sz w:val="24"/>
          <w:szCs w:val="24"/>
        </w:rPr>
      </w:pPr>
      <w:bookmarkStart w:id="35" w:name="_heading=h.2wfjlgwxds5w" w:colFirst="0" w:colLast="0"/>
      <w:bookmarkEnd w:id="35"/>
      <w:r>
        <w:rPr>
          <w:sz w:val="24"/>
          <w:szCs w:val="24"/>
        </w:rPr>
        <w:t xml:space="preserve">Michelini, G., Carlisi, C. O., Eaton, N. R., Elison, J. T., Haltigan, J. D., Kotov, R., Krueger, R. F., Latzman, R. D., Li, J. J., Levin-Aspenson, H. F., Salum, G. A., South, S. C., Stanton, K., Waldman, I. D., &amp; Wilson, S. (2024). Where do neurodevelopmental conditions fit in transdiagnostic psychiatric frameworks? Incorporating a new neurodevelopmental </w:t>
      </w:r>
      <w:r>
        <w:rPr>
          <w:sz w:val="24"/>
          <w:szCs w:val="24"/>
        </w:rPr>
        <w:lastRenderedPageBreak/>
        <w:t xml:space="preserve">spectrum. </w:t>
      </w:r>
      <w:r>
        <w:rPr>
          <w:i/>
          <w:sz w:val="24"/>
          <w:szCs w:val="24"/>
        </w:rPr>
        <w:t>World Psychiatry</w:t>
      </w:r>
      <w:r>
        <w:rPr>
          <w:sz w:val="24"/>
          <w:szCs w:val="24"/>
        </w:rPr>
        <w:t xml:space="preserve">, </w:t>
      </w:r>
      <w:r>
        <w:rPr>
          <w:i/>
          <w:sz w:val="24"/>
          <w:szCs w:val="24"/>
        </w:rPr>
        <w:t>23</w:t>
      </w:r>
      <w:r>
        <w:rPr>
          <w:sz w:val="24"/>
          <w:szCs w:val="24"/>
        </w:rPr>
        <w:t xml:space="preserve">(3), 333–357. </w:t>
      </w:r>
      <w:hyperlink r:id="rId37">
        <w:r>
          <w:rPr>
            <w:sz w:val="24"/>
            <w:szCs w:val="24"/>
          </w:rPr>
          <w:t>https://doi.org/10.1002/wps.21225</w:t>
        </w:r>
      </w:hyperlink>
    </w:p>
    <w:p w14:paraId="00000083" w14:textId="77777777" w:rsidR="007D2FA2" w:rsidRDefault="00000000">
      <w:pPr>
        <w:pBdr>
          <w:top w:val="nil"/>
          <w:left w:val="nil"/>
          <w:bottom w:val="nil"/>
          <w:right w:val="nil"/>
          <w:between w:val="nil"/>
        </w:pBdr>
        <w:spacing w:line="480" w:lineRule="auto"/>
        <w:ind w:left="567" w:right="357" w:hanging="567"/>
        <w:rPr>
          <w:sz w:val="24"/>
          <w:szCs w:val="24"/>
        </w:rPr>
      </w:pPr>
      <w:bookmarkStart w:id="36" w:name="_heading=h.wb85q77edjeg" w:colFirst="0" w:colLast="0"/>
      <w:bookmarkEnd w:id="36"/>
      <w:r>
        <w:rPr>
          <w:sz w:val="24"/>
          <w:szCs w:val="24"/>
        </w:rPr>
        <w:t xml:space="preserve">Munson, J., Dawson, G., Sterling, L., Beauchaine, T., Zhou, A., Koehler, E., Lord, C., Rogers, S., Sigman, M., Estes, A., &amp; Abbott, R. (2008). Evidence for latent classes of IQ in young children with autism spectrum disorder. </w:t>
      </w:r>
      <w:r>
        <w:rPr>
          <w:i/>
          <w:sz w:val="24"/>
          <w:szCs w:val="24"/>
        </w:rPr>
        <w:t>American Journal on Mental Retardation</w:t>
      </w:r>
      <w:r>
        <w:rPr>
          <w:sz w:val="24"/>
          <w:szCs w:val="24"/>
        </w:rPr>
        <w:t xml:space="preserve">, </w:t>
      </w:r>
      <w:r>
        <w:rPr>
          <w:i/>
          <w:sz w:val="24"/>
          <w:szCs w:val="24"/>
        </w:rPr>
        <w:t>113</w:t>
      </w:r>
      <w:r>
        <w:rPr>
          <w:sz w:val="24"/>
          <w:szCs w:val="24"/>
        </w:rPr>
        <w:t>(6), 439–452. https://doi.org/10.1352/2008.113:439-452</w:t>
      </w:r>
    </w:p>
    <w:p w14:paraId="00000084" w14:textId="77777777" w:rsidR="007D2FA2" w:rsidRDefault="00000000">
      <w:pPr>
        <w:pBdr>
          <w:top w:val="nil"/>
          <w:left w:val="nil"/>
          <w:bottom w:val="nil"/>
          <w:right w:val="nil"/>
          <w:between w:val="nil"/>
        </w:pBdr>
        <w:spacing w:line="480" w:lineRule="auto"/>
        <w:ind w:left="567" w:right="301" w:hanging="567"/>
        <w:rPr>
          <w:sz w:val="24"/>
          <w:szCs w:val="24"/>
        </w:rPr>
      </w:pPr>
      <w:bookmarkStart w:id="37" w:name="_heading=h.h3zp98et63q0" w:colFirst="0" w:colLast="0"/>
      <w:bookmarkEnd w:id="37"/>
      <w:r>
        <w:rPr>
          <w:sz w:val="24"/>
          <w:szCs w:val="24"/>
        </w:rPr>
        <w:t xml:space="preserve">O’Brien, B. A., Wolf, M., &amp; Lovett, M. W. (2012). A Taxometric Investigation of Developmental Dyslexia Subtypes. </w:t>
      </w:r>
      <w:r>
        <w:rPr>
          <w:i/>
          <w:sz w:val="24"/>
          <w:szCs w:val="24"/>
        </w:rPr>
        <w:t>Dyslexia</w:t>
      </w:r>
      <w:r>
        <w:rPr>
          <w:sz w:val="24"/>
          <w:szCs w:val="24"/>
        </w:rPr>
        <w:t xml:space="preserve">, </w:t>
      </w:r>
      <w:r>
        <w:rPr>
          <w:i/>
          <w:sz w:val="24"/>
          <w:szCs w:val="24"/>
        </w:rPr>
        <w:t>18</w:t>
      </w:r>
      <w:r>
        <w:rPr>
          <w:sz w:val="24"/>
          <w:szCs w:val="24"/>
        </w:rPr>
        <w:t xml:space="preserve">(1), 16–39. </w:t>
      </w:r>
      <w:hyperlink r:id="rId38">
        <w:r>
          <w:rPr>
            <w:sz w:val="24"/>
            <w:szCs w:val="24"/>
          </w:rPr>
          <w:t>https://doi.org/10.1002/dys.1431</w:t>
        </w:r>
      </w:hyperlink>
    </w:p>
    <w:p w14:paraId="00000085" w14:textId="77777777" w:rsidR="007D2FA2" w:rsidRDefault="00000000">
      <w:pPr>
        <w:pBdr>
          <w:top w:val="nil"/>
          <w:left w:val="nil"/>
          <w:bottom w:val="nil"/>
          <w:right w:val="nil"/>
          <w:between w:val="nil"/>
        </w:pBdr>
        <w:spacing w:line="480" w:lineRule="auto"/>
        <w:ind w:left="567" w:right="357" w:hanging="567"/>
        <w:rPr>
          <w:sz w:val="24"/>
          <w:szCs w:val="24"/>
        </w:rPr>
      </w:pPr>
      <w:bookmarkStart w:id="38" w:name="_heading=h.zbjamq6auhdr" w:colFirst="0" w:colLast="0"/>
      <w:bookmarkEnd w:id="38"/>
      <w:r>
        <w:rPr>
          <w:sz w:val="24"/>
          <w:szCs w:val="24"/>
        </w:rPr>
        <w:t xml:space="preserve">Pennington, B. F., Santerre-Lemmon, L., Rosenberg, J., MacDonald, B., Boada, R., Friend, A., Leopold, D., Samuelsson, S., Byrne, B., Willcutt, E. G., &amp; Olson, R. K. (2012). Individual prediction of dyslexia by single vs. Multiple deficit models. </w:t>
      </w:r>
      <w:r>
        <w:rPr>
          <w:i/>
          <w:sz w:val="24"/>
          <w:szCs w:val="24"/>
        </w:rPr>
        <w:t>Journal of Abnormal Psychology</w:t>
      </w:r>
      <w:r>
        <w:rPr>
          <w:sz w:val="24"/>
          <w:szCs w:val="24"/>
        </w:rPr>
        <w:t xml:space="preserve">, </w:t>
      </w:r>
      <w:r>
        <w:rPr>
          <w:i/>
          <w:sz w:val="24"/>
          <w:szCs w:val="24"/>
        </w:rPr>
        <w:t>121</w:t>
      </w:r>
      <w:r>
        <w:rPr>
          <w:sz w:val="24"/>
          <w:szCs w:val="24"/>
        </w:rPr>
        <w:t xml:space="preserve">(1), 212–224. </w:t>
      </w:r>
      <w:hyperlink r:id="rId39">
        <w:r>
          <w:rPr>
            <w:sz w:val="24"/>
            <w:szCs w:val="24"/>
          </w:rPr>
          <w:t>https://doi.org/10.1037/a0025823</w:t>
        </w:r>
      </w:hyperlink>
    </w:p>
    <w:p w14:paraId="00000086" w14:textId="77777777" w:rsidR="007D2FA2" w:rsidRDefault="00000000">
      <w:pPr>
        <w:pBdr>
          <w:top w:val="nil"/>
          <w:left w:val="nil"/>
          <w:bottom w:val="nil"/>
          <w:right w:val="nil"/>
          <w:between w:val="nil"/>
        </w:pBdr>
        <w:spacing w:line="480" w:lineRule="auto"/>
        <w:ind w:left="567" w:right="357" w:hanging="567"/>
        <w:rPr>
          <w:sz w:val="24"/>
          <w:szCs w:val="24"/>
        </w:rPr>
      </w:pPr>
      <w:bookmarkStart w:id="39" w:name="_heading=h.kh9hizp853xo" w:colFirst="0" w:colLast="0"/>
      <w:bookmarkEnd w:id="39"/>
      <w:r>
        <w:rPr>
          <w:sz w:val="24"/>
          <w:szCs w:val="24"/>
        </w:rPr>
        <w:t xml:space="preserve">Plomin, R., &amp; Kovas, Y. (2005). Generalist Genes and Learning Disabilities. </w:t>
      </w:r>
      <w:r>
        <w:rPr>
          <w:i/>
          <w:sz w:val="24"/>
          <w:szCs w:val="24"/>
        </w:rPr>
        <w:t>Psychological Bulletin</w:t>
      </w:r>
      <w:r>
        <w:rPr>
          <w:sz w:val="24"/>
          <w:szCs w:val="24"/>
        </w:rPr>
        <w:t xml:space="preserve">, </w:t>
      </w:r>
      <w:r>
        <w:rPr>
          <w:i/>
          <w:sz w:val="24"/>
          <w:szCs w:val="24"/>
        </w:rPr>
        <w:t>131</w:t>
      </w:r>
      <w:r>
        <w:rPr>
          <w:sz w:val="24"/>
          <w:szCs w:val="24"/>
        </w:rPr>
        <w:t xml:space="preserve">(4), 592–617. </w:t>
      </w:r>
      <w:hyperlink r:id="rId40">
        <w:r>
          <w:rPr>
            <w:sz w:val="24"/>
            <w:szCs w:val="24"/>
          </w:rPr>
          <w:t>https://doi.org/10.1037/0033-2909.131.4.592</w:t>
        </w:r>
      </w:hyperlink>
    </w:p>
    <w:p w14:paraId="00000087" w14:textId="77777777" w:rsidR="007D2FA2" w:rsidRDefault="00000000">
      <w:pPr>
        <w:pBdr>
          <w:top w:val="nil"/>
          <w:left w:val="nil"/>
          <w:bottom w:val="nil"/>
          <w:right w:val="nil"/>
          <w:between w:val="nil"/>
        </w:pBdr>
        <w:spacing w:line="480" w:lineRule="auto"/>
        <w:ind w:left="567" w:right="357" w:hanging="567"/>
        <w:rPr>
          <w:sz w:val="24"/>
          <w:szCs w:val="24"/>
        </w:rPr>
      </w:pPr>
      <w:r>
        <w:rPr>
          <w:sz w:val="24"/>
          <w:szCs w:val="24"/>
        </w:rPr>
        <w:t xml:space="preserve">Posner, J., Polanczyk, G., &amp; Sonuga-Barke, E. (2020). Attention-deficit hyperactivity disorder. </w:t>
      </w:r>
      <w:r>
        <w:rPr>
          <w:i/>
          <w:sz w:val="24"/>
          <w:szCs w:val="24"/>
        </w:rPr>
        <w:t>The Lancet, 395</w:t>
      </w:r>
      <w:r>
        <w:rPr>
          <w:sz w:val="24"/>
          <w:szCs w:val="24"/>
        </w:rPr>
        <w:t>(10222), 450-462. https://doi.org/10.1016/S0140-6736(19)33004-1</w:t>
      </w:r>
    </w:p>
    <w:p w14:paraId="00000088" w14:textId="77777777" w:rsidR="007D2FA2" w:rsidRDefault="00000000">
      <w:pPr>
        <w:pBdr>
          <w:top w:val="nil"/>
          <w:left w:val="nil"/>
          <w:bottom w:val="nil"/>
          <w:right w:val="nil"/>
          <w:between w:val="nil"/>
        </w:pBdr>
        <w:spacing w:line="480" w:lineRule="auto"/>
        <w:ind w:left="567" w:hanging="567"/>
        <w:rPr>
          <w:sz w:val="24"/>
          <w:szCs w:val="24"/>
        </w:rPr>
      </w:pPr>
      <w:bookmarkStart w:id="40" w:name="_heading=h.ex3avwwqkeun" w:colFirst="0" w:colLast="0"/>
      <w:bookmarkEnd w:id="40"/>
      <w:r>
        <w:rPr>
          <w:sz w:val="24"/>
          <w:szCs w:val="24"/>
        </w:rPr>
        <w:t xml:space="preserve">Ruscio, J. (2007). Taxometric Analysis: An Empirically Grounded Approach to Implementing the Method. </w:t>
      </w:r>
      <w:r>
        <w:rPr>
          <w:i/>
          <w:sz w:val="24"/>
          <w:szCs w:val="24"/>
        </w:rPr>
        <w:t>Criminal Justice and Behavior</w:t>
      </w:r>
      <w:r>
        <w:rPr>
          <w:sz w:val="24"/>
          <w:szCs w:val="24"/>
        </w:rPr>
        <w:t xml:space="preserve">, </w:t>
      </w:r>
      <w:r>
        <w:rPr>
          <w:i/>
          <w:sz w:val="24"/>
          <w:szCs w:val="24"/>
        </w:rPr>
        <w:t>34</w:t>
      </w:r>
      <w:r>
        <w:rPr>
          <w:sz w:val="24"/>
          <w:szCs w:val="24"/>
        </w:rPr>
        <w:t xml:space="preserve">(12), 1588–1622. </w:t>
      </w:r>
      <w:hyperlink r:id="rId41">
        <w:r>
          <w:rPr>
            <w:sz w:val="24"/>
            <w:szCs w:val="24"/>
          </w:rPr>
          <w:t>https://doi.org/10.1177/0093854807307027</w:t>
        </w:r>
      </w:hyperlink>
    </w:p>
    <w:p w14:paraId="00000089" w14:textId="77777777" w:rsidR="007D2FA2" w:rsidRDefault="00000000">
      <w:pPr>
        <w:pBdr>
          <w:top w:val="nil"/>
          <w:left w:val="nil"/>
          <w:bottom w:val="nil"/>
          <w:right w:val="nil"/>
          <w:between w:val="nil"/>
        </w:pBdr>
        <w:spacing w:line="480" w:lineRule="auto"/>
        <w:ind w:left="567" w:right="357" w:hanging="567"/>
        <w:rPr>
          <w:sz w:val="24"/>
          <w:szCs w:val="24"/>
        </w:rPr>
      </w:pPr>
      <w:bookmarkStart w:id="41" w:name="_heading=h.pq1qz17tdmxe" w:colFirst="0" w:colLast="0"/>
      <w:bookmarkEnd w:id="41"/>
      <w:r>
        <w:rPr>
          <w:sz w:val="24"/>
          <w:szCs w:val="24"/>
        </w:rPr>
        <w:t xml:space="preserve">Ruscio, J., Carney, L. M., Dever, L., Pliskin, M., &amp; Wang, S. B. (2018). Using the comparison curve fix index (CCFI) in taxometric analyses: Averaging curves, standard errors, and CCFI profiles. </w:t>
      </w:r>
      <w:r>
        <w:rPr>
          <w:i/>
          <w:sz w:val="24"/>
          <w:szCs w:val="24"/>
        </w:rPr>
        <w:t>Psychological Assessment</w:t>
      </w:r>
      <w:r>
        <w:rPr>
          <w:sz w:val="24"/>
          <w:szCs w:val="24"/>
        </w:rPr>
        <w:t xml:space="preserve">, </w:t>
      </w:r>
      <w:r>
        <w:rPr>
          <w:i/>
          <w:sz w:val="24"/>
          <w:szCs w:val="24"/>
        </w:rPr>
        <w:t>30</w:t>
      </w:r>
      <w:r>
        <w:rPr>
          <w:sz w:val="24"/>
          <w:szCs w:val="24"/>
        </w:rPr>
        <w:t xml:space="preserve">(6), 744–754. </w:t>
      </w:r>
      <w:hyperlink r:id="rId42">
        <w:r>
          <w:rPr>
            <w:sz w:val="24"/>
            <w:szCs w:val="24"/>
          </w:rPr>
          <w:t>https://doi.org/10.1037/pas0000522</w:t>
        </w:r>
      </w:hyperlink>
    </w:p>
    <w:p w14:paraId="0000008A" w14:textId="77777777" w:rsidR="007D2FA2" w:rsidRDefault="00000000">
      <w:pPr>
        <w:pBdr>
          <w:top w:val="nil"/>
          <w:left w:val="nil"/>
          <w:bottom w:val="nil"/>
          <w:right w:val="nil"/>
          <w:between w:val="nil"/>
        </w:pBdr>
        <w:spacing w:line="480" w:lineRule="auto"/>
        <w:ind w:left="567" w:right="357" w:hanging="567"/>
        <w:rPr>
          <w:sz w:val="24"/>
          <w:szCs w:val="24"/>
        </w:rPr>
      </w:pPr>
      <w:bookmarkStart w:id="42" w:name="_heading=h.oufmb6f03e7z" w:colFirst="0" w:colLast="0"/>
      <w:bookmarkEnd w:id="42"/>
      <w:r>
        <w:rPr>
          <w:sz w:val="24"/>
          <w:szCs w:val="24"/>
        </w:rPr>
        <w:t xml:space="preserve">Ruscio, J., &amp; Ruscio, A. M. (2004a). A conceptual and methodological checklist for conducting a taxometric investigation. </w:t>
      </w:r>
      <w:r>
        <w:rPr>
          <w:i/>
          <w:sz w:val="24"/>
          <w:szCs w:val="24"/>
        </w:rPr>
        <w:t>Behavior Therapy</w:t>
      </w:r>
      <w:r>
        <w:rPr>
          <w:sz w:val="24"/>
          <w:szCs w:val="24"/>
        </w:rPr>
        <w:t xml:space="preserve">, </w:t>
      </w:r>
      <w:r>
        <w:rPr>
          <w:i/>
          <w:sz w:val="24"/>
          <w:szCs w:val="24"/>
        </w:rPr>
        <w:t>35</w:t>
      </w:r>
      <w:r>
        <w:rPr>
          <w:sz w:val="24"/>
          <w:szCs w:val="24"/>
        </w:rPr>
        <w:t xml:space="preserve">(2), 403–447. </w:t>
      </w:r>
      <w:hyperlink r:id="rId43">
        <w:r>
          <w:rPr>
            <w:sz w:val="24"/>
            <w:szCs w:val="24"/>
          </w:rPr>
          <w:t>https://doi.org/10.1016/S0005-7894(04)80044-3</w:t>
        </w:r>
      </w:hyperlink>
    </w:p>
    <w:p w14:paraId="0000008B" w14:textId="77777777" w:rsidR="007D2FA2" w:rsidRDefault="00000000">
      <w:pPr>
        <w:pBdr>
          <w:top w:val="nil"/>
          <w:left w:val="nil"/>
          <w:bottom w:val="nil"/>
          <w:right w:val="nil"/>
          <w:between w:val="nil"/>
        </w:pBdr>
        <w:spacing w:line="480" w:lineRule="auto"/>
        <w:ind w:left="567" w:right="510" w:hanging="567"/>
        <w:rPr>
          <w:sz w:val="24"/>
          <w:szCs w:val="24"/>
        </w:rPr>
      </w:pPr>
      <w:bookmarkStart w:id="43" w:name="_heading=h.cuch0tkpta1" w:colFirst="0" w:colLast="0"/>
      <w:bookmarkEnd w:id="43"/>
      <w:r>
        <w:rPr>
          <w:sz w:val="24"/>
          <w:szCs w:val="24"/>
        </w:rPr>
        <w:t xml:space="preserve">Ruscio, J., &amp; Ruscio, A. M. (2004b). Clarifying Boundary Issues in Psychopathology: The Role of Taxometrics in a Comprehensive Program of Structural Research. </w:t>
      </w:r>
      <w:r>
        <w:rPr>
          <w:i/>
          <w:sz w:val="24"/>
          <w:szCs w:val="24"/>
        </w:rPr>
        <w:t>Journal of Abnormal Psychology</w:t>
      </w:r>
      <w:r>
        <w:rPr>
          <w:sz w:val="24"/>
          <w:szCs w:val="24"/>
        </w:rPr>
        <w:t xml:space="preserve">, </w:t>
      </w:r>
      <w:r>
        <w:rPr>
          <w:i/>
          <w:sz w:val="24"/>
          <w:szCs w:val="24"/>
        </w:rPr>
        <w:t>113</w:t>
      </w:r>
      <w:r>
        <w:rPr>
          <w:sz w:val="24"/>
          <w:szCs w:val="24"/>
        </w:rPr>
        <w:t xml:space="preserve">(1), 24–38. </w:t>
      </w:r>
      <w:hyperlink r:id="rId44">
        <w:r>
          <w:rPr>
            <w:sz w:val="24"/>
            <w:szCs w:val="24"/>
          </w:rPr>
          <w:t>https://doi.org/10.1037/0021-843x.113.1.24</w:t>
        </w:r>
      </w:hyperlink>
    </w:p>
    <w:p w14:paraId="0000008C" w14:textId="77777777" w:rsidR="007D2FA2" w:rsidRDefault="00000000">
      <w:pPr>
        <w:spacing w:line="480" w:lineRule="auto"/>
        <w:ind w:left="567" w:right="357" w:hanging="567"/>
        <w:rPr>
          <w:sz w:val="24"/>
          <w:szCs w:val="24"/>
        </w:rPr>
      </w:pPr>
      <w:bookmarkStart w:id="44" w:name="_heading=h.5b2ks3uth5f6" w:colFirst="0" w:colLast="0"/>
      <w:bookmarkEnd w:id="44"/>
      <w:r>
        <w:rPr>
          <w:sz w:val="24"/>
          <w:szCs w:val="24"/>
        </w:rPr>
        <w:t xml:space="preserve">Sonuga-Barke, E. J. S. (2020). Editorial: ‘People get ready’: Are mental disorder diagnostics ripe for a Kuhnian revolution? </w:t>
      </w:r>
      <w:r>
        <w:rPr>
          <w:i/>
          <w:sz w:val="24"/>
          <w:szCs w:val="24"/>
        </w:rPr>
        <w:t>Journal of Child Psychology and Psychiatry</w:t>
      </w:r>
      <w:r>
        <w:rPr>
          <w:sz w:val="24"/>
          <w:szCs w:val="24"/>
        </w:rPr>
        <w:t xml:space="preserve">, </w:t>
      </w:r>
      <w:r>
        <w:rPr>
          <w:i/>
          <w:sz w:val="24"/>
          <w:szCs w:val="24"/>
        </w:rPr>
        <w:t>61</w:t>
      </w:r>
      <w:r>
        <w:rPr>
          <w:sz w:val="24"/>
          <w:szCs w:val="24"/>
        </w:rPr>
        <w:t xml:space="preserve">(1), 1–3. </w:t>
      </w:r>
      <w:hyperlink r:id="rId45">
        <w:r>
          <w:rPr>
            <w:sz w:val="24"/>
            <w:szCs w:val="24"/>
          </w:rPr>
          <w:t>https://doi.org/10.1111/jcpp.13181</w:t>
        </w:r>
      </w:hyperlink>
    </w:p>
    <w:p w14:paraId="0000008D" w14:textId="77777777" w:rsidR="007D2FA2" w:rsidRDefault="00000000">
      <w:pPr>
        <w:pBdr>
          <w:top w:val="nil"/>
          <w:left w:val="nil"/>
          <w:bottom w:val="nil"/>
          <w:right w:val="nil"/>
          <w:between w:val="nil"/>
        </w:pBdr>
        <w:spacing w:line="480" w:lineRule="auto"/>
        <w:ind w:left="567" w:right="357" w:hanging="567"/>
        <w:rPr>
          <w:sz w:val="24"/>
          <w:szCs w:val="24"/>
        </w:rPr>
      </w:pPr>
      <w:bookmarkStart w:id="45" w:name="_heading=h.biur3pnkfsfi" w:colFirst="0" w:colLast="0"/>
      <w:bookmarkEnd w:id="45"/>
      <w:r w:rsidRPr="001B4D5D">
        <w:rPr>
          <w:sz w:val="24"/>
          <w:szCs w:val="24"/>
          <w:lang w:val="it-IT"/>
        </w:rPr>
        <w:t xml:space="preserve">Sonuga-Barke, E. J. S. (2022). </w:t>
      </w:r>
      <w:r>
        <w:rPr>
          <w:sz w:val="24"/>
          <w:szCs w:val="24"/>
        </w:rPr>
        <w:t xml:space="preserve">‘If it don’t fit, don’t force it?’ If real-world, complex clinical decisions are intrinsically categorical can dimensional systems add value? Reflections on lahey, tiemeier &amp; krueger (2022). </w:t>
      </w:r>
      <w:r>
        <w:rPr>
          <w:i/>
          <w:sz w:val="24"/>
          <w:szCs w:val="24"/>
        </w:rPr>
        <w:t>JCPP Advances</w:t>
      </w:r>
      <w:r>
        <w:rPr>
          <w:sz w:val="24"/>
          <w:szCs w:val="24"/>
        </w:rPr>
        <w:t xml:space="preserve">, </w:t>
      </w:r>
      <w:r>
        <w:rPr>
          <w:i/>
          <w:sz w:val="24"/>
          <w:szCs w:val="24"/>
        </w:rPr>
        <w:t>2</w:t>
      </w:r>
      <w:r>
        <w:rPr>
          <w:sz w:val="24"/>
          <w:szCs w:val="24"/>
        </w:rPr>
        <w:t xml:space="preserve">(4), e12120. </w:t>
      </w:r>
      <w:hyperlink r:id="rId46">
        <w:r>
          <w:rPr>
            <w:sz w:val="24"/>
            <w:szCs w:val="24"/>
          </w:rPr>
          <w:t>https://doi.org/10.1002/jcv2.12120</w:t>
        </w:r>
      </w:hyperlink>
    </w:p>
    <w:p w14:paraId="0000008E" w14:textId="77777777" w:rsidR="007D2FA2" w:rsidRDefault="00000000">
      <w:pPr>
        <w:spacing w:line="480" w:lineRule="auto"/>
        <w:ind w:left="567" w:right="396" w:hanging="567"/>
        <w:rPr>
          <w:sz w:val="24"/>
          <w:szCs w:val="24"/>
        </w:rPr>
      </w:pPr>
      <w:bookmarkStart w:id="46" w:name="_heading=h.3tc548wjudtl" w:colFirst="0" w:colLast="0"/>
      <w:bookmarkEnd w:id="46"/>
      <w:r>
        <w:rPr>
          <w:sz w:val="24"/>
          <w:szCs w:val="24"/>
        </w:rPr>
        <w:t xml:space="preserve">Stevens, M. C., Pearlson, G. D., Calhoun, V. D., &amp; Bessette, K. L. (2018). Functional neuroimaging evidence for distinct neurobiological pathways in attention-deficit/hyperactivity disorder. </w:t>
      </w:r>
      <w:r>
        <w:rPr>
          <w:i/>
          <w:sz w:val="24"/>
          <w:szCs w:val="24"/>
        </w:rPr>
        <w:t>Biological Psychiatry: Cognitive Neuroscience and Neuroimaging</w:t>
      </w:r>
      <w:r>
        <w:rPr>
          <w:sz w:val="24"/>
          <w:szCs w:val="24"/>
        </w:rPr>
        <w:t xml:space="preserve">, </w:t>
      </w:r>
      <w:r>
        <w:rPr>
          <w:i/>
          <w:sz w:val="24"/>
          <w:szCs w:val="24"/>
        </w:rPr>
        <w:t>3</w:t>
      </w:r>
      <w:r>
        <w:rPr>
          <w:sz w:val="24"/>
          <w:szCs w:val="24"/>
        </w:rPr>
        <w:t xml:space="preserve">(8), 675–685. </w:t>
      </w:r>
      <w:hyperlink r:id="rId47">
        <w:r>
          <w:rPr>
            <w:sz w:val="24"/>
            <w:szCs w:val="24"/>
          </w:rPr>
          <w:t>https://doi.org/10.1016/j.bpsc.2017.09.005</w:t>
        </w:r>
      </w:hyperlink>
    </w:p>
    <w:p w14:paraId="0000008F" w14:textId="77777777" w:rsidR="007D2FA2" w:rsidRDefault="00000000">
      <w:pPr>
        <w:pBdr>
          <w:top w:val="nil"/>
          <w:left w:val="nil"/>
          <w:bottom w:val="nil"/>
          <w:right w:val="nil"/>
          <w:between w:val="nil"/>
        </w:pBdr>
        <w:spacing w:line="480" w:lineRule="auto"/>
        <w:ind w:left="567" w:right="357" w:hanging="567"/>
        <w:rPr>
          <w:sz w:val="24"/>
          <w:szCs w:val="24"/>
        </w:rPr>
      </w:pPr>
      <w:bookmarkStart w:id="47" w:name="_heading=h.x69gkat12upc" w:colFirst="0" w:colLast="0"/>
      <w:bookmarkEnd w:id="47"/>
      <w:r w:rsidRPr="001B4D5D">
        <w:rPr>
          <w:sz w:val="24"/>
          <w:szCs w:val="24"/>
          <w:lang w:val="it-IT"/>
        </w:rPr>
        <w:t xml:space="preserve">Toffalini, E., Gambarota, F., Perugini, A., Girardi, P., Tobia, V., Altoè, G., Giofrè, D., Team, P. C., &amp; Feraco, T. (2024). </w:t>
      </w:r>
      <w:r>
        <w:rPr>
          <w:sz w:val="24"/>
          <w:szCs w:val="24"/>
        </w:rPr>
        <w:t xml:space="preserve">Clusters that are not there: An R tutorial and a Shiny app to quantify a priori inferential risks when using clustering methods. </w:t>
      </w:r>
      <w:r>
        <w:rPr>
          <w:i/>
          <w:sz w:val="24"/>
          <w:szCs w:val="24"/>
        </w:rPr>
        <w:t>International Journal of Psychology</w:t>
      </w:r>
      <w:r>
        <w:rPr>
          <w:sz w:val="24"/>
          <w:szCs w:val="24"/>
        </w:rPr>
        <w:t xml:space="preserve">, </w:t>
      </w:r>
      <w:r>
        <w:rPr>
          <w:i/>
          <w:sz w:val="24"/>
          <w:szCs w:val="24"/>
        </w:rPr>
        <w:t>59</w:t>
      </w:r>
      <w:r>
        <w:rPr>
          <w:sz w:val="24"/>
          <w:szCs w:val="24"/>
        </w:rPr>
        <w:t xml:space="preserve">(6), 1183–1198. </w:t>
      </w:r>
      <w:hyperlink r:id="rId48">
        <w:r>
          <w:rPr>
            <w:sz w:val="24"/>
            <w:szCs w:val="24"/>
          </w:rPr>
          <w:t>https://doi.org/10.1002/ijop.13246</w:t>
        </w:r>
      </w:hyperlink>
    </w:p>
    <w:p w14:paraId="00000090" w14:textId="77777777" w:rsidR="007D2FA2" w:rsidRDefault="00000000">
      <w:pPr>
        <w:pBdr>
          <w:top w:val="nil"/>
          <w:left w:val="nil"/>
          <w:bottom w:val="nil"/>
          <w:right w:val="nil"/>
          <w:between w:val="nil"/>
        </w:pBdr>
        <w:spacing w:line="480" w:lineRule="auto"/>
        <w:ind w:left="567" w:hanging="567"/>
        <w:rPr>
          <w:sz w:val="24"/>
          <w:szCs w:val="24"/>
        </w:rPr>
        <w:sectPr w:rsidR="007D2FA2">
          <w:pgSz w:w="12240" w:h="15840"/>
          <w:pgMar w:top="1440" w:right="1440" w:bottom="1440" w:left="1440" w:header="667" w:footer="0" w:gutter="0"/>
          <w:cols w:space="720"/>
        </w:sectPr>
      </w:pPr>
      <w:r>
        <w:rPr>
          <w:sz w:val="24"/>
          <w:szCs w:val="24"/>
        </w:rPr>
        <w:t xml:space="preserve">Toffalini, E., Girardi, P., Giofrè, D., &amp; Altoè, G. (2022). Entia Non Sunt Multiplicanda … Shall I </w:t>
      </w:r>
      <w:r>
        <w:rPr>
          <w:sz w:val="24"/>
          <w:szCs w:val="24"/>
        </w:rPr>
        <w:lastRenderedPageBreak/>
        <w:t xml:space="preserve">look for clusters in my cognitive data? </w:t>
      </w:r>
      <w:r>
        <w:rPr>
          <w:i/>
          <w:sz w:val="24"/>
          <w:szCs w:val="24"/>
        </w:rPr>
        <w:t>PLOS ONE</w:t>
      </w:r>
      <w:r>
        <w:rPr>
          <w:sz w:val="24"/>
          <w:szCs w:val="24"/>
        </w:rPr>
        <w:t xml:space="preserve">, </w:t>
      </w:r>
      <w:r>
        <w:rPr>
          <w:i/>
          <w:sz w:val="24"/>
          <w:szCs w:val="24"/>
        </w:rPr>
        <w:t>17</w:t>
      </w:r>
      <w:r>
        <w:rPr>
          <w:sz w:val="24"/>
          <w:szCs w:val="24"/>
        </w:rPr>
        <w:t xml:space="preserve">(6), e0269584. </w:t>
      </w:r>
      <w:hyperlink r:id="rId49">
        <w:r>
          <w:rPr>
            <w:sz w:val="24"/>
            <w:szCs w:val="24"/>
          </w:rPr>
          <w:t>https://doi.org/10.1371/journal.pone.0269584</w:t>
        </w:r>
      </w:hyperlink>
    </w:p>
    <w:p w14:paraId="00000091" w14:textId="77777777" w:rsidR="007D2FA2" w:rsidRDefault="00000000" w:rsidP="003341E6">
      <w:pPr>
        <w:pStyle w:val="Heading1"/>
        <w:spacing w:before="0" w:line="360" w:lineRule="auto"/>
      </w:pPr>
      <w:bookmarkStart w:id="48" w:name="_heading=h.4o5lc1ynm3op" w:colFirst="0" w:colLast="0"/>
      <w:bookmarkEnd w:id="48"/>
      <w:r>
        <w:lastRenderedPageBreak/>
        <w:t>Table 1</w:t>
      </w:r>
    </w:p>
    <w:tbl>
      <w:tblPr>
        <w:tblpPr w:leftFromText="180" w:rightFromText="180" w:vertAnchor="text" w:horzAnchor="margin" w:tblpXSpec="center" w:tblpY="365"/>
        <w:tblW w:w="15444" w:type="dxa"/>
        <w:tblLayout w:type="fixed"/>
        <w:tblLook w:val="04A0" w:firstRow="1" w:lastRow="0" w:firstColumn="1" w:lastColumn="0" w:noHBand="0" w:noVBand="1"/>
      </w:tblPr>
      <w:tblGrid>
        <w:gridCol w:w="967"/>
        <w:gridCol w:w="936"/>
        <w:gridCol w:w="1093"/>
        <w:gridCol w:w="1050"/>
        <w:gridCol w:w="1120"/>
        <w:gridCol w:w="1071"/>
        <w:gridCol w:w="1203"/>
        <w:gridCol w:w="798"/>
        <w:gridCol w:w="1123"/>
        <w:gridCol w:w="1212"/>
        <w:gridCol w:w="912"/>
        <w:gridCol w:w="983"/>
        <w:gridCol w:w="992"/>
        <w:gridCol w:w="992"/>
        <w:gridCol w:w="992"/>
      </w:tblGrid>
      <w:tr w:rsidR="00BE75AB" w:rsidRPr="00A77A06" w14:paraId="21D8F2F5" w14:textId="77777777" w:rsidTr="00585DB3">
        <w:trPr>
          <w:trHeight w:val="599"/>
        </w:trPr>
        <w:tc>
          <w:tcPr>
            <w:tcW w:w="967" w:type="dxa"/>
            <w:tcBorders>
              <w:top w:val="single" w:sz="4" w:space="0" w:color="auto"/>
              <w:left w:val="nil"/>
              <w:bottom w:val="single" w:sz="4" w:space="0" w:color="auto"/>
              <w:right w:val="nil"/>
            </w:tcBorders>
            <w:shd w:val="clear" w:color="auto" w:fill="auto"/>
            <w:vAlign w:val="center"/>
            <w:hideMark/>
          </w:tcPr>
          <w:p w14:paraId="6CF1ED21" w14:textId="77777777" w:rsidR="00A77A06" w:rsidRPr="00A77A06" w:rsidRDefault="00A77A06" w:rsidP="00A77A06">
            <w:pPr>
              <w:widowControl/>
              <w:rPr>
                <w:rFonts w:ascii="Arial" w:hAnsi="Arial" w:cs="Arial"/>
                <w:b/>
                <w:bCs/>
                <w:color w:val="000000"/>
                <w:sz w:val="16"/>
                <w:szCs w:val="16"/>
                <w:lang w:val="en-GB"/>
              </w:rPr>
            </w:pPr>
            <w:r w:rsidRPr="00A77A06">
              <w:rPr>
                <w:rFonts w:ascii="Arial" w:hAnsi="Arial" w:cs="Arial"/>
                <w:b/>
                <w:bCs/>
                <w:color w:val="000000"/>
                <w:sz w:val="16"/>
                <w:szCs w:val="16"/>
                <w:lang w:val="en-GB"/>
              </w:rPr>
              <w:t>Study</w:t>
            </w:r>
          </w:p>
        </w:tc>
        <w:tc>
          <w:tcPr>
            <w:tcW w:w="936" w:type="dxa"/>
            <w:tcBorders>
              <w:top w:val="single" w:sz="4" w:space="0" w:color="auto"/>
              <w:left w:val="nil"/>
              <w:bottom w:val="single" w:sz="4" w:space="0" w:color="auto"/>
              <w:right w:val="nil"/>
            </w:tcBorders>
            <w:shd w:val="clear" w:color="auto" w:fill="auto"/>
            <w:vAlign w:val="center"/>
            <w:hideMark/>
          </w:tcPr>
          <w:p w14:paraId="1822F3E4" w14:textId="2C51CBA0"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 xml:space="preserve">Target </w:t>
            </w:r>
            <w:r w:rsidR="00490B8F">
              <w:rPr>
                <w:rFonts w:ascii="Arial" w:hAnsi="Arial" w:cs="Arial"/>
                <w:b/>
                <w:bCs/>
                <w:color w:val="000000"/>
                <w:sz w:val="16"/>
                <w:szCs w:val="16"/>
                <w:lang w:val="en-GB"/>
              </w:rPr>
              <w:t>condition</w:t>
            </w:r>
          </w:p>
        </w:tc>
        <w:tc>
          <w:tcPr>
            <w:tcW w:w="1093" w:type="dxa"/>
            <w:tcBorders>
              <w:top w:val="single" w:sz="4" w:space="0" w:color="auto"/>
              <w:left w:val="nil"/>
              <w:bottom w:val="single" w:sz="4" w:space="0" w:color="auto"/>
              <w:right w:val="nil"/>
            </w:tcBorders>
            <w:shd w:val="clear" w:color="auto" w:fill="auto"/>
            <w:vAlign w:val="center"/>
            <w:hideMark/>
          </w:tcPr>
          <w:p w14:paraId="0FF330B2"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Taxometric focus</w:t>
            </w:r>
          </w:p>
        </w:tc>
        <w:tc>
          <w:tcPr>
            <w:tcW w:w="1050" w:type="dxa"/>
            <w:tcBorders>
              <w:top w:val="single" w:sz="4" w:space="0" w:color="auto"/>
              <w:left w:val="nil"/>
              <w:bottom w:val="single" w:sz="4" w:space="0" w:color="auto"/>
              <w:right w:val="nil"/>
            </w:tcBorders>
            <w:shd w:val="clear" w:color="auto" w:fill="auto"/>
            <w:vAlign w:val="center"/>
            <w:hideMark/>
          </w:tcPr>
          <w:p w14:paraId="7F9FDF59"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Population analyzed</w:t>
            </w:r>
          </w:p>
        </w:tc>
        <w:tc>
          <w:tcPr>
            <w:tcW w:w="1120" w:type="dxa"/>
            <w:tcBorders>
              <w:top w:val="single" w:sz="4" w:space="0" w:color="auto"/>
              <w:left w:val="nil"/>
              <w:bottom w:val="single" w:sz="4" w:space="0" w:color="auto"/>
              <w:right w:val="nil"/>
            </w:tcBorders>
            <w:shd w:val="clear" w:color="auto" w:fill="auto"/>
            <w:vAlign w:val="center"/>
            <w:hideMark/>
          </w:tcPr>
          <w:p w14:paraId="33484C7F"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Age</w:t>
            </w:r>
          </w:p>
        </w:tc>
        <w:tc>
          <w:tcPr>
            <w:tcW w:w="1071" w:type="dxa"/>
            <w:tcBorders>
              <w:top w:val="single" w:sz="4" w:space="0" w:color="auto"/>
              <w:left w:val="nil"/>
              <w:bottom w:val="single" w:sz="4" w:space="0" w:color="auto"/>
              <w:right w:val="nil"/>
            </w:tcBorders>
            <w:shd w:val="clear" w:color="auto" w:fill="auto"/>
            <w:vAlign w:val="center"/>
            <w:hideMark/>
          </w:tcPr>
          <w:p w14:paraId="77AB8504"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Taxonic conclusion</w:t>
            </w:r>
          </w:p>
        </w:tc>
        <w:tc>
          <w:tcPr>
            <w:tcW w:w="1203" w:type="dxa"/>
            <w:tcBorders>
              <w:top w:val="single" w:sz="4" w:space="0" w:color="auto"/>
              <w:left w:val="nil"/>
              <w:bottom w:val="single" w:sz="4" w:space="0" w:color="auto"/>
              <w:right w:val="nil"/>
            </w:tcBorders>
            <w:shd w:val="clear" w:color="auto" w:fill="auto"/>
            <w:vAlign w:val="center"/>
            <w:hideMark/>
          </w:tcPr>
          <w:p w14:paraId="0A1AE557" w14:textId="3FB48988"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Artificial admixture</w:t>
            </w:r>
            <w:r w:rsidR="002877A3">
              <w:rPr>
                <w:rFonts w:ascii="Arial" w:hAnsi="Arial" w:cs="Arial"/>
                <w:b/>
                <w:bCs/>
                <w:color w:val="000000"/>
                <w:sz w:val="16"/>
                <w:szCs w:val="16"/>
                <w:lang w:val="en-GB"/>
              </w:rPr>
              <w:t xml:space="preserve"> / compound sampl</w:t>
            </w:r>
            <w:r w:rsidR="00BE75AB">
              <w:rPr>
                <w:rFonts w:ascii="Arial" w:hAnsi="Arial" w:cs="Arial"/>
                <w:b/>
                <w:bCs/>
                <w:color w:val="000000"/>
                <w:sz w:val="16"/>
                <w:szCs w:val="16"/>
                <w:lang w:val="en-GB"/>
              </w:rPr>
              <w:t>ing</w:t>
            </w:r>
          </w:p>
        </w:tc>
        <w:tc>
          <w:tcPr>
            <w:tcW w:w="798" w:type="dxa"/>
            <w:tcBorders>
              <w:top w:val="single" w:sz="4" w:space="0" w:color="auto"/>
              <w:left w:val="nil"/>
              <w:bottom w:val="single" w:sz="4" w:space="0" w:color="auto"/>
              <w:right w:val="nil"/>
            </w:tcBorders>
            <w:shd w:val="clear" w:color="auto" w:fill="auto"/>
            <w:vAlign w:val="center"/>
            <w:hideMark/>
          </w:tcPr>
          <w:p w14:paraId="44DCE9E3"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Sample size</w:t>
            </w:r>
          </w:p>
        </w:tc>
        <w:tc>
          <w:tcPr>
            <w:tcW w:w="1123" w:type="dxa"/>
            <w:tcBorders>
              <w:top w:val="single" w:sz="4" w:space="0" w:color="auto"/>
              <w:left w:val="nil"/>
              <w:bottom w:val="single" w:sz="4" w:space="0" w:color="auto"/>
              <w:right w:val="nil"/>
            </w:tcBorders>
            <w:shd w:val="clear" w:color="auto" w:fill="auto"/>
            <w:vAlign w:val="center"/>
            <w:hideMark/>
          </w:tcPr>
          <w:p w14:paraId="6A05748A"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No. of taxometric analyses</w:t>
            </w:r>
          </w:p>
        </w:tc>
        <w:tc>
          <w:tcPr>
            <w:tcW w:w="1212" w:type="dxa"/>
            <w:tcBorders>
              <w:top w:val="single" w:sz="4" w:space="0" w:color="auto"/>
              <w:left w:val="nil"/>
              <w:bottom w:val="single" w:sz="4" w:space="0" w:color="auto"/>
              <w:right w:val="nil"/>
            </w:tcBorders>
            <w:shd w:val="clear" w:color="auto" w:fill="auto"/>
            <w:vAlign w:val="center"/>
            <w:hideMark/>
          </w:tcPr>
          <w:p w14:paraId="6E54D27C"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Taxometric methods</w:t>
            </w:r>
          </w:p>
        </w:tc>
        <w:tc>
          <w:tcPr>
            <w:tcW w:w="912" w:type="dxa"/>
            <w:tcBorders>
              <w:top w:val="single" w:sz="4" w:space="0" w:color="auto"/>
              <w:left w:val="nil"/>
              <w:bottom w:val="single" w:sz="4" w:space="0" w:color="auto"/>
              <w:right w:val="nil"/>
            </w:tcBorders>
            <w:shd w:val="clear" w:color="auto" w:fill="auto"/>
            <w:vAlign w:val="center"/>
            <w:hideMark/>
          </w:tcPr>
          <w:p w14:paraId="471BBEA8"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Interpret. based on</w:t>
            </w:r>
          </w:p>
        </w:tc>
        <w:tc>
          <w:tcPr>
            <w:tcW w:w="983" w:type="dxa"/>
            <w:tcBorders>
              <w:top w:val="single" w:sz="4" w:space="0" w:color="auto"/>
              <w:left w:val="nil"/>
              <w:bottom w:val="single" w:sz="4" w:space="0" w:color="auto"/>
              <w:right w:val="nil"/>
            </w:tcBorders>
            <w:shd w:val="clear" w:color="auto" w:fill="auto"/>
            <w:vAlign w:val="center"/>
            <w:hideMark/>
          </w:tcPr>
          <w:p w14:paraId="0E6E042F"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No. of indicators</w:t>
            </w:r>
          </w:p>
        </w:tc>
        <w:tc>
          <w:tcPr>
            <w:tcW w:w="992" w:type="dxa"/>
            <w:tcBorders>
              <w:top w:val="single" w:sz="4" w:space="0" w:color="auto"/>
              <w:left w:val="nil"/>
              <w:bottom w:val="single" w:sz="4" w:space="0" w:color="auto"/>
              <w:right w:val="nil"/>
            </w:tcBorders>
            <w:shd w:val="clear" w:color="auto" w:fill="auto"/>
            <w:vAlign w:val="center"/>
            <w:hideMark/>
          </w:tcPr>
          <w:p w14:paraId="2DA327B0"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Indicators skewn.</w:t>
            </w:r>
          </w:p>
        </w:tc>
        <w:tc>
          <w:tcPr>
            <w:tcW w:w="992" w:type="dxa"/>
            <w:tcBorders>
              <w:top w:val="single" w:sz="4" w:space="0" w:color="auto"/>
              <w:left w:val="nil"/>
              <w:bottom w:val="single" w:sz="4" w:space="0" w:color="auto"/>
              <w:right w:val="nil"/>
            </w:tcBorders>
            <w:shd w:val="clear" w:color="auto" w:fill="auto"/>
            <w:vAlign w:val="center"/>
            <w:hideMark/>
          </w:tcPr>
          <w:p w14:paraId="67364FA5"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Nuisance covar.</w:t>
            </w:r>
          </w:p>
        </w:tc>
        <w:tc>
          <w:tcPr>
            <w:tcW w:w="992" w:type="dxa"/>
            <w:tcBorders>
              <w:top w:val="single" w:sz="4" w:space="0" w:color="auto"/>
              <w:left w:val="nil"/>
              <w:bottom w:val="single" w:sz="4" w:space="0" w:color="auto"/>
              <w:right w:val="nil"/>
            </w:tcBorders>
            <w:shd w:val="clear" w:color="auto" w:fill="auto"/>
            <w:vAlign w:val="center"/>
            <w:hideMark/>
          </w:tcPr>
          <w:p w14:paraId="299A5C70" w14:textId="77777777" w:rsidR="00A77A06" w:rsidRPr="00A77A06" w:rsidRDefault="00A77A06" w:rsidP="00A77A06">
            <w:pPr>
              <w:widowControl/>
              <w:jc w:val="center"/>
              <w:rPr>
                <w:rFonts w:ascii="Arial" w:hAnsi="Arial" w:cs="Arial"/>
                <w:b/>
                <w:bCs/>
                <w:color w:val="000000"/>
                <w:sz w:val="16"/>
                <w:szCs w:val="16"/>
                <w:lang w:val="en-GB"/>
              </w:rPr>
            </w:pPr>
            <w:r w:rsidRPr="00A77A06">
              <w:rPr>
                <w:rFonts w:ascii="Arial" w:hAnsi="Arial" w:cs="Arial"/>
                <w:b/>
                <w:bCs/>
                <w:color w:val="000000"/>
                <w:sz w:val="16"/>
                <w:szCs w:val="16"/>
                <w:lang w:val="en-GB"/>
              </w:rPr>
              <w:t>Indicators validity</w:t>
            </w:r>
          </w:p>
        </w:tc>
      </w:tr>
      <w:tr w:rsidR="00585DB3" w:rsidRPr="00A77A06" w14:paraId="384BDB04" w14:textId="77777777" w:rsidTr="00585DB3">
        <w:trPr>
          <w:trHeight w:val="570"/>
        </w:trPr>
        <w:tc>
          <w:tcPr>
            <w:tcW w:w="967" w:type="dxa"/>
            <w:tcBorders>
              <w:top w:val="nil"/>
              <w:left w:val="nil"/>
              <w:bottom w:val="single" w:sz="4" w:space="0" w:color="FFFFFF"/>
              <w:right w:val="single" w:sz="4" w:space="0" w:color="FFFFFF"/>
            </w:tcBorders>
            <w:shd w:val="clear" w:color="000000" w:fill="FFFFFF"/>
            <w:vAlign w:val="center"/>
            <w:hideMark/>
          </w:tcPr>
          <w:p w14:paraId="1AED524F"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Marcus et al. (2012)</w:t>
            </w:r>
          </w:p>
        </w:tc>
        <w:tc>
          <w:tcPr>
            <w:tcW w:w="936" w:type="dxa"/>
            <w:tcBorders>
              <w:top w:val="nil"/>
              <w:left w:val="nil"/>
              <w:bottom w:val="single" w:sz="4" w:space="0" w:color="FFFFFF"/>
              <w:right w:val="single" w:sz="4" w:space="0" w:color="FFFFFF"/>
            </w:tcBorders>
            <w:shd w:val="clear" w:color="000000" w:fill="FFFFFF"/>
            <w:vAlign w:val="center"/>
            <w:hideMark/>
          </w:tcPr>
          <w:p w14:paraId="1D7B681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093" w:type="dxa"/>
            <w:tcBorders>
              <w:top w:val="nil"/>
              <w:left w:val="nil"/>
              <w:bottom w:val="single" w:sz="4" w:space="0" w:color="FFFFFF"/>
              <w:right w:val="single" w:sz="4" w:space="0" w:color="FFFFFF"/>
            </w:tcBorders>
            <w:shd w:val="clear" w:color="000000" w:fill="FFFFFF"/>
            <w:vAlign w:val="center"/>
            <w:hideMark/>
          </w:tcPr>
          <w:p w14:paraId="2255B19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single" w:sz="4" w:space="0" w:color="FFFFFF"/>
              <w:right w:val="single" w:sz="4" w:space="0" w:color="FFFFFF"/>
            </w:tcBorders>
            <w:shd w:val="clear" w:color="000000" w:fill="FFFFFF"/>
            <w:vAlign w:val="center"/>
            <w:hideMark/>
          </w:tcPr>
          <w:p w14:paraId="4C8BE41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120" w:type="dxa"/>
            <w:tcBorders>
              <w:top w:val="nil"/>
              <w:left w:val="nil"/>
              <w:bottom w:val="single" w:sz="4" w:space="0" w:color="FFFFFF"/>
              <w:right w:val="single" w:sz="4" w:space="0" w:color="FFFFFF"/>
            </w:tcBorders>
            <w:shd w:val="clear" w:color="000000" w:fill="FFFFFF"/>
            <w:vAlign w:val="center"/>
            <w:hideMark/>
          </w:tcPr>
          <w:p w14:paraId="2DBB5E6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adults</w:t>
            </w:r>
          </w:p>
        </w:tc>
        <w:tc>
          <w:tcPr>
            <w:tcW w:w="1071" w:type="dxa"/>
            <w:tcBorders>
              <w:top w:val="nil"/>
              <w:left w:val="nil"/>
              <w:bottom w:val="single" w:sz="4" w:space="0" w:color="FFFFFF"/>
              <w:right w:val="single" w:sz="4" w:space="0" w:color="FFFFFF"/>
            </w:tcBorders>
            <w:shd w:val="clear" w:color="000000" w:fill="FFFFFF"/>
            <w:vAlign w:val="center"/>
            <w:hideMark/>
          </w:tcPr>
          <w:p w14:paraId="0821EA9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1203" w:type="dxa"/>
            <w:tcBorders>
              <w:top w:val="nil"/>
              <w:left w:val="nil"/>
              <w:bottom w:val="single" w:sz="4" w:space="0" w:color="FFFFFF"/>
              <w:right w:val="single" w:sz="4" w:space="0" w:color="FFFFFF"/>
            </w:tcBorders>
            <w:shd w:val="clear" w:color="000000" w:fill="FFFFFF"/>
            <w:vAlign w:val="center"/>
            <w:hideMark/>
          </w:tcPr>
          <w:p w14:paraId="183173C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798" w:type="dxa"/>
            <w:tcBorders>
              <w:top w:val="nil"/>
              <w:left w:val="nil"/>
              <w:bottom w:val="single" w:sz="4" w:space="0" w:color="FFFFFF"/>
              <w:right w:val="single" w:sz="4" w:space="0" w:color="FFFFFF"/>
            </w:tcBorders>
            <w:shd w:val="clear" w:color="000000" w:fill="FFFFFF"/>
            <w:vAlign w:val="center"/>
            <w:hideMark/>
          </w:tcPr>
          <w:p w14:paraId="3C3379B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432 to 600</w:t>
            </w:r>
          </w:p>
        </w:tc>
        <w:tc>
          <w:tcPr>
            <w:tcW w:w="1123" w:type="dxa"/>
            <w:tcBorders>
              <w:top w:val="nil"/>
              <w:left w:val="nil"/>
              <w:bottom w:val="single" w:sz="4" w:space="0" w:color="FFFFFF"/>
              <w:right w:val="single" w:sz="4" w:space="0" w:color="FFFFFF"/>
            </w:tcBorders>
            <w:shd w:val="clear" w:color="000000" w:fill="FFFFFF"/>
            <w:vAlign w:val="center"/>
            <w:hideMark/>
          </w:tcPr>
          <w:p w14:paraId="1DD1A5A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w:t>
            </w:r>
          </w:p>
        </w:tc>
        <w:tc>
          <w:tcPr>
            <w:tcW w:w="1212" w:type="dxa"/>
            <w:tcBorders>
              <w:top w:val="nil"/>
              <w:left w:val="nil"/>
              <w:bottom w:val="single" w:sz="4" w:space="0" w:color="FFFFFF"/>
              <w:right w:val="single" w:sz="4" w:space="0" w:color="FFFFFF"/>
            </w:tcBorders>
            <w:shd w:val="clear" w:color="000000" w:fill="FFFFFF"/>
            <w:vAlign w:val="center"/>
            <w:hideMark/>
          </w:tcPr>
          <w:p w14:paraId="0ECC72F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nil"/>
              <w:left w:val="nil"/>
              <w:bottom w:val="single" w:sz="4" w:space="0" w:color="FFFFFF"/>
              <w:right w:val="single" w:sz="4" w:space="0" w:color="FFFFFF"/>
            </w:tcBorders>
            <w:shd w:val="clear" w:color="000000" w:fill="FFFFFF"/>
            <w:vAlign w:val="center"/>
            <w:hideMark/>
          </w:tcPr>
          <w:p w14:paraId="54629D1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nil"/>
              <w:left w:val="nil"/>
              <w:bottom w:val="single" w:sz="4" w:space="0" w:color="FFFFFF"/>
              <w:right w:val="single" w:sz="4" w:space="0" w:color="FFFFFF"/>
            </w:tcBorders>
            <w:shd w:val="clear" w:color="000000" w:fill="FFFFFF"/>
            <w:vAlign w:val="center"/>
            <w:hideMark/>
          </w:tcPr>
          <w:p w14:paraId="663203E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 to 9</w:t>
            </w:r>
          </w:p>
        </w:tc>
        <w:tc>
          <w:tcPr>
            <w:tcW w:w="992" w:type="dxa"/>
            <w:tcBorders>
              <w:top w:val="nil"/>
              <w:left w:val="nil"/>
              <w:bottom w:val="single" w:sz="4" w:space="0" w:color="FFFFFF"/>
              <w:right w:val="single" w:sz="4" w:space="0" w:color="FFFFFF"/>
            </w:tcBorders>
            <w:shd w:val="clear" w:color="000000" w:fill="FFFFFF"/>
            <w:vAlign w:val="center"/>
            <w:hideMark/>
          </w:tcPr>
          <w:p w14:paraId="27CD834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single" w:sz="4" w:space="0" w:color="FFFFFF"/>
            </w:tcBorders>
            <w:shd w:val="clear" w:color="000000" w:fill="FFFFFF"/>
            <w:vAlign w:val="center"/>
            <w:hideMark/>
          </w:tcPr>
          <w:p w14:paraId="1230F429"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FFFFF"/>
            <w:vAlign w:val="center"/>
            <w:hideMark/>
          </w:tcPr>
          <w:p w14:paraId="7B138E6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2.04 to 3.26</w:t>
            </w:r>
          </w:p>
        </w:tc>
      </w:tr>
      <w:tr w:rsidR="00585DB3" w:rsidRPr="00A77A06" w14:paraId="1082E8BE" w14:textId="77777777" w:rsidTr="00585DB3">
        <w:trPr>
          <w:trHeight w:val="380"/>
        </w:trPr>
        <w:tc>
          <w:tcPr>
            <w:tcW w:w="967" w:type="dxa"/>
            <w:tcBorders>
              <w:top w:val="nil"/>
              <w:left w:val="nil"/>
              <w:bottom w:val="single" w:sz="4" w:space="0" w:color="FFFFFF"/>
              <w:right w:val="single" w:sz="4" w:space="0" w:color="FFFFFF"/>
            </w:tcBorders>
            <w:shd w:val="clear" w:color="000000" w:fill="F2F2F2"/>
            <w:vAlign w:val="center"/>
            <w:hideMark/>
          </w:tcPr>
          <w:p w14:paraId="511E0630"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Haslam et al. (2006)</w:t>
            </w:r>
          </w:p>
        </w:tc>
        <w:tc>
          <w:tcPr>
            <w:tcW w:w="936" w:type="dxa"/>
            <w:tcBorders>
              <w:top w:val="nil"/>
              <w:left w:val="nil"/>
              <w:bottom w:val="single" w:sz="4" w:space="0" w:color="FFFFFF"/>
              <w:right w:val="single" w:sz="4" w:space="0" w:color="FFFFFF"/>
            </w:tcBorders>
            <w:shd w:val="clear" w:color="000000" w:fill="F2F2F2"/>
            <w:vAlign w:val="center"/>
            <w:hideMark/>
          </w:tcPr>
          <w:p w14:paraId="07E04232"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093" w:type="dxa"/>
            <w:tcBorders>
              <w:top w:val="nil"/>
              <w:left w:val="nil"/>
              <w:bottom w:val="single" w:sz="4" w:space="0" w:color="FFFFFF"/>
              <w:right w:val="single" w:sz="4" w:space="0" w:color="FFFFFF"/>
            </w:tcBorders>
            <w:shd w:val="clear" w:color="000000" w:fill="F2F2F2"/>
            <w:vAlign w:val="center"/>
            <w:hideMark/>
          </w:tcPr>
          <w:p w14:paraId="41583B1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single" w:sz="4" w:space="0" w:color="FFFFFF"/>
              <w:right w:val="single" w:sz="4" w:space="0" w:color="FFFFFF"/>
            </w:tcBorders>
            <w:shd w:val="clear" w:color="000000" w:fill="F2F2F2"/>
            <w:vAlign w:val="center"/>
            <w:hideMark/>
          </w:tcPr>
          <w:p w14:paraId="70DF299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120" w:type="dxa"/>
            <w:tcBorders>
              <w:top w:val="nil"/>
              <w:left w:val="nil"/>
              <w:bottom w:val="single" w:sz="4" w:space="0" w:color="FFFFFF"/>
              <w:right w:val="single" w:sz="4" w:space="0" w:color="FFFFFF"/>
            </w:tcBorders>
            <w:shd w:val="clear" w:color="000000" w:fill="F2F2F2"/>
            <w:vAlign w:val="center"/>
            <w:hideMark/>
          </w:tcPr>
          <w:p w14:paraId="3C4C1A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nil"/>
              <w:left w:val="nil"/>
              <w:bottom w:val="single" w:sz="4" w:space="0" w:color="FFFFFF"/>
              <w:right w:val="single" w:sz="4" w:space="0" w:color="FFFFFF"/>
            </w:tcBorders>
            <w:shd w:val="clear" w:color="000000" w:fill="F2F2F2"/>
            <w:vAlign w:val="center"/>
            <w:hideMark/>
          </w:tcPr>
          <w:p w14:paraId="4E92BFA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1203" w:type="dxa"/>
            <w:tcBorders>
              <w:top w:val="nil"/>
              <w:left w:val="nil"/>
              <w:bottom w:val="single" w:sz="4" w:space="0" w:color="FFFFFF"/>
              <w:right w:val="single" w:sz="4" w:space="0" w:color="FFFFFF"/>
            </w:tcBorders>
            <w:shd w:val="clear" w:color="000000" w:fill="F2F2F2"/>
            <w:vAlign w:val="center"/>
            <w:hideMark/>
          </w:tcPr>
          <w:p w14:paraId="6ECF197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798" w:type="dxa"/>
            <w:tcBorders>
              <w:top w:val="nil"/>
              <w:left w:val="nil"/>
              <w:bottom w:val="single" w:sz="4" w:space="0" w:color="FFFFFF"/>
              <w:right w:val="single" w:sz="4" w:space="0" w:color="FFFFFF"/>
            </w:tcBorders>
            <w:shd w:val="clear" w:color="000000" w:fill="F2F2F2"/>
            <w:vAlign w:val="center"/>
            <w:hideMark/>
          </w:tcPr>
          <w:p w14:paraId="1A110C7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1222 to 1774</w:t>
            </w:r>
          </w:p>
        </w:tc>
        <w:tc>
          <w:tcPr>
            <w:tcW w:w="1123" w:type="dxa"/>
            <w:tcBorders>
              <w:top w:val="nil"/>
              <w:left w:val="nil"/>
              <w:bottom w:val="single" w:sz="4" w:space="0" w:color="FFFFFF"/>
              <w:right w:val="single" w:sz="4" w:space="0" w:color="FFFFFF"/>
            </w:tcBorders>
            <w:shd w:val="clear" w:color="000000" w:fill="F2F2F2"/>
            <w:vAlign w:val="center"/>
            <w:hideMark/>
          </w:tcPr>
          <w:p w14:paraId="1B177B5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1212" w:type="dxa"/>
            <w:tcBorders>
              <w:top w:val="nil"/>
              <w:left w:val="nil"/>
              <w:bottom w:val="single" w:sz="4" w:space="0" w:color="FFFFFF"/>
              <w:right w:val="single" w:sz="4" w:space="0" w:color="FFFFFF"/>
            </w:tcBorders>
            <w:shd w:val="clear" w:color="000000" w:fill="F2F2F2"/>
            <w:vAlign w:val="center"/>
            <w:hideMark/>
          </w:tcPr>
          <w:p w14:paraId="6EE43B4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MAXEIG; MAMBAC</w:t>
            </w:r>
          </w:p>
        </w:tc>
        <w:tc>
          <w:tcPr>
            <w:tcW w:w="912" w:type="dxa"/>
            <w:tcBorders>
              <w:top w:val="nil"/>
              <w:left w:val="nil"/>
              <w:bottom w:val="single" w:sz="4" w:space="0" w:color="FFFFFF"/>
              <w:right w:val="single" w:sz="4" w:space="0" w:color="FFFFFF"/>
            </w:tcBorders>
            <w:shd w:val="clear" w:color="000000" w:fill="F2F2F2"/>
            <w:vAlign w:val="center"/>
            <w:hideMark/>
          </w:tcPr>
          <w:p w14:paraId="44C22DB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Fit</w:t>
            </w:r>
            <w:r w:rsidRPr="00F233AB">
              <w:rPr>
                <w:rFonts w:ascii="Arial" w:hAnsi="Arial" w:cs="Arial"/>
                <w:color w:val="000000"/>
                <w:sz w:val="16"/>
                <w:szCs w:val="16"/>
                <w:vertAlign w:val="subscript"/>
                <w:lang w:val="en-GB"/>
              </w:rPr>
              <w:t>d</w:t>
            </w:r>
          </w:p>
        </w:tc>
        <w:tc>
          <w:tcPr>
            <w:tcW w:w="983" w:type="dxa"/>
            <w:tcBorders>
              <w:top w:val="nil"/>
              <w:left w:val="nil"/>
              <w:bottom w:val="single" w:sz="4" w:space="0" w:color="FFFFFF"/>
              <w:right w:val="single" w:sz="4" w:space="0" w:color="FFFFFF"/>
            </w:tcBorders>
            <w:shd w:val="clear" w:color="000000" w:fill="F2F2F2"/>
            <w:vAlign w:val="center"/>
            <w:hideMark/>
          </w:tcPr>
          <w:p w14:paraId="68609E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w:t>
            </w:r>
          </w:p>
        </w:tc>
        <w:tc>
          <w:tcPr>
            <w:tcW w:w="992" w:type="dxa"/>
            <w:tcBorders>
              <w:top w:val="nil"/>
              <w:left w:val="nil"/>
              <w:bottom w:val="single" w:sz="4" w:space="0" w:color="FFFFFF"/>
              <w:right w:val="single" w:sz="4" w:space="0" w:color="FFFFFF"/>
            </w:tcBorders>
            <w:shd w:val="clear" w:color="000000" w:fill="F2F2F2"/>
            <w:vAlign w:val="center"/>
            <w:hideMark/>
          </w:tcPr>
          <w:p w14:paraId="5D9EE08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0.45 to 1.49</w:t>
            </w:r>
          </w:p>
        </w:tc>
        <w:tc>
          <w:tcPr>
            <w:tcW w:w="992" w:type="dxa"/>
            <w:tcBorders>
              <w:top w:val="nil"/>
              <w:left w:val="nil"/>
              <w:bottom w:val="single" w:sz="4" w:space="0" w:color="FFFFFF"/>
              <w:right w:val="single" w:sz="4" w:space="0" w:color="FFFFFF"/>
            </w:tcBorders>
            <w:shd w:val="clear" w:color="000000" w:fill="F2F2F2"/>
            <w:vAlign w:val="center"/>
            <w:hideMark/>
          </w:tcPr>
          <w:p w14:paraId="3318900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2F2F2"/>
            <w:vAlign w:val="center"/>
            <w:hideMark/>
          </w:tcPr>
          <w:p w14:paraId="505964F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2.47 to 3.29</w:t>
            </w:r>
          </w:p>
        </w:tc>
      </w:tr>
      <w:tr w:rsidR="00585DB3" w:rsidRPr="00A77A06" w14:paraId="5D89AAB5" w14:textId="77777777" w:rsidTr="00585DB3">
        <w:trPr>
          <w:trHeight w:val="380"/>
        </w:trPr>
        <w:tc>
          <w:tcPr>
            <w:tcW w:w="967" w:type="dxa"/>
            <w:tcBorders>
              <w:top w:val="nil"/>
              <w:left w:val="nil"/>
              <w:bottom w:val="single" w:sz="4" w:space="0" w:color="FFFFFF"/>
              <w:right w:val="single" w:sz="4" w:space="0" w:color="FFFFFF"/>
            </w:tcBorders>
            <w:shd w:val="clear" w:color="000000" w:fill="FFFFFF"/>
            <w:vAlign w:val="center"/>
            <w:hideMark/>
          </w:tcPr>
          <w:p w14:paraId="09277D6B"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Frazier et al. (2007)</w:t>
            </w:r>
          </w:p>
        </w:tc>
        <w:tc>
          <w:tcPr>
            <w:tcW w:w="936" w:type="dxa"/>
            <w:tcBorders>
              <w:top w:val="nil"/>
              <w:left w:val="nil"/>
              <w:bottom w:val="single" w:sz="4" w:space="0" w:color="FFFFFF"/>
              <w:right w:val="single" w:sz="4" w:space="0" w:color="FFFFFF"/>
            </w:tcBorders>
            <w:shd w:val="clear" w:color="000000" w:fill="FFFFFF"/>
            <w:vAlign w:val="center"/>
            <w:hideMark/>
          </w:tcPr>
          <w:p w14:paraId="4B0334C8"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093" w:type="dxa"/>
            <w:tcBorders>
              <w:top w:val="nil"/>
              <w:left w:val="nil"/>
              <w:bottom w:val="single" w:sz="4" w:space="0" w:color="FFFFFF"/>
              <w:right w:val="single" w:sz="4" w:space="0" w:color="FFFFFF"/>
            </w:tcBorders>
            <w:shd w:val="clear" w:color="000000" w:fill="FFFFFF"/>
            <w:vAlign w:val="center"/>
            <w:hideMark/>
          </w:tcPr>
          <w:p w14:paraId="550CBE5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single" w:sz="4" w:space="0" w:color="FFFFFF"/>
              <w:right w:val="single" w:sz="4" w:space="0" w:color="FFFFFF"/>
            </w:tcBorders>
            <w:shd w:val="clear" w:color="000000" w:fill="FFFFFF"/>
            <w:vAlign w:val="center"/>
            <w:hideMark/>
          </w:tcPr>
          <w:p w14:paraId="64EFCA3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 referrals</w:t>
            </w:r>
          </w:p>
        </w:tc>
        <w:tc>
          <w:tcPr>
            <w:tcW w:w="1120" w:type="dxa"/>
            <w:tcBorders>
              <w:top w:val="nil"/>
              <w:left w:val="nil"/>
              <w:bottom w:val="single" w:sz="4" w:space="0" w:color="FFFFFF"/>
              <w:right w:val="single" w:sz="4" w:space="0" w:color="FFFFFF"/>
            </w:tcBorders>
            <w:shd w:val="clear" w:color="000000" w:fill="FFFFFF"/>
            <w:vAlign w:val="center"/>
            <w:hideMark/>
          </w:tcPr>
          <w:p w14:paraId="5E2E081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 to adults</w:t>
            </w:r>
          </w:p>
        </w:tc>
        <w:tc>
          <w:tcPr>
            <w:tcW w:w="1071" w:type="dxa"/>
            <w:tcBorders>
              <w:top w:val="nil"/>
              <w:left w:val="nil"/>
              <w:bottom w:val="single" w:sz="4" w:space="0" w:color="FFFFFF"/>
              <w:right w:val="single" w:sz="4" w:space="0" w:color="FFFFFF"/>
            </w:tcBorders>
            <w:shd w:val="clear" w:color="000000" w:fill="FFFFFF"/>
            <w:vAlign w:val="center"/>
            <w:hideMark/>
          </w:tcPr>
          <w:p w14:paraId="26F9E95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1203" w:type="dxa"/>
            <w:tcBorders>
              <w:top w:val="nil"/>
              <w:left w:val="nil"/>
              <w:bottom w:val="single" w:sz="4" w:space="0" w:color="FFFFFF"/>
              <w:right w:val="single" w:sz="4" w:space="0" w:color="FFFFFF"/>
            </w:tcBorders>
            <w:shd w:val="clear" w:color="000000" w:fill="FFFFFF"/>
            <w:vAlign w:val="center"/>
            <w:hideMark/>
          </w:tcPr>
          <w:p w14:paraId="5C7ABB20" w14:textId="0BDB8C46" w:rsidR="00A77A06" w:rsidRPr="00A77A06" w:rsidRDefault="00836D72" w:rsidP="00A77A06">
            <w:pPr>
              <w:widowControl/>
              <w:jc w:val="center"/>
              <w:rPr>
                <w:rFonts w:ascii="Arial" w:hAnsi="Arial" w:cs="Arial"/>
                <w:color w:val="000000"/>
                <w:sz w:val="16"/>
                <w:szCs w:val="16"/>
                <w:lang w:val="en-GB"/>
              </w:rPr>
            </w:pPr>
            <w:r>
              <w:rPr>
                <w:rFonts w:ascii="Arial" w:hAnsi="Arial" w:cs="Arial"/>
                <w:color w:val="000000"/>
                <w:sz w:val="16"/>
                <w:szCs w:val="16"/>
                <w:lang w:val="en-GB"/>
              </w:rPr>
              <w:t>n</w:t>
            </w:r>
            <w:r w:rsidR="00A77A06" w:rsidRPr="00A77A06">
              <w:rPr>
                <w:rFonts w:ascii="Arial" w:hAnsi="Arial" w:cs="Arial"/>
                <w:color w:val="000000"/>
                <w:sz w:val="16"/>
                <w:szCs w:val="16"/>
                <w:lang w:val="en-GB"/>
              </w:rPr>
              <w:t>o</w:t>
            </w:r>
          </w:p>
        </w:tc>
        <w:tc>
          <w:tcPr>
            <w:tcW w:w="798" w:type="dxa"/>
            <w:tcBorders>
              <w:top w:val="nil"/>
              <w:left w:val="nil"/>
              <w:bottom w:val="single" w:sz="4" w:space="0" w:color="FFFFFF"/>
              <w:right w:val="single" w:sz="4" w:space="0" w:color="FFFFFF"/>
            </w:tcBorders>
            <w:shd w:val="clear" w:color="000000" w:fill="FFFFFF"/>
            <w:vAlign w:val="center"/>
            <w:hideMark/>
          </w:tcPr>
          <w:p w14:paraId="6B699DC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191 to 394</w:t>
            </w:r>
          </w:p>
        </w:tc>
        <w:tc>
          <w:tcPr>
            <w:tcW w:w="1123" w:type="dxa"/>
            <w:tcBorders>
              <w:top w:val="nil"/>
              <w:left w:val="nil"/>
              <w:bottom w:val="single" w:sz="4" w:space="0" w:color="FFFFFF"/>
              <w:right w:val="single" w:sz="4" w:space="0" w:color="FFFFFF"/>
            </w:tcBorders>
            <w:shd w:val="clear" w:color="000000" w:fill="FFFFFF"/>
            <w:vAlign w:val="center"/>
            <w:hideMark/>
          </w:tcPr>
          <w:p w14:paraId="4DD5DAD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22</w:t>
            </w:r>
          </w:p>
        </w:tc>
        <w:tc>
          <w:tcPr>
            <w:tcW w:w="1212" w:type="dxa"/>
            <w:tcBorders>
              <w:top w:val="nil"/>
              <w:left w:val="nil"/>
              <w:bottom w:val="single" w:sz="4" w:space="0" w:color="FFFFFF"/>
              <w:right w:val="single" w:sz="4" w:space="0" w:color="FFFFFF"/>
            </w:tcBorders>
            <w:shd w:val="clear" w:color="000000" w:fill="FFFFFF"/>
            <w:vAlign w:val="center"/>
            <w:hideMark/>
          </w:tcPr>
          <w:p w14:paraId="203A43E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nil"/>
              <w:left w:val="nil"/>
              <w:bottom w:val="nil"/>
              <w:right w:val="nil"/>
            </w:tcBorders>
            <w:shd w:val="clear" w:color="000000" w:fill="FFFFFF"/>
            <w:vAlign w:val="center"/>
            <w:hideMark/>
          </w:tcPr>
          <w:p w14:paraId="764BB2C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Fit</w:t>
            </w:r>
            <w:r w:rsidRPr="00F233AB">
              <w:rPr>
                <w:rFonts w:ascii="Arial" w:hAnsi="Arial" w:cs="Arial"/>
                <w:color w:val="000000"/>
                <w:sz w:val="16"/>
                <w:szCs w:val="16"/>
                <w:vertAlign w:val="subscript"/>
                <w:lang w:val="en-GB"/>
              </w:rPr>
              <w:t>d</w:t>
            </w:r>
          </w:p>
        </w:tc>
        <w:tc>
          <w:tcPr>
            <w:tcW w:w="983" w:type="dxa"/>
            <w:tcBorders>
              <w:top w:val="nil"/>
              <w:left w:val="single" w:sz="4" w:space="0" w:color="FFFFFF"/>
              <w:bottom w:val="single" w:sz="4" w:space="0" w:color="FFFFFF"/>
              <w:right w:val="single" w:sz="4" w:space="0" w:color="FFFFFF"/>
            </w:tcBorders>
            <w:shd w:val="clear" w:color="000000" w:fill="FFFFFF"/>
            <w:vAlign w:val="center"/>
            <w:hideMark/>
          </w:tcPr>
          <w:p w14:paraId="51178A6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9</w:t>
            </w:r>
          </w:p>
        </w:tc>
        <w:tc>
          <w:tcPr>
            <w:tcW w:w="992" w:type="dxa"/>
            <w:tcBorders>
              <w:top w:val="single" w:sz="4" w:space="0" w:color="F6F8F9"/>
              <w:left w:val="single" w:sz="4" w:space="0" w:color="F6F8F9"/>
              <w:bottom w:val="single" w:sz="4" w:space="0" w:color="F6F8F9"/>
              <w:right w:val="single" w:sz="4" w:space="0" w:color="F6F8F9"/>
            </w:tcBorders>
            <w:shd w:val="clear" w:color="000000" w:fill="FFFFFF"/>
            <w:vAlign w:val="center"/>
            <w:hideMark/>
          </w:tcPr>
          <w:p w14:paraId="0F24D40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-1.09 to 0.47</w:t>
            </w:r>
          </w:p>
        </w:tc>
        <w:tc>
          <w:tcPr>
            <w:tcW w:w="992" w:type="dxa"/>
            <w:tcBorders>
              <w:top w:val="nil"/>
              <w:left w:val="single" w:sz="4" w:space="0" w:color="FFFFFF"/>
              <w:bottom w:val="single" w:sz="4" w:space="0" w:color="FFFFFF"/>
              <w:right w:val="single" w:sz="4" w:space="0" w:color="FFFFFF"/>
            </w:tcBorders>
            <w:shd w:val="clear" w:color="000000" w:fill="FFFFFF"/>
            <w:vAlign w:val="center"/>
            <w:hideMark/>
          </w:tcPr>
          <w:p w14:paraId="12E7D9A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FFFFF"/>
            <w:vAlign w:val="center"/>
            <w:hideMark/>
          </w:tcPr>
          <w:p w14:paraId="6394C65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1.03 to 3.59</w:t>
            </w:r>
          </w:p>
        </w:tc>
      </w:tr>
      <w:tr w:rsidR="00585DB3" w:rsidRPr="00A77A06" w14:paraId="0F041AA9" w14:textId="77777777" w:rsidTr="00585DB3">
        <w:trPr>
          <w:trHeight w:val="380"/>
        </w:trPr>
        <w:tc>
          <w:tcPr>
            <w:tcW w:w="967" w:type="dxa"/>
            <w:tcBorders>
              <w:top w:val="nil"/>
              <w:left w:val="nil"/>
              <w:bottom w:val="single" w:sz="4" w:space="0" w:color="FFFFFF"/>
              <w:right w:val="single" w:sz="4" w:space="0" w:color="FFFFFF"/>
            </w:tcBorders>
            <w:shd w:val="clear" w:color="000000" w:fill="F2F2F2"/>
            <w:vAlign w:val="center"/>
            <w:hideMark/>
          </w:tcPr>
          <w:p w14:paraId="0566B6F4"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Marcus and Barry (2011)</w:t>
            </w:r>
          </w:p>
        </w:tc>
        <w:tc>
          <w:tcPr>
            <w:tcW w:w="936" w:type="dxa"/>
            <w:tcBorders>
              <w:top w:val="nil"/>
              <w:left w:val="nil"/>
              <w:bottom w:val="single" w:sz="4" w:space="0" w:color="FFFFFF"/>
              <w:right w:val="single" w:sz="4" w:space="0" w:color="FFFFFF"/>
            </w:tcBorders>
            <w:shd w:val="clear" w:color="000000" w:fill="F2F2F2"/>
            <w:vAlign w:val="center"/>
            <w:hideMark/>
          </w:tcPr>
          <w:p w14:paraId="50854FE8"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093" w:type="dxa"/>
            <w:tcBorders>
              <w:top w:val="nil"/>
              <w:left w:val="nil"/>
              <w:bottom w:val="single" w:sz="4" w:space="0" w:color="FFFFFF"/>
              <w:right w:val="single" w:sz="4" w:space="0" w:color="FFFFFF"/>
            </w:tcBorders>
            <w:shd w:val="clear" w:color="000000" w:fill="F2F2F2"/>
            <w:vAlign w:val="center"/>
            <w:hideMark/>
          </w:tcPr>
          <w:p w14:paraId="25576A0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single" w:sz="4" w:space="0" w:color="FFFFFF"/>
              <w:right w:val="single" w:sz="4" w:space="0" w:color="FFFFFF"/>
            </w:tcBorders>
            <w:shd w:val="clear" w:color="000000" w:fill="F2F2F2"/>
            <w:vAlign w:val="center"/>
            <w:hideMark/>
          </w:tcPr>
          <w:p w14:paraId="258A390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120" w:type="dxa"/>
            <w:tcBorders>
              <w:top w:val="nil"/>
              <w:left w:val="nil"/>
              <w:bottom w:val="nil"/>
              <w:right w:val="nil"/>
            </w:tcBorders>
            <w:shd w:val="clear" w:color="000000" w:fill="F2F2F2"/>
            <w:vAlign w:val="center"/>
            <w:hideMark/>
          </w:tcPr>
          <w:p w14:paraId="42B974E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nil"/>
              <w:left w:val="single" w:sz="4" w:space="0" w:color="FFFFFF"/>
              <w:bottom w:val="single" w:sz="4" w:space="0" w:color="FFFFFF"/>
              <w:right w:val="single" w:sz="4" w:space="0" w:color="FFFFFF"/>
            </w:tcBorders>
            <w:shd w:val="clear" w:color="000000" w:fill="F2F2F2"/>
            <w:vAlign w:val="center"/>
            <w:hideMark/>
          </w:tcPr>
          <w:p w14:paraId="5FC70C8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1203"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72385083" w14:textId="3DD4EDD1" w:rsidR="00A77A06" w:rsidRPr="00A77A06" w:rsidRDefault="00836D72" w:rsidP="00A77A06">
            <w:pPr>
              <w:widowControl/>
              <w:jc w:val="center"/>
              <w:rPr>
                <w:rFonts w:ascii="Arial" w:hAnsi="Arial" w:cs="Arial"/>
                <w:color w:val="000000"/>
                <w:sz w:val="16"/>
                <w:szCs w:val="16"/>
                <w:lang w:val="en-GB"/>
              </w:rPr>
            </w:pPr>
            <w:r>
              <w:rPr>
                <w:rFonts w:ascii="Arial" w:hAnsi="Arial" w:cs="Arial"/>
                <w:color w:val="000000"/>
                <w:sz w:val="16"/>
                <w:szCs w:val="16"/>
                <w:lang w:val="en-GB"/>
              </w:rPr>
              <w:t>n</w:t>
            </w:r>
            <w:r w:rsidR="00A77A06" w:rsidRPr="00A77A06">
              <w:rPr>
                <w:rFonts w:ascii="Arial" w:hAnsi="Arial" w:cs="Arial"/>
                <w:color w:val="000000"/>
                <w:sz w:val="16"/>
                <w:szCs w:val="16"/>
                <w:lang w:val="en-GB"/>
              </w:rPr>
              <w:t>o</w:t>
            </w:r>
          </w:p>
        </w:tc>
        <w:tc>
          <w:tcPr>
            <w:tcW w:w="798" w:type="dxa"/>
            <w:tcBorders>
              <w:top w:val="nil"/>
              <w:left w:val="single" w:sz="4" w:space="0" w:color="FFFFFF"/>
              <w:bottom w:val="single" w:sz="4" w:space="0" w:color="FFFFFF"/>
              <w:right w:val="single" w:sz="4" w:space="0" w:color="FFFFFF"/>
            </w:tcBorders>
            <w:shd w:val="clear" w:color="000000" w:fill="F2F2F2"/>
            <w:vAlign w:val="center"/>
            <w:hideMark/>
          </w:tcPr>
          <w:p w14:paraId="757597A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667 to 1078</w:t>
            </w:r>
          </w:p>
        </w:tc>
        <w:tc>
          <w:tcPr>
            <w:tcW w:w="1123" w:type="dxa"/>
            <w:tcBorders>
              <w:top w:val="nil"/>
              <w:left w:val="nil"/>
              <w:bottom w:val="single" w:sz="4" w:space="0" w:color="FFFFFF"/>
              <w:right w:val="single" w:sz="4" w:space="0" w:color="FFFFFF"/>
            </w:tcBorders>
            <w:shd w:val="clear" w:color="000000" w:fill="F2F2F2"/>
            <w:vAlign w:val="center"/>
            <w:hideMark/>
          </w:tcPr>
          <w:p w14:paraId="3B4757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15</w:t>
            </w:r>
          </w:p>
        </w:tc>
        <w:tc>
          <w:tcPr>
            <w:tcW w:w="1212" w:type="dxa"/>
            <w:tcBorders>
              <w:top w:val="nil"/>
              <w:left w:val="nil"/>
              <w:bottom w:val="single" w:sz="4" w:space="0" w:color="FFFFFF"/>
              <w:right w:val="single" w:sz="4" w:space="0" w:color="FFFFFF"/>
            </w:tcBorders>
            <w:shd w:val="clear" w:color="000000" w:fill="F2F2F2"/>
            <w:vAlign w:val="center"/>
            <w:hideMark/>
          </w:tcPr>
          <w:p w14:paraId="3AFC683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single" w:sz="4" w:space="0" w:color="FFFFFF"/>
              <w:left w:val="nil"/>
              <w:bottom w:val="single" w:sz="4" w:space="0" w:color="FFFFFF"/>
              <w:right w:val="single" w:sz="4" w:space="0" w:color="FFFFFF"/>
            </w:tcBorders>
            <w:shd w:val="clear" w:color="000000" w:fill="F2F2F2"/>
            <w:vAlign w:val="center"/>
            <w:hideMark/>
          </w:tcPr>
          <w:p w14:paraId="0037A97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nil"/>
              <w:left w:val="nil"/>
              <w:bottom w:val="single" w:sz="4" w:space="0" w:color="FFFFFF"/>
              <w:right w:val="single" w:sz="4" w:space="0" w:color="FFFFFF"/>
            </w:tcBorders>
            <w:shd w:val="clear" w:color="000000" w:fill="F2F2F2"/>
            <w:vAlign w:val="center"/>
            <w:hideMark/>
          </w:tcPr>
          <w:p w14:paraId="726C90F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 to 9</w:t>
            </w:r>
          </w:p>
        </w:tc>
        <w:tc>
          <w:tcPr>
            <w:tcW w:w="992" w:type="dxa"/>
            <w:tcBorders>
              <w:top w:val="single" w:sz="4" w:space="0" w:color="FFFFFF"/>
              <w:left w:val="nil"/>
              <w:bottom w:val="single" w:sz="4" w:space="0" w:color="FFFFFF"/>
              <w:right w:val="single" w:sz="4" w:space="0" w:color="FFFFFF"/>
            </w:tcBorders>
            <w:shd w:val="clear" w:color="000000" w:fill="F2F2F2"/>
            <w:vAlign w:val="center"/>
            <w:hideMark/>
          </w:tcPr>
          <w:p w14:paraId="4A016A8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0.74 to 3.91</w:t>
            </w:r>
          </w:p>
        </w:tc>
        <w:tc>
          <w:tcPr>
            <w:tcW w:w="992" w:type="dxa"/>
            <w:tcBorders>
              <w:top w:val="nil"/>
              <w:left w:val="nil"/>
              <w:bottom w:val="single" w:sz="4" w:space="0" w:color="FFFFFF"/>
              <w:right w:val="single" w:sz="4" w:space="0" w:color="FFFFFF"/>
            </w:tcBorders>
            <w:shd w:val="clear" w:color="000000" w:fill="F2F2F2"/>
            <w:vAlign w:val="center"/>
            <w:hideMark/>
          </w:tcPr>
          <w:p w14:paraId="3360CAB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2F2F2"/>
            <w:vAlign w:val="center"/>
            <w:hideMark/>
          </w:tcPr>
          <w:p w14:paraId="234E544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1.96 to 3.26</w:t>
            </w:r>
          </w:p>
        </w:tc>
      </w:tr>
      <w:tr w:rsidR="00585DB3" w:rsidRPr="00A77A06" w14:paraId="207AE29E" w14:textId="77777777" w:rsidTr="00585DB3">
        <w:trPr>
          <w:trHeight w:val="570"/>
        </w:trPr>
        <w:tc>
          <w:tcPr>
            <w:tcW w:w="967" w:type="dxa"/>
            <w:tcBorders>
              <w:top w:val="nil"/>
              <w:left w:val="nil"/>
              <w:bottom w:val="single" w:sz="4" w:space="0" w:color="FFFFFF"/>
              <w:right w:val="single" w:sz="4" w:space="0" w:color="FFFFFF"/>
            </w:tcBorders>
            <w:shd w:val="clear" w:color="000000" w:fill="FFFFFF"/>
            <w:vAlign w:val="center"/>
            <w:hideMark/>
          </w:tcPr>
          <w:p w14:paraId="2B7F8A55"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Stevens et al. (2018)</w:t>
            </w:r>
          </w:p>
        </w:tc>
        <w:tc>
          <w:tcPr>
            <w:tcW w:w="936" w:type="dxa"/>
            <w:tcBorders>
              <w:top w:val="nil"/>
              <w:left w:val="nil"/>
              <w:bottom w:val="single" w:sz="4" w:space="0" w:color="FFFFFF"/>
              <w:right w:val="single" w:sz="4" w:space="0" w:color="FFFFFF"/>
            </w:tcBorders>
            <w:shd w:val="clear" w:color="000000" w:fill="FFFFFF"/>
            <w:vAlign w:val="center"/>
            <w:hideMark/>
          </w:tcPr>
          <w:p w14:paraId="56EA968D"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w:t>
            </w:r>
          </w:p>
        </w:tc>
        <w:tc>
          <w:tcPr>
            <w:tcW w:w="1093" w:type="dxa"/>
            <w:tcBorders>
              <w:top w:val="nil"/>
              <w:left w:val="nil"/>
              <w:bottom w:val="single" w:sz="4" w:space="0" w:color="FFFFFF"/>
              <w:right w:val="single" w:sz="4" w:space="0" w:color="FFFFFF"/>
            </w:tcBorders>
            <w:shd w:val="clear" w:color="000000" w:fill="FFFFFF"/>
            <w:vAlign w:val="center"/>
            <w:hideMark/>
          </w:tcPr>
          <w:p w14:paraId="009E777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50" w:type="dxa"/>
            <w:tcBorders>
              <w:top w:val="nil"/>
              <w:left w:val="nil"/>
              <w:bottom w:val="single" w:sz="4" w:space="0" w:color="FFFFFF"/>
              <w:right w:val="single" w:sz="4" w:space="0" w:color="FFFFFF"/>
            </w:tcBorders>
            <w:shd w:val="clear" w:color="000000" w:fill="FFFFFF"/>
            <w:vAlign w:val="center"/>
            <w:hideMark/>
          </w:tcPr>
          <w:p w14:paraId="5A5ACF3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120" w:type="dxa"/>
            <w:tcBorders>
              <w:top w:val="single" w:sz="4" w:space="0" w:color="FFFFFF"/>
              <w:left w:val="nil"/>
              <w:bottom w:val="single" w:sz="4" w:space="0" w:color="FFFFFF"/>
              <w:right w:val="single" w:sz="4" w:space="0" w:color="FFFFFF"/>
            </w:tcBorders>
            <w:shd w:val="clear" w:color="000000" w:fill="FFFFFF"/>
            <w:vAlign w:val="center"/>
            <w:hideMark/>
          </w:tcPr>
          <w:p w14:paraId="68CBBAB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adolescents</w:t>
            </w:r>
          </w:p>
        </w:tc>
        <w:tc>
          <w:tcPr>
            <w:tcW w:w="1071" w:type="dxa"/>
            <w:tcBorders>
              <w:top w:val="nil"/>
              <w:left w:val="nil"/>
              <w:bottom w:val="single" w:sz="4" w:space="0" w:color="FFFFFF"/>
              <w:right w:val="single" w:sz="4" w:space="0" w:color="FFFFFF"/>
            </w:tcBorders>
            <w:shd w:val="clear" w:color="000000" w:fill="FFFFFF"/>
            <w:vAlign w:val="center"/>
            <w:hideMark/>
          </w:tcPr>
          <w:p w14:paraId="6AC790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1203" w:type="dxa"/>
            <w:tcBorders>
              <w:top w:val="single" w:sz="4" w:space="0" w:color="FFFFFF"/>
              <w:left w:val="nil"/>
              <w:bottom w:val="single" w:sz="4" w:space="0" w:color="FFFFFF"/>
              <w:right w:val="single" w:sz="4" w:space="0" w:color="FFFFFF"/>
            </w:tcBorders>
            <w:shd w:val="clear" w:color="000000" w:fill="FFFFFF"/>
            <w:vAlign w:val="center"/>
            <w:hideMark/>
          </w:tcPr>
          <w:p w14:paraId="04F0B63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798" w:type="dxa"/>
            <w:tcBorders>
              <w:top w:val="nil"/>
              <w:left w:val="nil"/>
              <w:bottom w:val="single" w:sz="4" w:space="0" w:color="FFFFFF"/>
              <w:right w:val="single" w:sz="4" w:space="0" w:color="FFFFFF"/>
            </w:tcBorders>
            <w:shd w:val="clear" w:color="000000" w:fill="FFFFFF"/>
            <w:vAlign w:val="center"/>
            <w:hideMark/>
          </w:tcPr>
          <w:p w14:paraId="218B952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71 to 251</w:t>
            </w:r>
          </w:p>
        </w:tc>
        <w:tc>
          <w:tcPr>
            <w:tcW w:w="1123" w:type="dxa"/>
            <w:tcBorders>
              <w:top w:val="nil"/>
              <w:left w:val="nil"/>
              <w:bottom w:val="single" w:sz="4" w:space="0" w:color="FFFFFF"/>
              <w:right w:val="single" w:sz="4" w:space="0" w:color="FFFFFF"/>
            </w:tcBorders>
            <w:shd w:val="clear" w:color="000000" w:fill="FFFFFF"/>
            <w:vAlign w:val="center"/>
            <w:hideMark/>
          </w:tcPr>
          <w:p w14:paraId="02E4E67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1212" w:type="dxa"/>
            <w:tcBorders>
              <w:top w:val="nil"/>
              <w:left w:val="nil"/>
              <w:bottom w:val="single" w:sz="4" w:space="0" w:color="FFFFFF"/>
              <w:right w:val="single" w:sz="4" w:space="0" w:color="FFFFFF"/>
            </w:tcBorders>
            <w:shd w:val="clear" w:color="000000" w:fill="FFFFFF"/>
            <w:vAlign w:val="center"/>
            <w:hideMark/>
          </w:tcPr>
          <w:p w14:paraId="2269FDA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MAXSLOPE</w:t>
            </w:r>
          </w:p>
        </w:tc>
        <w:tc>
          <w:tcPr>
            <w:tcW w:w="912" w:type="dxa"/>
            <w:tcBorders>
              <w:top w:val="nil"/>
              <w:left w:val="nil"/>
              <w:bottom w:val="single" w:sz="4" w:space="0" w:color="FFFFFF"/>
              <w:right w:val="single" w:sz="4" w:space="0" w:color="FFFFFF"/>
            </w:tcBorders>
            <w:shd w:val="clear" w:color="000000" w:fill="FFFFFF"/>
            <w:vAlign w:val="center"/>
            <w:hideMark/>
          </w:tcPr>
          <w:p w14:paraId="5735DA9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nil"/>
              <w:left w:val="nil"/>
              <w:bottom w:val="single" w:sz="4" w:space="0" w:color="FFFFFF"/>
              <w:right w:val="single" w:sz="4" w:space="0" w:color="FFFFFF"/>
            </w:tcBorders>
            <w:shd w:val="clear" w:color="000000" w:fill="FFFFFF"/>
            <w:vAlign w:val="center"/>
            <w:hideMark/>
          </w:tcPr>
          <w:p w14:paraId="4810F18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w:t>
            </w:r>
          </w:p>
        </w:tc>
        <w:tc>
          <w:tcPr>
            <w:tcW w:w="992" w:type="dxa"/>
            <w:tcBorders>
              <w:top w:val="nil"/>
              <w:left w:val="nil"/>
              <w:bottom w:val="single" w:sz="4" w:space="0" w:color="FFFFFF"/>
              <w:right w:val="single" w:sz="4" w:space="0" w:color="FFFFFF"/>
            </w:tcBorders>
            <w:shd w:val="clear" w:color="000000" w:fill="FFFFFF"/>
            <w:vAlign w:val="center"/>
            <w:hideMark/>
          </w:tcPr>
          <w:p w14:paraId="4D0DE9B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single" w:sz="4" w:space="0" w:color="FFFFFF"/>
            </w:tcBorders>
            <w:shd w:val="clear" w:color="000000" w:fill="FFFFFF"/>
            <w:vAlign w:val="center"/>
            <w:hideMark/>
          </w:tcPr>
          <w:p w14:paraId="29CBAAA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FFFFF"/>
            <w:vAlign w:val="center"/>
            <w:hideMark/>
          </w:tcPr>
          <w:p w14:paraId="055ECA1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r>
      <w:tr w:rsidR="00585DB3" w:rsidRPr="00A77A06" w14:paraId="42602F33" w14:textId="77777777" w:rsidTr="00585DB3">
        <w:trPr>
          <w:trHeight w:val="570"/>
        </w:trPr>
        <w:tc>
          <w:tcPr>
            <w:tcW w:w="967" w:type="dxa"/>
            <w:tcBorders>
              <w:top w:val="single" w:sz="4" w:space="0" w:color="F6F8F9"/>
              <w:left w:val="nil"/>
              <w:bottom w:val="single" w:sz="4" w:space="0" w:color="F6F8F9"/>
              <w:right w:val="single" w:sz="4" w:space="0" w:color="F6F8F9"/>
            </w:tcBorders>
            <w:shd w:val="clear" w:color="000000" w:fill="F2F2F2"/>
            <w:vAlign w:val="center"/>
            <w:hideMark/>
          </w:tcPr>
          <w:p w14:paraId="25548537"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Deserno et al. (2023)</w:t>
            </w:r>
          </w:p>
        </w:tc>
        <w:tc>
          <w:tcPr>
            <w:tcW w:w="936" w:type="dxa"/>
            <w:tcBorders>
              <w:top w:val="single" w:sz="4" w:space="0" w:color="F6F8F9"/>
              <w:left w:val="nil"/>
              <w:bottom w:val="single" w:sz="4" w:space="0" w:color="F6F8F9"/>
              <w:right w:val="single" w:sz="4" w:space="0" w:color="F6F8F9"/>
            </w:tcBorders>
            <w:shd w:val="clear" w:color="000000" w:fill="F2F2F2"/>
            <w:vAlign w:val="center"/>
            <w:hideMark/>
          </w:tcPr>
          <w:p w14:paraId="36876333"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ADHD / ASD</w:t>
            </w:r>
          </w:p>
        </w:tc>
        <w:tc>
          <w:tcPr>
            <w:tcW w:w="1093" w:type="dxa"/>
            <w:tcBorders>
              <w:top w:val="single" w:sz="4" w:space="0" w:color="F6F8F9"/>
              <w:left w:val="nil"/>
              <w:bottom w:val="single" w:sz="4" w:space="0" w:color="F6F8F9"/>
              <w:right w:val="single" w:sz="4" w:space="0" w:color="F6F8F9"/>
            </w:tcBorders>
            <w:shd w:val="clear" w:color="000000" w:fill="F2F2F2"/>
            <w:vAlign w:val="center"/>
            <w:hideMark/>
          </w:tcPr>
          <w:p w14:paraId="02F57BA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single" w:sz="4" w:space="0" w:color="F6F8F9"/>
              <w:left w:val="nil"/>
              <w:bottom w:val="single" w:sz="4" w:space="0" w:color="F6F8F9"/>
              <w:right w:val="single" w:sz="4" w:space="0" w:color="F6F8F9"/>
            </w:tcBorders>
            <w:shd w:val="clear" w:color="000000" w:fill="F2F2F2"/>
            <w:vAlign w:val="center"/>
            <w:hideMark/>
          </w:tcPr>
          <w:p w14:paraId="1E95DDF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120" w:type="dxa"/>
            <w:tcBorders>
              <w:top w:val="single" w:sz="4" w:space="0" w:color="F6F8F9"/>
              <w:left w:val="nil"/>
              <w:bottom w:val="single" w:sz="4" w:space="0" w:color="F6F8F9"/>
              <w:right w:val="single" w:sz="4" w:space="0" w:color="F6F8F9"/>
            </w:tcBorders>
            <w:shd w:val="clear" w:color="000000" w:fill="F2F2F2"/>
            <w:vAlign w:val="center"/>
            <w:hideMark/>
          </w:tcPr>
          <w:p w14:paraId="7670D87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single" w:sz="4" w:space="0" w:color="F6F8F9"/>
              <w:left w:val="nil"/>
              <w:bottom w:val="single" w:sz="4" w:space="0" w:color="F6F8F9"/>
              <w:right w:val="single" w:sz="4" w:space="0" w:color="F6F8F9"/>
            </w:tcBorders>
            <w:shd w:val="clear" w:color="000000" w:fill="F2F2F2"/>
            <w:vAlign w:val="center"/>
            <w:hideMark/>
          </w:tcPr>
          <w:p w14:paraId="622E5E7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 for ADHD, mostly yes for ASD</w:t>
            </w:r>
          </w:p>
        </w:tc>
        <w:tc>
          <w:tcPr>
            <w:tcW w:w="1203" w:type="dxa"/>
            <w:tcBorders>
              <w:top w:val="single" w:sz="4" w:space="0" w:color="F6F8F9"/>
              <w:left w:val="nil"/>
              <w:bottom w:val="single" w:sz="4" w:space="0" w:color="F6F8F9"/>
              <w:right w:val="single" w:sz="4" w:space="0" w:color="F6F8F9"/>
            </w:tcBorders>
            <w:shd w:val="clear" w:color="000000" w:fill="F2F2F2"/>
            <w:vAlign w:val="center"/>
            <w:hideMark/>
          </w:tcPr>
          <w:p w14:paraId="27EB15CF" w14:textId="78E6CB1A" w:rsidR="00A77A06" w:rsidRPr="00A77A06" w:rsidRDefault="0020271A" w:rsidP="00A77A06">
            <w:pPr>
              <w:widowControl/>
              <w:jc w:val="center"/>
              <w:rPr>
                <w:rFonts w:ascii="Arial" w:hAnsi="Arial" w:cs="Arial"/>
                <w:color w:val="000000"/>
                <w:sz w:val="16"/>
                <w:szCs w:val="16"/>
                <w:lang w:val="en-GB"/>
              </w:rPr>
            </w:pPr>
            <w:r>
              <w:rPr>
                <w:rFonts w:ascii="Arial" w:hAnsi="Arial" w:cs="Arial"/>
                <w:color w:val="000000"/>
                <w:sz w:val="16"/>
                <w:szCs w:val="16"/>
                <w:lang w:val="en-GB"/>
              </w:rPr>
              <w:t>likely</w:t>
            </w:r>
            <w:r w:rsidR="00A77A06" w:rsidRPr="00A77A06">
              <w:rPr>
                <w:rFonts w:ascii="Arial" w:hAnsi="Arial" w:cs="Arial"/>
                <w:color w:val="000000"/>
                <w:sz w:val="16"/>
                <w:szCs w:val="16"/>
                <w:lang w:val="en-GB"/>
              </w:rPr>
              <w:t xml:space="preserve"> yes</w:t>
            </w:r>
          </w:p>
        </w:tc>
        <w:tc>
          <w:tcPr>
            <w:tcW w:w="798" w:type="dxa"/>
            <w:tcBorders>
              <w:top w:val="single" w:sz="4" w:space="0" w:color="F6F8F9"/>
              <w:left w:val="nil"/>
              <w:bottom w:val="single" w:sz="4" w:space="0" w:color="F6F8F9"/>
              <w:right w:val="single" w:sz="4" w:space="0" w:color="F6F8F9"/>
            </w:tcBorders>
            <w:shd w:val="clear" w:color="000000" w:fill="F2F2F2"/>
            <w:vAlign w:val="center"/>
            <w:hideMark/>
          </w:tcPr>
          <w:p w14:paraId="00B0757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203 to 434</w:t>
            </w:r>
          </w:p>
        </w:tc>
        <w:tc>
          <w:tcPr>
            <w:tcW w:w="1123" w:type="dxa"/>
            <w:tcBorders>
              <w:top w:val="single" w:sz="4" w:space="0" w:color="F6F8F9"/>
              <w:left w:val="nil"/>
              <w:bottom w:val="single" w:sz="4" w:space="0" w:color="F6F8F9"/>
              <w:right w:val="single" w:sz="4" w:space="0" w:color="F6F8F9"/>
            </w:tcBorders>
            <w:shd w:val="clear" w:color="000000" w:fill="F2F2F2"/>
            <w:vAlign w:val="center"/>
            <w:hideMark/>
          </w:tcPr>
          <w:p w14:paraId="0C97838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w:t>
            </w:r>
          </w:p>
        </w:tc>
        <w:tc>
          <w:tcPr>
            <w:tcW w:w="1212" w:type="dxa"/>
            <w:tcBorders>
              <w:top w:val="single" w:sz="4" w:space="0" w:color="F6F8F9"/>
              <w:left w:val="nil"/>
              <w:bottom w:val="single" w:sz="4" w:space="0" w:color="F6F8F9"/>
              <w:right w:val="single" w:sz="4" w:space="0" w:color="F6F8F9"/>
            </w:tcBorders>
            <w:shd w:val="clear" w:color="000000" w:fill="F2F2F2"/>
            <w:vAlign w:val="center"/>
            <w:hideMark/>
          </w:tcPr>
          <w:p w14:paraId="2B9E242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L-Mode; MAMBAC; MAXEIG</w:t>
            </w:r>
          </w:p>
        </w:tc>
        <w:tc>
          <w:tcPr>
            <w:tcW w:w="912" w:type="dxa"/>
            <w:tcBorders>
              <w:top w:val="single" w:sz="4" w:space="0" w:color="F6F8F9"/>
              <w:left w:val="nil"/>
              <w:bottom w:val="single" w:sz="4" w:space="0" w:color="F6F8F9"/>
              <w:right w:val="single" w:sz="4" w:space="0" w:color="F6F8F9"/>
            </w:tcBorders>
            <w:shd w:val="clear" w:color="000000" w:fill="F2F2F2"/>
            <w:vAlign w:val="center"/>
            <w:hideMark/>
          </w:tcPr>
          <w:p w14:paraId="6CDD6A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single" w:sz="4" w:space="0" w:color="F6F8F9"/>
              <w:left w:val="nil"/>
              <w:bottom w:val="single" w:sz="4" w:space="0" w:color="F6F8F9"/>
              <w:right w:val="single" w:sz="4" w:space="0" w:color="F6F8F9"/>
            </w:tcBorders>
            <w:shd w:val="clear" w:color="000000" w:fill="F2F2F2"/>
            <w:vAlign w:val="center"/>
            <w:hideMark/>
          </w:tcPr>
          <w:p w14:paraId="055379F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w:t>
            </w:r>
          </w:p>
        </w:tc>
        <w:tc>
          <w:tcPr>
            <w:tcW w:w="992" w:type="dxa"/>
            <w:tcBorders>
              <w:top w:val="single" w:sz="4" w:space="0" w:color="F6F8F9"/>
              <w:left w:val="nil"/>
              <w:bottom w:val="single" w:sz="4" w:space="0" w:color="F6F8F9"/>
              <w:right w:val="single" w:sz="4" w:space="0" w:color="F6F8F9"/>
            </w:tcBorders>
            <w:shd w:val="clear" w:color="000000" w:fill="F2F2F2"/>
            <w:vAlign w:val="center"/>
            <w:hideMark/>
          </w:tcPr>
          <w:p w14:paraId="6E7B7AB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single" w:sz="4" w:space="0" w:color="F6F8F9"/>
              <w:left w:val="nil"/>
              <w:bottom w:val="single" w:sz="4" w:space="0" w:color="F6F8F9"/>
              <w:right w:val="single" w:sz="4" w:space="0" w:color="F6F8F9"/>
            </w:tcBorders>
            <w:shd w:val="clear" w:color="000000" w:fill="F2F2F2"/>
            <w:vAlign w:val="center"/>
            <w:hideMark/>
          </w:tcPr>
          <w:p w14:paraId="121F5A8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single" w:sz="4" w:space="0" w:color="F6F8F9"/>
              <w:left w:val="nil"/>
              <w:bottom w:val="single" w:sz="4" w:space="0" w:color="F6F8F9"/>
              <w:right w:val="nil"/>
            </w:tcBorders>
            <w:shd w:val="clear" w:color="000000" w:fill="F2F2F2"/>
            <w:vAlign w:val="center"/>
            <w:hideMark/>
          </w:tcPr>
          <w:p w14:paraId="57DFDE4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1.86 to 2.74</w:t>
            </w:r>
          </w:p>
        </w:tc>
      </w:tr>
      <w:tr w:rsidR="00585DB3" w:rsidRPr="00A77A06" w14:paraId="23FCBE20" w14:textId="77777777" w:rsidTr="00585DB3">
        <w:trPr>
          <w:trHeight w:val="570"/>
        </w:trPr>
        <w:tc>
          <w:tcPr>
            <w:tcW w:w="967" w:type="dxa"/>
            <w:tcBorders>
              <w:top w:val="single" w:sz="4" w:space="0" w:color="FFFFFF"/>
              <w:left w:val="nil"/>
              <w:bottom w:val="single" w:sz="4" w:space="0" w:color="FFFFFF"/>
              <w:right w:val="single" w:sz="4" w:space="0" w:color="FFFFFF"/>
            </w:tcBorders>
            <w:shd w:val="clear" w:color="000000" w:fill="FFFFFF"/>
            <w:vAlign w:val="center"/>
            <w:hideMark/>
          </w:tcPr>
          <w:p w14:paraId="7EFFA1B2"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Frazier et al. (2023)</w:t>
            </w:r>
          </w:p>
        </w:tc>
        <w:tc>
          <w:tcPr>
            <w:tcW w:w="936" w:type="dxa"/>
            <w:tcBorders>
              <w:top w:val="single" w:sz="4" w:space="0" w:color="FFFFFF"/>
              <w:left w:val="nil"/>
              <w:bottom w:val="single" w:sz="4" w:space="0" w:color="FFFFFF"/>
              <w:right w:val="single" w:sz="4" w:space="0" w:color="FFFFFF"/>
            </w:tcBorders>
            <w:shd w:val="clear" w:color="000000" w:fill="FFFFFF"/>
            <w:vAlign w:val="center"/>
            <w:hideMark/>
          </w:tcPr>
          <w:p w14:paraId="2FEB38A1"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093" w:type="dxa"/>
            <w:tcBorders>
              <w:top w:val="single" w:sz="4" w:space="0" w:color="FFFFFF"/>
              <w:left w:val="nil"/>
              <w:bottom w:val="single" w:sz="4" w:space="0" w:color="FFFFFF"/>
              <w:right w:val="single" w:sz="4" w:space="0" w:color="FFFFFF"/>
            </w:tcBorders>
            <w:shd w:val="clear" w:color="000000" w:fill="FFFFFF"/>
            <w:vAlign w:val="center"/>
            <w:hideMark/>
          </w:tcPr>
          <w:p w14:paraId="6DE841D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single" w:sz="4" w:space="0" w:color="FFFFFF"/>
              <w:left w:val="nil"/>
              <w:bottom w:val="single" w:sz="4" w:space="0" w:color="FFFFFF"/>
              <w:right w:val="single" w:sz="4" w:space="0" w:color="FFFFFF"/>
            </w:tcBorders>
            <w:shd w:val="clear" w:color="000000" w:fill="FFFFFF"/>
            <w:vAlign w:val="center"/>
            <w:hideMark/>
          </w:tcPr>
          <w:p w14:paraId="0232CEA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Mixed clinical and non-clinical</w:t>
            </w:r>
          </w:p>
        </w:tc>
        <w:tc>
          <w:tcPr>
            <w:tcW w:w="1120" w:type="dxa"/>
            <w:tcBorders>
              <w:top w:val="single" w:sz="4" w:space="0" w:color="FFFFFF"/>
              <w:left w:val="nil"/>
              <w:bottom w:val="single" w:sz="4" w:space="0" w:color="FFFFFF"/>
              <w:right w:val="single" w:sz="4" w:space="0" w:color="FFFFFF"/>
            </w:tcBorders>
            <w:shd w:val="clear" w:color="000000" w:fill="FFFFFF"/>
            <w:vAlign w:val="center"/>
            <w:hideMark/>
          </w:tcPr>
          <w:p w14:paraId="722E350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 to adults</w:t>
            </w:r>
          </w:p>
        </w:tc>
        <w:tc>
          <w:tcPr>
            <w:tcW w:w="1071" w:type="dxa"/>
            <w:tcBorders>
              <w:top w:val="single" w:sz="4" w:space="0" w:color="FFFFFF"/>
              <w:left w:val="nil"/>
              <w:bottom w:val="single" w:sz="4" w:space="0" w:color="FFFFFF"/>
              <w:right w:val="single" w:sz="4" w:space="0" w:color="FFFFFF"/>
            </w:tcBorders>
            <w:shd w:val="clear" w:color="000000" w:fill="FFFFFF"/>
            <w:vAlign w:val="center"/>
            <w:hideMark/>
          </w:tcPr>
          <w:p w14:paraId="71B54A6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1203" w:type="dxa"/>
            <w:tcBorders>
              <w:top w:val="single" w:sz="4" w:space="0" w:color="FFFFFF"/>
              <w:left w:val="nil"/>
              <w:bottom w:val="single" w:sz="4" w:space="0" w:color="FFFFFF"/>
              <w:right w:val="single" w:sz="4" w:space="0" w:color="FFFFFF"/>
            </w:tcBorders>
            <w:shd w:val="clear" w:color="000000" w:fill="FFFFFF"/>
            <w:vAlign w:val="center"/>
            <w:hideMark/>
          </w:tcPr>
          <w:p w14:paraId="52F326F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798" w:type="dxa"/>
            <w:tcBorders>
              <w:top w:val="single" w:sz="4" w:space="0" w:color="FFFFFF"/>
              <w:left w:val="nil"/>
              <w:bottom w:val="single" w:sz="4" w:space="0" w:color="FFFFFF"/>
              <w:right w:val="single" w:sz="4" w:space="0" w:color="FFFFFF"/>
            </w:tcBorders>
            <w:shd w:val="clear" w:color="000000" w:fill="FFFFFF"/>
            <w:vAlign w:val="center"/>
            <w:hideMark/>
          </w:tcPr>
          <w:p w14:paraId="552A560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512 to 16755</w:t>
            </w:r>
          </w:p>
        </w:tc>
        <w:tc>
          <w:tcPr>
            <w:tcW w:w="1123" w:type="dxa"/>
            <w:tcBorders>
              <w:top w:val="single" w:sz="4" w:space="0" w:color="FFFFFF"/>
              <w:left w:val="nil"/>
              <w:bottom w:val="single" w:sz="4" w:space="0" w:color="FFFFFF"/>
              <w:right w:val="single" w:sz="4" w:space="0" w:color="FFFFFF"/>
            </w:tcBorders>
            <w:shd w:val="clear" w:color="000000" w:fill="FFFFFF"/>
            <w:vAlign w:val="center"/>
            <w:hideMark/>
          </w:tcPr>
          <w:p w14:paraId="5432256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10</w:t>
            </w:r>
          </w:p>
        </w:tc>
        <w:tc>
          <w:tcPr>
            <w:tcW w:w="1212" w:type="dxa"/>
            <w:tcBorders>
              <w:top w:val="single" w:sz="4" w:space="0" w:color="FFFFFF"/>
              <w:left w:val="nil"/>
              <w:bottom w:val="single" w:sz="4" w:space="0" w:color="FFFFFF"/>
              <w:right w:val="single" w:sz="4" w:space="0" w:color="FFFFFF"/>
            </w:tcBorders>
            <w:shd w:val="clear" w:color="000000" w:fill="FFFFFF"/>
            <w:vAlign w:val="center"/>
            <w:hideMark/>
          </w:tcPr>
          <w:p w14:paraId="22D1AD5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single" w:sz="4" w:space="0" w:color="FFFFFF"/>
              <w:left w:val="nil"/>
              <w:bottom w:val="single" w:sz="4" w:space="0" w:color="FFFFFF"/>
              <w:right w:val="single" w:sz="4" w:space="0" w:color="FFFFFF"/>
            </w:tcBorders>
            <w:shd w:val="clear" w:color="000000" w:fill="FFFFFF"/>
            <w:vAlign w:val="center"/>
            <w:hideMark/>
          </w:tcPr>
          <w:p w14:paraId="60F4DDE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single" w:sz="4" w:space="0" w:color="FFFFFF"/>
              <w:left w:val="nil"/>
              <w:bottom w:val="single" w:sz="4" w:space="0" w:color="FFFFFF"/>
              <w:right w:val="single" w:sz="4" w:space="0" w:color="FFFFFF"/>
            </w:tcBorders>
            <w:shd w:val="clear" w:color="000000" w:fill="FFFFFF"/>
            <w:vAlign w:val="center"/>
            <w:hideMark/>
          </w:tcPr>
          <w:p w14:paraId="2CF15F8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8</w:t>
            </w:r>
          </w:p>
        </w:tc>
        <w:tc>
          <w:tcPr>
            <w:tcW w:w="992" w:type="dxa"/>
            <w:tcBorders>
              <w:top w:val="single" w:sz="4" w:space="0" w:color="FFFFFF"/>
              <w:left w:val="nil"/>
              <w:bottom w:val="single" w:sz="4" w:space="0" w:color="FFFFFF"/>
              <w:right w:val="single" w:sz="4" w:space="0" w:color="FFFFFF"/>
            </w:tcBorders>
            <w:shd w:val="clear" w:color="000000" w:fill="FFFFFF"/>
            <w:vAlign w:val="center"/>
            <w:hideMark/>
          </w:tcPr>
          <w:p w14:paraId="42E98C0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0.19 to 0.99</w:t>
            </w:r>
          </w:p>
        </w:tc>
        <w:tc>
          <w:tcPr>
            <w:tcW w:w="992" w:type="dxa"/>
            <w:tcBorders>
              <w:top w:val="single" w:sz="4" w:space="0" w:color="FFFFFF"/>
              <w:left w:val="nil"/>
              <w:bottom w:val="single" w:sz="4" w:space="0" w:color="FFFFFF"/>
              <w:right w:val="single" w:sz="4" w:space="0" w:color="FFFFFF"/>
            </w:tcBorders>
            <w:shd w:val="clear" w:color="000000" w:fill="FFFFFF"/>
            <w:vAlign w:val="center"/>
            <w:hideMark/>
          </w:tcPr>
          <w:p w14:paraId="14AD391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0.14 to 0.73</w:t>
            </w:r>
          </w:p>
        </w:tc>
        <w:tc>
          <w:tcPr>
            <w:tcW w:w="992" w:type="dxa"/>
            <w:tcBorders>
              <w:top w:val="single" w:sz="4" w:space="0" w:color="FFFFFF"/>
              <w:left w:val="nil"/>
              <w:bottom w:val="single" w:sz="4" w:space="0" w:color="FFFFFF"/>
              <w:right w:val="nil"/>
            </w:tcBorders>
            <w:shd w:val="clear" w:color="000000" w:fill="FFFFFF"/>
            <w:vAlign w:val="center"/>
            <w:hideMark/>
          </w:tcPr>
          <w:p w14:paraId="5474E83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0.57 to 1.84</w:t>
            </w:r>
          </w:p>
        </w:tc>
      </w:tr>
      <w:tr w:rsidR="00585DB3" w:rsidRPr="00A77A06" w14:paraId="44B1D186" w14:textId="77777777" w:rsidTr="00585DB3">
        <w:trPr>
          <w:trHeight w:val="570"/>
        </w:trPr>
        <w:tc>
          <w:tcPr>
            <w:tcW w:w="967" w:type="dxa"/>
            <w:tcBorders>
              <w:top w:val="nil"/>
              <w:left w:val="nil"/>
              <w:bottom w:val="single" w:sz="4" w:space="0" w:color="FFFFFF"/>
              <w:right w:val="single" w:sz="4" w:space="0" w:color="FFFFFF"/>
            </w:tcBorders>
            <w:shd w:val="clear" w:color="000000" w:fill="F2F2F2"/>
            <w:vAlign w:val="center"/>
            <w:hideMark/>
          </w:tcPr>
          <w:p w14:paraId="3216A40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Frazier et al. (2010)</w:t>
            </w:r>
          </w:p>
        </w:tc>
        <w:tc>
          <w:tcPr>
            <w:tcW w:w="936" w:type="dxa"/>
            <w:tcBorders>
              <w:top w:val="nil"/>
              <w:left w:val="nil"/>
              <w:bottom w:val="single" w:sz="4" w:space="0" w:color="FFFFFF"/>
              <w:right w:val="single" w:sz="4" w:space="0" w:color="FFFFFF"/>
            </w:tcBorders>
            <w:shd w:val="clear" w:color="000000" w:fill="F2F2F2"/>
            <w:vAlign w:val="center"/>
            <w:hideMark/>
          </w:tcPr>
          <w:p w14:paraId="29A032B5"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093" w:type="dxa"/>
            <w:tcBorders>
              <w:top w:val="nil"/>
              <w:left w:val="nil"/>
              <w:bottom w:val="single" w:sz="4" w:space="0" w:color="FFFFFF"/>
              <w:right w:val="single" w:sz="4" w:space="0" w:color="FFFFFF"/>
            </w:tcBorders>
            <w:shd w:val="clear" w:color="000000" w:fill="F2F2F2"/>
            <w:vAlign w:val="center"/>
            <w:hideMark/>
          </w:tcPr>
          <w:p w14:paraId="01C6152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nil"/>
              <w:right w:val="nil"/>
            </w:tcBorders>
            <w:shd w:val="clear" w:color="000000" w:fill="F2F2F2"/>
            <w:vAlign w:val="center"/>
            <w:hideMark/>
          </w:tcPr>
          <w:p w14:paraId="272588D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 and unaffected siblings</w:t>
            </w:r>
          </w:p>
        </w:tc>
        <w:tc>
          <w:tcPr>
            <w:tcW w:w="1120" w:type="dxa"/>
            <w:tcBorders>
              <w:top w:val="nil"/>
              <w:left w:val="single" w:sz="4" w:space="0" w:color="FFFFFF"/>
              <w:bottom w:val="single" w:sz="4" w:space="0" w:color="FFFFFF"/>
              <w:right w:val="single" w:sz="4" w:space="0" w:color="FFFFFF"/>
            </w:tcBorders>
            <w:shd w:val="clear" w:color="000000" w:fill="F2F2F2"/>
            <w:vAlign w:val="center"/>
            <w:hideMark/>
          </w:tcPr>
          <w:p w14:paraId="65FFE25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nil"/>
              <w:left w:val="nil"/>
              <w:bottom w:val="single" w:sz="4" w:space="0" w:color="FFFFFF"/>
              <w:right w:val="single" w:sz="4" w:space="0" w:color="FFFFFF"/>
            </w:tcBorders>
            <w:shd w:val="clear" w:color="000000" w:fill="F2F2F2"/>
            <w:vAlign w:val="center"/>
            <w:hideMark/>
          </w:tcPr>
          <w:p w14:paraId="249A4D7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1203" w:type="dxa"/>
            <w:tcBorders>
              <w:top w:val="nil"/>
              <w:left w:val="nil"/>
              <w:bottom w:val="single" w:sz="4" w:space="0" w:color="FFFFFF"/>
              <w:right w:val="single" w:sz="4" w:space="0" w:color="FFFFFF"/>
            </w:tcBorders>
            <w:shd w:val="clear" w:color="000000" w:fill="F2F2F2"/>
            <w:vAlign w:val="center"/>
            <w:hideMark/>
          </w:tcPr>
          <w:p w14:paraId="4E999FD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798" w:type="dxa"/>
            <w:tcBorders>
              <w:top w:val="nil"/>
              <w:left w:val="nil"/>
              <w:bottom w:val="single" w:sz="4" w:space="0" w:color="FFFFFF"/>
              <w:right w:val="single" w:sz="4" w:space="0" w:color="FFFFFF"/>
            </w:tcBorders>
            <w:shd w:val="clear" w:color="000000" w:fill="F2F2F2"/>
            <w:vAlign w:val="center"/>
            <w:hideMark/>
          </w:tcPr>
          <w:p w14:paraId="7697143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1825  to  11472</w:t>
            </w:r>
          </w:p>
        </w:tc>
        <w:tc>
          <w:tcPr>
            <w:tcW w:w="1123" w:type="dxa"/>
            <w:tcBorders>
              <w:top w:val="nil"/>
              <w:left w:val="nil"/>
              <w:bottom w:val="nil"/>
              <w:right w:val="nil"/>
            </w:tcBorders>
            <w:shd w:val="clear" w:color="000000" w:fill="F2F2F2"/>
            <w:noWrap/>
            <w:vAlign w:val="center"/>
            <w:hideMark/>
          </w:tcPr>
          <w:p w14:paraId="1CEF528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w:t>
            </w:r>
          </w:p>
        </w:tc>
        <w:tc>
          <w:tcPr>
            <w:tcW w:w="1212"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243DE91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w:t>
            </w:r>
          </w:p>
        </w:tc>
        <w:tc>
          <w:tcPr>
            <w:tcW w:w="912" w:type="dxa"/>
            <w:tcBorders>
              <w:top w:val="nil"/>
              <w:left w:val="single" w:sz="4" w:space="0" w:color="FFFFFF"/>
              <w:bottom w:val="single" w:sz="4" w:space="0" w:color="FFFFFF"/>
              <w:right w:val="single" w:sz="4" w:space="0" w:color="FFFFFF"/>
            </w:tcBorders>
            <w:shd w:val="clear" w:color="000000" w:fill="F2F2F2"/>
            <w:vAlign w:val="center"/>
            <w:hideMark/>
          </w:tcPr>
          <w:p w14:paraId="7623442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nil"/>
              <w:left w:val="nil"/>
              <w:bottom w:val="single" w:sz="4" w:space="0" w:color="FFFFFF"/>
              <w:right w:val="single" w:sz="4" w:space="0" w:color="FFFFFF"/>
            </w:tcBorders>
            <w:shd w:val="clear" w:color="000000" w:fill="F2F2F2"/>
            <w:vAlign w:val="center"/>
            <w:hideMark/>
          </w:tcPr>
          <w:p w14:paraId="41FBA77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4</w:t>
            </w:r>
          </w:p>
        </w:tc>
        <w:tc>
          <w:tcPr>
            <w:tcW w:w="992" w:type="dxa"/>
            <w:tcBorders>
              <w:top w:val="nil"/>
              <w:left w:val="nil"/>
              <w:bottom w:val="single" w:sz="4" w:space="0" w:color="FFFFFF"/>
              <w:right w:val="single" w:sz="4" w:space="0" w:color="FFFFFF"/>
            </w:tcBorders>
            <w:shd w:val="clear" w:color="000000" w:fill="F2F2F2"/>
            <w:vAlign w:val="center"/>
            <w:hideMark/>
          </w:tcPr>
          <w:p w14:paraId="6E53C1A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single" w:sz="4" w:space="0" w:color="FFFFFF"/>
            </w:tcBorders>
            <w:shd w:val="clear" w:color="000000" w:fill="F2F2F2"/>
            <w:vAlign w:val="center"/>
            <w:hideMark/>
          </w:tcPr>
          <w:p w14:paraId="1E397D4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2F2F2"/>
            <w:vAlign w:val="center"/>
            <w:hideMark/>
          </w:tcPr>
          <w:p w14:paraId="1E87396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r>
      <w:tr w:rsidR="00585DB3" w:rsidRPr="00A77A06" w14:paraId="25E51743" w14:textId="77777777" w:rsidTr="00585DB3">
        <w:trPr>
          <w:trHeight w:val="570"/>
        </w:trPr>
        <w:tc>
          <w:tcPr>
            <w:tcW w:w="967" w:type="dxa"/>
            <w:tcBorders>
              <w:top w:val="nil"/>
              <w:left w:val="nil"/>
              <w:bottom w:val="single" w:sz="4" w:space="0" w:color="FFFFFF"/>
              <w:right w:val="single" w:sz="4" w:space="0" w:color="FFFFFF"/>
            </w:tcBorders>
            <w:shd w:val="clear" w:color="000000" w:fill="FFFFFF"/>
            <w:vAlign w:val="center"/>
            <w:hideMark/>
          </w:tcPr>
          <w:p w14:paraId="74BFE8DA"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James et al. (2016)</w:t>
            </w:r>
          </w:p>
        </w:tc>
        <w:tc>
          <w:tcPr>
            <w:tcW w:w="936" w:type="dxa"/>
            <w:tcBorders>
              <w:top w:val="nil"/>
              <w:left w:val="nil"/>
              <w:bottom w:val="single" w:sz="4" w:space="0" w:color="FFFFFF"/>
              <w:right w:val="single" w:sz="4" w:space="0" w:color="FFFFFF"/>
            </w:tcBorders>
            <w:shd w:val="clear" w:color="000000" w:fill="FFFFFF"/>
            <w:vAlign w:val="center"/>
            <w:hideMark/>
          </w:tcPr>
          <w:p w14:paraId="0154F7F9"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093" w:type="dxa"/>
            <w:tcBorders>
              <w:top w:val="nil"/>
              <w:left w:val="nil"/>
              <w:bottom w:val="single" w:sz="4" w:space="0" w:color="FFFFFF"/>
              <w:right w:val="single" w:sz="4" w:space="0" w:color="FFFFFF"/>
            </w:tcBorders>
            <w:shd w:val="clear" w:color="000000" w:fill="FFFFFF"/>
            <w:vAlign w:val="center"/>
            <w:hideMark/>
          </w:tcPr>
          <w:p w14:paraId="33B9B9D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single" w:sz="4" w:space="0" w:color="FFFFFF"/>
              <w:left w:val="nil"/>
              <w:bottom w:val="single" w:sz="4" w:space="0" w:color="FFFFFF"/>
              <w:right w:val="single" w:sz="4" w:space="0" w:color="FFFFFF"/>
            </w:tcBorders>
            <w:shd w:val="clear" w:color="000000" w:fill="FFFFFF"/>
            <w:vAlign w:val="center"/>
            <w:hideMark/>
          </w:tcPr>
          <w:p w14:paraId="771B314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120" w:type="dxa"/>
            <w:tcBorders>
              <w:top w:val="nil"/>
              <w:left w:val="nil"/>
              <w:bottom w:val="single" w:sz="4" w:space="0" w:color="FFFFFF"/>
              <w:right w:val="single" w:sz="4" w:space="0" w:color="FFFFFF"/>
            </w:tcBorders>
            <w:shd w:val="clear" w:color="000000" w:fill="FFFFFF"/>
            <w:vAlign w:val="center"/>
            <w:hideMark/>
          </w:tcPr>
          <w:p w14:paraId="693ED47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adults</w:t>
            </w:r>
          </w:p>
        </w:tc>
        <w:tc>
          <w:tcPr>
            <w:tcW w:w="1071" w:type="dxa"/>
            <w:tcBorders>
              <w:top w:val="nil"/>
              <w:left w:val="nil"/>
              <w:bottom w:val="single" w:sz="4" w:space="0" w:color="FFFFFF"/>
              <w:right w:val="single" w:sz="4" w:space="0" w:color="FFFFFF"/>
            </w:tcBorders>
            <w:shd w:val="clear" w:color="000000" w:fill="FFFFFF"/>
            <w:vAlign w:val="center"/>
            <w:hideMark/>
          </w:tcPr>
          <w:p w14:paraId="2A699CB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1203" w:type="dxa"/>
            <w:tcBorders>
              <w:top w:val="nil"/>
              <w:left w:val="nil"/>
              <w:bottom w:val="single" w:sz="4" w:space="0" w:color="FFFFFF"/>
              <w:right w:val="single" w:sz="4" w:space="0" w:color="FFFFFF"/>
            </w:tcBorders>
            <w:shd w:val="clear" w:color="000000" w:fill="FFFFFF"/>
            <w:vAlign w:val="center"/>
            <w:hideMark/>
          </w:tcPr>
          <w:p w14:paraId="30AEF1C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798" w:type="dxa"/>
            <w:tcBorders>
              <w:top w:val="nil"/>
              <w:left w:val="nil"/>
              <w:bottom w:val="single" w:sz="4" w:space="0" w:color="FFFFFF"/>
              <w:right w:val="single" w:sz="4" w:space="0" w:color="FFFFFF"/>
            </w:tcBorders>
            <w:shd w:val="clear" w:color="000000" w:fill="FFFFFF"/>
            <w:vAlign w:val="center"/>
            <w:hideMark/>
          </w:tcPr>
          <w:p w14:paraId="427D2C9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1139</w:t>
            </w:r>
          </w:p>
        </w:tc>
        <w:tc>
          <w:tcPr>
            <w:tcW w:w="1123" w:type="dxa"/>
            <w:tcBorders>
              <w:top w:val="single" w:sz="4" w:space="0" w:color="FFFFFF"/>
              <w:left w:val="nil"/>
              <w:bottom w:val="single" w:sz="4" w:space="0" w:color="FFFFFF"/>
              <w:right w:val="single" w:sz="4" w:space="0" w:color="FFFFFF"/>
            </w:tcBorders>
            <w:shd w:val="clear" w:color="000000" w:fill="FFFFFF"/>
            <w:vAlign w:val="center"/>
            <w:hideMark/>
          </w:tcPr>
          <w:p w14:paraId="57246E8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w:t>
            </w:r>
          </w:p>
        </w:tc>
        <w:tc>
          <w:tcPr>
            <w:tcW w:w="1212" w:type="dxa"/>
            <w:tcBorders>
              <w:top w:val="single" w:sz="4" w:space="0" w:color="FFFFFF"/>
              <w:left w:val="nil"/>
              <w:bottom w:val="single" w:sz="4" w:space="0" w:color="FFFFFF"/>
              <w:right w:val="single" w:sz="4" w:space="0" w:color="FFFFFF"/>
            </w:tcBorders>
            <w:shd w:val="clear" w:color="000000" w:fill="FFFFFF"/>
            <w:vAlign w:val="center"/>
            <w:hideMark/>
          </w:tcPr>
          <w:p w14:paraId="2BB10A6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MAXCOV; MAXEIG; L-Mode</w:t>
            </w:r>
          </w:p>
        </w:tc>
        <w:tc>
          <w:tcPr>
            <w:tcW w:w="912" w:type="dxa"/>
            <w:tcBorders>
              <w:top w:val="nil"/>
              <w:left w:val="nil"/>
              <w:bottom w:val="single" w:sz="4" w:space="0" w:color="FFFFFF"/>
              <w:right w:val="single" w:sz="4" w:space="0" w:color="FFFFFF"/>
            </w:tcBorders>
            <w:shd w:val="clear" w:color="000000" w:fill="FFFFFF"/>
            <w:vAlign w:val="center"/>
            <w:hideMark/>
          </w:tcPr>
          <w:p w14:paraId="41EA128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nil"/>
              <w:left w:val="nil"/>
              <w:bottom w:val="single" w:sz="4" w:space="0" w:color="FFFFFF"/>
              <w:right w:val="single" w:sz="4" w:space="0" w:color="FFFFFF"/>
            </w:tcBorders>
            <w:shd w:val="clear" w:color="000000" w:fill="FFFFFF"/>
            <w:vAlign w:val="center"/>
            <w:hideMark/>
          </w:tcPr>
          <w:p w14:paraId="4BD676F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8</w:t>
            </w:r>
          </w:p>
        </w:tc>
        <w:tc>
          <w:tcPr>
            <w:tcW w:w="992" w:type="dxa"/>
            <w:tcBorders>
              <w:top w:val="nil"/>
              <w:left w:val="nil"/>
              <w:bottom w:val="single" w:sz="4" w:space="0" w:color="FFFFFF"/>
              <w:right w:val="single" w:sz="4" w:space="0" w:color="FFFFFF"/>
            </w:tcBorders>
            <w:shd w:val="clear" w:color="000000" w:fill="FFFFFF"/>
            <w:vAlign w:val="center"/>
            <w:hideMark/>
          </w:tcPr>
          <w:p w14:paraId="7D9F20C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-0.48 to 0.73</w:t>
            </w:r>
          </w:p>
        </w:tc>
        <w:tc>
          <w:tcPr>
            <w:tcW w:w="992" w:type="dxa"/>
            <w:tcBorders>
              <w:top w:val="nil"/>
              <w:left w:val="nil"/>
              <w:bottom w:val="single" w:sz="4" w:space="0" w:color="FFFFFF"/>
              <w:right w:val="single" w:sz="4" w:space="0" w:color="FFFFFF"/>
            </w:tcBorders>
            <w:shd w:val="clear" w:color="000000" w:fill="FFFFFF"/>
            <w:vAlign w:val="center"/>
            <w:hideMark/>
          </w:tcPr>
          <w:p w14:paraId="5CBA12F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-0.09 to 0.28</w:t>
            </w:r>
          </w:p>
        </w:tc>
        <w:tc>
          <w:tcPr>
            <w:tcW w:w="992" w:type="dxa"/>
            <w:tcBorders>
              <w:top w:val="nil"/>
              <w:left w:val="nil"/>
              <w:bottom w:val="single" w:sz="4" w:space="0" w:color="FFFFFF"/>
              <w:right w:val="nil"/>
            </w:tcBorders>
            <w:shd w:val="clear" w:color="000000" w:fill="FFFFFF"/>
            <w:vAlign w:val="center"/>
            <w:hideMark/>
          </w:tcPr>
          <w:p w14:paraId="69776ED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0.15 to 2.21</w:t>
            </w:r>
          </w:p>
        </w:tc>
      </w:tr>
      <w:tr w:rsidR="00585DB3" w:rsidRPr="00A77A06" w14:paraId="489E77B7" w14:textId="77777777" w:rsidTr="00585DB3">
        <w:trPr>
          <w:trHeight w:val="380"/>
        </w:trPr>
        <w:tc>
          <w:tcPr>
            <w:tcW w:w="967" w:type="dxa"/>
            <w:tcBorders>
              <w:top w:val="single" w:sz="4" w:space="0" w:color="F6F8F9"/>
              <w:left w:val="nil"/>
              <w:bottom w:val="single" w:sz="4" w:space="0" w:color="F6F8F9"/>
              <w:right w:val="single" w:sz="4" w:space="0" w:color="F6F8F9"/>
            </w:tcBorders>
            <w:shd w:val="clear" w:color="000000" w:fill="F2F2F2"/>
            <w:vAlign w:val="center"/>
            <w:hideMark/>
          </w:tcPr>
          <w:p w14:paraId="60BA2C4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Munson et al. (2008)</w:t>
            </w:r>
          </w:p>
        </w:tc>
        <w:tc>
          <w:tcPr>
            <w:tcW w:w="936" w:type="dxa"/>
            <w:tcBorders>
              <w:top w:val="single" w:sz="4" w:space="0" w:color="F6F8F9"/>
              <w:left w:val="nil"/>
              <w:bottom w:val="single" w:sz="4" w:space="0" w:color="F6F8F9"/>
              <w:right w:val="single" w:sz="4" w:space="0" w:color="F6F8F9"/>
            </w:tcBorders>
            <w:shd w:val="clear" w:color="000000" w:fill="F2F2F2"/>
            <w:vAlign w:val="center"/>
            <w:hideMark/>
          </w:tcPr>
          <w:p w14:paraId="614239F9"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093" w:type="dxa"/>
            <w:tcBorders>
              <w:top w:val="single" w:sz="4" w:space="0" w:color="F6F8F9"/>
              <w:left w:val="nil"/>
              <w:bottom w:val="single" w:sz="4" w:space="0" w:color="F6F8F9"/>
              <w:right w:val="single" w:sz="4" w:space="0" w:color="F6F8F9"/>
            </w:tcBorders>
            <w:shd w:val="clear" w:color="000000" w:fill="F2F2F2"/>
            <w:vAlign w:val="center"/>
            <w:hideMark/>
          </w:tcPr>
          <w:p w14:paraId="44B6E18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50" w:type="dxa"/>
            <w:tcBorders>
              <w:top w:val="single" w:sz="4" w:space="0" w:color="F6F8F9"/>
              <w:left w:val="nil"/>
              <w:bottom w:val="single" w:sz="4" w:space="0" w:color="F6F8F9"/>
              <w:right w:val="single" w:sz="4" w:space="0" w:color="F6F8F9"/>
            </w:tcBorders>
            <w:shd w:val="clear" w:color="000000" w:fill="F2F2F2"/>
            <w:vAlign w:val="center"/>
            <w:hideMark/>
          </w:tcPr>
          <w:p w14:paraId="36F7746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w:t>
            </w:r>
          </w:p>
        </w:tc>
        <w:tc>
          <w:tcPr>
            <w:tcW w:w="1120" w:type="dxa"/>
            <w:tcBorders>
              <w:top w:val="single" w:sz="4" w:space="0" w:color="F6F8F9"/>
              <w:left w:val="nil"/>
              <w:bottom w:val="single" w:sz="4" w:space="0" w:color="F6F8F9"/>
              <w:right w:val="single" w:sz="4" w:space="0" w:color="F6F8F9"/>
            </w:tcBorders>
            <w:shd w:val="clear" w:color="000000" w:fill="F2F2F2"/>
            <w:vAlign w:val="center"/>
            <w:hideMark/>
          </w:tcPr>
          <w:p w14:paraId="4E39644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single" w:sz="4" w:space="0" w:color="F6F8F9"/>
              <w:left w:val="nil"/>
              <w:bottom w:val="single" w:sz="4" w:space="0" w:color="F6F8F9"/>
              <w:right w:val="single" w:sz="4" w:space="0" w:color="F6F8F9"/>
            </w:tcBorders>
            <w:shd w:val="clear" w:color="000000" w:fill="F2F2F2"/>
            <w:vAlign w:val="center"/>
            <w:hideMark/>
          </w:tcPr>
          <w:p w14:paraId="0AC85E2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yes</w:t>
            </w:r>
          </w:p>
        </w:tc>
        <w:tc>
          <w:tcPr>
            <w:tcW w:w="1203" w:type="dxa"/>
            <w:tcBorders>
              <w:top w:val="single" w:sz="4" w:space="0" w:color="F6F8F9"/>
              <w:left w:val="nil"/>
              <w:bottom w:val="single" w:sz="4" w:space="0" w:color="F6F8F9"/>
              <w:right w:val="single" w:sz="4" w:space="0" w:color="F6F8F9"/>
            </w:tcBorders>
            <w:shd w:val="clear" w:color="000000" w:fill="F2F2F2"/>
            <w:vAlign w:val="center"/>
            <w:hideMark/>
          </w:tcPr>
          <w:p w14:paraId="43D16CD1" w14:textId="026D9748" w:rsidR="00A77A06" w:rsidRPr="00A77A06" w:rsidRDefault="00564FF4" w:rsidP="00A77A06">
            <w:pPr>
              <w:widowControl/>
              <w:jc w:val="center"/>
              <w:rPr>
                <w:rFonts w:ascii="Arial" w:hAnsi="Arial" w:cs="Arial"/>
                <w:color w:val="000000"/>
                <w:sz w:val="16"/>
                <w:szCs w:val="16"/>
                <w:lang w:val="en-GB"/>
              </w:rPr>
            </w:pPr>
            <w:r>
              <w:rPr>
                <w:rFonts w:ascii="Arial" w:hAnsi="Arial" w:cs="Arial"/>
                <w:color w:val="000000"/>
                <w:sz w:val="16"/>
                <w:szCs w:val="16"/>
                <w:lang w:val="en-GB"/>
              </w:rPr>
              <w:t>n</w:t>
            </w:r>
            <w:r w:rsidR="00A77A06" w:rsidRPr="00A77A06">
              <w:rPr>
                <w:rFonts w:ascii="Arial" w:hAnsi="Arial" w:cs="Arial"/>
                <w:color w:val="000000"/>
                <w:sz w:val="16"/>
                <w:szCs w:val="16"/>
                <w:lang w:val="en-GB"/>
              </w:rPr>
              <w:t>o</w:t>
            </w:r>
            <w:r>
              <w:rPr>
                <w:rFonts w:ascii="Arial" w:hAnsi="Arial" w:cs="Arial"/>
                <w:color w:val="000000"/>
                <w:sz w:val="16"/>
                <w:szCs w:val="16"/>
                <w:lang w:val="en-GB"/>
              </w:rPr>
              <w:t>*</w:t>
            </w:r>
          </w:p>
        </w:tc>
        <w:tc>
          <w:tcPr>
            <w:tcW w:w="798" w:type="dxa"/>
            <w:tcBorders>
              <w:top w:val="single" w:sz="4" w:space="0" w:color="F6F8F9"/>
              <w:left w:val="nil"/>
              <w:bottom w:val="single" w:sz="4" w:space="0" w:color="F6F8F9"/>
              <w:right w:val="single" w:sz="4" w:space="0" w:color="F6F8F9"/>
            </w:tcBorders>
            <w:shd w:val="clear" w:color="000000" w:fill="F2F2F2"/>
            <w:vAlign w:val="center"/>
            <w:hideMark/>
          </w:tcPr>
          <w:p w14:paraId="5448558E"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456</w:t>
            </w:r>
          </w:p>
        </w:tc>
        <w:tc>
          <w:tcPr>
            <w:tcW w:w="1123" w:type="dxa"/>
            <w:tcBorders>
              <w:top w:val="single" w:sz="4" w:space="0" w:color="F6F8F9"/>
              <w:left w:val="nil"/>
              <w:bottom w:val="single" w:sz="4" w:space="0" w:color="F6F8F9"/>
              <w:right w:val="single" w:sz="4" w:space="0" w:color="F6F8F9"/>
            </w:tcBorders>
            <w:shd w:val="clear" w:color="000000" w:fill="F2F2F2"/>
            <w:vAlign w:val="center"/>
            <w:hideMark/>
          </w:tcPr>
          <w:p w14:paraId="76071B4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w:t>
            </w:r>
          </w:p>
        </w:tc>
        <w:tc>
          <w:tcPr>
            <w:tcW w:w="1212" w:type="dxa"/>
            <w:tcBorders>
              <w:top w:val="single" w:sz="4" w:space="0" w:color="F6F8F9"/>
              <w:left w:val="nil"/>
              <w:bottom w:val="single" w:sz="4" w:space="0" w:color="F6F8F9"/>
              <w:right w:val="single" w:sz="4" w:space="0" w:color="F6F8F9"/>
            </w:tcBorders>
            <w:shd w:val="clear" w:color="000000" w:fill="F2F2F2"/>
            <w:vAlign w:val="center"/>
            <w:hideMark/>
          </w:tcPr>
          <w:p w14:paraId="09AF365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MAXCOV</w:t>
            </w:r>
          </w:p>
        </w:tc>
        <w:tc>
          <w:tcPr>
            <w:tcW w:w="912" w:type="dxa"/>
            <w:tcBorders>
              <w:top w:val="single" w:sz="4" w:space="0" w:color="F6F8F9"/>
              <w:left w:val="nil"/>
              <w:bottom w:val="single" w:sz="4" w:space="0" w:color="F6F8F9"/>
              <w:right w:val="single" w:sz="4" w:space="0" w:color="F6F8F9"/>
            </w:tcBorders>
            <w:shd w:val="clear" w:color="000000" w:fill="F2F2F2"/>
            <w:vAlign w:val="center"/>
            <w:hideMark/>
          </w:tcPr>
          <w:p w14:paraId="21C4414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visual</w:t>
            </w:r>
          </w:p>
        </w:tc>
        <w:tc>
          <w:tcPr>
            <w:tcW w:w="983" w:type="dxa"/>
            <w:tcBorders>
              <w:top w:val="single" w:sz="4" w:space="0" w:color="F6F8F9"/>
              <w:left w:val="nil"/>
              <w:bottom w:val="single" w:sz="4" w:space="0" w:color="F6F8F9"/>
              <w:right w:val="single" w:sz="4" w:space="0" w:color="F6F8F9"/>
            </w:tcBorders>
            <w:shd w:val="clear" w:color="000000" w:fill="F2F2F2"/>
            <w:vAlign w:val="center"/>
            <w:hideMark/>
          </w:tcPr>
          <w:p w14:paraId="010A32C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w:t>
            </w:r>
          </w:p>
        </w:tc>
        <w:tc>
          <w:tcPr>
            <w:tcW w:w="992" w:type="dxa"/>
            <w:tcBorders>
              <w:top w:val="single" w:sz="4" w:space="0" w:color="F6F8F9"/>
              <w:left w:val="nil"/>
              <w:bottom w:val="single" w:sz="4" w:space="0" w:color="F6F8F9"/>
              <w:right w:val="single" w:sz="4" w:space="0" w:color="F6F8F9"/>
            </w:tcBorders>
            <w:shd w:val="clear" w:color="000000" w:fill="F2F2F2"/>
            <w:vAlign w:val="center"/>
            <w:hideMark/>
          </w:tcPr>
          <w:p w14:paraId="7F4B46F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single" w:sz="4" w:space="0" w:color="F6F8F9"/>
              <w:left w:val="nil"/>
              <w:bottom w:val="single" w:sz="4" w:space="0" w:color="F6F8F9"/>
              <w:right w:val="single" w:sz="4" w:space="0" w:color="F6F8F9"/>
            </w:tcBorders>
            <w:shd w:val="clear" w:color="000000" w:fill="F2F2F2"/>
            <w:vAlign w:val="center"/>
            <w:hideMark/>
          </w:tcPr>
          <w:p w14:paraId="05EEA54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single" w:sz="4" w:space="0" w:color="F6F8F9"/>
              <w:left w:val="nil"/>
              <w:bottom w:val="single" w:sz="4" w:space="0" w:color="F6F8F9"/>
              <w:right w:val="nil"/>
            </w:tcBorders>
            <w:shd w:val="clear" w:color="000000" w:fill="F2F2F2"/>
            <w:vAlign w:val="center"/>
            <w:hideMark/>
          </w:tcPr>
          <w:p w14:paraId="2F46C27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r>
      <w:tr w:rsidR="00585DB3" w:rsidRPr="00A77A06" w14:paraId="6805D75E" w14:textId="77777777" w:rsidTr="00585DB3">
        <w:trPr>
          <w:trHeight w:val="380"/>
        </w:trPr>
        <w:tc>
          <w:tcPr>
            <w:tcW w:w="967" w:type="dxa"/>
            <w:tcBorders>
              <w:top w:val="single" w:sz="4" w:space="0" w:color="FFFFFF"/>
              <w:left w:val="nil"/>
              <w:bottom w:val="single" w:sz="4" w:space="0" w:color="FFFFFF"/>
              <w:right w:val="single" w:sz="4" w:space="0" w:color="FFFFFF"/>
            </w:tcBorders>
            <w:shd w:val="clear" w:color="000000" w:fill="FFFFFF"/>
            <w:vAlign w:val="center"/>
            <w:hideMark/>
          </w:tcPr>
          <w:p w14:paraId="02637B54"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Ingram et al. (2008)</w:t>
            </w:r>
          </w:p>
        </w:tc>
        <w:tc>
          <w:tcPr>
            <w:tcW w:w="936" w:type="dxa"/>
            <w:tcBorders>
              <w:top w:val="single" w:sz="4" w:space="0" w:color="FFFFFF"/>
              <w:left w:val="nil"/>
              <w:bottom w:val="single" w:sz="4" w:space="0" w:color="FFFFFF"/>
              <w:right w:val="single" w:sz="4" w:space="0" w:color="FFFFFF"/>
            </w:tcBorders>
            <w:shd w:val="clear" w:color="000000" w:fill="FFFFFF"/>
            <w:vAlign w:val="center"/>
            <w:hideMark/>
          </w:tcPr>
          <w:p w14:paraId="3D7F02CF"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ASD</w:t>
            </w:r>
          </w:p>
        </w:tc>
        <w:tc>
          <w:tcPr>
            <w:tcW w:w="1093" w:type="dxa"/>
            <w:tcBorders>
              <w:top w:val="single" w:sz="4" w:space="0" w:color="FFFFFF"/>
              <w:left w:val="nil"/>
              <w:bottom w:val="single" w:sz="4" w:space="0" w:color="FFFFFF"/>
              <w:right w:val="single" w:sz="4" w:space="0" w:color="FFFFFF"/>
            </w:tcBorders>
            <w:shd w:val="clear" w:color="000000" w:fill="FFFFFF"/>
            <w:vAlign w:val="center"/>
            <w:hideMark/>
          </w:tcPr>
          <w:p w14:paraId="4C9B890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50" w:type="dxa"/>
            <w:tcBorders>
              <w:top w:val="single" w:sz="4" w:space="0" w:color="FFFFFF"/>
              <w:left w:val="nil"/>
              <w:bottom w:val="single" w:sz="4" w:space="0" w:color="FFFFFF"/>
              <w:right w:val="single" w:sz="4" w:space="0" w:color="FFFFFF"/>
            </w:tcBorders>
            <w:shd w:val="clear" w:color="000000" w:fill="FFFFFF"/>
            <w:vAlign w:val="center"/>
            <w:hideMark/>
          </w:tcPr>
          <w:p w14:paraId="05E3D8F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w:t>
            </w:r>
          </w:p>
        </w:tc>
        <w:tc>
          <w:tcPr>
            <w:tcW w:w="1120" w:type="dxa"/>
            <w:tcBorders>
              <w:top w:val="single" w:sz="4" w:space="0" w:color="FFFFFF"/>
              <w:left w:val="nil"/>
              <w:bottom w:val="single" w:sz="4" w:space="0" w:color="FFFFFF"/>
              <w:right w:val="single" w:sz="4" w:space="0" w:color="FFFFFF"/>
            </w:tcBorders>
            <w:shd w:val="clear" w:color="000000" w:fill="FFFFFF"/>
            <w:vAlign w:val="center"/>
            <w:hideMark/>
          </w:tcPr>
          <w:p w14:paraId="11080B6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single" w:sz="4" w:space="0" w:color="FFFFFF"/>
              <w:left w:val="nil"/>
              <w:bottom w:val="single" w:sz="4" w:space="0" w:color="FFFFFF"/>
              <w:right w:val="single" w:sz="4" w:space="0" w:color="FFFFFF"/>
            </w:tcBorders>
            <w:shd w:val="clear" w:color="000000" w:fill="FFFFFF"/>
            <w:vAlign w:val="center"/>
            <w:hideMark/>
          </w:tcPr>
          <w:p w14:paraId="7CAAF9D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1203" w:type="dxa"/>
            <w:tcBorders>
              <w:top w:val="single" w:sz="4" w:space="0" w:color="FFFFFF"/>
              <w:left w:val="nil"/>
              <w:bottom w:val="single" w:sz="4" w:space="0" w:color="FFFFFF"/>
              <w:right w:val="single" w:sz="4" w:space="0" w:color="FFFFFF"/>
            </w:tcBorders>
            <w:shd w:val="clear" w:color="000000" w:fill="FFFFFF"/>
            <w:vAlign w:val="center"/>
            <w:hideMark/>
          </w:tcPr>
          <w:p w14:paraId="463F6B25" w14:textId="32FE919C" w:rsidR="00A77A06" w:rsidRPr="00A77A06" w:rsidRDefault="00564FF4" w:rsidP="00A77A06">
            <w:pPr>
              <w:widowControl/>
              <w:jc w:val="center"/>
              <w:rPr>
                <w:rFonts w:ascii="Arial" w:hAnsi="Arial" w:cs="Arial"/>
                <w:color w:val="000000"/>
                <w:sz w:val="16"/>
                <w:szCs w:val="16"/>
                <w:lang w:val="en-GB"/>
              </w:rPr>
            </w:pPr>
            <w:r>
              <w:rPr>
                <w:rFonts w:ascii="Arial" w:hAnsi="Arial" w:cs="Arial"/>
                <w:color w:val="000000"/>
                <w:sz w:val="16"/>
                <w:szCs w:val="16"/>
                <w:lang w:val="en-GB"/>
              </w:rPr>
              <w:t>n</w:t>
            </w:r>
            <w:r w:rsidR="00A77A06" w:rsidRPr="00A77A06">
              <w:rPr>
                <w:rFonts w:ascii="Arial" w:hAnsi="Arial" w:cs="Arial"/>
                <w:color w:val="000000"/>
                <w:sz w:val="16"/>
                <w:szCs w:val="16"/>
                <w:lang w:val="en-GB"/>
              </w:rPr>
              <w:t>o</w:t>
            </w:r>
            <w:r>
              <w:rPr>
                <w:rFonts w:ascii="Arial" w:hAnsi="Arial" w:cs="Arial"/>
                <w:color w:val="000000"/>
                <w:sz w:val="16"/>
                <w:szCs w:val="16"/>
                <w:lang w:val="en-GB"/>
              </w:rPr>
              <w:t>*</w:t>
            </w:r>
          </w:p>
        </w:tc>
        <w:tc>
          <w:tcPr>
            <w:tcW w:w="798" w:type="dxa"/>
            <w:tcBorders>
              <w:top w:val="single" w:sz="4" w:space="0" w:color="FFFFFF"/>
              <w:left w:val="nil"/>
              <w:bottom w:val="single" w:sz="4" w:space="0" w:color="FFFFFF"/>
              <w:right w:val="single" w:sz="4" w:space="0" w:color="FFFFFF"/>
            </w:tcBorders>
            <w:shd w:val="clear" w:color="000000" w:fill="FFFFFF"/>
            <w:vAlign w:val="center"/>
            <w:hideMark/>
          </w:tcPr>
          <w:p w14:paraId="09FE539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481 to 2254</w:t>
            </w:r>
          </w:p>
        </w:tc>
        <w:tc>
          <w:tcPr>
            <w:tcW w:w="1123" w:type="dxa"/>
            <w:tcBorders>
              <w:top w:val="single" w:sz="4" w:space="0" w:color="FFFFFF"/>
              <w:left w:val="nil"/>
              <w:bottom w:val="single" w:sz="4" w:space="0" w:color="FFFFFF"/>
              <w:right w:val="single" w:sz="4" w:space="0" w:color="FFFFFF"/>
            </w:tcBorders>
            <w:shd w:val="clear" w:color="000000" w:fill="FFFFFF"/>
            <w:vAlign w:val="center"/>
            <w:hideMark/>
          </w:tcPr>
          <w:p w14:paraId="7CD8B57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7</w:t>
            </w:r>
          </w:p>
        </w:tc>
        <w:tc>
          <w:tcPr>
            <w:tcW w:w="1212" w:type="dxa"/>
            <w:tcBorders>
              <w:top w:val="single" w:sz="4" w:space="0" w:color="FFFFFF"/>
              <w:left w:val="nil"/>
              <w:bottom w:val="single" w:sz="4" w:space="0" w:color="FFFFFF"/>
              <w:right w:val="single" w:sz="4" w:space="0" w:color="FFFFFF"/>
            </w:tcBorders>
            <w:shd w:val="clear" w:color="000000" w:fill="FFFFFF"/>
            <w:vAlign w:val="center"/>
            <w:hideMark/>
          </w:tcPr>
          <w:p w14:paraId="20B5B31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MAXCOV</w:t>
            </w:r>
          </w:p>
        </w:tc>
        <w:tc>
          <w:tcPr>
            <w:tcW w:w="912" w:type="dxa"/>
            <w:tcBorders>
              <w:top w:val="single" w:sz="4" w:space="0" w:color="FFFFFF"/>
              <w:left w:val="nil"/>
              <w:bottom w:val="single" w:sz="4" w:space="0" w:color="FFFFFF"/>
              <w:right w:val="single" w:sz="4" w:space="0" w:color="FFFFFF"/>
            </w:tcBorders>
            <w:shd w:val="clear" w:color="000000" w:fill="FFFFFF"/>
            <w:vAlign w:val="center"/>
            <w:hideMark/>
          </w:tcPr>
          <w:p w14:paraId="75A4BA7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single" w:sz="4" w:space="0" w:color="FFFFFF"/>
              <w:left w:val="nil"/>
              <w:bottom w:val="single" w:sz="4" w:space="0" w:color="FFFFFF"/>
              <w:right w:val="single" w:sz="4" w:space="0" w:color="FFFFFF"/>
            </w:tcBorders>
            <w:shd w:val="clear" w:color="000000" w:fill="FFFFFF"/>
            <w:vAlign w:val="center"/>
            <w:hideMark/>
          </w:tcPr>
          <w:p w14:paraId="4B9184A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unclear</w:t>
            </w:r>
          </w:p>
        </w:tc>
        <w:tc>
          <w:tcPr>
            <w:tcW w:w="992" w:type="dxa"/>
            <w:tcBorders>
              <w:top w:val="single" w:sz="4" w:space="0" w:color="FFFFFF"/>
              <w:left w:val="nil"/>
              <w:bottom w:val="single" w:sz="4" w:space="0" w:color="FFFFFF"/>
              <w:right w:val="single" w:sz="4" w:space="0" w:color="FFFFFF"/>
            </w:tcBorders>
            <w:shd w:val="clear" w:color="000000" w:fill="FFFFFF"/>
            <w:vAlign w:val="center"/>
            <w:hideMark/>
          </w:tcPr>
          <w:p w14:paraId="2899C67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single" w:sz="4" w:space="0" w:color="FFFFFF"/>
              <w:left w:val="nil"/>
              <w:bottom w:val="single" w:sz="4" w:space="0" w:color="FFFFFF"/>
              <w:right w:val="single" w:sz="4" w:space="0" w:color="FFFFFF"/>
            </w:tcBorders>
            <w:shd w:val="clear" w:color="000000" w:fill="FFFFFF"/>
            <w:vAlign w:val="center"/>
            <w:hideMark/>
          </w:tcPr>
          <w:p w14:paraId="2E5FA2F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single" w:sz="4" w:space="0" w:color="FFFFFF"/>
              <w:left w:val="nil"/>
              <w:bottom w:val="single" w:sz="4" w:space="0" w:color="FFFFFF"/>
              <w:right w:val="nil"/>
            </w:tcBorders>
            <w:shd w:val="clear" w:color="000000" w:fill="FFFFFF"/>
            <w:vAlign w:val="center"/>
            <w:hideMark/>
          </w:tcPr>
          <w:p w14:paraId="25FCA2F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1.51 to 2.55</w:t>
            </w:r>
          </w:p>
        </w:tc>
      </w:tr>
      <w:tr w:rsidR="00585DB3" w:rsidRPr="00A77A06" w14:paraId="521383EA" w14:textId="77777777" w:rsidTr="00585DB3">
        <w:trPr>
          <w:trHeight w:val="380"/>
        </w:trPr>
        <w:tc>
          <w:tcPr>
            <w:tcW w:w="967" w:type="dxa"/>
            <w:tcBorders>
              <w:top w:val="nil"/>
              <w:left w:val="nil"/>
              <w:bottom w:val="single" w:sz="4" w:space="0" w:color="FFFFFF"/>
              <w:right w:val="single" w:sz="4" w:space="0" w:color="FFFFFF"/>
            </w:tcBorders>
            <w:shd w:val="clear" w:color="000000" w:fill="F2F2F2"/>
            <w:vAlign w:val="center"/>
            <w:hideMark/>
          </w:tcPr>
          <w:p w14:paraId="43241CF8"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O'Brien et al. (2012)</w:t>
            </w:r>
          </w:p>
        </w:tc>
        <w:tc>
          <w:tcPr>
            <w:tcW w:w="936" w:type="dxa"/>
            <w:tcBorders>
              <w:top w:val="nil"/>
              <w:left w:val="nil"/>
              <w:bottom w:val="single" w:sz="4" w:space="0" w:color="FFFFFF"/>
              <w:right w:val="single" w:sz="4" w:space="0" w:color="FFFFFF"/>
            </w:tcBorders>
            <w:shd w:val="clear" w:color="000000" w:fill="F2F2F2"/>
            <w:vAlign w:val="center"/>
            <w:hideMark/>
          </w:tcPr>
          <w:p w14:paraId="5B783E8B"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Dyslexia</w:t>
            </w:r>
          </w:p>
        </w:tc>
        <w:tc>
          <w:tcPr>
            <w:tcW w:w="1093" w:type="dxa"/>
            <w:tcBorders>
              <w:top w:val="nil"/>
              <w:left w:val="nil"/>
              <w:bottom w:val="single" w:sz="4" w:space="0" w:color="FFFFFF"/>
              <w:right w:val="single" w:sz="4" w:space="0" w:color="FFFFFF"/>
            </w:tcBorders>
            <w:shd w:val="clear" w:color="000000" w:fill="F2F2F2"/>
            <w:vAlign w:val="center"/>
            <w:hideMark/>
          </w:tcPr>
          <w:p w14:paraId="2F043C4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subtypes</w:t>
            </w:r>
          </w:p>
        </w:tc>
        <w:tc>
          <w:tcPr>
            <w:tcW w:w="1050" w:type="dxa"/>
            <w:tcBorders>
              <w:top w:val="nil"/>
              <w:left w:val="nil"/>
              <w:bottom w:val="single" w:sz="4" w:space="0" w:color="FFFFFF"/>
              <w:right w:val="single" w:sz="4" w:space="0" w:color="FFFFFF"/>
            </w:tcBorders>
            <w:shd w:val="clear" w:color="000000" w:fill="F2F2F2"/>
            <w:vAlign w:val="center"/>
            <w:hideMark/>
          </w:tcPr>
          <w:p w14:paraId="50894B3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Clinical</w:t>
            </w:r>
          </w:p>
        </w:tc>
        <w:tc>
          <w:tcPr>
            <w:tcW w:w="1120" w:type="dxa"/>
            <w:tcBorders>
              <w:top w:val="nil"/>
              <w:left w:val="nil"/>
              <w:bottom w:val="single" w:sz="4" w:space="0" w:color="FFFFFF"/>
              <w:right w:val="single" w:sz="4" w:space="0" w:color="FFFFFF"/>
            </w:tcBorders>
            <w:shd w:val="clear" w:color="000000" w:fill="F2F2F2"/>
            <w:vAlign w:val="center"/>
            <w:hideMark/>
          </w:tcPr>
          <w:p w14:paraId="3E16FAC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nil"/>
              <w:left w:val="nil"/>
              <w:bottom w:val="single" w:sz="4" w:space="0" w:color="FFFFFF"/>
              <w:right w:val="single" w:sz="4" w:space="0" w:color="FFFFFF"/>
            </w:tcBorders>
            <w:shd w:val="clear" w:color="000000" w:fill="F2F2F2"/>
            <w:vAlign w:val="center"/>
            <w:hideMark/>
          </w:tcPr>
          <w:p w14:paraId="12A0A6C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mostly yes</w:t>
            </w:r>
          </w:p>
        </w:tc>
        <w:tc>
          <w:tcPr>
            <w:tcW w:w="1203" w:type="dxa"/>
            <w:tcBorders>
              <w:top w:val="nil"/>
              <w:left w:val="nil"/>
              <w:bottom w:val="single" w:sz="4" w:space="0" w:color="FFFFFF"/>
              <w:right w:val="single" w:sz="4" w:space="0" w:color="FFFFFF"/>
            </w:tcBorders>
            <w:shd w:val="clear" w:color="000000" w:fill="F2F2F2"/>
            <w:vAlign w:val="center"/>
            <w:hideMark/>
          </w:tcPr>
          <w:p w14:paraId="382AD00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partly yes</w:t>
            </w:r>
          </w:p>
        </w:tc>
        <w:tc>
          <w:tcPr>
            <w:tcW w:w="798" w:type="dxa"/>
            <w:tcBorders>
              <w:top w:val="nil"/>
              <w:left w:val="nil"/>
              <w:bottom w:val="single" w:sz="4" w:space="0" w:color="FFFFFF"/>
              <w:right w:val="single" w:sz="4" w:space="0" w:color="FFFFFF"/>
            </w:tcBorders>
            <w:shd w:val="clear" w:color="000000" w:fill="F2F2F2"/>
            <w:vAlign w:val="center"/>
            <w:hideMark/>
          </w:tcPr>
          <w:p w14:paraId="5D7B44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517 to 671</w:t>
            </w:r>
          </w:p>
        </w:tc>
        <w:tc>
          <w:tcPr>
            <w:tcW w:w="1123" w:type="dxa"/>
            <w:tcBorders>
              <w:top w:val="nil"/>
              <w:left w:val="nil"/>
              <w:bottom w:val="single" w:sz="4" w:space="0" w:color="FFFFFF"/>
              <w:right w:val="single" w:sz="4" w:space="0" w:color="FFFFFF"/>
            </w:tcBorders>
            <w:shd w:val="clear" w:color="000000" w:fill="F2F2F2"/>
            <w:vAlign w:val="center"/>
            <w:hideMark/>
          </w:tcPr>
          <w:p w14:paraId="5D07950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w:t>
            </w:r>
          </w:p>
        </w:tc>
        <w:tc>
          <w:tcPr>
            <w:tcW w:w="1212" w:type="dxa"/>
            <w:tcBorders>
              <w:top w:val="single" w:sz="4" w:space="0" w:color="F6F8F9"/>
              <w:left w:val="single" w:sz="4" w:space="0" w:color="F6F8F9"/>
              <w:bottom w:val="single" w:sz="4" w:space="0" w:color="F6F8F9"/>
              <w:right w:val="single" w:sz="4" w:space="0" w:color="F6F8F9"/>
            </w:tcBorders>
            <w:shd w:val="clear" w:color="000000" w:fill="F2F2F2"/>
            <w:vAlign w:val="center"/>
            <w:hideMark/>
          </w:tcPr>
          <w:p w14:paraId="06EC9C5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 MAXEIG; L-Mode</w:t>
            </w:r>
          </w:p>
        </w:tc>
        <w:tc>
          <w:tcPr>
            <w:tcW w:w="912" w:type="dxa"/>
            <w:tcBorders>
              <w:top w:val="nil"/>
              <w:left w:val="single" w:sz="4" w:space="0" w:color="FFFFFF"/>
              <w:bottom w:val="single" w:sz="4" w:space="0" w:color="FFFFFF"/>
              <w:right w:val="single" w:sz="4" w:space="0" w:color="FFFFFF"/>
            </w:tcBorders>
            <w:shd w:val="clear" w:color="000000" w:fill="F2F2F2"/>
            <w:vAlign w:val="center"/>
            <w:hideMark/>
          </w:tcPr>
          <w:p w14:paraId="3E35651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CCFI</w:t>
            </w:r>
          </w:p>
        </w:tc>
        <w:tc>
          <w:tcPr>
            <w:tcW w:w="983" w:type="dxa"/>
            <w:tcBorders>
              <w:top w:val="nil"/>
              <w:left w:val="nil"/>
              <w:bottom w:val="single" w:sz="4" w:space="0" w:color="FFFFFF"/>
              <w:right w:val="single" w:sz="4" w:space="0" w:color="FFFFFF"/>
            </w:tcBorders>
            <w:shd w:val="clear" w:color="000000" w:fill="F2F2F2"/>
            <w:vAlign w:val="center"/>
            <w:hideMark/>
          </w:tcPr>
          <w:p w14:paraId="21739D1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 to 4</w:t>
            </w:r>
          </w:p>
        </w:tc>
        <w:tc>
          <w:tcPr>
            <w:tcW w:w="992" w:type="dxa"/>
            <w:tcBorders>
              <w:top w:val="nil"/>
              <w:left w:val="nil"/>
              <w:bottom w:val="single" w:sz="4" w:space="0" w:color="FFFFFF"/>
              <w:right w:val="single" w:sz="4" w:space="0" w:color="FFFFFF"/>
            </w:tcBorders>
            <w:shd w:val="clear" w:color="000000" w:fill="F2F2F2"/>
            <w:vAlign w:val="center"/>
            <w:hideMark/>
          </w:tcPr>
          <w:p w14:paraId="6B5D3EC2"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single" w:sz="4" w:space="0" w:color="FFFFFF"/>
            </w:tcBorders>
            <w:shd w:val="clear" w:color="000000" w:fill="F2F2F2"/>
            <w:vAlign w:val="center"/>
            <w:hideMark/>
          </w:tcPr>
          <w:p w14:paraId="733D916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2F2F2"/>
            <w:vAlign w:val="center"/>
            <w:hideMark/>
          </w:tcPr>
          <w:p w14:paraId="1C00499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0.82 to 2.37</w:t>
            </w:r>
          </w:p>
        </w:tc>
      </w:tr>
      <w:tr w:rsidR="00585DB3" w:rsidRPr="00A77A06" w14:paraId="0129DEAA" w14:textId="77777777" w:rsidTr="00585DB3">
        <w:trPr>
          <w:trHeight w:val="380"/>
        </w:trPr>
        <w:tc>
          <w:tcPr>
            <w:tcW w:w="967" w:type="dxa"/>
            <w:tcBorders>
              <w:top w:val="nil"/>
              <w:left w:val="nil"/>
              <w:bottom w:val="single" w:sz="4" w:space="0" w:color="FFFFFF"/>
              <w:right w:val="single" w:sz="4" w:space="0" w:color="FFFFFF"/>
            </w:tcBorders>
            <w:shd w:val="clear" w:color="000000" w:fill="FFFFFF"/>
            <w:vAlign w:val="center"/>
            <w:hideMark/>
          </w:tcPr>
          <w:p w14:paraId="51B876FB"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Dollaghan (2004)</w:t>
            </w:r>
          </w:p>
        </w:tc>
        <w:tc>
          <w:tcPr>
            <w:tcW w:w="936" w:type="dxa"/>
            <w:tcBorders>
              <w:top w:val="nil"/>
              <w:left w:val="nil"/>
              <w:bottom w:val="single" w:sz="4" w:space="0" w:color="FFFFFF"/>
              <w:right w:val="single" w:sz="4" w:space="0" w:color="FFFFFF"/>
            </w:tcBorders>
            <w:shd w:val="clear" w:color="000000" w:fill="FFFFFF"/>
            <w:vAlign w:val="center"/>
            <w:hideMark/>
          </w:tcPr>
          <w:p w14:paraId="2CB96642"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SLI</w:t>
            </w:r>
          </w:p>
        </w:tc>
        <w:tc>
          <w:tcPr>
            <w:tcW w:w="1093" w:type="dxa"/>
            <w:tcBorders>
              <w:top w:val="nil"/>
              <w:left w:val="nil"/>
              <w:bottom w:val="single" w:sz="4" w:space="0" w:color="FFFFFF"/>
              <w:right w:val="single" w:sz="4" w:space="0" w:color="FFFFFF"/>
            </w:tcBorders>
            <w:shd w:val="clear" w:color="000000" w:fill="FFFFFF"/>
            <w:vAlign w:val="center"/>
            <w:hideMark/>
          </w:tcPr>
          <w:p w14:paraId="5F94BB1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single" w:sz="4" w:space="0" w:color="FFFFFF"/>
              <w:right w:val="single" w:sz="4" w:space="0" w:color="FFFFFF"/>
            </w:tcBorders>
            <w:shd w:val="clear" w:color="000000" w:fill="FFFFFF"/>
            <w:vAlign w:val="center"/>
            <w:hideMark/>
          </w:tcPr>
          <w:p w14:paraId="67DADF6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120" w:type="dxa"/>
            <w:tcBorders>
              <w:top w:val="nil"/>
              <w:left w:val="nil"/>
              <w:bottom w:val="single" w:sz="4" w:space="0" w:color="FFFFFF"/>
              <w:right w:val="single" w:sz="4" w:space="0" w:color="FFFFFF"/>
            </w:tcBorders>
            <w:shd w:val="clear" w:color="000000" w:fill="FFFFFF"/>
            <w:vAlign w:val="center"/>
            <w:hideMark/>
          </w:tcPr>
          <w:p w14:paraId="52BAA35A"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nil"/>
              <w:left w:val="nil"/>
              <w:bottom w:val="single" w:sz="4" w:space="0" w:color="FFFFFF"/>
              <w:right w:val="single" w:sz="4" w:space="0" w:color="FFFFFF"/>
            </w:tcBorders>
            <w:shd w:val="clear" w:color="000000" w:fill="FFFFFF"/>
            <w:vAlign w:val="center"/>
            <w:hideMark/>
          </w:tcPr>
          <w:p w14:paraId="5D19A17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1203" w:type="dxa"/>
            <w:tcBorders>
              <w:top w:val="nil"/>
              <w:left w:val="nil"/>
              <w:bottom w:val="single" w:sz="4" w:space="0" w:color="FFFFFF"/>
              <w:right w:val="single" w:sz="4" w:space="0" w:color="FFFFFF"/>
            </w:tcBorders>
            <w:shd w:val="clear" w:color="000000" w:fill="FFFFFF"/>
            <w:vAlign w:val="center"/>
            <w:hideMark/>
          </w:tcPr>
          <w:p w14:paraId="3B54300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798" w:type="dxa"/>
            <w:tcBorders>
              <w:top w:val="nil"/>
              <w:left w:val="nil"/>
              <w:bottom w:val="single" w:sz="4" w:space="0" w:color="FFFFFF"/>
              <w:right w:val="single" w:sz="4" w:space="0" w:color="FFFFFF"/>
            </w:tcBorders>
            <w:shd w:val="clear" w:color="000000" w:fill="FFFFFF"/>
            <w:vAlign w:val="center"/>
            <w:hideMark/>
          </w:tcPr>
          <w:p w14:paraId="27C3D95C"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620 to 623</w:t>
            </w:r>
          </w:p>
        </w:tc>
        <w:tc>
          <w:tcPr>
            <w:tcW w:w="1123" w:type="dxa"/>
            <w:tcBorders>
              <w:top w:val="nil"/>
              <w:left w:val="nil"/>
              <w:bottom w:val="single" w:sz="4" w:space="0" w:color="FFFFFF"/>
              <w:right w:val="single" w:sz="4" w:space="0" w:color="FFFFFF"/>
            </w:tcBorders>
            <w:shd w:val="clear" w:color="000000" w:fill="FFFFFF"/>
            <w:vAlign w:val="center"/>
            <w:hideMark/>
          </w:tcPr>
          <w:p w14:paraId="1F765D3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1212" w:type="dxa"/>
            <w:tcBorders>
              <w:top w:val="single" w:sz="4" w:space="0" w:color="FFFFFF"/>
              <w:left w:val="nil"/>
              <w:bottom w:val="single" w:sz="4" w:space="0" w:color="FFFFFF"/>
              <w:right w:val="single" w:sz="4" w:space="0" w:color="FFFFFF"/>
            </w:tcBorders>
            <w:shd w:val="clear" w:color="000000" w:fill="FFFFFF"/>
            <w:vAlign w:val="center"/>
            <w:hideMark/>
          </w:tcPr>
          <w:p w14:paraId="1AE2C2B3"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w:t>
            </w:r>
          </w:p>
        </w:tc>
        <w:tc>
          <w:tcPr>
            <w:tcW w:w="912" w:type="dxa"/>
            <w:tcBorders>
              <w:top w:val="nil"/>
              <w:left w:val="nil"/>
              <w:bottom w:val="single" w:sz="4" w:space="0" w:color="FFFFFF"/>
              <w:right w:val="single" w:sz="4" w:space="0" w:color="FFFFFF"/>
            </w:tcBorders>
            <w:shd w:val="clear" w:color="000000" w:fill="FFFFFF"/>
            <w:vAlign w:val="center"/>
            <w:hideMark/>
          </w:tcPr>
          <w:p w14:paraId="08541DF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visual</w:t>
            </w:r>
          </w:p>
        </w:tc>
        <w:tc>
          <w:tcPr>
            <w:tcW w:w="983" w:type="dxa"/>
            <w:tcBorders>
              <w:top w:val="nil"/>
              <w:left w:val="nil"/>
              <w:bottom w:val="single" w:sz="4" w:space="0" w:color="FFFFFF"/>
              <w:right w:val="single" w:sz="4" w:space="0" w:color="FFFFFF"/>
            </w:tcBorders>
            <w:shd w:val="clear" w:color="000000" w:fill="FFFFFF"/>
            <w:vAlign w:val="center"/>
            <w:hideMark/>
          </w:tcPr>
          <w:p w14:paraId="1E0DD3B6"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992" w:type="dxa"/>
            <w:tcBorders>
              <w:top w:val="nil"/>
              <w:left w:val="nil"/>
              <w:bottom w:val="single" w:sz="4" w:space="0" w:color="FFFFFF"/>
              <w:right w:val="single" w:sz="4" w:space="0" w:color="FFFFFF"/>
            </w:tcBorders>
            <w:shd w:val="clear" w:color="000000" w:fill="FFFFFF"/>
            <w:vAlign w:val="center"/>
            <w:hideMark/>
          </w:tcPr>
          <w:p w14:paraId="137FBE31"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single" w:sz="4" w:space="0" w:color="FFFFFF"/>
            </w:tcBorders>
            <w:shd w:val="clear" w:color="000000" w:fill="FFFFFF"/>
            <w:vAlign w:val="center"/>
            <w:hideMark/>
          </w:tcPr>
          <w:p w14:paraId="26B025C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FFFFFF"/>
              <w:right w:val="nil"/>
            </w:tcBorders>
            <w:shd w:val="clear" w:color="000000" w:fill="FFFFFF"/>
            <w:vAlign w:val="center"/>
            <w:hideMark/>
          </w:tcPr>
          <w:p w14:paraId="4EA73F0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1.93 to 2.81</w:t>
            </w:r>
          </w:p>
        </w:tc>
      </w:tr>
      <w:tr w:rsidR="00585DB3" w:rsidRPr="00A77A06" w14:paraId="55D54B3E" w14:textId="77777777" w:rsidTr="00585DB3">
        <w:trPr>
          <w:trHeight w:val="380"/>
        </w:trPr>
        <w:tc>
          <w:tcPr>
            <w:tcW w:w="967" w:type="dxa"/>
            <w:tcBorders>
              <w:top w:val="nil"/>
              <w:left w:val="nil"/>
              <w:bottom w:val="single" w:sz="4" w:space="0" w:color="auto"/>
              <w:right w:val="single" w:sz="4" w:space="0" w:color="FFFFFF"/>
            </w:tcBorders>
            <w:shd w:val="clear" w:color="000000" w:fill="F2F2F2"/>
            <w:vAlign w:val="center"/>
            <w:hideMark/>
          </w:tcPr>
          <w:p w14:paraId="3E4FE18C"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Dollaghan (2011)</w:t>
            </w:r>
          </w:p>
        </w:tc>
        <w:tc>
          <w:tcPr>
            <w:tcW w:w="936" w:type="dxa"/>
            <w:tcBorders>
              <w:top w:val="nil"/>
              <w:left w:val="nil"/>
              <w:bottom w:val="single" w:sz="4" w:space="0" w:color="auto"/>
              <w:right w:val="single" w:sz="4" w:space="0" w:color="FFFFFF"/>
            </w:tcBorders>
            <w:shd w:val="clear" w:color="000000" w:fill="F2F2F2"/>
            <w:vAlign w:val="center"/>
            <w:hideMark/>
          </w:tcPr>
          <w:p w14:paraId="198C7DC5" w14:textId="77777777" w:rsidR="00A77A06" w:rsidRPr="00A77A06" w:rsidRDefault="00A77A06" w:rsidP="00A77A06">
            <w:pPr>
              <w:widowControl/>
              <w:rPr>
                <w:rFonts w:ascii="Arial" w:hAnsi="Arial" w:cs="Arial"/>
                <w:color w:val="000000"/>
                <w:sz w:val="16"/>
                <w:szCs w:val="16"/>
                <w:lang w:val="en-GB"/>
              </w:rPr>
            </w:pPr>
            <w:r w:rsidRPr="00A77A06">
              <w:rPr>
                <w:rFonts w:ascii="Arial" w:hAnsi="Arial" w:cs="Arial"/>
                <w:color w:val="000000"/>
                <w:sz w:val="16"/>
                <w:szCs w:val="16"/>
                <w:lang w:val="en-GB"/>
              </w:rPr>
              <w:t>SLI</w:t>
            </w:r>
          </w:p>
        </w:tc>
        <w:tc>
          <w:tcPr>
            <w:tcW w:w="1093" w:type="dxa"/>
            <w:tcBorders>
              <w:top w:val="nil"/>
              <w:left w:val="nil"/>
              <w:bottom w:val="single" w:sz="4" w:space="0" w:color="auto"/>
              <w:right w:val="single" w:sz="4" w:space="0" w:color="FFFFFF"/>
            </w:tcBorders>
            <w:shd w:val="clear" w:color="000000" w:fill="F2F2F2"/>
            <w:vAlign w:val="center"/>
            <w:hideMark/>
          </w:tcPr>
          <w:p w14:paraId="3DC1BF90"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disorder</w:t>
            </w:r>
          </w:p>
        </w:tc>
        <w:tc>
          <w:tcPr>
            <w:tcW w:w="1050" w:type="dxa"/>
            <w:tcBorders>
              <w:top w:val="nil"/>
              <w:left w:val="nil"/>
              <w:bottom w:val="single" w:sz="4" w:space="0" w:color="auto"/>
              <w:right w:val="single" w:sz="4" w:space="0" w:color="FFFFFF"/>
            </w:tcBorders>
            <w:shd w:val="clear" w:color="000000" w:fill="F2F2F2"/>
            <w:vAlign w:val="center"/>
            <w:hideMark/>
          </w:tcPr>
          <w:p w14:paraId="4CDEDEB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General population</w:t>
            </w:r>
          </w:p>
        </w:tc>
        <w:tc>
          <w:tcPr>
            <w:tcW w:w="1120" w:type="dxa"/>
            <w:tcBorders>
              <w:top w:val="nil"/>
              <w:left w:val="nil"/>
              <w:bottom w:val="single" w:sz="4" w:space="0" w:color="auto"/>
              <w:right w:val="single" w:sz="4" w:space="0" w:color="FFFFFF"/>
            </w:tcBorders>
            <w:shd w:val="clear" w:color="000000" w:fill="F2F2F2"/>
            <w:vAlign w:val="center"/>
            <w:hideMark/>
          </w:tcPr>
          <w:p w14:paraId="1D12DF6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children</w:t>
            </w:r>
          </w:p>
        </w:tc>
        <w:tc>
          <w:tcPr>
            <w:tcW w:w="1071" w:type="dxa"/>
            <w:tcBorders>
              <w:top w:val="nil"/>
              <w:left w:val="nil"/>
              <w:bottom w:val="single" w:sz="4" w:space="0" w:color="auto"/>
              <w:right w:val="single" w:sz="4" w:space="0" w:color="FFFFFF"/>
            </w:tcBorders>
            <w:shd w:val="clear" w:color="000000" w:fill="F2F2F2"/>
            <w:vAlign w:val="center"/>
            <w:hideMark/>
          </w:tcPr>
          <w:p w14:paraId="78126DB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1203" w:type="dxa"/>
            <w:tcBorders>
              <w:top w:val="nil"/>
              <w:left w:val="nil"/>
              <w:bottom w:val="single" w:sz="4" w:space="0" w:color="auto"/>
              <w:right w:val="single" w:sz="4" w:space="0" w:color="FFFFFF"/>
            </w:tcBorders>
            <w:shd w:val="clear" w:color="000000" w:fill="F2F2F2"/>
            <w:vAlign w:val="center"/>
            <w:hideMark/>
          </w:tcPr>
          <w:p w14:paraId="76077E0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no</w:t>
            </w:r>
          </w:p>
        </w:tc>
        <w:tc>
          <w:tcPr>
            <w:tcW w:w="798" w:type="dxa"/>
            <w:tcBorders>
              <w:top w:val="nil"/>
              <w:left w:val="nil"/>
              <w:bottom w:val="single" w:sz="4" w:space="0" w:color="auto"/>
              <w:right w:val="single" w:sz="4" w:space="0" w:color="FFFFFF"/>
            </w:tcBorders>
            <w:shd w:val="clear" w:color="000000" w:fill="F2F2F2"/>
            <w:vAlign w:val="center"/>
            <w:hideMark/>
          </w:tcPr>
          <w:p w14:paraId="187C0667"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601</w:t>
            </w:r>
          </w:p>
        </w:tc>
        <w:tc>
          <w:tcPr>
            <w:tcW w:w="1123" w:type="dxa"/>
            <w:tcBorders>
              <w:top w:val="nil"/>
              <w:left w:val="nil"/>
              <w:bottom w:val="single" w:sz="4" w:space="0" w:color="auto"/>
              <w:right w:val="single" w:sz="4" w:space="0" w:color="FFFFFF"/>
            </w:tcBorders>
            <w:shd w:val="clear" w:color="000000" w:fill="F2F2F2"/>
            <w:vAlign w:val="center"/>
            <w:hideMark/>
          </w:tcPr>
          <w:p w14:paraId="690E681F"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1</w:t>
            </w:r>
          </w:p>
        </w:tc>
        <w:tc>
          <w:tcPr>
            <w:tcW w:w="1212" w:type="dxa"/>
            <w:tcBorders>
              <w:top w:val="nil"/>
              <w:left w:val="nil"/>
              <w:bottom w:val="single" w:sz="4" w:space="0" w:color="auto"/>
              <w:right w:val="single" w:sz="4" w:space="0" w:color="FFFFFF"/>
            </w:tcBorders>
            <w:shd w:val="clear" w:color="000000" w:fill="F2F2F2"/>
            <w:vAlign w:val="center"/>
            <w:hideMark/>
          </w:tcPr>
          <w:p w14:paraId="68BD4AC5"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MAMBAC</w:t>
            </w:r>
          </w:p>
        </w:tc>
        <w:tc>
          <w:tcPr>
            <w:tcW w:w="912" w:type="dxa"/>
            <w:tcBorders>
              <w:top w:val="nil"/>
              <w:left w:val="nil"/>
              <w:bottom w:val="single" w:sz="4" w:space="0" w:color="auto"/>
              <w:right w:val="single" w:sz="4" w:space="0" w:color="FFFFFF"/>
            </w:tcBorders>
            <w:shd w:val="clear" w:color="000000" w:fill="F2F2F2"/>
            <w:vAlign w:val="center"/>
            <w:hideMark/>
          </w:tcPr>
          <w:p w14:paraId="40EA5BC8"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visual</w:t>
            </w:r>
          </w:p>
        </w:tc>
        <w:tc>
          <w:tcPr>
            <w:tcW w:w="983" w:type="dxa"/>
            <w:tcBorders>
              <w:top w:val="nil"/>
              <w:left w:val="nil"/>
              <w:bottom w:val="single" w:sz="4" w:space="0" w:color="auto"/>
              <w:right w:val="single" w:sz="4" w:space="0" w:color="FFFFFF"/>
            </w:tcBorders>
            <w:shd w:val="clear" w:color="000000" w:fill="F2F2F2"/>
            <w:vAlign w:val="center"/>
            <w:hideMark/>
          </w:tcPr>
          <w:p w14:paraId="79CFD6E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2</w:t>
            </w:r>
          </w:p>
        </w:tc>
        <w:tc>
          <w:tcPr>
            <w:tcW w:w="992" w:type="dxa"/>
            <w:tcBorders>
              <w:top w:val="nil"/>
              <w:left w:val="nil"/>
              <w:bottom w:val="single" w:sz="4" w:space="0" w:color="auto"/>
              <w:right w:val="single" w:sz="4" w:space="0" w:color="FFFFFF"/>
            </w:tcBorders>
            <w:shd w:val="clear" w:color="000000" w:fill="F2F2F2"/>
            <w:vAlign w:val="center"/>
            <w:hideMark/>
          </w:tcPr>
          <w:p w14:paraId="3575490B"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auto"/>
              <w:right w:val="single" w:sz="4" w:space="0" w:color="FFFFFF"/>
            </w:tcBorders>
            <w:shd w:val="clear" w:color="000000" w:fill="F2F2F2"/>
            <w:vAlign w:val="center"/>
            <w:hideMark/>
          </w:tcPr>
          <w:p w14:paraId="6F800A14"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unreported</w:t>
            </w:r>
          </w:p>
        </w:tc>
        <w:tc>
          <w:tcPr>
            <w:tcW w:w="992" w:type="dxa"/>
            <w:tcBorders>
              <w:top w:val="nil"/>
              <w:left w:val="nil"/>
              <w:bottom w:val="single" w:sz="4" w:space="0" w:color="auto"/>
              <w:right w:val="nil"/>
            </w:tcBorders>
            <w:shd w:val="clear" w:color="000000" w:fill="F2F2F2"/>
            <w:vAlign w:val="center"/>
            <w:hideMark/>
          </w:tcPr>
          <w:p w14:paraId="1E0F8E5D" w14:textId="77777777" w:rsidR="00A77A06" w:rsidRPr="00A77A06" w:rsidRDefault="00A77A06" w:rsidP="00A77A06">
            <w:pPr>
              <w:widowControl/>
              <w:jc w:val="center"/>
              <w:rPr>
                <w:rFonts w:ascii="Arial" w:hAnsi="Arial" w:cs="Arial"/>
                <w:color w:val="000000"/>
                <w:sz w:val="16"/>
                <w:szCs w:val="16"/>
                <w:lang w:val="en-GB"/>
              </w:rPr>
            </w:pPr>
            <w:r w:rsidRPr="00A77A06">
              <w:rPr>
                <w:rFonts w:ascii="Arial" w:hAnsi="Arial" w:cs="Arial"/>
                <w:color w:val="000000"/>
                <w:sz w:val="16"/>
                <w:szCs w:val="16"/>
                <w:lang w:val="en-GB"/>
              </w:rPr>
              <w:t>3.47 to 3.52</w:t>
            </w:r>
          </w:p>
        </w:tc>
      </w:tr>
    </w:tbl>
    <w:p w14:paraId="00000092" w14:textId="79FFAFF5" w:rsidR="007D2FA2" w:rsidRDefault="00000000">
      <w:pPr>
        <w:spacing w:line="480" w:lineRule="auto"/>
        <w:rPr>
          <w:i/>
          <w:sz w:val="24"/>
          <w:szCs w:val="24"/>
        </w:rPr>
      </w:pPr>
      <w:r>
        <w:rPr>
          <w:i/>
          <w:sz w:val="24"/>
          <w:szCs w:val="24"/>
        </w:rPr>
        <w:t>Overview summary of the reviewed article</w:t>
      </w:r>
      <w:r w:rsidR="009048AB">
        <w:rPr>
          <w:i/>
          <w:sz w:val="24"/>
          <w:szCs w:val="24"/>
        </w:rPr>
        <w:t>s</w:t>
      </w:r>
      <w:r>
        <w:rPr>
          <w:i/>
          <w:sz w:val="24"/>
          <w:szCs w:val="24"/>
        </w:rPr>
        <w:t>.</w:t>
      </w:r>
      <w:r w:rsidR="009048AB">
        <w:rPr>
          <w:i/>
          <w:sz w:val="24"/>
          <w:szCs w:val="24"/>
        </w:rPr>
        <w:t xml:space="preserve"> Methodological </w:t>
      </w:r>
      <w:r w:rsidR="009824E1">
        <w:rPr>
          <w:i/>
          <w:sz w:val="24"/>
          <w:szCs w:val="24"/>
        </w:rPr>
        <w:t>variables</w:t>
      </w:r>
      <w:r w:rsidR="008F559E">
        <w:rPr>
          <w:i/>
          <w:sz w:val="24"/>
          <w:szCs w:val="24"/>
        </w:rPr>
        <w:t xml:space="preserve"> </w:t>
      </w:r>
      <w:r w:rsidR="009048AB">
        <w:rPr>
          <w:i/>
          <w:sz w:val="24"/>
          <w:szCs w:val="24"/>
        </w:rPr>
        <w:t xml:space="preserve">serve </w:t>
      </w:r>
      <w:r w:rsidR="00DA384E">
        <w:rPr>
          <w:i/>
          <w:sz w:val="24"/>
          <w:szCs w:val="24"/>
        </w:rPr>
        <w:t xml:space="preserve">as </w:t>
      </w:r>
      <w:r w:rsidR="009048AB">
        <w:rPr>
          <w:i/>
          <w:sz w:val="24"/>
          <w:szCs w:val="24"/>
        </w:rPr>
        <w:t xml:space="preserve">ad hoc risk of bias assessment. </w:t>
      </w:r>
    </w:p>
    <w:p w14:paraId="70A69D0B" w14:textId="400F0EE7" w:rsidR="00564FF4" w:rsidRDefault="00564FF4">
      <w:pPr>
        <w:rPr>
          <w:b/>
          <w:sz w:val="24"/>
          <w:szCs w:val="24"/>
        </w:rPr>
      </w:pPr>
      <w:bookmarkStart w:id="49" w:name="_heading=h.lxv93dp4w8r8" w:colFirst="0" w:colLast="0"/>
      <w:bookmarkEnd w:id="49"/>
      <w:r w:rsidRPr="00564FF4">
        <w:rPr>
          <w:bCs/>
          <w:i/>
          <w:iCs/>
          <w:sz w:val="20"/>
          <w:szCs w:val="20"/>
        </w:rPr>
        <w:t>Note.</w:t>
      </w:r>
      <w:r w:rsidRPr="00564FF4">
        <w:rPr>
          <w:bCs/>
          <w:sz w:val="20"/>
          <w:szCs w:val="20"/>
        </w:rPr>
        <w:t xml:space="preserve"> *</w:t>
      </w:r>
      <w:r w:rsidR="00FA16E3">
        <w:rPr>
          <w:bCs/>
          <w:sz w:val="20"/>
          <w:szCs w:val="20"/>
        </w:rPr>
        <w:t>compound</w:t>
      </w:r>
      <w:r w:rsidR="005164BF">
        <w:rPr>
          <w:bCs/>
          <w:sz w:val="20"/>
          <w:szCs w:val="20"/>
        </w:rPr>
        <w:t xml:space="preserve"> sampling</w:t>
      </w:r>
      <w:r>
        <w:rPr>
          <w:bCs/>
          <w:sz w:val="20"/>
          <w:szCs w:val="20"/>
        </w:rPr>
        <w:t xml:space="preserve"> cannot in principle be ruled out when </w:t>
      </w:r>
      <w:r w:rsidR="00765191">
        <w:rPr>
          <w:bCs/>
          <w:sz w:val="20"/>
          <w:szCs w:val="20"/>
        </w:rPr>
        <w:t>targeting</w:t>
      </w:r>
      <w:r w:rsidR="00CC4178">
        <w:rPr>
          <w:bCs/>
          <w:sz w:val="20"/>
          <w:szCs w:val="20"/>
        </w:rPr>
        <w:t xml:space="preserve"> subtypes within </w:t>
      </w:r>
      <w:r w:rsidR="007E1C4F">
        <w:rPr>
          <w:bCs/>
          <w:sz w:val="20"/>
          <w:szCs w:val="20"/>
        </w:rPr>
        <w:t>entirely</w:t>
      </w:r>
      <w:r w:rsidR="00CC4178">
        <w:rPr>
          <w:bCs/>
          <w:sz w:val="20"/>
          <w:szCs w:val="20"/>
        </w:rPr>
        <w:t xml:space="preserve"> clinical</w:t>
      </w:r>
      <w:r w:rsidR="00646432">
        <w:rPr>
          <w:bCs/>
          <w:sz w:val="20"/>
          <w:szCs w:val="20"/>
        </w:rPr>
        <w:t>ly diagnosed</w:t>
      </w:r>
      <w:r w:rsidR="00CC4178">
        <w:rPr>
          <w:bCs/>
          <w:sz w:val="20"/>
          <w:szCs w:val="20"/>
        </w:rPr>
        <w:t xml:space="preserve"> samples</w:t>
      </w:r>
      <w:r w:rsidR="00A747C7">
        <w:rPr>
          <w:bCs/>
          <w:sz w:val="20"/>
          <w:szCs w:val="20"/>
        </w:rPr>
        <w:t xml:space="preserve">, </w:t>
      </w:r>
      <w:r w:rsidR="00214E9C">
        <w:rPr>
          <w:bCs/>
          <w:sz w:val="20"/>
          <w:szCs w:val="20"/>
        </w:rPr>
        <w:t>as explained</w:t>
      </w:r>
      <w:r w:rsidR="00A747C7">
        <w:rPr>
          <w:bCs/>
          <w:sz w:val="20"/>
          <w:szCs w:val="20"/>
        </w:rPr>
        <w:t xml:space="preserve"> in the Discussion</w:t>
      </w:r>
      <w:r>
        <w:br w:type="page"/>
      </w:r>
    </w:p>
    <w:p w14:paraId="00000175" w14:textId="4FAE66B2" w:rsidR="007D2FA2" w:rsidRDefault="00000000">
      <w:pPr>
        <w:pStyle w:val="Heading1"/>
        <w:spacing w:before="0" w:line="480" w:lineRule="auto"/>
      </w:pPr>
      <w:r>
        <w:lastRenderedPageBreak/>
        <w:t>Figure 1</w:t>
      </w:r>
    </w:p>
    <w:p w14:paraId="00000176" w14:textId="77777777" w:rsidR="007D2FA2" w:rsidRDefault="00000000">
      <w:pPr>
        <w:spacing w:line="480" w:lineRule="auto"/>
        <w:rPr>
          <w:i/>
          <w:sz w:val="24"/>
          <w:szCs w:val="24"/>
        </w:rPr>
        <w:sectPr w:rsidR="007D2FA2">
          <w:pgSz w:w="15840" w:h="12240" w:orient="landscape"/>
          <w:pgMar w:top="1440" w:right="1440" w:bottom="1440" w:left="1412" w:header="669" w:footer="0" w:gutter="0"/>
          <w:cols w:space="720"/>
        </w:sectPr>
      </w:pPr>
      <w:bookmarkStart w:id="50" w:name="_heading=h.eut5h0tugup4" w:colFirst="0" w:colLast="0"/>
      <w:bookmarkEnd w:id="50"/>
      <w:r>
        <w:rPr>
          <w:i/>
          <w:sz w:val="24"/>
          <w:szCs w:val="24"/>
        </w:rPr>
        <w:t>PRISMA 2020 flow diagram illustrating the study screening and selection process</w:t>
      </w:r>
      <w:r>
        <w:rPr>
          <w:noProof/>
        </w:rPr>
        <w:drawing>
          <wp:anchor distT="0" distB="0" distL="0" distR="0" simplePos="0" relativeHeight="251658240" behindDoc="0" locked="0" layoutInCell="1" hidden="0" allowOverlap="1" wp14:anchorId="658CFFC4" wp14:editId="6D3CFD75">
            <wp:simplePos x="0" y="0"/>
            <wp:positionH relativeFrom="column">
              <wp:posOffset>55244</wp:posOffset>
            </wp:positionH>
            <wp:positionV relativeFrom="paragraph">
              <wp:posOffset>217170</wp:posOffset>
            </wp:positionV>
            <wp:extent cx="8595360" cy="5010150"/>
            <wp:effectExtent l="0" t="0" r="0" b="0"/>
            <wp:wrapTopAndBottom distT="0" dist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0"/>
                    <a:srcRect/>
                    <a:stretch>
                      <a:fillRect/>
                    </a:stretch>
                  </pic:blipFill>
                  <pic:spPr>
                    <a:xfrm>
                      <a:off x="0" y="0"/>
                      <a:ext cx="8595360" cy="5010150"/>
                    </a:xfrm>
                    <a:prstGeom prst="rect">
                      <a:avLst/>
                    </a:prstGeom>
                    <a:ln/>
                  </pic:spPr>
                </pic:pic>
              </a:graphicData>
            </a:graphic>
          </wp:anchor>
        </w:drawing>
      </w:r>
    </w:p>
    <w:p w14:paraId="00000177" w14:textId="77777777" w:rsidR="007D2FA2" w:rsidRDefault="00000000">
      <w:pPr>
        <w:pStyle w:val="Heading1"/>
        <w:spacing w:before="0" w:line="480" w:lineRule="auto"/>
      </w:pPr>
      <w:r>
        <w:lastRenderedPageBreak/>
        <w:t>Figure 2</w:t>
      </w:r>
    </w:p>
    <w:p w14:paraId="00000178" w14:textId="6D2B14E1" w:rsidR="00186452" w:rsidRDefault="00DE6904">
      <w:pPr>
        <w:spacing w:line="480" w:lineRule="auto"/>
        <w:ind w:right="357"/>
        <w:rPr>
          <w:i/>
          <w:sz w:val="24"/>
          <w:szCs w:val="24"/>
        </w:rPr>
      </w:pPr>
      <w:r>
        <w:rPr>
          <w:noProof/>
        </w:rPr>
        <w:drawing>
          <wp:anchor distT="0" distB="0" distL="0" distR="0" simplePos="0" relativeHeight="251659264" behindDoc="0" locked="0" layoutInCell="1" hidden="0" allowOverlap="1" wp14:anchorId="57D469FD" wp14:editId="38EAF602">
            <wp:simplePos x="0" y="0"/>
            <wp:positionH relativeFrom="column">
              <wp:posOffset>819150</wp:posOffset>
            </wp:positionH>
            <wp:positionV relativeFrom="paragraph">
              <wp:posOffset>638175</wp:posOffset>
            </wp:positionV>
            <wp:extent cx="6858000" cy="4629150"/>
            <wp:effectExtent l="0" t="0" r="0" b="0"/>
            <wp:wrapTopAndBottom distT="0" dist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1"/>
                    <a:srcRect/>
                    <a:stretch>
                      <a:fillRect/>
                    </a:stretch>
                  </pic:blipFill>
                  <pic:spPr>
                    <a:xfrm>
                      <a:off x="0" y="0"/>
                      <a:ext cx="6858000" cy="4629150"/>
                    </a:xfrm>
                    <a:prstGeom prst="rect">
                      <a:avLst/>
                    </a:prstGeom>
                    <a:ln/>
                  </pic:spPr>
                </pic:pic>
              </a:graphicData>
            </a:graphic>
          </wp:anchor>
        </w:drawing>
      </w:r>
      <w:r>
        <w:rPr>
          <w:i/>
          <w:sz w:val="24"/>
          <w:szCs w:val="24"/>
        </w:rPr>
        <w:t>A simulated example of artificial admixture, where a large number of individuals with a diagnosis are separately recruited and added to the sample (total N = 2000). The true underlying structure is strictly dimensional.</w:t>
      </w:r>
    </w:p>
    <w:p w14:paraId="28CCE743" w14:textId="77777777" w:rsidR="00186452" w:rsidRDefault="00186452">
      <w:pPr>
        <w:rPr>
          <w:i/>
          <w:sz w:val="24"/>
          <w:szCs w:val="24"/>
        </w:rPr>
      </w:pPr>
      <w:r>
        <w:rPr>
          <w:i/>
          <w:sz w:val="24"/>
          <w:szCs w:val="24"/>
        </w:rPr>
        <w:br w:type="page"/>
      </w:r>
    </w:p>
    <w:p w14:paraId="78B226D7" w14:textId="77777777" w:rsidR="00186452" w:rsidRDefault="00186452" w:rsidP="00186452">
      <w:pPr>
        <w:spacing w:line="480" w:lineRule="auto"/>
        <w:rPr>
          <w:b/>
          <w:bCs/>
          <w:sz w:val="24"/>
          <w:szCs w:val="24"/>
        </w:rPr>
        <w:sectPr w:rsidR="00186452">
          <w:pgSz w:w="15840" w:h="12240" w:orient="landscape"/>
          <w:pgMar w:top="1440" w:right="1440" w:bottom="1440" w:left="1412" w:header="669" w:footer="0" w:gutter="0"/>
          <w:cols w:space="720"/>
        </w:sectPr>
      </w:pPr>
    </w:p>
    <w:p w14:paraId="57D0C1FE" w14:textId="77777777" w:rsidR="00186452" w:rsidRPr="009E6A5F" w:rsidRDefault="00186452" w:rsidP="00186452">
      <w:pPr>
        <w:spacing w:line="480" w:lineRule="auto"/>
        <w:rPr>
          <w:b/>
          <w:bCs/>
          <w:sz w:val="24"/>
          <w:szCs w:val="24"/>
        </w:rPr>
      </w:pPr>
      <w:r w:rsidRPr="009E6A5F">
        <w:rPr>
          <w:b/>
          <w:bCs/>
          <w:sz w:val="24"/>
          <w:szCs w:val="24"/>
        </w:rPr>
        <w:lastRenderedPageBreak/>
        <w:t>Key points</w:t>
      </w:r>
    </w:p>
    <w:p w14:paraId="7EAF0024" w14:textId="77777777" w:rsidR="00186452" w:rsidRDefault="00186452" w:rsidP="00186452">
      <w:pPr>
        <w:spacing w:line="480" w:lineRule="auto"/>
        <w:rPr>
          <w:bCs/>
          <w:sz w:val="24"/>
          <w:szCs w:val="24"/>
          <w:lang w:val="en-GB"/>
        </w:rPr>
      </w:pPr>
      <w:r w:rsidRPr="007A11C0">
        <w:rPr>
          <w:b/>
          <w:i/>
          <w:iCs/>
          <w:sz w:val="24"/>
          <w:szCs w:val="24"/>
          <w:lang w:val="en-GB"/>
        </w:rPr>
        <w:t>What’s known</w:t>
      </w:r>
      <w:r w:rsidRPr="007A11C0">
        <w:rPr>
          <w:b/>
          <w:sz w:val="24"/>
          <w:szCs w:val="24"/>
          <w:lang w:val="en-GB"/>
        </w:rPr>
        <w:t>:</w:t>
      </w:r>
      <w:r w:rsidRPr="009E6A5F">
        <w:rPr>
          <w:bCs/>
          <w:sz w:val="24"/>
          <w:szCs w:val="24"/>
          <w:lang w:val="en-GB"/>
        </w:rPr>
        <w:t xml:space="preserve"> </w:t>
      </w:r>
      <w:r>
        <w:rPr>
          <w:bCs/>
          <w:sz w:val="24"/>
          <w:szCs w:val="24"/>
          <w:lang w:val="en-GB"/>
        </w:rPr>
        <w:t xml:space="preserve">Neurodevelopmental diagnostic categories have recently been questioned in favour of dimensional models. </w:t>
      </w:r>
      <w:r w:rsidRPr="009E6A5F">
        <w:rPr>
          <w:bCs/>
          <w:sz w:val="24"/>
          <w:szCs w:val="24"/>
          <w:lang w:val="en-GB"/>
        </w:rPr>
        <w:t>Tax</w:t>
      </w:r>
      <w:r>
        <w:rPr>
          <w:bCs/>
          <w:sz w:val="24"/>
          <w:szCs w:val="24"/>
          <w:lang w:val="en-GB"/>
        </w:rPr>
        <w:t xml:space="preserve">ometric analysis is explicitly designed to test whether disorders are categorical or dimensional in nature. </w:t>
      </w:r>
    </w:p>
    <w:p w14:paraId="1AA5613D" w14:textId="77777777" w:rsidR="00186452" w:rsidRDefault="00186452" w:rsidP="00186452">
      <w:pPr>
        <w:spacing w:line="480" w:lineRule="auto"/>
        <w:rPr>
          <w:bCs/>
          <w:sz w:val="24"/>
          <w:szCs w:val="24"/>
          <w:lang w:val="en-GB"/>
        </w:rPr>
      </w:pPr>
      <w:r w:rsidRPr="007A11C0">
        <w:rPr>
          <w:b/>
          <w:i/>
          <w:iCs/>
          <w:sz w:val="24"/>
          <w:szCs w:val="24"/>
          <w:lang w:val="en-GB"/>
        </w:rPr>
        <w:t>What’s new</w:t>
      </w:r>
      <w:r w:rsidRPr="007A11C0">
        <w:rPr>
          <w:b/>
          <w:sz w:val="24"/>
          <w:szCs w:val="24"/>
          <w:lang w:val="en-GB"/>
        </w:rPr>
        <w:t>:</w:t>
      </w:r>
      <w:r>
        <w:rPr>
          <w:bCs/>
          <w:sz w:val="24"/>
          <w:szCs w:val="24"/>
          <w:lang w:val="en-GB"/>
        </w:rPr>
        <w:t xml:space="preserve"> We identified 14 studies on different neurodevelopmental conditions. ADHD is consistently associated with dimensional findings. C</w:t>
      </w:r>
      <w:r w:rsidRPr="007A11C0">
        <w:rPr>
          <w:bCs/>
          <w:sz w:val="24"/>
          <w:szCs w:val="24"/>
          <w:lang w:val="en-GB"/>
        </w:rPr>
        <w:t>ategorical conclusions</w:t>
      </w:r>
      <w:r>
        <w:rPr>
          <w:bCs/>
          <w:sz w:val="24"/>
          <w:szCs w:val="24"/>
          <w:lang w:val="en-GB"/>
        </w:rPr>
        <w:t xml:space="preserve">, </w:t>
      </w:r>
      <w:r w:rsidRPr="007A11C0">
        <w:rPr>
          <w:bCs/>
          <w:sz w:val="24"/>
          <w:szCs w:val="24"/>
          <w:lang w:val="en-GB"/>
        </w:rPr>
        <w:t>especially for autis</w:t>
      </w:r>
      <w:r>
        <w:rPr>
          <w:bCs/>
          <w:sz w:val="24"/>
          <w:szCs w:val="24"/>
          <w:lang w:val="en-GB"/>
        </w:rPr>
        <w:t>m and disorders’ subtypes, are</w:t>
      </w:r>
      <w:r w:rsidRPr="007A11C0">
        <w:rPr>
          <w:bCs/>
          <w:sz w:val="24"/>
          <w:szCs w:val="24"/>
          <w:lang w:val="en-GB"/>
        </w:rPr>
        <w:t xml:space="preserve"> </w:t>
      </w:r>
      <w:r>
        <w:rPr>
          <w:bCs/>
          <w:sz w:val="24"/>
          <w:szCs w:val="24"/>
          <w:lang w:val="en-GB"/>
        </w:rPr>
        <w:t>mostly</w:t>
      </w:r>
      <w:r w:rsidRPr="007A11C0">
        <w:rPr>
          <w:bCs/>
          <w:sz w:val="24"/>
          <w:szCs w:val="24"/>
          <w:lang w:val="en-GB"/>
        </w:rPr>
        <w:t xml:space="preserve"> linked to artificial admixture, which our simulations show can create false taxonic resul</w:t>
      </w:r>
      <w:r>
        <w:rPr>
          <w:bCs/>
          <w:sz w:val="24"/>
          <w:szCs w:val="24"/>
          <w:lang w:val="en-GB"/>
        </w:rPr>
        <w:t>ts.</w:t>
      </w:r>
    </w:p>
    <w:p w14:paraId="559013E3" w14:textId="77777777" w:rsidR="00186452" w:rsidRPr="007A11C0" w:rsidRDefault="00186452" w:rsidP="00186452">
      <w:pPr>
        <w:spacing w:line="480" w:lineRule="auto"/>
        <w:rPr>
          <w:bCs/>
          <w:sz w:val="24"/>
          <w:szCs w:val="24"/>
          <w:lang w:val="en-GB"/>
        </w:rPr>
      </w:pPr>
      <w:r w:rsidRPr="007A11C0">
        <w:rPr>
          <w:b/>
          <w:i/>
          <w:iCs/>
          <w:sz w:val="24"/>
          <w:szCs w:val="24"/>
          <w:lang w:val="en-GB"/>
        </w:rPr>
        <w:t>What’s relevant:</w:t>
      </w:r>
      <w:r w:rsidRPr="007A11C0">
        <w:rPr>
          <w:bCs/>
          <w:i/>
          <w:iCs/>
          <w:sz w:val="24"/>
          <w:szCs w:val="24"/>
          <w:lang w:val="en-GB"/>
        </w:rPr>
        <w:t xml:space="preserve"> </w:t>
      </w:r>
      <w:r>
        <w:rPr>
          <w:bCs/>
          <w:sz w:val="24"/>
          <w:szCs w:val="24"/>
          <w:lang w:val="en-GB"/>
        </w:rPr>
        <w:t xml:space="preserve">Robust evidence supports dimensionality for ADHD, and partly for language impairment, while taxonic claims for autism are methodologically undermined. </w:t>
      </w:r>
      <w:r w:rsidRPr="007A11C0">
        <w:rPr>
          <w:bCs/>
          <w:sz w:val="24"/>
          <w:szCs w:val="24"/>
          <w:lang w:val="en-GB"/>
        </w:rPr>
        <w:t xml:space="preserve">Avoiding admixture is essential for </w:t>
      </w:r>
      <w:r>
        <w:rPr>
          <w:bCs/>
          <w:sz w:val="24"/>
          <w:szCs w:val="24"/>
          <w:lang w:val="en-GB"/>
        </w:rPr>
        <w:t>our understanding of neurodevelopmental conditions</w:t>
      </w:r>
      <w:r w:rsidRPr="007A11C0">
        <w:rPr>
          <w:bCs/>
          <w:sz w:val="24"/>
          <w:szCs w:val="24"/>
          <w:lang w:val="en-GB"/>
        </w:rPr>
        <w:t>, informing diagnostic policy</w:t>
      </w:r>
      <w:r>
        <w:rPr>
          <w:bCs/>
          <w:sz w:val="24"/>
          <w:szCs w:val="24"/>
          <w:lang w:val="en-GB"/>
        </w:rPr>
        <w:t xml:space="preserve"> and manuals</w:t>
      </w:r>
      <w:r w:rsidRPr="007A11C0">
        <w:rPr>
          <w:bCs/>
          <w:sz w:val="24"/>
          <w:szCs w:val="24"/>
          <w:lang w:val="en-GB"/>
        </w:rPr>
        <w:t>, and improving research.</w:t>
      </w:r>
    </w:p>
    <w:p w14:paraId="1357C42F" w14:textId="77777777" w:rsidR="00186452" w:rsidRPr="009E6A5F" w:rsidRDefault="00186452" w:rsidP="00186452">
      <w:pPr>
        <w:spacing w:line="480" w:lineRule="auto"/>
        <w:rPr>
          <w:b/>
          <w:sz w:val="24"/>
          <w:szCs w:val="24"/>
        </w:rPr>
      </w:pPr>
    </w:p>
    <w:p w14:paraId="290DF4F3" w14:textId="77777777" w:rsidR="00186452" w:rsidRPr="009E6A5F" w:rsidRDefault="00186452" w:rsidP="00186452">
      <w:pPr>
        <w:spacing w:line="480" w:lineRule="auto"/>
        <w:rPr>
          <w:b/>
          <w:sz w:val="24"/>
          <w:szCs w:val="24"/>
        </w:rPr>
      </w:pPr>
      <w:r w:rsidRPr="009E6A5F">
        <w:rPr>
          <w:b/>
          <w:sz w:val="24"/>
          <w:szCs w:val="24"/>
        </w:rPr>
        <w:t>Conflict of interest</w:t>
      </w:r>
    </w:p>
    <w:p w14:paraId="177AD8C2" w14:textId="451E2CD4" w:rsidR="00186452" w:rsidRPr="009E6A5F" w:rsidRDefault="00186452" w:rsidP="00186452">
      <w:pPr>
        <w:spacing w:line="480" w:lineRule="auto"/>
        <w:rPr>
          <w:bCs/>
          <w:sz w:val="24"/>
          <w:szCs w:val="24"/>
        </w:rPr>
      </w:pPr>
      <w:r w:rsidRPr="009E6A5F">
        <w:rPr>
          <w:bCs/>
          <w:sz w:val="24"/>
          <w:szCs w:val="24"/>
        </w:rPr>
        <w:t>The authors declare no conflict of interest</w:t>
      </w:r>
      <w:r>
        <w:rPr>
          <w:bCs/>
          <w:sz w:val="24"/>
          <w:szCs w:val="24"/>
        </w:rPr>
        <w:t>.</w:t>
      </w:r>
    </w:p>
    <w:sectPr w:rsidR="00186452" w:rsidRPr="009E6A5F" w:rsidSect="00186452">
      <w:pgSz w:w="12240" w:h="15840"/>
      <w:pgMar w:top="1440" w:right="1440" w:bottom="1412" w:left="1440" w:header="66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5B35D" w14:textId="77777777" w:rsidR="00AB2CF1" w:rsidRDefault="00AB2CF1">
      <w:r>
        <w:separator/>
      </w:r>
    </w:p>
  </w:endnote>
  <w:endnote w:type="continuationSeparator" w:id="0">
    <w:p w14:paraId="6499CEC0" w14:textId="77777777" w:rsidR="00AB2CF1" w:rsidRDefault="00AB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A8EB" w14:textId="77777777" w:rsidR="00CD6338" w:rsidRDefault="00CD6338">
    <w:pPr>
      <w:pStyle w:val="Footer"/>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n-GB"/>
      </w:rPr>
      <w:t>2</w:t>
    </w:r>
    <w:r>
      <w:rPr>
        <w:caps/>
        <w:color w:val="4F81BD" w:themeColor="accent1"/>
      </w:rPr>
      <w:fldChar w:fldCharType="end"/>
    </w:r>
  </w:p>
  <w:p w14:paraId="2BCA8E39" w14:textId="77777777" w:rsidR="00CD6338" w:rsidRDefault="00CD6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233E5" w14:textId="77777777" w:rsidR="00AB2CF1" w:rsidRDefault="00AB2CF1">
      <w:r>
        <w:separator/>
      </w:r>
    </w:p>
  </w:footnote>
  <w:footnote w:type="continuationSeparator" w:id="0">
    <w:p w14:paraId="55275BB2" w14:textId="77777777" w:rsidR="00AB2CF1" w:rsidRDefault="00AB2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79" w14:textId="77777777" w:rsidR="007D2FA2" w:rsidRDefault="00000000">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244ADA40" wp14:editId="278A8E76">
              <wp:simplePos x="0" y="0"/>
              <wp:positionH relativeFrom="page">
                <wp:posOffset>584936</wp:posOffset>
              </wp:positionH>
              <wp:positionV relativeFrom="page">
                <wp:posOffset>334848</wp:posOffset>
              </wp:positionV>
              <wp:extent cx="5318125" cy="228600"/>
              <wp:effectExtent l="0" t="0" r="0" b="0"/>
              <wp:wrapNone/>
              <wp:docPr id="11" name="Rectangle 11"/>
              <wp:cNvGraphicFramePr/>
              <a:graphic xmlns:a="http://schemas.openxmlformats.org/drawingml/2006/main">
                <a:graphicData uri="http://schemas.microsoft.com/office/word/2010/wordprocessingShape">
                  <wps:wsp>
                    <wps:cNvSpPr/>
                    <wps:spPr>
                      <a:xfrm>
                        <a:off x="0" y="0"/>
                        <a:ext cx="5318125" cy="228600"/>
                      </a:xfrm>
                      <a:prstGeom prst="rect">
                        <a:avLst/>
                      </a:prstGeom>
                      <a:noFill/>
                      <a:ln>
                        <a:noFill/>
                      </a:ln>
                    </wps:spPr>
                    <wps:txbx>
                      <w:txbxContent>
                        <w:p w14:paraId="555495FD" w14:textId="77777777" w:rsidR="007D2FA2" w:rsidRPr="00AD7A44" w:rsidRDefault="00000000">
                          <w:pPr>
                            <w:spacing w:before="48"/>
                            <w:ind w:left="20" w:firstLine="20"/>
                            <w:textDirection w:val="btLr"/>
                            <w:rPr>
                              <w:sz w:val="20"/>
                              <w:szCs w:val="20"/>
                            </w:rPr>
                          </w:pPr>
                          <w:r w:rsidRPr="00AD7A44">
                            <w:rPr>
                              <w:color w:val="000000"/>
                              <w:szCs w:val="20"/>
                            </w:rPr>
                            <w:t>TAXOMETRIC REVIEW NEURODEVELOPMENTAL CONDITIONS</w:t>
                          </w:r>
                        </w:p>
                      </w:txbxContent>
                    </wps:txbx>
                    <wps:bodyPr spcFirstLastPara="1" wrap="square" lIns="0" tIns="0" rIns="0" bIns="0" anchor="t" anchorCtr="0">
                      <a:noAutofit/>
                    </wps:bodyPr>
                  </wps:wsp>
                </a:graphicData>
              </a:graphic>
            </wp:anchor>
          </w:drawing>
        </mc:Choice>
        <mc:Fallback>
          <w:pict>
            <v:rect w14:anchorId="244ADA40" id="Rectangle 11" o:spid="_x0000_s1026" style="position:absolute;margin-left:46.05pt;margin-top:26.35pt;width:418.75pt;height:1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" filled="f" stroked="f">
              <v:textbox inset="0,0,0,0">
                <w:txbxContent>
                  <w:p w14:paraId="555495FD" w14:textId="77777777" w:rsidR="007D2FA2" w:rsidRPr="00AD7A44" w:rsidRDefault="00000000">
                    <w:pPr>
                      <w:spacing w:before="48"/>
                      <w:ind w:left="20" w:firstLine="20"/>
                      <w:textDirection w:val="btLr"/>
                      <w:rPr>
                        <w:sz w:val="20"/>
                        <w:szCs w:val="20"/>
                      </w:rPr>
                    </w:pPr>
                    <w:r w:rsidRPr="00AD7A44">
                      <w:rPr>
                        <w:color w:val="000000"/>
                        <w:szCs w:val="20"/>
                      </w:rPr>
                      <w:t>TAXOMETRIC REVIEW NEURODEVELOPMENTAL CONDITIONS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2207C"/>
    <w:multiLevelType w:val="multilevel"/>
    <w:tmpl w:val="F1B0B0D6"/>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abstractNum w:abstractNumId="1" w15:restartNumberingAfterBreak="0">
    <w:nsid w:val="66BD1B22"/>
    <w:multiLevelType w:val="multilevel"/>
    <w:tmpl w:val="5E86B8C0"/>
    <w:lvl w:ilvl="0">
      <w:start w:val="1"/>
      <w:numFmt w:val="decimal"/>
      <w:lvlText w:val="%1."/>
      <w:lvlJc w:val="left"/>
      <w:pPr>
        <w:ind w:left="978" w:hanging="259"/>
      </w:pPr>
      <w:rPr>
        <w:rFonts w:ascii="Times New Roman" w:eastAsia="Times New Roman" w:hAnsi="Times New Roman" w:cs="Times New Roman"/>
        <w:b w:val="0"/>
        <w:i w:val="0"/>
        <w:sz w:val="24"/>
        <w:szCs w:val="24"/>
      </w:rPr>
    </w:lvl>
    <w:lvl w:ilvl="1">
      <w:numFmt w:val="bullet"/>
      <w:lvlText w:val="•"/>
      <w:lvlJc w:val="left"/>
      <w:pPr>
        <w:ind w:left="1854" w:hanging="259"/>
      </w:pPr>
    </w:lvl>
    <w:lvl w:ilvl="2">
      <w:numFmt w:val="bullet"/>
      <w:lvlText w:val="•"/>
      <w:lvlJc w:val="left"/>
      <w:pPr>
        <w:ind w:left="2728" w:hanging="259"/>
      </w:pPr>
    </w:lvl>
    <w:lvl w:ilvl="3">
      <w:numFmt w:val="bullet"/>
      <w:lvlText w:val="•"/>
      <w:lvlJc w:val="left"/>
      <w:pPr>
        <w:ind w:left="3602" w:hanging="259"/>
      </w:pPr>
    </w:lvl>
    <w:lvl w:ilvl="4">
      <w:numFmt w:val="bullet"/>
      <w:lvlText w:val="•"/>
      <w:lvlJc w:val="left"/>
      <w:pPr>
        <w:ind w:left="4476" w:hanging="259"/>
      </w:pPr>
    </w:lvl>
    <w:lvl w:ilvl="5">
      <w:numFmt w:val="bullet"/>
      <w:lvlText w:val="•"/>
      <w:lvlJc w:val="left"/>
      <w:pPr>
        <w:ind w:left="5350" w:hanging="259"/>
      </w:pPr>
    </w:lvl>
    <w:lvl w:ilvl="6">
      <w:numFmt w:val="bullet"/>
      <w:lvlText w:val="•"/>
      <w:lvlJc w:val="left"/>
      <w:pPr>
        <w:ind w:left="6224" w:hanging="259"/>
      </w:pPr>
    </w:lvl>
    <w:lvl w:ilvl="7">
      <w:numFmt w:val="bullet"/>
      <w:lvlText w:val="•"/>
      <w:lvlJc w:val="left"/>
      <w:pPr>
        <w:ind w:left="7098" w:hanging="259"/>
      </w:pPr>
    </w:lvl>
    <w:lvl w:ilvl="8">
      <w:numFmt w:val="bullet"/>
      <w:lvlText w:val="•"/>
      <w:lvlJc w:val="left"/>
      <w:pPr>
        <w:ind w:left="7972" w:hanging="258"/>
      </w:pPr>
    </w:lvl>
  </w:abstractNum>
  <w:num w:numId="1" w16cid:durableId="268859127">
    <w:abstractNumId w:val="0"/>
  </w:num>
  <w:num w:numId="2" w16cid:durableId="187584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A2"/>
    <w:rsid w:val="00015059"/>
    <w:rsid w:val="0002338E"/>
    <w:rsid w:val="00034679"/>
    <w:rsid w:val="00056F7C"/>
    <w:rsid w:val="00067DB8"/>
    <w:rsid w:val="000729B7"/>
    <w:rsid w:val="00090146"/>
    <w:rsid w:val="000B5EB7"/>
    <w:rsid w:val="000D1DDD"/>
    <w:rsid w:val="000D3A24"/>
    <w:rsid w:val="000E1B04"/>
    <w:rsid w:val="000E1C5D"/>
    <w:rsid w:val="000E4665"/>
    <w:rsid w:val="000E73EA"/>
    <w:rsid w:val="000F11FC"/>
    <w:rsid w:val="000F6957"/>
    <w:rsid w:val="00100AA1"/>
    <w:rsid w:val="001047B2"/>
    <w:rsid w:val="00117585"/>
    <w:rsid w:val="00123D8B"/>
    <w:rsid w:val="00154F55"/>
    <w:rsid w:val="001662C3"/>
    <w:rsid w:val="00186452"/>
    <w:rsid w:val="00190965"/>
    <w:rsid w:val="00190FD8"/>
    <w:rsid w:val="001B2000"/>
    <w:rsid w:val="001B4D5D"/>
    <w:rsid w:val="001C4B2B"/>
    <w:rsid w:val="001D115C"/>
    <w:rsid w:val="001D2F3E"/>
    <w:rsid w:val="001E0416"/>
    <w:rsid w:val="001E1C02"/>
    <w:rsid w:val="001F2E69"/>
    <w:rsid w:val="0020271A"/>
    <w:rsid w:val="00213840"/>
    <w:rsid w:val="00214E9C"/>
    <w:rsid w:val="00236999"/>
    <w:rsid w:val="002407C1"/>
    <w:rsid w:val="002447B5"/>
    <w:rsid w:val="00270D3A"/>
    <w:rsid w:val="00273EB8"/>
    <w:rsid w:val="002877A3"/>
    <w:rsid w:val="00292C40"/>
    <w:rsid w:val="00293100"/>
    <w:rsid w:val="002C41B6"/>
    <w:rsid w:val="002D2737"/>
    <w:rsid w:val="002D4FC2"/>
    <w:rsid w:val="002E7F69"/>
    <w:rsid w:val="00304D15"/>
    <w:rsid w:val="00307FF6"/>
    <w:rsid w:val="003120FF"/>
    <w:rsid w:val="003225EE"/>
    <w:rsid w:val="0032588E"/>
    <w:rsid w:val="003341E6"/>
    <w:rsid w:val="00336F5D"/>
    <w:rsid w:val="00351E37"/>
    <w:rsid w:val="00356C84"/>
    <w:rsid w:val="003616C6"/>
    <w:rsid w:val="00372232"/>
    <w:rsid w:val="00375A66"/>
    <w:rsid w:val="00380027"/>
    <w:rsid w:val="00381BBD"/>
    <w:rsid w:val="003935A3"/>
    <w:rsid w:val="00397B76"/>
    <w:rsid w:val="003B3E77"/>
    <w:rsid w:val="003B3EBC"/>
    <w:rsid w:val="003C089F"/>
    <w:rsid w:val="003D0319"/>
    <w:rsid w:val="003F3E42"/>
    <w:rsid w:val="004102B4"/>
    <w:rsid w:val="004201BD"/>
    <w:rsid w:val="00432D3D"/>
    <w:rsid w:val="004378E8"/>
    <w:rsid w:val="004600E6"/>
    <w:rsid w:val="00460BD3"/>
    <w:rsid w:val="00462DAB"/>
    <w:rsid w:val="00463CA2"/>
    <w:rsid w:val="004866F9"/>
    <w:rsid w:val="00490B8F"/>
    <w:rsid w:val="004945F4"/>
    <w:rsid w:val="004954D5"/>
    <w:rsid w:val="00496FAA"/>
    <w:rsid w:val="004B12FA"/>
    <w:rsid w:val="004C6D44"/>
    <w:rsid w:val="004F02E0"/>
    <w:rsid w:val="004F0C89"/>
    <w:rsid w:val="00504A7D"/>
    <w:rsid w:val="005164BF"/>
    <w:rsid w:val="00522705"/>
    <w:rsid w:val="00526E23"/>
    <w:rsid w:val="00540E97"/>
    <w:rsid w:val="00546DBB"/>
    <w:rsid w:val="00564FF4"/>
    <w:rsid w:val="00565815"/>
    <w:rsid w:val="00565E5E"/>
    <w:rsid w:val="0058183C"/>
    <w:rsid w:val="00583894"/>
    <w:rsid w:val="00585DB3"/>
    <w:rsid w:val="00587C18"/>
    <w:rsid w:val="005952BC"/>
    <w:rsid w:val="005C2C09"/>
    <w:rsid w:val="005C2C9B"/>
    <w:rsid w:val="005D5174"/>
    <w:rsid w:val="005D557D"/>
    <w:rsid w:val="005E0BF4"/>
    <w:rsid w:val="005E6FDF"/>
    <w:rsid w:val="005E762E"/>
    <w:rsid w:val="00603869"/>
    <w:rsid w:val="006152F3"/>
    <w:rsid w:val="006304F4"/>
    <w:rsid w:val="0063145A"/>
    <w:rsid w:val="00633666"/>
    <w:rsid w:val="00646432"/>
    <w:rsid w:val="00663BE7"/>
    <w:rsid w:val="00670B13"/>
    <w:rsid w:val="0068499E"/>
    <w:rsid w:val="00696DC2"/>
    <w:rsid w:val="006A4544"/>
    <w:rsid w:val="006A6F9A"/>
    <w:rsid w:val="006C435F"/>
    <w:rsid w:val="006C6032"/>
    <w:rsid w:val="00710782"/>
    <w:rsid w:val="00711304"/>
    <w:rsid w:val="007235CB"/>
    <w:rsid w:val="00763468"/>
    <w:rsid w:val="00765191"/>
    <w:rsid w:val="0077478D"/>
    <w:rsid w:val="007A0E6F"/>
    <w:rsid w:val="007A11C0"/>
    <w:rsid w:val="007B1098"/>
    <w:rsid w:val="007B18F3"/>
    <w:rsid w:val="007B2C7F"/>
    <w:rsid w:val="007D2FA2"/>
    <w:rsid w:val="007E1C4F"/>
    <w:rsid w:val="007E3C96"/>
    <w:rsid w:val="007F1188"/>
    <w:rsid w:val="007F2BF6"/>
    <w:rsid w:val="008132A6"/>
    <w:rsid w:val="00826085"/>
    <w:rsid w:val="00836D72"/>
    <w:rsid w:val="008422D2"/>
    <w:rsid w:val="008462A2"/>
    <w:rsid w:val="008676E7"/>
    <w:rsid w:val="0087030E"/>
    <w:rsid w:val="00883365"/>
    <w:rsid w:val="0088789F"/>
    <w:rsid w:val="008A3DB9"/>
    <w:rsid w:val="008A6707"/>
    <w:rsid w:val="008B63F4"/>
    <w:rsid w:val="008D3B36"/>
    <w:rsid w:val="008F0A66"/>
    <w:rsid w:val="008F3A57"/>
    <w:rsid w:val="008F559E"/>
    <w:rsid w:val="009048AB"/>
    <w:rsid w:val="009308F9"/>
    <w:rsid w:val="00935715"/>
    <w:rsid w:val="00971EC7"/>
    <w:rsid w:val="009824E1"/>
    <w:rsid w:val="009C3FD0"/>
    <w:rsid w:val="009C56BD"/>
    <w:rsid w:val="009D7C69"/>
    <w:rsid w:val="009E6A5F"/>
    <w:rsid w:val="009F6317"/>
    <w:rsid w:val="00A178D4"/>
    <w:rsid w:val="00A2676F"/>
    <w:rsid w:val="00A27211"/>
    <w:rsid w:val="00A3095C"/>
    <w:rsid w:val="00A3587D"/>
    <w:rsid w:val="00A37592"/>
    <w:rsid w:val="00A73D18"/>
    <w:rsid w:val="00A747C7"/>
    <w:rsid w:val="00A77A06"/>
    <w:rsid w:val="00A833D2"/>
    <w:rsid w:val="00A96CE1"/>
    <w:rsid w:val="00AA5D37"/>
    <w:rsid w:val="00AB2CF1"/>
    <w:rsid w:val="00AC133D"/>
    <w:rsid w:val="00AC3104"/>
    <w:rsid w:val="00AD5535"/>
    <w:rsid w:val="00AD7A44"/>
    <w:rsid w:val="00AE5811"/>
    <w:rsid w:val="00AE7647"/>
    <w:rsid w:val="00B03D78"/>
    <w:rsid w:val="00B05B3F"/>
    <w:rsid w:val="00B62626"/>
    <w:rsid w:val="00B6752B"/>
    <w:rsid w:val="00BA16FA"/>
    <w:rsid w:val="00BA7DB3"/>
    <w:rsid w:val="00BC3287"/>
    <w:rsid w:val="00BC6431"/>
    <w:rsid w:val="00BE75AB"/>
    <w:rsid w:val="00BE7E9F"/>
    <w:rsid w:val="00BF4820"/>
    <w:rsid w:val="00BF51C5"/>
    <w:rsid w:val="00C02544"/>
    <w:rsid w:val="00C1159B"/>
    <w:rsid w:val="00C2101C"/>
    <w:rsid w:val="00C228BF"/>
    <w:rsid w:val="00C33297"/>
    <w:rsid w:val="00C65648"/>
    <w:rsid w:val="00C75B3F"/>
    <w:rsid w:val="00C82604"/>
    <w:rsid w:val="00C8715D"/>
    <w:rsid w:val="00C951CB"/>
    <w:rsid w:val="00CC4178"/>
    <w:rsid w:val="00CC5A2E"/>
    <w:rsid w:val="00CD6338"/>
    <w:rsid w:val="00CD6E18"/>
    <w:rsid w:val="00CE6069"/>
    <w:rsid w:val="00D01520"/>
    <w:rsid w:val="00D25677"/>
    <w:rsid w:val="00D35E44"/>
    <w:rsid w:val="00D41194"/>
    <w:rsid w:val="00D57DEF"/>
    <w:rsid w:val="00D75785"/>
    <w:rsid w:val="00D927B5"/>
    <w:rsid w:val="00D95DFA"/>
    <w:rsid w:val="00DA384E"/>
    <w:rsid w:val="00DA788B"/>
    <w:rsid w:val="00DE6904"/>
    <w:rsid w:val="00E01C54"/>
    <w:rsid w:val="00E05796"/>
    <w:rsid w:val="00E12C99"/>
    <w:rsid w:val="00E153A9"/>
    <w:rsid w:val="00E347AC"/>
    <w:rsid w:val="00E350EF"/>
    <w:rsid w:val="00E55B4B"/>
    <w:rsid w:val="00E60D12"/>
    <w:rsid w:val="00E77816"/>
    <w:rsid w:val="00E95B17"/>
    <w:rsid w:val="00EA3E01"/>
    <w:rsid w:val="00EA4423"/>
    <w:rsid w:val="00EA5AAD"/>
    <w:rsid w:val="00EC1A6B"/>
    <w:rsid w:val="00ED3956"/>
    <w:rsid w:val="00EE7A08"/>
    <w:rsid w:val="00F00419"/>
    <w:rsid w:val="00F051E6"/>
    <w:rsid w:val="00F233AB"/>
    <w:rsid w:val="00F4238C"/>
    <w:rsid w:val="00F54439"/>
    <w:rsid w:val="00F815C0"/>
    <w:rsid w:val="00F927E7"/>
    <w:rsid w:val="00FA16E3"/>
    <w:rsid w:val="00FA198C"/>
    <w:rsid w:val="00FA1DAC"/>
    <w:rsid w:val="00FA5AF5"/>
    <w:rsid w:val="00FB0C17"/>
    <w:rsid w:val="00FB3328"/>
    <w:rsid w:val="00FD1531"/>
    <w:rsid w:val="00FD2010"/>
    <w:rsid w:val="00FE06DD"/>
    <w:rsid w:val="00FE1EF4"/>
    <w:rsid w:val="00FF0A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D0C1"/>
  <w15:docId w15:val="{F754C156-561A-48E7-85DA-19AA7C1C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outlineLvl w:val="0"/>
    </w:pPr>
    <w:rPr>
      <w:b/>
      <w:sz w:val="24"/>
      <w:szCs w:val="24"/>
    </w:rPr>
  </w:style>
  <w:style w:type="paragraph" w:styleId="Heading2">
    <w:name w:val="heading 2"/>
    <w:basedOn w:val="Normal"/>
    <w:next w:val="Normal"/>
    <w:uiPriority w:val="9"/>
    <w:unhideWhenUsed/>
    <w:qFormat/>
    <w:pPr>
      <w:spacing w:before="57"/>
      <w:outlineLvl w:val="1"/>
    </w:pPr>
    <w:rPr>
      <w:b/>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paragraph" w:styleId="BodyText">
    <w:name w:val="Body Text"/>
    <w:basedOn w:val="Normal"/>
    <w:uiPriority w:val="1"/>
    <w:qFormat/>
    <w:pPr>
      <w:ind w:right="357"/>
    </w:pPr>
    <w:rPr>
      <w:sz w:val="24"/>
      <w:szCs w:val="24"/>
    </w:rPr>
  </w:style>
  <w:style w:type="paragraph" w:styleId="ListParagraph">
    <w:name w:val="List Paragraph"/>
    <w:basedOn w:val="Normal"/>
    <w:uiPriority w:val="1"/>
    <w:qFormat/>
    <w:pPr>
      <w:spacing w:before="202"/>
      <w:ind w:left="978" w:hanging="258"/>
    </w:pPr>
  </w:style>
  <w:style w:type="paragraph" w:customStyle="1" w:styleId="TableParagraph">
    <w:name w:val="Table Paragraph"/>
    <w:basedOn w:val="Normal"/>
    <w:uiPriority w:val="1"/>
    <w:qFormat/>
  </w:style>
  <w:style w:type="paragraph" w:styleId="Revision">
    <w:name w:val="Revision"/>
    <w:hidden/>
    <w:uiPriority w:val="99"/>
    <w:semiHidden/>
    <w:rsid w:val="001D1D84"/>
    <w:pPr>
      <w:widowControl/>
    </w:pPr>
  </w:style>
  <w:style w:type="character" w:styleId="CommentReference">
    <w:name w:val="annotation reference"/>
    <w:basedOn w:val="DefaultParagraphFont"/>
    <w:uiPriority w:val="99"/>
    <w:semiHidden/>
    <w:unhideWhenUsed/>
    <w:rsid w:val="001D1D84"/>
    <w:rPr>
      <w:sz w:val="16"/>
      <w:szCs w:val="16"/>
    </w:rPr>
  </w:style>
  <w:style w:type="paragraph" w:styleId="CommentText">
    <w:name w:val="annotation text"/>
    <w:basedOn w:val="Normal"/>
    <w:link w:val="CommentTextChar"/>
    <w:uiPriority w:val="99"/>
    <w:unhideWhenUsed/>
    <w:rsid w:val="001D1D84"/>
    <w:rPr>
      <w:sz w:val="20"/>
      <w:szCs w:val="20"/>
    </w:rPr>
  </w:style>
  <w:style w:type="character" w:customStyle="1" w:styleId="CommentTextChar">
    <w:name w:val="Comment Text Char"/>
    <w:basedOn w:val="DefaultParagraphFont"/>
    <w:link w:val="CommentText"/>
    <w:uiPriority w:val="99"/>
    <w:rsid w:val="001D1D8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1D84"/>
    <w:rPr>
      <w:b/>
      <w:bCs/>
    </w:rPr>
  </w:style>
  <w:style w:type="character" w:customStyle="1" w:styleId="CommentSubjectChar">
    <w:name w:val="Comment Subject Char"/>
    <w:basedOn w:val="CommentTextChar"/>
    <w:link w:val="CommentSubject"/>
    <w:uiPriority w:val="99"/>
    <w:semiHidden/>
    <w:rsid w:val="001D1D84"/>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7631B"/>
    <w:rPr>
      <w:color w:val="0000FF" w:themeColor="hyperlink"/>
      <w:u w:val="single"/>
    </w:rPr>
  </w:style>
  <w:style w:type="character" w:styleId="UnresolvedMention">
    <w:name w:val="Unresolved Mention"/>
    <w:basedOn w:val="DefaultParagraphFont"/>
    <w:uiPriority w:val="99"/>
    <w:semiHidden/>
    <w:unhideWhenUsed/>
    <w:rsid w:val="00A7631B"/>
    <w:rPr>
      <w:color w:val="605E5C"/>
      <w:shd w:val="clear" w:color="auto" w:fill="E1DFDD"/>
    </w:rPr>
  </w:style>
  <w:style w:type="paragraph" w:styleId="Bibliography">
    <w:name w:val="Bibliography"/>
    <w:basedOn w:val="Normal"/>
    <w:next w:val="Normal"/>
    <w:uiPriority w:val="37"/>
    <w:unhideWhenUsed/>
    <w:rsid w:val="00A94424"/>
  </w:style>
  <w:style w:type="table" w:customStyle="1" w:styleId="a">
    <w:basedOn w:val="TableNormal"/>
    <w:tblPr>
      <w:tblStyleRowBandSize w:val="1"/>
      <w:tblStyleColBandSize w:val="1"/>
      <w:tblCellMar>
        <w:left w:w="115" w:type="dxa"/>
        <w:right w:w="115"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A384E"/>
    <w:pPr>
      <w:tabs>
        <w:tab w:val="center" w:pos="4513"/>
        <w:tab w:val="right" w:pos="9026"/>
      </w:tabs>
    </w:pPr>
  </w:style>
  <w:style w:type="character" w:customStyle="1" w:styleId="HeaderChar">
    <w:name w:val="Header Char"/>
    <w:basedOn w:val="DefaultParagraphFont"/>
    <w:link w:val="Header"/>
    <w:uiPriority w:val="99"/>
    <w:rsid w:val="00DA384E"/>
  </w:style>
  <w:style w:type="paragraph" w:styleId="Footer">
    <w:name w:val="footer"/>
    <w:basedOn w:val="Normal"/>
    <w:link w:val="FooterChar"/>
    <w:uiPriority w:val="99"/>
    <w:unhideWhenUsed/>
    <w:rsid w:val="00DA384E"/>
    <w:pPr>
      <w:tabs>
        <w:tab w:val="center" w:pos="4513"/>
        <w:tab w:val="right" w:pos="9026"/>
      </w:tabs>
    </w:pPr>
  </w:style>
  <w:style w:type="character" w:customStyle="1" w:styleId="FooterChar">
    <w:name w:val="Footer Char"/>
    <w:basedOn w:val="DefaultParagraphFont"/>
    <w:link w:val="Footer"/>
    <w:uiPriority w:val="99"/>
    <w:rsid w:val="00DA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4953">
      <w:bodyDiv w:val="1"/>
      <w:marLeft w:val="0"/>
      <w:marRight w:val="0"/>
      <w:marTop w:val="0"/>
      <w:marBottom w:val="0"/>
      <w:divBdr>
        <w:top w:val="none" w:sz="0" w:space="0" w:color="auto"/>
        <w:left w:val="none" w:sz="0" w:space="0" w:color="auto"/>
        <w:bottom w:val="none" w:sz="0" w:space="0" w:color="auto"/>
        <w:right w:val="none" w:sz="0" w:space="0" w:color="auto"/>
      </w:divBdr>
    </w:div>
    <w:div w:id="112978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sf.io/ys5ad/?view_only=0e2812acfabf43fc8af01f883c7331ba" TargetMode="External"/><Relationship Id="rId18" Type="http://schemas.openxmlformats.org/officeDocument/2006/relationships/hyperlink" Target="https://doi.org/10.1007/978-3-319-90805-2_11" TargetMode="External"/><Relationship Id="rId26" Type="http://schemas.openxmlformats.org/officeDocument/2006/relationships/hyperlink" Target="https://doi.org/10.1002/jcv2.12142" TargetMode="External"/><Relationship Id="rId39" Type="http://schemas.openxmlformats.org/officeDocument/2006/relationships/hyperlink" Target="https://doi.org/10.1037/a0025823" TargetMode="External"/><Relationship Id="rId21" Type="http://schemas.openxmlformats.org/officeDocument/2006/relationships/hyperlink" Target="https://research.ebsco.com/linkprocessor/plink?id=03d321c9-6249-390d-9639-9de020c77f90" TargetMode="External"/><Relationship Id="rId34" Type="http://schemas.openxmlformats.org/officeDocument/2006/relationships/hyperlink" Target="https://doi.org/10.1007/s10803-016-2897-z" TargetMode="External"/><Relationship Id="rId42" Type="http://schemas.openxmlformats.org/officeDocument/2006/relationships/hyperlink" Target="https://doi.org/10.1037/pas0000522" TargetMode="External"/><Relationship Id="rId47" Type="http://schemas.openxmlformats.org/officeDocument/2006/relationships/hyperlink" Target="https://doi.org/10.1016/j.bpsc.2017.09.005" TargetMode="External"/><Relationship Id="rId50" Type="http://schemas.openxmlformats.org/officeDocument/2006/relationships/image" Target="media/image1.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11/jcpp.13481" TargetMode="External"/><Relationship Id="rId29" Type="http://schemas.openxmlformats.org/officeDocument/2006/relationships/hyperlink" Target="https://doi.org/10.1111/jcpp.13176" TargetMode="External"/><Relationship Id="rId11" Type="http://schemas.openxmlformats.org/officeDocument/2006/relationships/hyperlink" Target="https://docs.google.com/document/d/16td98afLdtQDUM8oPcSILGvF2ilfE_Z8/edit?pli=1" TargetMode="External"/><Relationship Id="rId24" Type="http://schemas.openxmlformats.org/officeDocument/2006/relationships/hyperlink" Target="https://doi.org/10.1007/s00787-022-01986-9" TargetMode="External"/><Relationship Id="rId32" Type="http://schemas.openxmlformats.org/officeDocument/2006/relationships/hyperlink" Target="https://doi.org/10.1017/S003329172000183X" TargetMode="External"/><Relationship Id="rId37" Type="http://schemas.openxmlformats.org/officeDocument/2006/relationships/hyperlink" Target="https://doi.org/10.1002/wps.21225" TargetMode="External"/><Relationship Id="rId40" Type="http://schemas.openxmlformats.org/officeDocument/2006/relationships/hyperlink" Target="https://doi.org/10.1037/0033-2909.131.4.592" TargetMode="External"/><Relationship Id="rId45" Type="http://schemas.openxmlformats.org/officeDocument/2006/relationships/hyperlink" Target="https://doi.org/10.1111/jcpp.1318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doi.org/10.1177/0963721415580430" TargetMode="External"/><Relationship Id="rId31" Type="http://schemas.openxmlformats.org/officeDocument/2006/relationships/hyperlink" Target="https://doi.org/10.1017/S0033291711001966" TargetMode="External"/><Relationship Id="rId44" Type="http://schemas.openxmlformats.org/officeDocument/2006/relationships/hyperlink" Target="https://doi.org/10.1037/0021-843x.113.1.24"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google.com/document/d/16td98afLdtQDUM8oPcSILGvF2ilfE_Z8/edit?pli=1" TargetMode="External"/><Relationship Id="rId22" Type="http://schemas.openxmlformats.org/officeDocument/2006/relationships/hyperlink" Target="https://doi.org/10.1037/0021-843X.113.1.3" TargetMode="External"/><Relationship Id="rId27" Type="http://schemas.openxmlformats.org/officeDocument/2006/relationships/hyperlink" Target="https://doi.org/10.1037/0894-4105.21.1.45" TargetMode="External"/><Relationship Id="rId30" Type="http://schemas.openxmlformats.org/officeDocument/2006/relationships/hyperlink" Target="https://doi.org/10.1007/s10803-020-04728-5" TargetMode="External"/><Relationship Id="rId35" Type="http://schemas.openxmlformats.org/officeDocument/2006/relationships/hyperlink" Target="https://doi.org/10.1016/j.tics.2006.03.001" TargetMode="External"/><Relationship Id="rId43" Type="http://schemas.openxmlformats.org/officeDocument/2006/relationships/hyperlink" Target="https://doi.org/10.1016/S0005-7894(04)80044-3" TargetMode="External"/><Relationship Id="rId48" Type="http://schemas.openxmlformats.org/officeDocument/2006/relationships/hyperlink" Target="https://doi.org/10.1002/ijop.13246" TargetMode="External"/><Relationship Id="rId8" Type="http://schemas.openxmlformats.org/officeDocument/2006/relationships/hyperlink" Target="mailto:enrico.toffalini@unipd.it" TargetMode="External"/><Relationship Id="rId51" Type="http://schemas.openxmlformats.org/officeDocument/2006/relationships/image" Target="media/image2.jpg"/><Relationship Id="rId3" Type="http://schemas.openxmlformats.org/officeDocument/2006/relationships/styles" Target="styles.xml"/><Relationship Id="rId12" Type="http://schemas.openxmlformats.org/officeDocument/2006/relationships/hyperlink" Target="https://docs.google.com/document/d/16td98afLdtQDUM8oPcSILGvF2ilfE_Z8/edit?pli=1" TargetMode="External"/><Relationship Id="rId17" Type="http://schemas.openxmlformats.org/officeDocument/2006/relationships/hyperlink" Target="https://doi.org/10.1017/s0954579403000270" TargetMode="External"/><Relationship Id="rId25" Type="http://schemas.openxmlformats.org/officeDocument/2006/relationships/hyperlink" Target="https://doi.org/10.1007/978-0-387-87857-7" TargetMode="External"/><Relationship Id="rId33" Type="http://schemas.openxmlformats.org/officeDocument/2006/relationships/hyperlink" Target="https://doi.org/10.1007/s10803-007-0469-y" TargetMode="External"/><Relationship Id="rId38" Type="http://schemas.openxmlformats.org/officeDocument/2006/relationships/hyperlink" Target="https://doi.org/10.1002/dys.1431" TargetMode="External"/><Relationship Id="rId46" Type="http://schemas.openxmlformats.org/officeDocument/2006/relationships/hyperlink" Target="https://doi.org/10.1002/jcv2.12120" TargetMode="External"/><Relationship Id="rId20" Type="http://schemas.openxmlformats.org/officeDocument/2006/relationships/hyperlink" Target="https://doi.org/10.1007/s10803-020-04541-0" TargetMode="External"/><Relationship Id="rId41" Type="http://schemas.openxmlformats.org/officeDocument/2006/relationships/hyperlink" Target="https://doi.org/10.1177/009385480730702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0963721420925518" TargetMode="External"/><Relationship Id="rId23" Type="http://schemas.openxmlformats.org/officeDocument/2006/relationships/hyperlink" Target="https://doi.org/10.1038/s41588-022-01285-8" TargetMode="External"/><Relationship Id="rId28" Type="http://schemas.openxmlformats.org/officeDocument/2006/relationships/hyperlink" Target="https://doi.org/10.1177/1073191109356534" TargetMode="External"/><Relationship Id="rId36" Type="http://schemas.openxmlformats.org/officeDocument/2006/relationships/hyperlink" Target="https://doi.org/10.1111/jcpp.13397" TargetMode="External"/><Relationship Id="rId49" Type="http://schemas.openxmlformats.org/officeDocument/2006/relationships/hyperlink" Target="https://doi.org/10.1371/journal.pone.0269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Vh0bC8WuKixdD1hRUb4W0UIA==">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IuQBCgp0ZXh0L3BsYWlu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32</Pages>
  <Words>8566</Words>
  <Characters>48827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Enrico Toffalini</cp:lastModifiedBy>
  <cp:revision>250</cp:revision>
  <dcterms:created xsi:type="dcterms:W3CDTF">2025-07-28T10:15:00Z</dcterms:created>
  <dcterms:modified xsi:type="dcterms:W3CDTF">2025-08-13T09:32:00Z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Creator">
    <vt:lpwstr>LaTeX with hyperref</vt:lpwstr>
  </property>
  <property fmtid="{D5CDD505-2E9C-101B-9397-08002B2CF9AE}" pid="4" name="Producer">
    <vt:lpwstr>xdvipdfmx (20250410)</vt:lpwstr>
  </property>
  <property fmtid="{D5CDD505-2E9C-101B-9397-08002B2CF9AE}" pid="5" name="LastSaved">
    <vt:filetime>2025-07-24T00:00:00Z</vt:filetime>
  </property>
  <property fmtid="{D5CDD505-2E9C-101B-9397-08002B2CF9AE}" pid="6" name="ZOTERO_PREF_1">
    <vt:lpwstr>&lt;data data-version="3" zotero-version="7.0.21"&gt;&lt;session id="MAJgntM3"/&gt;&lt;style id="http://www.zotero.org/styles/apa" locale="it-IT" hasBibliography="1" bibliographyStyleHasBeenSet="1"/&gt;&lt;prefs&gt;&lt;pref name="fieldType" value="Field"/&gt;&lt;/prefs&gt;&lt;/data&gt;</vt:lpwstr>
  </property>
</Properties>
</file>