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5376"/>
          <w:sz w:val="64"/>
        </w:rPr>
        <w:t>ONDUPET</w:t>
      </w:r>
    </w:p>
    <w:p>
      <w:pPr>
        <w:jc w:val="center"/>
      </w:pPr>
      <w:r>
        <w:rPr>
          <w:color w:val="2E74B5"/>
          <w:sz w:val="36"/>
        </w:rPr>
        <w:t>Módulo de Carga y Capacidad</w:t>
      </w:r>
    </w:p>
    <w:p/>
    <w:p>
      <w:pPr>
        <w:jc w:val="center"/>
      </w:pPr>
      <w:r>
        <w:rPr>
          <w:color w:val="555555"/>
          <w:sz w:val="24"/>
        </w:rPr>
        <w:t>Metodología de Cálculo — Documento Técnico</w:t>
      </w:r>
    </w:p>
    <w:p/>
    <w:p/>
    <w:p>
      <w:pPr>
        <w:jc w:val="center"/>
      </w:pPr>
      <w:r>
        <w:rPr>
          <w:color w:val="888888"/>
          <w:sz w:val="20"/>
        </w:rPr>
        <w:t>Versión 1.0  |  Junio 2026</w:t>
      </w:r>
    </w:p>
    <w:p>
      <w:r>
        <w:br w:type="page"/>
      </w:r>
    </w:p>
    <w:p>
      <w:pPr>
        <w:spacing w:before="280" w:after="80"/>
      </w:pPr>
      <w:r>
        <w:rPr>
          <w:b/>
          <w:color w:val="1A5376"/>
          <w:sz w:val="32"/>
        </w:rPr>
        <w:t>1. Introducción y Alcance</w:t>
      </w:r>
    </w:p>
    <w:p>
      <w:pPr>
        <w:spacing w:after="80"/>
      </w:pPr>
      <w:r>
        <w:rPr>
          <w:sz w:val="21"/>
        </w:rPr>
        <w:t>El módulo de Carga y Capacidad de ONDUPET permite visualizar el grado de ocupación de cada máquina de producción (termoformado y extrusión) para un horizonte temporal definido por el usuario. El resultado se presenta como un Mapa de Calor mensual con el porcentaje de saturación de cada recurso.</w:t>
      </w:r>
    </w:p>
    <w:p>
      <w:pPr>
        <w:spacing w:after="80"/>
      </w:pPr>
      <w:r>
        <w:rPr>
          <w:sz w:val="21"/>
        </w:rPr>
        <w:t>Este documento describe en detalle cómo se calcula la capacidad disponible, cómo se asigna la carga de las órdenes a cada mes, el criterio de prorrateo para órdenes de larga duración, y cómo se obtiene el indicador final de saturación que alimenta el Mapa de Calor.</w:t>
      </w:r>
    </w:p>
    <w:p>
      <w:pPr>
        <w:spacing w:before="280" w:after="80"/>
      </w:pPr>
      <w:r>
        <w:rPr>
          <w:b/>
          <w:color w:val="2E74B5"/>
          <w:sz w:val="26"/>
        </w:rPr>
        <w:t>1.1 Máquinas contempladas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A537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2280"/>
            <w:shd w:val="clear" w:color="auto" w:fill="1A537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2280"/>
            <w:shd w:val="clear" w:color="auto" w:fill="1A537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Turnos por defecto</w:t>
            </w:r>
          </w:p>
        </w:tc>
        <w:tc>
          <w:tcPr>
            <w:tcW w:type="dxa" w:w="2280"/>
            <w:shd w:val="clear" w:color="auto" w:fill="1A537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Horas/día (defecto)</w:t>
            </w:r>
          </w:p>
        </w:tc>
      </w:tr>
      <w:tr>
        <w:tc>
          <w:tcPr>
            <w:tcW w:type="dxa" w:w="2280"/>
            <w:shd w:val="clear" w:color="auto" w:fill="EBF5FB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T1</w:t>
            </w:r>
          </w:p>
        </w:tc>
        <w:tc>
          <w:tcPr>
            <w:tcW w:type="dxa" w:w="2280"/>
            <w:shd w:val="clear" w:color="auto" w:fill="EBF5FB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Termoformado</w:t>
            </w:r>
          </w:p>
        </w:tc>
        <w:tc>
          <w:tcPr>
            <w:tcW w:type="dxa" w:w="2280"/>
            <w:shd w:val="clear" w:color="auto" w:fill="EBF5FB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3 turnos</w:t>
            </w:r>
          </w:p>
        </w:tc>
        <w:tc>
          <w:tcPr>
            <w:tcW w:type="dxa" w:w="2280"/>
            <w:shd w:val="clear" w:color="auto" w:fill="EBF5FB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24 h</w:t>
            </w:r>
          </w:p>
        </w:tc>
      </w:tr>
      <w:tr>
        <w:tc>
          <w:tcPr>
            <w:tcW w:type="dxa" w:w="2280"/>
            <w:shd w:val="clear" w:color="auto" w:fill="FDFEFE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T2</w:t>
            </w:r>
          </w:p>
        </w:tc>
        <w:tc>
          <w:tcPr>
            <w:tcW w:type="dxa" w:w="2280"/>
            <w:shd w:val="clear" w:color="auto" w:fill="FDFEFE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Termoformado</w:t>
            </w:r>
          </w:p>
        </w:tc>
        <w:tc>
          <w:tcPr>
            <w:tcW w:type="dxa" w:w="2280"/>
            <w:shd w:val="clear" w:color="auto" w:fill="FDFEFE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3 turnos</w:t>
            </w:r>
          </w:p>
        </w:tc>
        <w:tc>
          <w:tcPr>
            <w:tcW w:type="dxa" w:w="2280"/>
            <w:shd w:val="clear" w:color="auto" w:fill="FDFEFE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24 h</w:t>
            </w:r>
          </w:p>
        </w:tc>
      </w:tr>
      <w:tr>
        <w:tc>
          <w:tcPr>
            <w:tcW w:type="dxa" w:w="2280"/>
            <w:shd w:val="clear" w:color="auto" w:fill="EBF5FB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T3</w:t>
            </w:r>
          </w:p>
        </w:tc>
        <w:tc>
          <w:tcPr>
            <w:tcW w:type="dxa" w:w="2280"/>
            <w:shd w:val="clear" w:color="auto" w:fill="EBF5FB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Termoformado</w:t>
            </w:r>
          </w:p>
        </w:tc>
        <w:tc>
          <w:tcPr>
            <w:tcW w:type="dxa" w:w="2280"/>
            <w:shd w:val="clear" w:color="auto" w:fill="EBF5FB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3 turnos</w:t>
            </w:r>
          </w:p>
        </w:tc>
        <w:tc>
          <w:tcPr>
            <w:tcW w:type="dxa" w:w="2280"/>
            <w:shd w:val="clear" w:color="auto" w:fill="EBF5FB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24 h</w:t>
            </w:r>
          </w:p>
        </w:tc>
      </w:tr>
      <w:tr>
        <w:tc>
          <w:tcPr>
            <w:tcW w:type="dxa" w:w="2280"/>
            <w:shd w:val="clear" w:color="auto" w:fill="FDFEFE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T4</w:t>
            </w:r>
          </w:p>
        </w:tc>
        <w:tc>
          <w:tcPr>
            <w:tcW w:type="dxa" w:w="2280"/>
            <w:shd w:val="clear" w:color="auto" w:fill="FDFEFE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Termoformado</w:t>
            </w:r>
          </w:p>
        </w:tc>
        <w:tc>
          <w:tcPr>
            <w:tcW w:type="dxa" w:w="2280"/>
            <w:shd w:val="clear" w:color="auto" w:fill="FDFEFE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2 turnos</w:t>
            </w:r>
          </w:p>
        </w:tc>
        <w:tc>
          <w:tcPr>
            <w:tcW w:type="dxa" w:w="2280"/>
            <w:shd w:val="clear" w:color="auto" w:fill="FDFEFE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16 h</w:t>
            </w:r>
          </w:p>
        </w:tc>
      </w:tr>
      <w:tr>
        <w:tc>
          <w:tcPr>
            <w:tcW w:type="dxa" w:w="2280"/>
            <w:shd w:val="clear" w:color="auto" w:fill="EBF5FB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T5</w:t>
            </w:r>
          </w:p>
        </w:tc>
        <w:tc>
          <w:tcPr>
            <w:tcW w:type="dxa" w:w="2280"/>
            <w:shd w:val="clear" w:color="auto" w:fill="EBF5FB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Termoformado</w:t>
            </w:r>
          </w:p>
        </w:tc>
        <w:tc>
          <w:tcPr>
            <w:tcW w:type="dxa" w:w="2280"/>
            <w:shd w:val="clear" w:color="auto" w:fill="EBF5FB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3 turnos</w:t>
            </w:r>
          </w:p>
        </w:tc>
        <w:tc>
          <w:tcPr>
            <w:tcW w:type="dxa" w:w="2280"/>
            <w:shd w:val="clear" w:color="auto" w:fill="EBF5FB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24 h</w:t>
            </w:r>
          </w:p>
        </w:tc>
      </w:tr>
      <w:tr>
        <w:tc>
          <w:tcPr>
            <w:tcW w:type="dxa" w:w="2280"/>
            <w:shd w:val="clear" w:color="auto" w:fill="FDFEFE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T6</w:t>
            </w:r>
          </w:p>
        </w:tc>
        <w:tc>
          <w:tcPr>
            <w:tcW w:type="dxa" w:w="2280"/>
            <w:shd w:val="clear" w:color="auto" w:fill="FDFEFE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Termoformado</w:t>
            </w:r>
          </w:p>
        </w:tc>
        <w:tc>
          <w:tcPr>
            <w:tcW w:type="dxa" w:w="2280"/>
            <w:shd w:val="clear" w:color="auto" w:fill="FDFEFE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2 turnos</w:t>
            </w:r>
          </w:p>
        </w:tc>
        <w:tc>
          <w:tcPr>
            <w:tcW w:type="dxa" w:w="2280"/>
            <w:shd w:val="clear" w:color="auto" w:fill="FDFEFE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16 h</w:t>
            </w:r>
          </w:p>
        </w:tc>
      </w:tr>
      <w:tr>
        <w:tc>
          <w:tcPr>
            <w:tcW w:type="dxa" w:w="2280"/>
            <w:shd w:val="clear" w:color="auto" w:fill="EBF5FB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E1</w:t>
            </w:r>
          </w:p>
        </w:tc>
        <w:tc>
          <w:tcPr>
            <w:tcW w:type="dxa" w:w="2280"/>
            <w:shd w:val="clear" w:color="auto" w:fill="EBF5FB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Extrusión</w:t>
            </w:r>
          </w:p>
        </w:tc>
        <w:tc>
          <w:tcPr>
            <w:tcW w:type="dxa" w:w="2280"/>
            <w:shd w:val="clear" w:color="auto" w:fill="EBF5FB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3 turnos</w:t>
            </w:r>
          </w:p>
        </w:tc>
        <w:tc>
          <w:tcPr>
            <w:tcW w:type="dxa" w:w="2280"/>
            <w:shd w:val="clear" w:color="auto" w:fill="EBF5FB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24 h</w:t>
            </w:r>
          </w:p>
        </w:tc>
      </w:tr>
      <w:tr>
        <w:tc>
          <w:tcPr>
            <w:tcW w:type="dxa" w:w="2280"/>
            <w:shd w:val="clear" w:color="auto" w:fill="FDFEFE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E2</w:t>
            </w:r>
          </w:p>
        </w:tc>
        <w:tc>
          <w:tcPr>
            <w:tcW w:type="dxa" w:w="2280"/>
            <w:shd w:val="clear" w:color="auto" w:fill="FDFEFE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Extrusión</w:t>
            </w:r>
          </w:p>
        </w:tc>
        <w:tc>
          <w:tcPr>
            <w:tcW w:type="dxa" w:w="2280"/>
            <w:shd w:val="clear" w:color="auto" w:fill="FDFEFE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2 turnos</w:t>
            </w:r>
          </w:p>
        </w:tc>
        <w:tc>
          <w:tcPr>
            <w:tcW w:type="dxa" w:w="2280"/>
            <w:shd w:val="clear" w:color="auto" w:fill="FDFEFE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16 h</w:t>
            </w:r>
          </w:p>
        </w:tc>
      </w:tr>
    </w:tbl>
    <w:p/>
    <w:p>
      <w:pPr>
        <w:spacing w:after="80"/>
      </w:pPr>
      <w:r>
        <w:rPr>
          <w:b w:val="0"/>
          <w:sz w:val="21"/>
        </w:rPr>
        <w:t xml:space="preserve">Cada turno equivale a </w:t>
      </w:r>
      <w:r>
        <w:rPr>
          <w:b/>
          <w:sz w:val="21"/>
        </w:rPr>
        <w:t>8 horas</w:t>
      </w:r>
      <w:r>
        <w:rPr>
          <w:b w:val="0"/>
          <w:sz w:val="21"/>
        </w:rPr>
        <w:t xml:space="preserve"> de producción. Por tanto, una máquina de 3 turnos genera 24 h/día laborable, una de 2 turnos genera 16 h/día.</w:t>
      </w:r>
    </w:p>
    <w:p>
      <w:r>
        <w:br w:type="page"/>
      </w:r>
    </w:p>
    <w:p>
      <w:pPr>
        <w:spacing w:before="280" w:after="80"/>
      </w:pPr>
      <w:r>
        <w:rPr>
          <w:b/>
          <w:color w:val="1A5376"/>
          <w:sz w:val="32"/>
        </w:rPr>
        <w:t>2. Cálculo de la Capacidad Disponible</w:t>
      </w:r>
    </w:p>
    <w:p>
      <w:pPr>
        <w:spacing w:after="80"/>
      </w:pPr>
      <w:r>
        <w:rPr>
          <w:sz w:val="21"/>
        </w:rPr>
        <w:t>La capacidad disponible de una máquina para un mes concreto se obtiene sumando las horas productivas de cada día del mes. La función principal es:</w:t>
      </w:r>
    </w:p>
    <w:p>
      <w:pPr>
        <w:spacing w:before="40" w:after="40"/>
        <w:ind w:left="567"/>
        <w:shd w:val="clear" w:color="auto" w:fill="F0F4F0"/>
      </w:pPr>
      <w:r>
        <w:rPr>
          <w:rFonts w:ascii="Courier New" w:hAnsi="Courier New"/>
          <w:color w:val="1E3A1E"/>
          <w:sz w:val="18"/>
        </w:rPr>
        <w:t>getCapH(año, mes, máquina, modoCalendario)</w:t>
      </w:r>
    </w:p>
    <w:p>
      <w:pPr>
        <w:spacing w:after="80"/>
      </w:pPr>
      <w:r>
        <w:rPr>
          <w:sz w:val="21"/>
        </w:rPr>
        <w:t>Internamente itera sobre todos los días del mes y acumula las horas de cada día:</w:t>
      </w:r>
    </w:p>
    <w:p>
      <w:pPr>
        <w:spacing w:before="40" w:after="40"/>
        <w:ind w:left="567"/>
        <w:shd w:val="clear" w:color="auto" w:fill="F0F4F0"/>
      </w:pPr>
      <w:r>
        <w:rPr>
          <w:rFonts w:ascii="Courier New" w:hAnsi="Courier New"/>
          <w:color w:val="1E3A1E"/>
          <w:sz w:val="18"/>
        </w:rPr>
        <w:t>para cada día d en [1 .. último_día(mes)]:</w:t>
      </w:r>
    </w:p>
    <w:p>
      <w:pPr>
        <w:spacing w:before="40" w:after="40"/>
        <w:ind w:left="567"/>
        <w:shd w:val="clear" w:color="auto" w:fill="F0F4F0"/>
      </w:pPr>
      <w:r>
        <w:rPr>
          <w:rFonts w:ascii="Courier New" w:hAnsi="Courier New"/>
          <w:color w:val="1E3A1E"/>
          <w:sz w:val="18"/>
        </w:rPr>
        <w:t xml:space="preserve">    horasDía = getDayShiftsCapH(máquina, año, mes, d, modoCalendario)</w:t>
      </w:r>
    </w:p>
    <w:p>
      <w:pPr>
        <w:spacing w:before="40" w:after="40"/>
        <w:ind w:left="567"/>
        <w:shd w:val="clear" w:color="auto" w:fill="F0F4F0"/>
      </w:pPr>
      <w:r>
        <w:rPr>
          <w:rFonts w:ascii="Courier New" w:hAnsi="Courier New"/>
          <w:color w:val="1E3A1E"/>
          <w:sz w:val="18"/>
        </w:rPr>
        <w:t xml:space="preserve">    capacidadTotal += horasDía</w:t>
      </w:r>
    </w:p>
    <w:p>
      <w:pPr>
        <w:spacing w:before="280" w:after="80"/>
      </w:pPr>
      <w:r>
        <w:rPr>
          <w:b/>
          <w:color w:val="2E74B5"/>
          <w:sz w:val="26"/>
        </w:rPr>
        <w:t>2.1 Modos de calendario (modoCalendario)</w:t>
      </w:r>
    </w:p>
    <w:p>
      <w:pPr>
        <w:spacing w:after="80"/>
      </w:pPr>
      <w:r>
        <w:rPr>
          <w:sz w:val="21"/>
        </w:rPr>
        <w:t>El usuario puede elegir entre los siguientes modos al calcular la carga y capacidad: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E74B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Modo</w:t>
            </w:r>
          </w:p>
        </w:tc>
        <w:tc>
          <w:tcPr>
            <w:tcW w:type="dxa" w:w="3041"/>
            <w:shd w:val="clear" w:color="auto" w:fill="2E74B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Días productivos</w:t>
            </w:r>
          </w:p>
        </w:tc>
        <w:tc>
          <w:tcPr>
            <w:tcW w:type="dxa" w:w="3041"/>
            <w:shd w:val="clear" w:color="auto" w:fill="2E74B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Horas/día</w:t>
            </w:r>
          </w:p>
        </w:tc>
      </w:tr>
      <w:tr>
        <w:tc>
          <w:tcPr>
            <w:tcW w:type="dxa" w:w="3041"/>
            <w:shd w:val="clear" w:color="auto" w:fill="EAF4FB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actual</w:t>
            </w:r>
          </w:p>
        </w:tc>
        <w:tc>
          <w:tcPr>
            <w:tcW w:type="dxa" w:w="3041"/>
            <w:shd w:val="clear" w:color="auto" w:fill="EAF4FB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Lunes a viernes, descontando paros registrados</w:t>
            </w:r>
          </w:p>
        </w:tc>
        <w:tc>
          <w:tcPr>
            <w:tcW w:type="dxa" w:w="3041"/>
            <w:shd w:val="clear" w:color="auto" w:fill="EAF4FB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Turnos reales de la máquina × 8 h</w:t>
            </w:r>
          </w:p>
        </w:tc>
      </w:tr>
      <w:tr>
        <w:tc>
          <w:tcPr>
            <w:tcW w:type="dxa" w:w="3041"/>
            <w:shd w:val="clear" w:color="auto" w:fill="FDFEFE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1t</w:t>
            </w:r>
          </w:p>
        </w:tc>
        <w:tc>
          <w:tcPr>
            <w:tcW w:type="dxa" w:w="3041"/>
            <w:shd w:val="clear" w:color="auto" w:fill="FDFEFE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Lunes a viernes</w:t>
            </w:r>
          </w:p>
        </w:tc>
        <w:tc>
          <w:tcPr>
            <w:tcW w:type="dxa" w:w="3041"/>
            <w:shd w:val="clear" w:color="auto" w:fill="FDFEFE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1 turno = 8 h/día</w:t>
            </w:r>
          </w:p>
        </w:tc>
      </w:tr>
      <w:tr>
        <w:tc>
          <w:tcPr>
            <w:tcW w:type="dxa" w:w="3041"/>
            <w:shd w:val="clear" w:color="auto" w:fill="EAF4FB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2t</w:t>
            </w:r>
          </w:p>
        </w:tc>
        <w:tc>
          <w:tcPr>
            <w:tcW w:type="dxa" w:w="3041"/>
            <w:shd w:val="clear" w:color="auto" w:fill="EAF4FB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Lunes a viernes</w:t>
            </w:r>
          </w:p>
        </w:tc>
        <w:tc>
          <w:tcPr>
            <w:tcW w:type="dxa" w:w="3041"/>
            <w:shd w:val="clear" w:color="auto" w:fill="EAF4FB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2 turnos = 16 h/día</w:t>
            </w:r>
          </w:p>
        </w:tc>
      </w:tr>
      <w:tr>
        <w:tc>
          <w:tcPr>
            <w:tcW w:type="dxa" w:w="3041"/>
            <w:shd w:val="clear" w:color="auto" w:fill="FDFEFE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3t</w:t>
            </w:r>
          </w:p>
        </w:tc>
        <w:tc>
          <w:tcPr>
            <w:tcW w:type="dxa" w:w="3041"/>
            <w:shd w:val="clear" w:color="auto" w:fill="FDFEFE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Lunes a viernes</w:t>
            </w:r>
          </w:p>
        </w:tc>
        <w:tc>
          <w:tcPr>
            <w:tcW w:type="dxa" w:w="3041"/>
            <w:shd w:val="clear" w:color="auto" w:fill="FDFEFE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3 turnos = 24 h/día</w:t>
            </w:r>
          </w:p>
        </w:tc>
      </w:tr>
      <w:tr>
        <w:tc>
          <w:tcPr>
            <w:tcW w:type="dxa" w:w="3041"/>
            <w:shd w:val="clear" w:color="auto" w:fill="EAF4FB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4t</w:t>
            </w:r>
          </w:p>
        </w:tc>
        <w:tc>
          <w:tcPr>
            <w:tcW w:type="dxa" w:w="3041"/>
            <w:shd w:val="clear" w:color="auto" w:fill="EAF4FB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Lunes a sábado</w:t>
            </w:r>
          </w:p>
        </w:tc>
        <w:tc>
          <w:tcPr>
            <w:tcW w:type="dxa" w:w="3041"/>
            <w:shd w:val="clear" w:color="auto" w:fill="EAF4FB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3 turnos = 24 h/día</w:t>
            </w:r>
          </w:p>
        </w:tc>
      </w:tr>
      <w:tr>
        <w:tc>
          <w:tcPr>
            <w:tcW w:type="dxa" w:w="3041"/>
            <w:shd w:val="clear" w:color="auto" w:fill="FDFEFE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5t</w:t>
            </w:r>
          </w:p>
        </w:tc>
        <w:tc>
          <w:tcPr>
            <w:tcW w:type="dxa" w:w="3041"/>
            <w:shd w:val="clear" w:color="auto" w:fill="FDFEFE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Todos los días (incluido domingo)</w:t>
            </w:r>
          </w:p>
        </w:tc>
        <w:tc>
          <w:tcPr>
            <w:tcW w:type="dxa" w:w="3041"/>
            <w:shd w:val="clear" w:color="auto" w:fill="FDFEFE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3 turnos = 24 h/día</w:t>
            </w:r>
          </w:p>
        </w:tc>
      </w:tr>
      <w:tr>
        <w:tc>
          <w:tcPr>
            <w:tcW w:type="dxa" w:w="3041"/>
            <w:shd w:val="clear" w:color="auto" w:fill="EAF4FB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custom</w:t>
            </w:r>
          </w:p>
        </w:tc>
        <w:tc>
          <w:tcPr>
            <w:tcW w:type="dxa" w:w="3041"/>
            <w:shd w:val="clear" w:color="auto" w:fill="EAF4FB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Definido por el usuario</w:t>
            </w:r>
          </w:p>
        </w:tc>
        <w:tc>
          <w:tcPr>
            <w:tcW w:type="dxa" w:w="3041"/>
            <w:shd w:val="clear" w:color="auto" w:fill="EAF4FB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Turnos configurados por el usuario</w:t>
            </w:r>
          </w:p>
        </w:tc>
      </w:tr>
    </w:tbl>
    <w:p/>
    <w:p>
      <w:pPr>
        <w:spacing w:after="80"/>
        <w:ind w:left="454"/>
        <w:shd w:val="clear" w:color="auto" w:fill="FFF9E6"/>
      </w:pPr>
      <w:r>
        <w:rPr>
          <w:color w:val="7A4F00"/>
          <w:sz w:val="20"/>
        </w:rPr>
        <w:t>⚠  El modo "actual" es el recomendado para planificación real, ya que descuenta los paros de mantenimiento, festivos y vacaciones registrados en el calendario.</w:t>
      </w:r>
    </w:p>
    <w:p>
      <w:pPr>
        <w:spacing w:before="280" w:after="80"/>
      </w:pPr>
      <w:r>
        <w:rPr>
          <w:b/>
          <w:color w:val="2E74B5"/>
          <w:sz w:val="26"/>
        </w:rPr>
        <w:t>2.2 Lógica diaria (getDayShiftsCapH)</w:t>
      </w:r>
    </w:p>
    <w:p>
      <w:pPr>
        <w:spacing w:after="80"/>
      </w:pPr>
      <w:r>
        <w:rPr>
          <w:sz w:val="21"/>
        </w:rPr>
        <w:t>El algoritmo para un día concreto sigue esta lógica:</w:t>
      </w:r>
    </w:p>
    <w:p>
      <w:pPr>
        <w:pStyle w:val="ListBullet"/>
        <w:spacing w:after="40"/>
        <w:ind w:left="283"/>
      </w:pPr>
      <w:r>
        <w:rPr>
          <w:sz w:val="21"/>
        </w:rPr>
        <w:t>Si hay un paro registrado para esa máquina en esa fecha → 0 horas.</w:t>
      </w:r>
    </w:p>
    <w:p>
      <w:pPr>
        <w:pStyle w:val="ListBullet"/>
        <w:spacing w:after="40"/>
        <w:ind w:left="283"/>
      </w:pPr>
      <w:r>
        <w:rPr>
          <w:sz w:val="21"/>
        </w:rPr>
        <w:t>Si el día es fin de semana en el modo aplicable → 0 horas.</w:t>
      </w:r>
    </w:p>
    <w:p>
      <w:pPr>
        <w:pStyle w:val="ListBullet"/>
        <w:spacing w:after="40"/>
        <w:ind w:left="283"/>
      </w:pPr>
      <w:r>
        <w:rPr>
          <w:sz w:val="21"/>
        </w:rPr>
        <w:t>En modo "actual": se usan los turnos por defecto de la máquina (dSh) × 8 h.</w:t>
      </w:r>
    </w:p>
    <w:p>
      <w:pPr>
        <w:pStyle w:val="ListBullet"/>
        <w:spacing w:after="40"/>
        <w:ind w:left="283"/>
      </w:pPr>
      <w:r>
        <w:rPr>
          <w:sz w:val="21"/>
        </w:rPr>
        <w:t>En modos "1t"–"3t": se usan N turnos × 8 h, ignorando dSh.</w:t>
      </w:r>
    </w:p>
    <w:p>
      <w:pPr>
        <w:pStyle w:val="ListBullet"/>
        <w:spacing w:after="40"/>
        <w:ind w:left="283"/>
      </w:pPr>
      <w:r>
        <w:rPr>
          <w:sz w:val="21"/>
        </w:rPr>
        <w:t>En modo "4t"/"5t": 24 h fijas los días que corresponda.</w:t>
      </w:r>
    </w:p>
    <w:p>
      <w:pPr>
        <w:pStyle w:val="ListBullet"/>
        <w:spacing w:after="40"/>
        <w:ind w:left="283"/>
      </w:pPr>
      <w:r>
        <w:rPr>
          <w:sz w:val="21"/>
        </w:rPr>
        <w:t>En modo "custom": se usa la configuración de turnos definida por el usuario.</w:t>
      </w:r>
    </w:p>
    <w:p>
      <w:r>
        <w:br w:type="page"/>
      </w:r>
    </w:p>
    <w:p>
      <w:pPr>
        <w:spacing w:before="280" w:after="80"/>
      </w:pPr>
      <w:r>
        <w:rPr>
          <w:b/>
          <w:color w:val="1A5376"/>
          <w:sz w:val="32"/>
        </w:rPr>
        <w:t>3. Asignación de Carga de las Órdenes</w:t>
      </w:r>
    </w:p>
    <w:p>
      <w:pPr>
        <w:spacing w:before="280" w:after="80"/>
      </w:pPr>
      <w:r>
        <w:rPr>
          <w:b/>
          <w:color w:val="2E74B5"/>
          <w:sz w:val="26"/>
        </w:rPr>
        <w:t>3.1 Criterio general: mes de inicio</w:t>
      </w:r>
    </w:p>
    <w:p>
      <w:pPr>
        <w:spacing w:after="80"/>
      </w:pPr>
      <w:r>
        <w:rPr>
          <w:sz w:val="21"/>
        </w:rPr>
        <w:t xml:space="preserve">Cada orden de fabricación tiene asociada una </w:t>
      </w:r>
    </w:p>
    <w:p>
      <w:pPr>
        <w:spacing w:after="80"/>
      </w:pPr>
      <w:r>
        <w:rPr>
          <w:b w:val="0"/>
          <w:sz w:val="21"/>
        </w:rPr>
        <w:t xml:space="preserve">Cada orden de fabricación tiene asociada una </w:t>
      </w:r>
      <w:r>
        <w:rPr>
          <w:b/>
          <w:sz w:val="21"/>
        </w:rPr>
        <w:t>fecha de inicio (fecha_inicio)</w:t>
      </w:r>
      <w:r>
        <w:rPr>
          <w:b w:val="0"/>
          <w:sz w:val="21"/>
        </w:rPr>
        <w:t xml:space="preserve"> y una </w:t>
      </w:r>
      <w:r>
        <w:rPr>
          <w:b/>
          <w:sz w:val="21"/>
        </w:rPr>
        <w:t>fecha de fin (fecha_fin)</w:t>
      </w:r>
      <w:r>
        <w:rPr>
          <w:b w:val="0"/>
          <w:sz w:val="21"/>
        </w:rPr>
        <w:t>, ademas de las horas totales estimadas (horas_of).</w:t>
      </w:r>
    </w:p>
    <w:p>
      <w:pPr>
        <w:spacing w:after="80"/>
      </w:pPr>
      <w:r>
        <w:rPr>
          <w:sz w:val="21"/>
        </w:rPr>
        <w:t>El criterio general de ONDUPET es: las horas de la orden se asignan al mes en que comienza la orden, determinado por la fecha_inicio.</w:t>
      </w:r>
    </w:p>
    <w:p>
      <w:pPr>
        <w:spacing w:before="40" w:after="40"/>
        <w:ind w:left="567"/>
        <w:shd w:val="clear" w:color="auto" w:fill="F0F4F0"/>
      </w:pPr>
      <w:r>
        <w:rPr>
          <w:rFonts w:ascii="Courier New" w:hAnsi="Courier New"/>
          <w:color w:val="1E3A1E"/>
          <w:sz w:val="18"/>
        </w:rPr>
        <w:t>mesCarga = fecha_inicio.slice(0, 7)   → "AAAA-MM"</w:t>
      </w:r>
    </w:p>
    <w:p>
      <w:pPr>
        <w:spacing w:after="80"/>
      </w:pPr>
      <w:r>
        <w:rPr>
          <w:sz w:val="21"/>
        </w:rPr>
        <w:t>Ejemplo: una orden con fecha_inicio = 2026-06-30 imputa todas sus horas a junio 2026, aunque la producción continúe en julio.</w:t>
      </w:r>
    </w:p>
    <w:p>
      <w:pPr>
        <w:spacing w:before="280" w:after="80"/>
      </w:pPr>
      <w:r>
        <w:rPr>
          <w:b/>
          <w:color w:val="2E74B5"/>
          <w:sz w:val="26"/>
        </w:rPr>
        <w:t>3.2 Criterio de prorrateo para órdenes de larga duración</w:t>
      </w:r>
    </w:p>
    <w:p>
      <w:pPr>
        <w:spacing w:after="80"/>
        <w:ind w:left="454"/>
        <w:shd w:val="clear" w:color="auto" w:fill="FFF9E6"/>
      </w:pPr>
      <w:r>
        <w:rPr>
          <w:color w:val="7A4F00"/>
          <w:sz w:val="20"/>
        </w:rPr>
        <w:t>⚠  Este criterio complementa al anterior y debe aplicarse cuando una orden abarca más de un mes natural, para evitar que un único mes absorba todo el impacto y distorsione el indicador de saturación.</w:t>
      </w:r>
    </w:p>
    <w:p>
      <w:pPr>
        <w:spacing w:after="80"/>
      </w:pPr>
      <w:r>
        <w:rPr>
          <w:sz w:val="21"/>
        </w:rPr>
        <w:t>Cuando una orden comienza en un mes y finaliza en otro (o en meses posteriores), las horas deben distribuirse proporcionalmente entre todos los meses que ocupa la orden.</w:t>
      </w:r>
    </w:p>
    <w:p>
      <w:pPr>
        <w:spacing w:before="280" w:after="80"/>
      </w:pPr>
      <w:r>
        <w:rPr>
          <w:b/>
          <w:color w:val="375E8C"/>
          <w:sz w:val="22"/>
        </w:rPr>
        <w:t>3.2.1 Base del prorrateo: días laborables</w:t>
      </w:r>
    </w:p>
    <w:p>
      <w:pPr>
        <w:spacing w:after="80"/>
      </w:pPr>
      <w:r>
        <w:rPr>
          <w:sz w:val="21"/>
        </w:rPr>
        <w:t>La distribución se realiza en base a los días laborables (lunes a viernes, descontando festivos y paros) que la orden ocupa en cada mes, no en base a días naturales.</w:t>
      </w:r>
    </w:p>
    <w:p>
      <w:pPr>
        <w:spacing w:after="80"/>
      </w:pPr>
      <w:r>
        <w:rPr>
          <w:sz w:val="21"/>
        </w:rPr>
        <w:t>Fórmula general:</w:t>
      </w:r>
    </w:p>
    <w:p>
      <w:pPr>
        <w:spacing w:before="40" w:after="40"/>
        <w:ind w:left="567"/>
        <w:shd w:val="clear" w:color="auto" w:fill="F0F4F0"/>
      </w:pPr>
      <w:r>
        <w:rPr>
          <w:rFonts w:ascii="Courier New" w:hAnsi="Courier New"/>
          <w:color w:val="1E3A1E"/>
          <w:sz w:val="18"/>
        </w:rPr>
        <w:t>díasLaborables_m  = días laborables de la orden en el mes m</w:t>
      </w:r>
    </w:p>
    <w:p>
      <w:pPr>
        <w:spacing w:before="40" w:after="40"/>
        <w:ind w:left="567"/>
        <w:shd w:val="clear" w:color="auto" w:fill="F0F4F0"/>
      </w:pPr>
      <w:r>
        <w:rPr>
          <w:rFonts w:ascii="Courier New" w:hAnsi="Courier New"/>
          <w:color w:val="1E3A1E"/>
          <w:sz w:val="18"/>
        </w:rPr>
        <w:t>díasLaborablesTot = suma de días laborables de todos los meses</w:t>
      </w:r>
    </w:p>
    <w:p>
      <w:pPr>
        <w:spacing w:before="40" w:after="40"/>
        <w:ind w:left="567"/>
        <w:shd w:val="clear" w:color="auto" w:fill="F0F4F0"/>
      </w:pPr>
      <w:r>
        <w:rPr>
          <w:rFonts w:ascii="Courier New" w:hAnsi="Courier New"/>
          <w:color w:val="1E3A1E"/>
          <w:sz w:val="18"/>
        </w:rPr>
      </w:r>
    </w:p>
    <w:p>
      <w:pPr>
        <w:spacing w:before="40" w:after="40"/>
        <w:ind w:left="567"/>
        <w:shd w:val="clear" w:color="auto" w:fill="F0F4F0"/>
      </w:pPr>
      <w:r>
        <w:rPr>
          <w:rFonts w:ascii="Courier New" w:hAnsi="Courier New"/>
          <w:color w:val="1E3A1E"/>
          <w:sz w:val="18"/>
        </w:rPr>
        <w:t>horasEnMes_m = horasTotalesOrden × (díasLaborables_m / díasLaborablesTot)</w:t>
      </w:r>
    </w:p>
    <w:p>
      <w:pPr>
        <w:spacing w:before="280" w:after="80"/>
      </w:pPr>
      <w:r>
        <w:rPr>
          <w:b/>
          <w:color w:val="375E8C"/>
          <w:sz w:val="22"/>
        </w:rPr>
        <w:t>3.2.2 Determinación de los días laborables por mes</w:t>
      </w:r>
    </w:p>
    <w:p>
      <w:pPr>
        <w:spacing w:after="80"/>
      </w:pPr>
      <w:r>
        <w:rPr>
          <w:sz w:val="21"/>
        </w:rPr>
        <w:t>Para cada mes natural m que la orden ocupa:</w:t>
      </w:r>
    </w:p>
    <w:p>
      <w:pPr>
        <w:pStyle w:val="ListBullet"/>
        <w:spacing w:after="40"/>
        <w:ind w:left="283"/>
      </w:pPr>
      <w:r>
        <w:rPr>
          <w:sz w:val="21"/>
        </w:rPr>
        <w:t>Si es el mes de inicio: se cuentan los días laborables desde fecha_inicio hasta el último día del mes.</w:t>
      </w:r>
    </w:p>
    <w:p>
      <w:pPr>
        <w:pStyle w:val="ListBullet"/>
        <w:spacing w:after="40"/>
        <w:ind w:left="283"/>
      </w:pPr>
      <w:r>
        <w:rPr>
          <w:sz w:val="21"/>
        </w:rPr>
        <w:t>Si es el mes de fin: se cuentan los días laborables desde el primer día del mes hasta fecha_fin.</w:t>
      </w:r>
    </w:p>
    <w:p>
      <w:pPr>
        <w:pStyle w:val="ListBullet"/>
        <w:spacing w:after="40"/>
        <w:ind w:left="283"/>
      </w:pPr>
      <w:r>
        <w:rPr>
          <w:sz w:val="21"/>
        </w:rPr>
        <w:t>Si es un mes intermedio: se cuentan todos los días laborables del mes completo.</w:t>
      </w:r>
    </w:p>
    <w:p>
      <w:pPr>
        <w:pStyle w:val="ListBullet"/>
        <w:spacing w:after="40"/>
        <w:ind w:left="283"/>
      </w:pPr>
      <w:r>
        <w:rPr>
          <w:sz w:val="21"/>
        </w:rPr>
        <w:t>Un día es laborable si es lunes–viernes y no hay paro registrado para la máquina en esa fecha (coherente con el modo "actual").</w:t>
      </w:r>
    </w:p>
    <w:p>
      <w:pPr>
        <w:spacing w:before="280" w:after="80"/>
      </w:pPr>
      <w:r>
        <w:rPr>
          <w:b/>
          <w:color w:val="375E8C"/>
          <w:sz w:val="22"/>
        </w:rPr>
        <w:t>3.2.3 Ejemplo ilustrativo</w:t>
      </w:r>
    </w:p>
    <w:p>
      <w:pPr>
        <w:spacing w:after="80"/>
      </w:pPr>
      <w:r>
        <w:rPr>
          <w:b/>
          <w:sz w:val="21"/>
        </w:rPr>
        <w:t xml:space="preserve">Supuesto: </w:t>
      </w:r>
      <w:r>
        <w:rPr>
          <w:b w:val="0"/>
          <w:sz w:val="21"/>
        </w:rPr>
        <w:t>Orden OF-001, máquina T1, 3 turnos (24 h/día laborable).</w:t>
      </w:r>
    </w:p>
    <w:p>
      <w:pPr>
        <w:pStyle w:val="ListBullet"/>
        <w:spacing w:after="40"/>
        <w:ind w:left="283"/>
      </w:pPr>
      <w:r>
        <w:rPr>
          <w:sz w:val="21"/>
        </w:rPr>
        <w:t>fecha_inicio = 2026-06-30 (martes)</w:t>
      </w:r>
    </w:p>
    <w:p>
      <w:pPr>
        <w:pStyle w:val="ListBullet"/>
        <w:spacing w:after="40"/>
        <w:ind w:left="283"/>
      </w:pPr>
      <w:r>
        <w:rPr>
          <w:sz w:val="21"/>
        </w:rPr>
        <w:t>fecha_fin    = 2026-07-15 (miércoles)</w:t>
      </w:r>
    </w:p>
    <w:p>
      <w:pPr>
        <w:pStyle w:val="ListBullet"/>
        <w:spacing w:after="40"/>
        <w:ind w:left="283"/>
      </w:pPr>
      <w:r>
        <w:rPr>
          <w:sz w:val="21"/>
        </w:rPr>
        <w:t>horas_of     = 360 h</w:t>
      </w:r>
    </w:p>
    <w:p/>
    <w:p>
      <w:pPr>
        <w:spacing w:after="80"/>
      </w:pPr>
      <w:r>
        <w:rPr>
          <w:sz w:val="21"/>
        </w:rPr>
        <w:t>Cálculo de días laborables: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375E8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Mes</w:t>
            </w:r>
          </w:p>
        </w:tc>
        <w:tc>
          <w:tcPr>
            <w:tcW w:type="dxa" w:w="2280"/>
            <w:shd w:val="clear" w:color="auto" w:fill="375E8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Período en la orden</w:t>
            </w:r>
          </w:p>
        </w:tc>
        <w:tc>
          <w:tcPr>
            <w:tcW w:type="dxa" w:w="2280"/>
            <w:shd w:val="clear" w:color="auto" w:fill="375E8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Días laborables</w:t>
            </w:r>
          </w:p>
        </w:tc>
        <w:tc>
          <w:tcPr>
            <w:tcW w:type="dxa" w:w="2280"/>
            <w:shd w:val="clear" w:color="auto" w:fill="375E8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Horas asignadas</w:t>
            </w:r>
          </w:p>
        </w:tc>
      </w:tr>
      <w:tr>
        <w:tc>
          <w:tcPr>
            <w:tcW w:type="dxa" w:w="2280"/>
            <w:shd w:val="clear" w:color="auto" w:fill="EBF5FB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Junio 2026</w:t>
            </w:r>
          </w:p>
        </w:tc>
        <w:tc>
          <w:tcPr>
            <w:tcW w:type="dxa" w:w="2280"/>
            <w:shd w:val="clear" w:color="auto" w:fill="EBF5FB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30 jun (1 día)</w:t>
            </w:r>
          </w:p>
        </w:tc>
        <w:tc>
          <w:tcPr>
            <w:tcW w:type="dxa" w:w="2280"/>
            <w:shd w:val="clear" w:color="auto" w:fill="EBF5FB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280"/>
            <w:shd w:val="clear" w:color="auto" w:fill="EBF5FB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360 × 1/12 = 30 h</w:t>
            </w:r>
          </w:p>
        </w:tc>
      </w:tr>
      <w:tr>
        <w:tc>
          <w:tcPr>
            <w:tcW w:type="dxa" w:w="2280"/>
            <w:shd w:val="clear" w:color="auto" w:fill="FDFEFE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Julio 2026</w:t>
            </w:r>
          </w:p>
        </w:tc>
        <w:tc>
          <w:tcPr>
            <w:tcW w:type="dxa" w:w="2280"/>
            <w:shd w:val="clear" w:color="auto" w:fill="FDFEFE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1 jul – 15 jul (11 días háb.)</w:t>
            </w:r>
          </w:p>
        </w:tc>
        <w:tc>
          <w:tcPr>
            <w:tcW w:type="dxa" w:w="2280"/>
            <w:shd w:val="clear" w:color="auto" w:fill="FDFEFE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2280"/>
            <w:shd w:val="clear" w:color="auto" w:fill="FDFEFE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360 × 11/12 = 330 h</w:t>
            </w:r>
          </w:p>
        </w:tc>
      </w:tr>
      <w:tr>
        <w:tc>
          <w:tcPr>
            <w:tcW w:type="dxa" w:w="2280"/>
            <w:shd w:val="clear" w:color="auto" w:fill="D5E8F5"/>
            <w:vAlign w:val="center"/>
          </w:tcPr>
          <w:p>
            <w:pPr>
              <w:jc w:val="left"/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type="dxa" w:w="2280"/>
            <w:shd w:val="clear" w:color="auto" w:fill="D5E8F5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2280"/>
            <w:shd w:val="clear" w:color="auto" w:fill="D5E8F5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12</w:t>
            </w:r>
          </w:p>
        </w:tc>
        <w:tc>
          <w:tcPr>
            <w:tcW w:type="dxa" w:w="2280"/>
            <w:shd w:val="clear" w:color="auto" w:fill="D5E8F5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360 h</w:t>
            </w:r>
          </w:p>
        </w:tc>
      </w:tr>
    </w:tbl>
    <w:p/>
    <w:p>
      <w:pPr>
        <w:spacing w:after="80"/>
      </w:pPr>
      <w:r>
        <w:rPr>
          <w:b w:val="0"/>
          <w:sz w:val="21"/>
        </w:rPr>
        <w:t xml:space="preserve">Sin prorrateo, </w:t>
      </w:r>
      <w:r>
        <w:rPr>
          <w:b/>
          <w:sz w:val="21"/>
        </w:rPr>
        <w:t>junio mostraría 360 h de carga</w:t>
      </w:r>
      <w:r>
        <w:rPr>
          <w:b w:val="0"/>
          <w:sz w:val="21"/>
        </w:rPr>
        <w:t xml:space="preserve"> (saturación potencialmente &gt;100%) aunque en realidad solo se producen 30 h en junio. Con el prorrateo, el dato refleja la realidad: 30 h en junio y 330 h en julio.</w:t>
      </w:r>
    </w:p>
    <w:p>
      <w:pPr>
        <w:spacing w:before="280" w:after="80"/>
      </w:pPr>
      <w:r>
        <w:rPr>
          <w:b/>
          <w:color w:val="375E8C"/>
          <w:sz w:val="22"/>
        </w:rPr>
        <w:t>3.2.4 Criterio de aplicación del prorrateo</w:t>
      </w:r>
    </w:p>
    <w:p>
      <w:pPr>
        <w:spacing w:after="80"/>
      </w:pPr>
      <w:r>
        <w:rPr>
          <w:sz w:val="21"/>
        </w:rPr>
        <w:t>Se aplica prorrateo cuando se cumple alguna de estas condiciones:</w:t>
      </w:r>
    </w:p>
    <w:p>
      <w:pPr>
        <w:pStyle w:val="ListBullet"/>
        <w:spacing w:after="40"/>
        <w:ind w:left="283"/>
      </w:pPr>
      <w:r>
        <w:rPr>
          <w:sz w:val="21"/>
        </w:rPr>
        <w:t>La fecha_fin pertenece a un mes diferente a fecha_inicio (la orden cruza al menos un cambio de mes).</w:t>
      </w:r>
    </w:p>
    <w:p>
      <w:pPr>
        <w:pStyle w:val="ListBullet"/>
        <w:spacing w:after="40"/>
        <w:ind w:left="283"/>
      </w:pPr>
      <w:r>
        <w:rPr>
          <w:sz w:val="21"/>
        </w:rPr>
        <w:t>La duración natural de la orden (fecha_inicio → fecha_fin) supera los días laborables restantes del mes de inicio.</w:t>
      </w:r>
    </w:p>
    <w:p>
      <w:pPr>
        <w:spacing w:after="80"/>
      </w:pPr>
      <w:r>
        <w:rPr>
          <w:sz w:val="21"/>
        </w:rPr>
        <w:t>Si la orden empieza y termina en el mismo mes, no hay prorrateo: todas las horas van al mes de inicio.</w:t>
      </w:r>
    </w:p>
    <w:p>
      <w:r>
        <w:br w:type="page"/>
      </w:r>
    </w:p>
    <w:p>
      <w:pPr>
        <w:spacing w:before="280" w:after="80"/>
      </w:pPr>
      <w:r>
        <w:rPr>
          <w:b/>
          <w:color w:val="1A5376"/>
          <w:sz w:val="32"/>
        </w:rPr>
        <w:t>4. Carga Total por Máquina y Mes</w:t>
      </w:r>
    </w:p>
    <w:p>
      <w:pPr>
        <w:spacing w:before="280" w:after="80"/>
      </w:pPr>
      <w:r>
        <w:rPr>
          <w:b/>
          <w:color w:val="2E74B5"/>
          <w:sz w:val="26"/>
        </w:rPr>
        <w:t>4.1 Estructura de datos de una orden (DCData)</w:t>
      </w:r>
    </w:p>
    <w:p>
      <w:pPr>
        <w:spacing w:after="80"/>
      </w:pPr>
      <w:r>
        <w:rPr>
          <w:sz w:val="21"/>
        </w:rPr>
        <w:t>Cada orden en ONDUPET se almacena como un array de 9 elementos:</w:t>
      </w:r>
    </w:p>
    <w:p>
      <w:pPr>
        <w:spacing w:before="40" w:after="40"/>
        <w:ind w:left="567"/>
        <w:shd w:val="clear" w:color="auto" w:fill="F0F4F0"/>
      </w:pPr>
      <w:r>
        <w:rPr>
          <w:rFonts w:ascii="Courier New" w:hAnsi="Courier New"/>
          <w:color w:val="1E3A1E"/>
          <w:sz w:val="18"/>
        </w:rPr>
        <w:t>DCData[máquina][i] = [</w:t>
      </w:r>
    </w:p>
    <w:p>
      <w:pPr>
        <w:spacing w:before="40" w:after="40"/>
        <w:ind w:left="567"/>
        <w:shd w:val="clear" w:color="auto" w:fill="F0F4F0"/>
      </w:pPr>
      <w:r>
        <w:rPr>
          <w:rFonts w:ascii="Courier New" w:hAnsi="Courier New"/>
          <w:color w:val="1E3A1E"/>
          <w:sz w:val="18"/>
        </w:rPr>
        <w:t xml:space="preserve">    0: código material,</w:t>
      </w:r>
    </w:p>
    <w:p>
      <w:pPr>
        <w:spacing w:before="40" w:after="40"/>
        <w:ind w:left="567"/>
        <w:shd w:val="clear" w:color="auto" w:fill="F0F4F0"/>
      </w:pPr>
      <w:r>
        <w:rPr>
          <w:rFonts w:ascii="Courier New" w:hAnsi="Courier New"/>
          <w:color w:val="1E3A1E"/>
          <w:sz w:val="18"/>
        </w:rPr>
        <w:t xml:space="preserve">    1: descripción,</w:t>
      </w:r>
    </w:p>
    <w:p>
      <w:pPr>
        <w:spacing w:before="40" w:after="40"/>
        <w:ind w:left="567"/>
        <w:shd w:val="clear" w:color="auto" w:fill="F0F4F0"/>
      </w:pPr>
      <w:r>
        <w:rPr>
          <w:rFonts w:ascii="Courier New" w:hAnsi="Courier New"/>
          <w:color w:val="1E3A1E"/>
          <w:sz w:val="18"/>
        </w:rPr>
        <w:t xml:space="preserve">    2: estado (Planificado / Previsión / ...),</w:t>
      </w:r>
    </w:p>
    <w:p>
      <w:pPr>
        <w:spacing w:before="40" w:after="40"/>
        <w:ind w:left="567"/>
        <w:shd w:val="clear" w:color="auto" w:fill="F0F4F0"/>
      </w:pPr>
      <w:r>
        <w:rPr>
          <w:rFonts w:ascii="Courier New" w:hAnsi="Courier New"/>
          <w:color w:val="1E3A1E"/>
          <w:sz w:val="18"/>
        </w:rPr>
        <w:t xml:space="preserve">    3: ym  → "AAAA-MM" (mes al que se imputan las horas),</w:t>
      </w:r>
    </w:p>
    <w:p>
      <w:pPr>
        <w:spacing w:before="40" w:after="40"/>
        <w:ind w:left="567"/>
        <w:shd w:val="clear" w:color="auto" w:fill="F0F4F0"/>
      </w:pPr>
      <w:r>
        <w:rPr>
          <w:rFonts w:ascii="Courier New" w:hAnsi="Courier New"/>
          <w:color w:val="1E3A1E"/>
          <w:sz w:val="18"/>
        </w:rPr>
        <w:t xml:space="preserve">    4: cantidad (uds),</w:t>
      </w:r>
    </w:p>
    <w:p>
      <w:pPr>
        <w:spacing w:before="40" w:after="40"/>
        <w:ind w:left="567"/>
        <w:shd w:val="clear" w:color="auto" w:fill="F0F4F0"/>
      </w:pPr>
      <w:r>
        <w:rPr>
          <w:rFonts w:ascii="Courier New" w:hAnsi="Courier New"/>
          <w:color w:val="1E3A1E"/>
          <w:sz w:val="18"/>
        </w:rPr>
        <w:t xml:space="preserve">    5: horas_of (horas totales de la orden),</w:t>
      </w:r>
    </w:p>
    <w:p>
      <w:pPr>
        <w:spacing w:before="40" w:after="40"/>
        <w:ind w:left="567"/>
        <w:shd w:val="clear" w:color="auto" w:fill="F0F4F0"/>
      </w:pPr>
      <w:r>
        <w:rPr>
          <w:rFonts w:ascii="Courier New" w:hAnsi="Courier New"/>
          <w:color w:val="1E3A1E"/>
          <w:sz w:val="18"/>
        </w:rPr>
        <w:t xml:space="preserve">    6: % rendimiento,</w:t>
      </w:r>
    </w:p>
    <w:p>
      <w:pPr>
        <w:spacing w:before="40" w:after="40"/>
        <w:ind w:left="567"/>
        <w:shd w:val="clear" w:color="auto" w:fill="F0F4F0"/>
      </w:pPr>
      <w:r>
        <w:rPr>
          <w:rFonts w:ascii="Courier New" w:hAnsi="Courier New"/>
          <w:color w:val="1E3A1E"/>
          <w:sz w:val="18"/>
        </w:rPr>
        <w:t xml:space="preserve">    7: número de OF,</w:t>
      </w:r>
    </w:p>
    <w:p>
      <w:pPr>
        <w:spacing w:before="40" w:after="40"/>
        <w:ind w:left="567"/>
        <w:shd w:val="clear" w:color="auto" w:fill="F0F4F0"/>
      </w:pPr>
      <w:r>
        <w:rPr>
          <w:rFonts w:ascii="Courier New" w:hAnsi="Courier New"/>
          <w:color w:val="1E3A1E"/>
          <w:sz w:val="18"/>
        </w:rPr>
        <w:t xml:space="preserve">    8: ruta alternativa</w:t>
      </w:r>
    </w:p>
    <w:p>
      <w:pPr>
        <w:spacing w:before="40" w:after="40"/>
        <w:ind w:left="567"/>
        <w:shd w:val="clear" w:color="auto" w:fill="F0F4F0"/>
      </w:pPr>
      <w:r>
        <w:rPr>
          <w:rFonts w:ascii="Courier New" w:hAnsi="Courier New"/>
          <w:color w:val="1E3A1E"/>
          <w:sz w:val="18"/>
        </w:rPr>
        <w:t>]</w:t>
      </w:r>
    </w:p>
    <w:p>
      <w:pPr>
        <w:spacing w:after="80"/>
      </w:pPr>
      <w:r>
        <w:rPr>
          <w:b w:val="0"/>
          <w:sz w:val="21"/>
        </w:rPr>
        <w:t xml:space="preserve">El campo </w:t>
      </w:r>
      <w:r>
        <w:rPr>
          <w:b/>
          <w:sz w:val="21"/>
        </w:rPr>
        <w:t>ym (posición 3)</w:t>
      </w:r>
      <w:r>
        <w:rPr>
          <w:b w:val="0"/>
          <w:sz w:val="21"/>
        </w:rPr>
        <w:t xml:space="preserve"> es el mes de imputación. Actualmente se inicializa con el mes de fecha_inicio. Con el prorrateo, una orden de larga duración generará múltiples entradas en DCData, una por cada mes que ocupe, con las horas fraccionadas.</w:t>
      </w:r>
    </w:p>
    <w:p>
      <w:pPr>
        <w:spacing w:before="280" w:after="80"/>
      </w:pPr>
      <w:r>
        <w:rPr>
          <w:b/>
          <w:color w:val="2E74B5"/>
          <w:sz w:val="26"/>
        </w:rPr>
        <w:t>4.2 Modos de cálculo: Solo Planificado vs. Plan. + Previsiones</w:t>
      </w:r>
    </w:p>
    <w:p>
      <w:pPr>
        <w:spacing w:after="80"/>
      </w:pPr>
      <w:r>
        <w:rPr>
          <w:sz w:val="21"/>
        </w:rPr>
        <w:t>El usuario puede alternar entre dos modos de visualización: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537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Modo</w:t>
            </w:r>
          </w:p>
        </w:tc>
        <w:tc>
          <w:tcPr>
            <w:tcW w:type="dxa" w:w="3041"/>
            <w:shd w:val="clear" w:color="auto" w:fill="1A537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Qué incluye</w:t>
            </w:r>
          </w:p>
        </w:tc>
        <w:tc>
          <w:tcPr>
            <w:tcW w:type="dxa" w:w="3041"/>
            <w:shd w:val="clear" w:color="auto" w:fill="1A537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Uso recomendado</w:t>
            </w:r>
          </w:p>
        </w:tc>
      </w:tr>
      <w:tr>
        <w:tc>
          <w:tcPr>
            <w:tcW w:type="dxa" w:w="3041"/>
            <w:shd w:val="clear" w:color="auto" w:fill="EBF5FB"/>
            <w:vAlign w:val="center"/>
          </w:tcPr>
          <w:p>
            <w:pPr>
              <w:jc w:val="left"/>
            </w:pPr>
            <w:r>
              <w:rPr>
                <w:b/>
                <w:sz w:val="20"/>
              </w:rPr>
              <w:t>Solo Planificado</w:t>
            </w:r>
          </w:p>
        </w:tc>
        <w:tc>
          <w:tcPr>
            <w:tcW w:type="dxa" w:w="3041"/>
            <w:shd w:val="clear" w:color="auto" w:fill="EBF5FB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Únicamente órdenes con estado "Planificado" (OF confirmadas)</w:t>
            </w:r>
          </w:p>
        </w:tc>
        <w:tc>
          <w:tcPr>
            <w:tcW w:type="dxa" w:w="3041"/>
            <w:shd w:val="clear" w:color="auto" w:fill="EBF5FB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Visión firme del compromiso de capacidad</w:t>
            </w:r>
          </w:p>
        </w:tc>
      </w:tr>
      <w:tr>
        <w:tc>
          <w:tcPr>
            <w:tcW w:type="dxa" w:w="3041"/>
            <w:shd w:val="clear" w:color="auto" w:fill="FDFEFE"/>
            <w:vAlign w:val="center"/>
          </w:tcPr>
          <w:p>
            <w:pPr>
              <w:jc w:val="left"/>
            </w:pPr>
            <w:r>
              <w:rPr>
                <w:b/>
                <w:sz w:val="20"/>
              </w:rPr>
              <w:t>Plan. + Previsiones</w:t>
            </w:r>
          </w:p>
        </w:tc>
        <w:tc>
          <w:tcPr>
            <w:tcW w:type="dxa" w:w="3041"/>
            <w:shd w:val="clear" w:color="auto" w:fill="FDFEFE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Órdenes "Planificado" + órdenes "Previsión" (demanda estimada)</w:t>
            </w:r>
          </w:p>
        </w:tc>
        <w:tc>
          <w:tcPr>
            <w:tcW w:type="dxa" w:w="3041"/>
            <w:shd w:val="clear" w:color="auto" w:fill="FDFEFE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Visión global para detectar cuellos de botella futuros</w:t>
            </w:r>
          </w:p>
        </w:tc>
      </w:tr>
    </w:tbl>
    <w:p/>
    <w:p>
      <w:pPr>
        <w:spacing w:before="280" w:after="80"/>
      </w:pPr>
      <w:r>
        <w:rPr>
          <w:b/>
          <w:color w:val="2E74B5"/>
          <w:sz w:val="26"/>
        </w:rPr>
        <w:t>4.3 Acumulación de horas por máquina y mes</w:t>
      </w:r>
    </w:p>
    <w:p>
      <w:pPr>
        <w:spacing w:after="80"/>
      </w:pPr>
      <w:r>
        <w:rPr>
          <w:sz w:val="21"/>
        </w:rPr>
        <w:t>Para cada máquina y cada mes del horizonte:</w:t>
      </w:r>
    </w:p>
    <w:p>
      <w:pPr>
        <w:spacing w:before="40" w:after="40"/>
        <w:ind w:left="567"/>
        <w:shd w:val="clear" w:color="auto" w:fill="F0F4F0"/>
      </w:pPr>
      <w:r>
        <w:rPr>
          <w:rFonts w:ascii="Courier New" w:hAnsi="Courier New"/>
          <w:color w:val="1E3A1E"/>
          <w:sz w:val="18"/>
        </w:rPr>
        <w:t>cargaMes[máquina][ym] = Σ horas_of  de todas las órdenes</w:t>
      </w:r>
    </w:p>
    <w:p>
      <w:pPr>
        <w:spacing w:before="40" w:after="40"/>
        <w:ind w:left="567"/>
        <w:shd w:val="clear" w:color="auto" w:fill="F0F4F0"/>
      </w:pPr>
      <w:r>
        <w:rPr>
          <w:rFonts w:ascii="Courier New" w:hAnsi="Courier New"/>
          <w:color w:val="1E3A1E"/>
          <w:sz w:val="18"/>
        </w:rPr>
        <w:t xml:space="preserve">                         con DCData[máq][i][3] == ym</w:t>
      </w:r>
    </w:p>
    <w:p>
      <w:pPr>
        <w:spacing w:before="40" w:after="40"/>
        <w:ind w:left="567"/>
        <w:shd w:val="clear" w:color="auto" w:fill="F0F4F0"/>
      </w:pPr>
      <w:r>
        <w:rPr>
          <w:rFonts w:ascii="Courier New" w:hAnsi="Courier New"/>
          <w:color w:val="1E3A1E"/>
          <w:sz w:val="18"/>
        </w:rPr>
        <w:t xml:space="preserve">                         y cuyo estado está incluido en el modo activo</w:t>
      </w:r>
    </w:p>
    <w:p>
      <w:pPr>
        <w:spacing w:before="280" w:after="80"/>
      </w:pPr>
      <w:r>
        <w:rPr>
          <w:b/>
          <w:color w:val="2E74B5"/>
          <w:sz w:val="26"/>
        </w:rPr>
        <w:t>4.4 Tiempo de cambio entre familias (CHG_H)</w:t>
      </w:r>
    </w:p>
    <w:p>
      <w:pPr>
        <w:spacing w:after="80"/>
      </w:pPr>
      <w:r>
        <w:rPr>
          <w:b w:val="0"/>
          <w:sz w:val="21"/>
        </w:rPr>
        <w:t xml:space="preserve">Cuando en un mismo mes y máquina hay órdenes de </w:t>
      </w:r>
      <w:r>
        <w:rPr>
          <w:b/>
          <w:sz w:val="21"/>
        </w:rPr>
        <w:t>diferentes familias de moldes</w:t>
      </w:r>
      <w:r>
        <w:rPr>
          <w:b w:val="0"/>
          <w:sz w:val="21"/>
        </w:rPr>
        <w:t xml:space="preserve">, se añade un tiempo de cambio (changeover) de </w:t>
      </w:r>
      <w:r>
        <w:rPr>
          <w:b/>
          <w:sz w:val="21"/>
        </w:rPr>
        <w:t>CHG_H = 4 horas</w:t>
      </w:r>
      <w:r>
        <w:rPr>
          <w:b w:val="0"/>
          <w:sz w:val="21"/>
        </w:rPr>
        <w:t xml:space="preserve"> por cada familia adicional presente.</w:t>
      </w:r>
    </w:p>
    <w:p>
      <w:pPr>
        <w:spacing w:before="40" w:after="40"/>
        <w:ind w:left="567"/>
        <w:shd w:val="clear" w:color="auto" w:fill="F0F4F0"/>
      </w:pPr>
      <w:r>
        <w:rPr>
          <w:rFonts w:ascii="Courier New" w:hAnsi="Courier New"/>
          <w:color w:val="1E3A1E"/>
          <w:sz w:val="18"/>
        </w:rPr>
        <w:t>familiasMes = número de familias distintas en ese mes/máquina</w:t>
      </w:r>
    </w:p>
    <w:p>
      <w:pPr>
        <w:spacing w:before="40" w:after="40"/>
        <w:ind w:left="567"/>
        <w:shd w:val="clear" w:color="auto" w:fill="F0F4F0"/>
      </w:pPr>
      <w:r>
        <w:rPr>
          <w:rFonts w:ascii="Courier New" w:hAnsi="Courier New"/>
          <w:color w:val="1E3A1E"/>
          <w:sz w:val="18"/>
        </w:rPr>
        <w:t>horasCambio = (familiasMes - 1) × CHG_H</w:t>
      </w:r>
    </w:p>
    <w:p>
      <w:pPr>
        <w:spacing w:before="40" w:after="40"/>
        <w:ind w:left="567"/>
        <w:shd w:val="clear" w:color="auto" w:fill="F0F4F0"/>
      </w:pPr>
      <w:r>
        <w:rPr>
          <w:rFonts w:ascii="Courier New" w:hAnsi="Courier New"/>
          <w:color w:val="1E3A1E"/>
          <w:sz w:val="18"/>
        </w:rPr>
        <w:t>cargaMes[máq][ym] += horasCambio</w:t>
      </w:r>
    </w:p>
    <w:p>
      <w:pPr>
        <w:spacing w:after="80"/>
      </w:pPr>
      <w:r>
        <w:rPr>
          <w:sz w:val="21"/>
        </w:rPr>
        <w:t>Este tiempo de cambio se refleja en la tabla Detalle por Año-Mes y se suma a la carga antes de calcular la saturación.</w:t>
      </w:r>
    </w:p>
    <w:p>
      <w:r>
        <w:br w:type="page"/>
      </w:r>
    </w:p>
    <w:p>
      <w:pPr>
        <w:spacing w:before="280" w:after="80"/>
      </w:pPr>
      <w:r>
        <w:rPr>
          <w:b/>
          <w:color w:val="1A5376"/>
          <w:sz w:val="32"/>
        </w:rPr>
        <w:t>5. Cálculo de la Saturación (%)</w:t>
      </w:r>
    </w:p>
    <w:p>
      <w:pPr>
        <w:spacing w:after="80"/>
      </w:pPr>
      <w:r>
        <w:rPr>
          <w:sz w:val="21"/>
        </w:rPr>
        <w:t>La saturación de una máquina para un mes es:</w:t>
      </w:r>
    </w:p>
    <w:p>
      <w:pPr>
        <w:spacing w:before="160" w:after="160"/>
        <w:jc w:val="center"/>
        <w:shd w:val="clear" w:color="auto" w:fill="EBF5FB"/>
      </w:pPr>
      <w:r>
        <w:rPr>
          <w:b/>
          <w:color w:val="1A5376"/>
          <w:sz w:val="24"/>
        </w:rPr>
        <w:t>Saturación (%) = [ Carga (h) / Capacidad disponible (h) ] × 100</w:t>
      </w:r>
    </w:p>
    <w:p>
      <w:pPr>
        <w:spacing w:after="80"/>
      </w:pPr>
      <w:r>
        <w:rPr>
          <w:sz w:val="21"/>
        </w:rPr>
        <w:t>Donde:</w:t>
      </w:r>
    </w:p>
    <w:p>
      <w:pPr>
        <w:pStyle w:val="ListBullet"/>
        <w:spacing w:after="40"/>
        <w:ind w:left="283"/>
      </w:pPr>
      <w:r>
        <w:rPr>
          <w:sz w:val="21"/>
        </w:rPr>
        <w:t>Carga (h) = horas imputadas al mes (incluyendo changeovers si aplica).</w:t>
      </w:r>
    </w:p>
    <w:p>
      <w:pPr>
        <w:pStyle w:val="ListBullet"/>
        <w:spacing w:after="40"/>
        <w:ind w:left="283"/>
      </w:pPr>
      <w:r>
        <w:rPr>
          <w:sz w:val="21"/>
        </w:rPr>
        <w:t>Capacidad disponible (h) = resultado de getCapH para ese mes y máquina.</w:t>
      </w:r>
    </w:p>
    <w:p>
      <w:pPr>
        <w:spacing w:after="80"/>
      </w:pPr>
      <w:r>
        <w:rPr>
          <w:sz w:val="21"/>
        </w:rPr>
        <w:t>El resultado se redondea al entero más cercano:</w:t>
      </w:r>
    </w:p>
    <w:p>
      <w:pPr>
        <w:spacing w:before="40" w:after="40"/>
        <w:ind w:left="567"/>
        <w:shd w:val="clear" w:color="auto" w:fill="F0F4F0"/>
      </w:pPr>
      <w:r>
        <w:rPr>
          <w:rFonts w:ascii="Courier New" w:hAnsi="Courier New"/>
          <w:color w:val="1E3A1E"/>
          <w:sz w:val="18"/>
        </w:rPr>
        <w:t>saturación = Math.round(cargaMes / capacidadMes * 100)  [en %]</w:t>
      </w:r>
    </w:p>
    <w:p>
      <w:pPr>
        <w:spacing w:before="280" w:after="80"/>
      </w:pPr>
      <w:r>
        <w:rPr>
          <w:b/>
          <w:color w:val="2E74B5"/>
          <w:sz w:val="26"/>
        </w:rPr>
        <w:t>5.1 Tratamiento de capacidad cero</w:t>
      </w:r>
    </w:p>
    <w:p>
      <w:pPr>
        <w:spacing w:after="80"/>
      </w:pPr>
      <w:r>
        <w:rPr>
          <w:sz w:val="21"/>
        </w:rPr>
        <w:t>Si la capacidad disponible es 0 para un mes (p.ej. la máquina estuvo parada todo el mes, o el mes no existe en el horizonte), la saturación se muestra como 0% en lugar de generar un error de división.</w:t>
      </w:r>
    </w:p>
    <w:p>
      <w:pPr>
        <w:spacing w:before="280" w:after="80"/>
      </w:pPr>
      <w:r>
        <w:rPr>
          <w:b/>
          <w:color w:val="2E74B5"/>
          <w:sz w:val="26"/>
        </w:rPr>
        <w:t>5.2 Saturación superior al 100%</w:t>
      </w:r>
    </w:p>
    <w:p>
      <w:pPr>
        <w:spacing w:after="80"/>
      </w:pPr>
      <w:r>
        <w:rPr>
          <w:sz w:val="21"/>
        </w:rPr>
        <w:t>Es posible obtener saturaciones superiores al 100% si la carga planificada supera la capacidad disponible. Esto indica una situación de sobrecarga que requiere acción: adelantar producción, añadir capacidad, o redistribuir órdenes.</w:t>
      </w:r>
    </w:p>
    <w:p>
      <w:r>
        <w:br w:type="page"/>
      </w:r>
    </w:p>
    <w:p>
      <w:pPr>
        <w:spacing w:before="280" w:after="80"/>
      </w:pPr>
      <w:r>
        <w:rPr>
          <w:b/>
          <w:color w:val="1A5376"/>
          <w:sz w:val="32"/>
        </w:rPr>
        <w:t>6. Mapa de Calor de Saturación</w:t>
      </w:r>
    </w:p>
    <w:p>
      <w:pPr>
        <w:spacing w:after="80"/>
      </w:pPr>
      <w:r>
        <w:rPr>
          <w:sz w:val="21"/>
        </w:rPr>
        <w:t>El Mapa de Calor es la visualización principal del módulo. Presenta una tabla con máquinas en filas y meses en columnas. Cada celda muestra el porcentaje de saturación con un código de color que permite identificar de un vistazo las zonas de riesgo.</w:t>
      </w:r>
    </w:p>
    <w:p>
      <w:pPr>
        <w:spacing w:before="280" w:after="80"/>
      </w:pPr>
      <w:r>
        <w:rPr>
          <w:b/>
          <w:color w:val="2E74B5"/>
          <w:sz w:val="26"/>
        </w:rPr>
        <w:t>6.1 Código de colores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375E8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Color</w:t>
            </w:r>
          </w:p>
        </w:tc>
        <w:tc>
          <w:tcPr>
            <w:tcW w:type="dxa" w:w="2280"/>
            <w:shd w:val="clear" w:color="auto" w:fill="375E8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Rango de saturación</w:t>
            </w:r>
          </w:p>
        </w:tc>
        <w:tc>
          <w:tcPr>
            <w:tcW w:type="dxa" w:w="2280"/>
            <w:shd w:val="clear" w:color="auto" w:fill="375E8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Significado</w:t>
            </w:r>
          </w:p>
        </w:tc>
        <w:tc>
          <w:tcPr>
            <w:tcW w:type="dxa" w:w="2280"/>
            <w:shd w:val="clear" w:color="auto" w:fill="375E8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Acción recomendada</w:t>
            </w:r>
          </w:p>
        </w:tc>
      </w:tr>
      <w:tr>
        <w:tc>
          <w:tcPr>
            <w:tcW w:type="dxa" w:w="2280"/>
            <w:shd w:val="clear" w:color="auto" w:fill="d1fae5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0% – 60%</w:t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Baja ocupación / máquina disponible</w:t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Oportunidad para aceptar más trabajo o reducir turnos</w:t>
            </w:r>
          </w:p>
        </w:tc>
      </w:tr>
      <w:tr>
        <w:tc>
          <w:tcPr>
            <w:tcW w:type="dxa" w:w="2280"/>
            <w:shd w:val="clear" w:color="auto" w:fill="2dd4a0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60% – 85%</w:t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Ocupación óptima</w:t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Situación ideal; seguimiento normal</w:t>
            </w:r>
          </w:p>
        </w:tc>
      </w:tr>
      <w:tr>
        <w:tc>
          <w:tcPr>
            <w:tcW w:type="dxa" w:w="2280"/>
            <w:shd w:val="clear" w:color="auto" w:fill="f4a261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85% – 100%</w:t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Alta ocupación / riesgo leve</w:t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Revisar fechas de inicio; priorizar órdenes críticas</w:t>
            </w:r>
          </w:p>
        </w:tc>
      </w:tr>
      <w:tr>
        <w:tc>
          <w:tcPr>
            <w:tcW w:type="dxa" w:w="2280"/>
            <w:shd w:val="clear" w:color="auto" w:fill="e63946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&gt; 100%</w:t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Sobrecarga</w:t>
            </w:r>
          </w:p>
        </w:tc>
        <w:tc>
          <w:tcPr>
            <w:tcW w:type="dxa" w:w="2280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Acción inmediata: redistribuir, añadir capacidad o reprogramar</w:t>
            </w:r>
          </w:p>
        </w:tc>
      </w:tr>
    </w:tbl>
    <w:p/>
    <w:p>
      <w:pPr>
        <w:spacing w:before="280" w:after="80"/>
      </w:pPr>
      <w:r>
        <w:rPr>
          <w:b/>
          <w:color w:val="2E74B5"/>
          <w:sz w:val="26"/>
        </w:rPr>
        <w:t>6.2 Estructura del Mapa de Calor</w:t>
      </w:r>
    </w:p>
    <w:p>
      <w:pPr>
        <w:spacing w:after="80"/>
      </w:pPr>
      <w:r>
        <w:rPr>
          <w:sz w:val="21"/>
        </w:rPr>
        <w:t>El Mapa de Calor se organiza en dos pestañas:</w:t>
      </w:r>
    </w:p>
    <w:p>
      <w:pPr>
        <w:pStyle w:val="ListBullet"/>
        <w:spacing w:after="40"/>
        <w:ind w:left="283"/>
      </w:pPr>
      <w:r>
        <w:rPr>
          <w:sz w:val="21"/>
        </w:rPr>
        <w:t>Termoformado: máquinas T1, T2, T3, T4, T5, T6.</w:t>
      </w:r>
    </w:p>
    <w:p>
      <w:pPr>
        <w:pStyle w:val="ListBullet"/>
        <w:spacing w:after="40"/>
        <w:ind w:left="283"/>
      </w:pPr>
      <w:r>
        <w:rPr>
          <w:sz w:val="21"/>
        </w:rPr>
        <w:t>Extrusión: máquinas E1, E2.</w:t>
      </w:r>
    </w:p>
    <w:p>
      <w:pPr>
        <w:spacing w:after="80"/>
      </w:pPr>
      <w:r>
        <w:rPr>
          <w:sz w:val="21"/>
        </w:rPr>
        <w:t>Las columnas representan los meses del horizonte de planificación seleccionado por el usuario. El encabezado de cada columna muestra el nombre del mes y el año completo (ej.: "Ene / 2026").</w:t>
      </w:r>
    </w:p>
    <w:p>
      <w:pPr>
        <w:spacing w:after="80"/>
      </w:pPr>
      <w:r>
        <w:rPr>
          <w:sz w:val="21"/>
        </w:rPr>
        <w:t>Las celdas con saturación 0% se muestran en gris neutro para distinguirlas de las celdas con baja ocupación (verde claro).</w:t>
      </w:r>
    </w:p>
    <w:p>
      <w:r>
        <w:br w:type="page"/>
      </w:r>
    </w:p>
    <w:p>
      <w:pPr>
        <w:spacing w:before="280" w:after="80"/>
      </w:pPr>
      <w:r>
        <w:rPr>
          <w:b/>
          <w:color w:val="1A5376"/>
          <w:sz w:val="32"/>
        </w:rPr>
        <w:t>7. Flujo Completo de Cálculo</w:t>
      </w:r>
    </w:p>
    <w:p>
      <w:pPr>
        <w:spacing w:after="80"/>
      </w:pPr>
      <w:r>
        <w:rPr>
          <w:sz w:val="21"/>
        </w:rPr>
        <w:t>A continuación se describe el proceso completo desde que el usuario lanza el cálculo hasta que ve el Mapa de Calor:</w:t>
      </w:r>
    </w:p>
    <w:p>
      <w:pPr>
        <w:spacing w:before="120" w:after="40"/>
      </w:pPr>
      <w:r>
        <w:rPr>
          <w:b/>
          <w:color w:val="1A5376"/>
          <w:sz w:val="22"/>
        </w:rPr>
        <w:t xml:space="preserve">Paso 1: </w:t>
      </w:r>
      <w:r>
        <w:rPr>
          <w:b/>
          <w:sz w:val="22"/>
        </w:rPr>
        <w:t>Selección de parámetros</w:t>
      </w:r>
    </w:p>
    <w:p>
      <w:pPr>
        <w:spacing w:after="80"/>
        <w:ind w:left="567"/>
      </w:pPr>
      <w:r>
        <w:rPr>
          <w:sz w:val="21"/>
        </w:rPr>
        <w:t>El usuario elige: horizonte temporal (rango de meses), modo de calendario (actual, 1t–5t, custom) y tipo de plan (Solo Planificado / Plan.+Previsiones).</w:t>
      </w:r>
    </w:p>
    <w:p>
      <w:pPr>
        <w:spacing w:before="120" w:after="40"/>
      </w:pPr>
      <w:r>
        <w:rPr>
          <w:b/>
          <w:color w:val="1A5376"/>
          <w:sz w:val="22"/>
        </w:rPr>
        <w:t xml:space="preserve">Paso 2: </w:t>
      </w:r>
      <w:r>
        <w:rPr>
          <w:b/>
          <w:sz w:val="22"/>
        </w:rPr>
        <w:t>Carga de órdenes (DCData)</w:t>
      </w:r>
    </w:p>
    <w:p>
      <w:pPr>
        <w:spacing w:after="80"/>
        <w:ind w:left="567"/>
      </w:pPr>
      <w:r>
        <w:rPr>
          <w:sz w:val="21"/>
        </w:rPr>
        <w:t>Se recuperan todas las órdenes de Supabase. Para cada orden: (a) se asigna al mes de su fecha_inicio; (b) si la orden es de larga duración (cruza mes), se prorratea según días laborables por mes.</w:t>
      </w:r>
    </w:p>
    <w:p>
      <w:pPr>
        <w:spacing w:before="120" w:after="40"/>
      </w:pPr>
      <w:r>
        <w:rPr>
          <w:b/>
          <w:color w:val="1A5376"/>
          <w:sz w:val="22"/>
        </w:rPr>
        <w:t xml:space="preserve">Paso 3: </w:t>
      </w:r>
      <w:r>
        <w:rPr>
          <w:b/>
          <w:sz w:val="22"/>
        </w:rPr>
        <w:t>Acumulación de carga</w:t>
      </w:r>
    </w:p>
    <w:p>
      <w:pPr>
        <w:spacing w:after="80"/>
        <w:ind w:left="567"/>
      </w:pPr>
      <w:r>
        <w:rPr>
          <w:sz w:val="21"/>
        </w:rPr>
        <w:t>Para cada combinación (máquina, mes) se suman las horas_of de las órdenes asignadas a ese mes. Se añaden los tiempos de cambio CHG_H entre familias distintas.</w:t>
      </w:r>
    </w:p>
    <w:p>
      <w:pPr>
        <w:spacing w:before="120" w:after="40"/>
      </w:pPr>
      <w:r>
        <w:rPr>
          <w:b/>
          <w:color w:val="1A5376"/>
          <w:sz w:val="22"/>
        </w:rPr>
        <w:t xml:space="preserve">Paso 4: </w:t>
      </w:r>
      <w:r>
        <w:rPr>
          <w:b/>
          <w:sz w:val="22"/>
        </w:rPr>
        <w:t>Cálculo de capacidad</w:t>
      </w:r>
    </w:p>
    <w:p>
      <w:pPr>
        <w:spacing w:after="80"/>
        <w:ind w:left="567"/>
      </w:pPr>
      <w:r>
        <w:rPr>
          <w:sz w:val="21"/>
        </w:rPr>
        <w:t>Se llama a getCapH(año, mes, máquina, modoCalendario) para obtener las horas disponibles de cada máquina en cada mes.</w:t>
      </w:r>
    </w:p>
    <w:p>
      <w:pPr>
        <w:spacing w:before="120" w:after="40"/>
      </w:pPr>
      <w:r>
        <w:rPr>
          <w:b/>
          <w:color w:val="1A5376"/>
          <w:sz w:val="22"/>
        </w:rPr>
        <w:t xml:space="preserve">Paso 5: </w:t>
      </w:r>
      <w:r>
        <w:rPr>
          <w:b/>
          <w:sz w:val="22"/>
        </w:rPr>
        <w:t>Cálculo de saturación</w:t>
      </w:r>
    </w:p>
    <w:p>
      <w:pPr>
        <w:spacing w:after="80"/>
        <w:ind w:left="567"/>
      </w:pPr>
      <w:r>
        <w:rPr>
          <w:sz w:val="21"/>
        </w:rPr>
        <w:t>Saturación (%) = round(carga / capacidad × 100). Si capacidad = 0, saturación = 0.</w:t>
      </w:r>
    </w:p>
    <w:p>
      <w:pPr>
        <w:spacing w:before="120" w:after="40"/>
      </w:pPr>
      <w:r>
        <w:rPr>
          <w:b/>
          <w:color w:val="1A5376"/>
          <w:sz w:val="22"/>
        </w:rPr>
        <w:t xml:space="preserve">Paso 6: </w:t>
      </w:r>
      <w:r>
        <w:rPr>
          <w:b/>
          <w:sz w:val="22"/>
        </w:rPr>
        <w:t>Renderizado del Mapa de Calor</w:t>
      </w:r>
    </w:p>
    <w:p>
      <w:pPr>
        <w:spacing w:after="80"/>
        <w:ind w:left="567"/>
      </w:pPr>
      <w:r>
        <w:rPr>
          <w:sz w:val="21"/>
        </w:rPr>
        <w:t>Se construye la tabla HTML con los porcentajes y colores correspondientes. Se actualiza al cambiar de pestaña (Termoformado / Extrusión).</w:t>
      </w:r>
    </w:p>
    <w:p>
      <w:r>
        <w:br w:type="page"/>
      </w:r>
    </w:p>
    <w:p>
      <w:pPr>
        <w:spacing w:before="280" w:after="80"/>
      </w:pPr>
      <w:r>
        <w:rPr>
          <w:b/>
          <w:color w:val="1A5376"/>
          <w:sz w:val="32"/>
        </w:rPr>
        <w:t>8. Ejemplo Completo de Cálculo</w:t>
      </w:r>
    </w:p>
    <w:p>
      <w:pPr>
        <w:spacing w:after="80"/>
      </w:pPr>
      <w:r>
        <w:rPr>
          <w:b/>
          <w:sz w:val="21"/>
        </w:rPr>
        <w:t xml:space="preserve">Escenario: </w:t>
      </w:r>
      <w:r>
        <w:rPr>
          <w:b w:val="0"/>
          <w:sz w:val="21"/>
        </w:rPr>
        <w:t>Máquina T1 (3 turnos), junio 2026. Dos órdenes activas.</w:t>
      </w:r>
    </w:p>
    <w:p>
      <w:pPr>
        <w:spacing w:before="280" w:after="80"/>
      </w:pPr>
      <w:r>
        <w:rPr>
          <w:b/>
          <w:color w:val="2E74B5"/>
          <w:sz w:val="26"/>
        </w:rPr>
        <w:t>8.1 Capacidad disponible — junio 2026 (T1, modo "actual")</w:t>
      </w:r>
    </w:p>
    <w:p>
      <w:pPr>
        <w:spacing w:after="80"/>
      </w:pPr>
      <w:r>
        <w:rPr>
          <w:sz w:val="21"/>
        </w:rPr>
        <w:t>Junio 2026 tiene 30 días naturales. Días laborables (lunes–viernes, sin festivos ni paros): 22 días.</w:t>
      </w:r>
    </w:p>
    <w:p>
      <w:pPr>
        <w:spacing w:before="40" w:after="40"/>
        <w:ind w:left="567"/>
        <w:shd w:val="clear" w:color="auto" w:fill="F0F4F0"/>
      </w:pPr>
      <w:r>
        <w:rPr>
          <w:rFonts w:ascii="Courier New" w:hAnsi="Courier New"/>
          <w:color w:val="1E3A1E"/>
          <w:sz w:val="18"/>
        </w:rPr>
        <w:t>getCapH(2026, 6, "T1", "actual")</w:t>
      </w:r>
    </w:p>
    <w:p>
      <w:pPr>
        <w:spacing w:before="40" w:after="40"/>
        <w:ind w:left="567"/>
        <w:shd w:val="clear" w:color="auto" w:fill="F0F4F0"/>
      </w:pPr>
      <w:r>
        <w:rPr>
          <w:rFonts w:ascii="Courier New" w:hAnsi="Courier New"/>
          <w:color w:val="1E3A1E"/>
          <w:sz w:val="18"/>
        </w:rPr>
        <w:t xml:space="preserve">  = 22 días × 3 turnos × 8 h/turno</w:t>
      </w:r>
    </w:p>
    <w:p>
      <w:pPr>
        <w:spacing w:before="40" w:after="40"/>
        <w:ind w:left="567"/>
        <w:shd w:val="clear" w:color="auto" w:fill="F0F4F0"/>
      </w:pPr>
      <w:r>
        <w:rPr>
          <w:rFonts w:ascii="Courier New" w:hAnsi="Courier New"/>
          <w:color w:val="1E3A1E"/>
          <w:sz w:val="18"/>
        </w:rPr>
        <w:t xml:space="preserve">  = 22 × 24 = 528 h disponibles</w:t>
      </w:r>
    </w:p>
    <w:p>
      <w:pPr>
        <w:spacing w:before="280" w:after="80"/>
      </w:pPr>
      <w:r>
        <w:rPr>
          <w:b/>
          <w:color w:val="2E74B5"/>
          <w:sz w:val="26"/>
        </w:rPr>
        <w:t>8.2 Órdenes y carga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val="clear" w:color="auto" w:fill="1A537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OF</w:t>
            </w:r>
          </w:p>
        </w:tc>
        <w:tc>
          <w:tcPr>
            <w:tcW w:type="dxa" w:w="1520"/>
            <w:shd w:val="clear" w:color="auto" w:fill="1A537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Inicio</w:t>
            </w:r>
          </w:p>
        </w:tc>
        <w:tc>
          <w:tcPr>
            <w:tcW w:type="dxa" w:w="1520"/>
            <w:shd w:val="clear" w:color="auto" w:fill="1A537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Fin</w:t>
            </w:r>
          </w:p>
        </w:tc>
        <w:tc>
          <w:tcPr>
            <w:tcW w:type="dxa" w:w="1520"/>
            <w:shd w:val="clear" w:color="auto" w:fill="1A537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Horas tot.</w:t>
            </w:r>
          </w:p>
        </w:tc>
        <w:tc>
          <w:tcPr>
            <w:tcW w:type="dxa" w:w="1520"/>
            <w:shd w:val="clear" w:color="auto" w:fill="1A537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Mes(es) imputados</w:t>
            </w:r>
          </w:p>
        </w:tc>
        <w:tc>
          <w:tcPr>
            <w:tcW w:type="dxa" w:w="1520"/>
            <w:shd w:val="clear" w:color="auto" w:fill="1A537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Horas en jun-26</w:t>
            </w:r>
          </w:p>
        </w:tc>
      </w:tr>
      <w:tr>
        <w:tc>
          <w:tcPr>
            <w:tcW w:type="dxa" w:w="1520"/>
            <w:shd w:val="clear" w:color="auto" w:fill="EBF5FB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OF-101</w:t>
            </w:r>
          </w:p>
        </w:tc>
        <w:tc>
          <w:tcPr>
            <w:tcW w:type="dxa" w:w="1520"/>
            <w:shd w:val="clear" w:color="auto" w:fill="EBF5FB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2026-06-10</w:t>
            </w:r>
          </w:p>
        </w:tc>
        <w:tc>
          <w:tcPr>
            <w:tcW w:type="dxa" w:w="1520"/>
            <w:shd w:val="clear" w:color="auto" w:fill="EBF5FB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2026-06-20</w:t>
            </w:r>
          </w:p>
        </w:tc>
        <w:tc>
          <w:tcPr>
            <w:tcW w:type="dxa" w:w="1520"/>
            <w:shd w:val="clear" w:color="auto" w:fill="EBF5FB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240 h</w:t>
            </w:r>
          </w:p>
        </w:tc>
        <w:tc>
          <w:tcPr>
            <w:tcW w:type="dxa" w:w="1520"/>
            <w:shd w:val="clear" w:color="auto" w:fill="EBF5FB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Jun-26 (solo)</w:t>
            </w:r>
          </w:p>
        </w:tc>
        <w:tc>
          <w:tcPr>
            <w:tcW w:type="dxa" w:w="1520"/>
            <w:shd w:val="clear" w:color="auto" w:fill="EBF5FB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240 h (100%)</w:t>
            </w:r>
          </w:p>
        </w:tc>
      </w:tr>
      <w:tr>
        <w:tc>
          <w:tcPr>
            <w:tcW w:type="dxa" w:w="1520"/>
            <w:shd w:val="clear" w:color="auto" w:fill="FDFEFE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OF-102</w:t>
            </w:r>
          </w:p>
        </w:tc>
        <w:tc>
          <w:tcPr>
            <w:tcW w:type="dxa" w:w="1520"/>
            <w:shd w:val="clear" w:color="auto" w:fill="FDFEFE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2026-06-30</w:t>
            </w:r>
          </w:p>
        </w:tc>
        <w:tc>
          <w:tcPr>
            <w:tcW w:type="dxa" w:w="1520"/>
            <w:shd w:val="clear" w:color="auto" w:fill="FDFEFE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2026-07-15</w:t>
            </w:r>
          </w:p>
        </w:tc>
        <w:tc>
          <w:tcPr>
            <w:tcW w:type="dxa" w:w="1520"/>
            <w:shd w:val="clear" w:color="auto" w:fill="FDFEFE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360 h</w:t>
            </w:r>
          </w:p>
        </w:tc>
        <w:tc>
          <w:tcPr>
            <w:tcW w:type="dxa" w:w="1520"/>
            <w:shd w:val="clear" w:color="auto" w:fill="FDFEFE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Jun-26 + Jul-26</w:t>
            </w:r>
          </w:p>
        </w:tc>
        <w:tc>
          <w:tcPr>
            <w:tcW w:type="dxa" w:w="1520"/>
            <w:shd w:val="clear" w:color="auto" w:fill="FDFEFE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30 h (8.3%)</w:t>
            </w:r>
          </w:p>
        </w:tc>
      </w:tr>
    </w:tbl>
    <w:p/>
    <w:p>
      <w:pPr>
        <w:spacing w:after="80"/>
      </w:pPr>
      <w:r>
        <w:rPr>
          <w:sz w:val="21"/>
        </w:rPr>
        <w:t>OF-101 no cruza mes → sin prorrateo. OF-102 sí cruza (30 jun → 15 jul):</w:t>
      </w:r>
    </w:p>
    <w:p>
      <w:pPr>
        <w:spacing w:before="40" w:after="40"/>
        <w:ind w:left="567"/>
        <w:shd w:val="clear" w:color="auto" w:fill="F0F4F0"/>
      </w:pPr>
      <w:r>
        <w:rPr>
          <w:rFonts w:ascii="Courier New" w:hAnsi="Courier New"/>
          <w:color w:val="1E3A1E"/>
          <w:sz w:val="18"/>
        </w:rPr>
        <w:t>OF-102: días laborables en jun-26 = 1 (solo el 30 jun)</w:t>
      </w:r>
    </w:p>
    <w:p>
      <w:pPr>
        <w:spacing w:before="40" w:after="40"/>
        <w:ind w:left="567"/>
        <w:shd w:val="clear" w:color="auto" w:fill="F0F4F0"/>
      </w:pPr>
      <w:r>
        <w:rPr>
          <w:rFonts w:ascii="Courier New" w:hAnsi="Courier New"/>
          <w:color w:val="1E3A1E"/>
          <w:sz w:val="18"/>
        </w:rPr>
        <w:t xml:space="preserve">        días laborables en jul-26 = 11 (1 jul–15 jul, lun–vie)</w:t>
      </w:r>
    </w:p>
    <w:p>
      <w:pPr>
        <w:spacing w:before="40" w:after="40"/>
        <w:ind w:left="567"/>
        <w:shd w:val="clear" w:color="auto" w:fill="F0F4F0"/>
      </w:pPr>
      <w:r>
        <w:rPr>
          <w:rFonts w:ascii="Courier New" w:hAnsi="Courier New"/>
          <w:color w:val="1E3A1E"/>
          <w:sz w:val="18"/>
        </w:rPr>
        <w:t xml:space="preserve">        total días labor. = 12</w:t>
      </w:r>
    </w:p>
    <w:p>
      <w:pPr>
        <w:spacing w:before="40" w:after="40"/>
        <w:ind w:left="567"/>
        <w:shd w:val="clear" w:color="auto" w:fill="F0F4F0"/>
      </w:pPr>
      <w:r>
        <w:rPr>
          <w:rFonts w:ascii="Courier New" w:hAnsi="Courier New"/>
          <w:color w:val="1E3A1E"/>
          <w:sz w:val="18"/>
        </w:rPr>
        <w:t xml:space="preserve">        horas jun-26 = 360 × (1/12) = 30 h</w:t>
      </w:r>
    </w:p>
    <w:p>
      <w:pPr>
        <w:spacing w:before="40" w:after="40"/>
        <w:ind w:left="567"/>
        <w:shd w:val="clear" w:color="auto" w:fill="F0F4F0"/>
      </w:pPr>
      <w:r>
        <w:rPr>
          <w:rFonts w:ascii="Courier New" w:hAnsi="Courier New"/>
          <w:color w:val="1E3A1E"/>
          <w:sz w:val="18"/>
        </w:rPr>
        <w:t xml:space="preserve">        horas jul-26 = 360 × (11/12) = 330 h</w:t>
      </w:r>
    </w:p>
    <w:p>
      <w:pPr>
        <w:spacing w:before="280" w:after="80"/>
      </w:pPr>
      <w:r>
        <w:rPr>
          <w:b/>
          <w:color w:val="2E74B5"/>
          <w:sz w:val="26"/>
        </w:rPr>
        <w:t>8.3 Carga total en junio 2026 (T1)</w:t>
      </w:r>
    </w:p>
    <w:p>
      <w:pPr>
        <w:spacing w:before="40" w:after="40"/>
        <w:ind w:left="567"/>
        <w:shd w:val="clear" w:color="auto" w:fill="F0F4F0"/>
      </w:pPr>
      <w:r>
        <w:rPr>
          <w:rFonts w:ascii="Courier New" w:hAnsi="Courier New"/>
          <w:color w:val="1E3A1E"/>
          <w:sz w:val="18"/>
        </w:rPr>
        <w:t>carga jun-26 = 240 h (OF-101) + 30 h (OF-102) = 270 h</w:t>
      </w:r>
    </w:p>
    <w:p>
      <w:pPr>
        <w:spacing w:before="280" w:after="80"/>
      </w:pPr>
      <w:r>
        <w:rPr>
          <w:b/>
          <w:color w:val="2E74B5"/>
          <w:sz w:val="26"/>
        </w:rPr>
        <w:t>8.4 Tiempo de cambio</w:t>
      </w:r>
    </w:p>
    <w:p>
      <w:pPr>
        <w:spacing w:after="80"/>
      </w:pPr>
      <w:r>
        <w:rPr>
          <w:sz w:val="21"/>
        </w:rPr>
        <w:t>Supongamos que OF-101 pertenece a familia F01 y OF-102 a familia F02 → 2 familias distintas → 1 cambio adicional.</w:t>
      </w:r>
    </w:p>
    <w:p>
      <w:pPr>
        <w:spacing w:before="40" w:after="40"/>
        <w:ind w:left="567"/>
        <w:shd w:val="clear" w:color="auto" w:fill="F0F4F0"/>
      </w:pPr>
      <w:r>
        <w:rPr>
          <w:rFonts w:ascii="Courier New" w:hAnsi="Courier New"/>
          <w:color w:val="1E3A1E"/>
          <w:sz w:val="18"/>
        </w:rPr>
        <w:t>horasCambio = (2-1) × 4 = 4 h</w:t>
      </w:r>
    </w:p>
    <w:p>
      <w:pPr>
        <w:spacing w:before="40" w:after="40"/>
        <w:ind w:left="567"/>
        <w:shd w:val="clear" w:color="auto" w:fill="F0F4F0"/>
      </w:pPr>
      <w:r>
        <w:rPr>
          <w:rFonts w:ascii="Courier New" w:hAnsi="Courier New"/>
          <w:color w:val="1E3A1E"/>
          <w:sz w:val="18"/>
        </w:rPr>
        <w:t>carga total jun-26 = 270 + 4 = 274 h</w:t>
      </w:r>
    </w:p>
    <w:p>
      <w:pPr>
        <w:spacing w:before="280" w:after="80"/>
      </w:pPr>
      <w:r>
        <w:rPr>
          <w:b/>
          <w:color w:val="2E74B5"/>
          <w:sz w:val="26"/>
        </w:rPr>
        <w:t>8.5 Saturación</w:t>
      </w:r>
    </w:p>
    <w:p>
      <w:pPr>
        <w:spacing w:before="40" w:after="40"/>
        <w:ind w:left="567"/>
        <w:shd w:val="clear" w:color="auto" w:fill="F0F4F0"/>
      </w:pPr>
      <w:r>
        <w:rPr>
          <w:rFonts w:ascii="Courier New" w:hAnsi="Courier New"/>
          <w:color w:val="1E3A1E"/>
          <w:sz w:val="18"/>
        </w:rPr>
        <w:t>saturación T1 jun-26 = round(274 / 528 × 100) = round(51.9) = 52%</w:t>
      </w:r>
    </w:p>
    <w:p>
      <w:pPr>
        <w:spacing w:after="80"/>
      </w:pPr>
      <w:r>
        <w:rPr>
          <w:b w:val="0"/>
          <w:sz w:val="21"/>
        </w:rPr>
        <w:t xml:space="preserve">Resultado en el Mapa de Calor: </w:t>
      </w:r>
      <w:r>
        <w:rPr>
          <w:b/>
          <w:sz w:val="21"/>
        </w:rPr>
        <w:t>verde claro (52%, rango 0–60%)</w:t>
      </w:r>
      <w:r>
        <w:rPr>
          <w:b w:val="0"/>
          <w:sz w:val="21"/>
        </w:rPr>
        <w:t xml:space="preserve"> → baja ocupación.</w:t>
      </w:r>
    </w:p>
    <w:p>
      <w:r>
        <w:br w:type="page"/>
      </w:r>
    </w:p>
    <w:p>
      <w:pPr>
        <w:spacing w:before="280" w:after="80"/>
      </w:pPr>
      <w:r>
        <w:rPr>
          <w:b/>
          <w:color w:val="1A5376"/>
          <w:sz w:val="32"/>
        </w:rPr>
        <w:t>9. Glosario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2E74B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Término</w:t>
            </w:r>
          </w:p>
        </w:tc>
        <w:tc>
          <w:tcPr>
            <w:tcW w:type="dxa" w:w="4561"/>
            <w:shd w:val="clear" w:color="auto" w:fill="2E74B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Definición</w:t>
            </w:r>
          </w:p>
        </w:tc>
      </w:tr>
      <w:tr>
        <w:tc>
          <w:tcPr>
            <w:tcW w:type="dxa" w:w="4561"/>
            <w:shd w:val="clear" w:color="auto" w:fill="EAF4FB"/>
            <w:vAlign w:val="center"/>
          </w:tcPr>
          <w:p>
            <w:pPr>
              <w:jc w:val="left"/>
            </w:pPr>
            <w:r>
              <w:rPr>
                <w:b/>
                <w:sz w:val="20"/>
              </w:rPr>
              <w:t>fecha_inicio</w:t>
            </w:r>
          </w:p>
        </w:tc>
        <w:tc>
          <w:tcPr>
            <w:tcW w:type="dxa" w:w="4561"/>
            <w:shd w:val="clear" w:color="auto" w:fill="EAF4FB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Fecha en que comienza la fabricación de la orden. Determina el mes base de imputación.</w:t>
            </w:r>
          </w:p>
        </w:tc>
      </w:tr>
      <w:tr>
        <w:tc>
          <w:tcPr>
            <w:tcW w:type="dxa" w:w="4561"/>
            <w:shd w:val="clear" w:color="auto" w:fill="FDFEFE"/>
            <w:vAlign w:val="center"/>
          </w:tcPr>
          <w:p>
            <w:pPr>
              <w:jc w:val="left"/>
            </w:pPr>
            <w:r>
              <w:rPr>
                <w:b/>
                <w:sz w:val="20"/>
              </w:rPr>
              <w:t>fecha_fin</w:t>
            </w:r>
          </w:p>
        </w:tc>
        <w:tc>
          <w:tcPr>
            <w:tcW w:type="dxa" w:w="4561"/>
            <w:shd w:val="clear" w:color="auto" w:fill="FDFEFE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Fecha prevista de finalización de la orden.</w:t>
            </w:r>
          </w:p>
        </w:tc>
      </w:tr>
      <w:tr>
        <w:tc>
          <w:tcPr>
            <w:tcW w:type="dxa" w:w="4561"/>
            <w:shd w:val="clear" w:color="auto" w:fill="EAF4FB"/>
            <w:vAlign w:val="center"/>
          </w:tcPr>
          <w:p>
            <w:pPr>
              <w:jc w:val="left"/>
            </w:pPr>
            <w:r>
              <w:rPr>
                <w:b/>
                <w:sz w:val="20"/>
              </w:rPr>
              <w:t>horas_of</w:t>
            </w:r>
          </w:p>
        </w:tc>
        <w:tc>
          <w:tcPr>
            <w:tcW w:type="dxa" w:w="4561"/>
            <w:shd w:val="clear" w:color="auto" w:fill="EAF4FB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Horas totales estimadas para completar la orden de fabricación.</w:t>
            </w:r>
          </w:p>
        </w:tc>
      </w:tr>
      <w:tr>
        <w:tc>
          <w:tcPr>
            <w:tcW w:type="dxa" w:w="4561"/>
            <w:shd w:val="clear" w:color="auto" w:fill="FDFEFE"/>
            <w:vAlign w:val="center"/>
          </w:tcPr>
          <w:p>
            <w:pPr>
              <w:jc w:val="left"/>
            </w:pPr>
            <w:r>
              <w:rPr>
                <w:b/>
                <w:sz w:val="20"/>
              </w:rPr>
              <w:t>ym</w:t>
            </w:r>
          </w:p>
        </w:tc>
        <w:tc>
          <w:tcPr>
            <w:tcW w:type="dxa" w:w="4561"/>
            <w:shd w:val="clear" w:color="auto" w:fill="FDFEFE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Código de mes de imputación en formato "AAAA-MM". Clave de agrupación en DCData.</w:t>
            </w:r>
          </w:p>
        </w:tc>
      </w:tr>
      <w:tr>
        <w:tc>
          <w:tcPr>
            <w:tcW w:type="dxa" w:w="4561"/>
            <w:shd w:val="clear" w:color="auto" w:fill="EAF4FB"/>
            <w:vAlign w:val="center"/>
          </w:tcPr>
          <w:p>
            <w:pPr>
              <w:jc w:val="left"/>
            </w:pPr>
            <w:r>
              <w:rPr>
                <w:b/>
                <w:sz w:val="20"/>
              </w:rPr>
              <w:t>getCapH</w:t>
            </w:r>
          </w:p>
        </w:tc>
        <w:tc>
          <w:tcPr>
            <w:tcW w:type="dxa" w:w="4561"/>
            <w:shd w:val="clear" w:color="auto" w:fill="EAF4FB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Función que calcula las horas disponibles de una máquina en un mes dado.</w:t>
            </w:r>
          </w:p>
        </w:tc>
      </w:tr>
      <w:tr>
        <w:tc>
          <w:tcPr>
            <w:tcW w:type="dxa" w:w="4561"/>
            <w:shd w:val="clear" w:color="auto" w:fill="FDFEFE"/>
            <w:vAlign w:val="center"/>
          </w:tcPr>
          <w:p>
            <w:pPr>
              <w:jc w:val="left"/>
            </w:pPr>
            <w:r>
              <w:rPr>
                <w:b/>
                <w:sz w:val="20"/>
              </w:rPr>
              <w:t>getDayShiftsCapH</w:t>
            </w:r>
          </w:p>
        </w:tc>
        <w:tc>
          <w:tcPr>
            <w:tcW w:type="dxa" w:w="4561"/>
            <w:shd w:val="clear" w:color="auto" w:fill="FDFEFE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Función auxiliar que devuelve las horas de un día concreto según el modo de calendario.</w:t>
            </w:r>
          </w:p>
        </w:tc>
      </w:tr>
      <w:tr>
        <w:tc>
          <w:tcPr>
            <w:tcW w:type="dxa" w:w="4561"/>
            <w:shd w:val="clear" w:color="auto" w:fill="EAF4FB"/>
            <w:vAlign w:val="center"/>
          </w:tcPr>
          <w:p>
            <w:pPr>
              <w:jc w:val="left"/>
            </w:pPr>
            <w:r>
              <w:rPr>
                <w:b/>
                <w:sz w:val="20"/>
              </w:rPr>
              <w:t>dSh</w:t>
            </w:r>
          </w:p>
        </w:tc>
        <w:tc>
          <w:tcPr>
            <w:tcW w:type="dxa" w:w="4561"/>
            <w:shd w:val="clear" w:color="auto" w:fill="EAF4FB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Diccionario de turnos por defecto de cada máquina: {T1:3, T2:3, T3:3, T4:2, T5:3, T6:2, E1:3, E2:2}.</w:t>
            </w:r>
          </w:p>
        </w:tc>
      </w:tr>
      <w:tr>
        <w:tc>
          <w:tcPr>
            <w:tcW w:type="dxa" w:w="4561"/>
            <w:shd w:val="clear" w:color="auto" w:fill="FDFEFE"/>
            <w:vAlign w:val="center"/>
          </w:tcPr>
          <w:p>
            <w:pPr>
              <w:jc w:val="left"/>
            </w:pPr>
            <w:r>
              <w:rPr>
                <w:b/>
                <w:sz w:val="20"/>
              </w:rPr>
              <w:t>CHG_H</w:t>
            </w:r>
          </w:p>
        </w:tc>
        <w:tc>
          <w:tcPr>
            <w:tcW w:type="dxa" w:w="4561"/>
            <w:shd w:val="clear" w:color="auto" w:fill="FDFEFE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Tiempo de cambio de molde entre familias distintas = 4 horas por cambio adicional.</w:t>
            </w:r>
          </w:p>
        </w:tc>
      </w:tr>
      <w:tr>
        <w:tc>
          <w:tcPr>
            <w:tcW w:type="dxa" w:w="4561"/>
            <w:shd w:val="clear" w:color="auto" w:fill="EAF4FB"/>
            <w:vAlign w:val="center"/>
          </w:tcPr>
          <w:p>
            <w:pPr>
              <w:jc w:val="left"/>
            </w:pPr>
            <w:r>
              <w:rPr>
                <w:b/>
                <w:sz w:val="20"/>
              </w:rPr>
              <w:t>DCData</w:t>
            </w:r>
          </w:p>
        </w:tc>
        <w:tc>
          <w:tcPr>
            <w:tcW w:type="dxa" w:w="4561"/>
            <w:shd w:val="clear" w:color="auto" w:fill="EAF4FB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Estructura de datos en memoria que almacena todas las entradas de carga por máquina.</w:t>
            </w:r>
          </w:p>
        </w:tc>
      </w:tr>
      <w:tr>
        <w:tc>
          <w:tcPr>
            <w:tcW w:type="dxa" w:w="4561"/>
            <w:shd w:val="clear" w:color="auto" w:fill="FDFEFE"/>
            <w:vAlign w:val="center"/>
          </w:tcPr>
          <w:p>
            <w:pPr>
              <w:jc w:val="left"/>
            </w:pPr>
            <w:r>
              <w:rPr>
                <w:b/>
                <w:sz w:val="20"/>
              </w:rPr>
              <w:t>Saturación (%)</w:t>
            </w:r>
          </w:p>
        </w:tc>
        <w:tc>
          <w:tcPr>
            <w:tcW w:type="dxa" w:w="4561"/>
            <w:shd w:val="clear" w:color="auto" w:fill="FDFEFE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Ratio carga/capacidad expresado en porcentaje. Indicador principal del módulo.</w:t>
            </w:r>
          </w:p>
        </w:tc>
      </w:tr>
      <w:tr>
        <w:tc>
          <w:tcPr>
            <w:tcW w:type="dxa" w:w="4561"/>
            <w:shd w:val="clear" w:color="auto" w:fill="EAF4FB"/>
            <w:vAlign w:val="center"/>
          </w:tcPr>
          <w:p>
            <w:pPr>
              <w:jc w:val="left"/>
            </w:pPr>
            <w:r>
              <w:rPr>
                <w:b/>
                <w:sz w:val="20"/>
              </w:rPr>
              <w:t>Prorrateo</w:t>
            </w:r>
          </w:p>
        </w:tc>
        <w:tc>
          <w:tcPr>
            <w:tcW w:type="dxa" w:w="4561"/>
            <w:shd w:val="clear" w:color="auto" w:fill="EAF4FB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Distribución proporcional de las horas de una orden entre los meses que ocupa, basada en días laborables.</w:t>
            </w:r>
          </w:p>
        </w:tc>
      </w:tr>
      <w:tr>
        <w:tc>
          <w:tcPr>
            <w:tcW w:type="dxa" w:w="4561"/>
            <w:shd w:val="clear" w:color="auto" w:fill="FDFEFE"/>
            <w:vAlign w:val="center"/>
          </w:tcPr>
          <w:p>
            <w:pPr>
              <w:jc w:val="left"/>
            </w:pPr>
            <w:r>
              <w:rPr>
                <w:b/>
                <w:sz w:val="20"/>
              </w:rPr>
              <w:t>Modo "actual"</w:t>
            </w:r>
          </w:p>
        </w:tc>
        <w:tc>
          <w:tcPr>
            <w:tcW w:type="dxa" w:w="4561"/>
            <w:shd w:val="clear" w:color="auto" w:fill="FDFEFE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Calendario real: usa los turnos configurados por máquina y descuenta paros registrados.</w:t>
            </w:r>
          </w:p>
        </w:tc>
      </w:tr>
      <w:tr>
        <w:tc>
          <w:tcPr>
            <w:tcW w:type="dxa" w:w="4561"/>
            <w:shd w:val="clear" w:color="auto" w:fill="EAF4FB"/>
            <w:vAlign w:val="center"/>
          </w:tcPr>
          <w:p>
            <w:pPr>
              <w:jc w:val="left"/>
            </w:pPr>
            <w:r>
              <w:rPr>
                <w:b/>
                <w:sz w:val="20"/>
              </w:rPr>
              <w:t>Modo "Nt"</w:t>
            </w:r>
          </w:p>
        </w:tc>
        <w:tc>
          <w:tcPr>
            <w:tcW w:type="dxa" w:w="4561"/>
            <w:shd w:val="clear" w:color="auto" w:fill="EAF4FB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Modo teórico con N turnos fijos (1–5), independiente del calendario de paros.</w:t>
            </w:r>
          </w:p>
        </w:tc>
      </w:tr>
      <w:tr>
        <w:tc>
          <w:tcPr>
            <w:tcW w:type="dxa" w:w="4561"/>
            <w:shd w:val="clear" w:color="auto" w:fill="FDFEFE"/>
            <w:vAlign w:val="center"/>
          </w:tcPr>
          <w:p>
            <w:pPr>
              <w:jc w:val="left"/>
            </w:pPr>
            <w:r>
              <w:rPr>
                <w:b/>
                <w:sz w:val="20"/>
              </w:rPr>
              <w:t>Modo "custom"</w:t>
            </w:r>
          </w:p>
        </w:tc>
        <w:tc>
          <w:tcPr>
            <w:tcW w:type="dxa" w:w="4561"/>
            <w:shd w:val="clear" w:color="auto" w:fill="FDFEFE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Calendario personalizado definido por el usuario con turnos específicos por día.</w:t>
            </w:r>
          </w:p>
        </w:tc>
      </w:tr>
      <w:tr>
        <w:tc>
          <w:tcPr>
            <w:tcW w:type="dxa" w:w="4561"/>
            <w:shd w:val="clear" w:color="auto" w:fill="EAF4FB"/>
            <w:vAlign w:val="center"/>
          </w:tcPr>
          <w:p>
            <w:pPr>
              <w:jc w:val="left"/>
            </w:pPr>
            <w:r>
              <w:rPr>
                <w:b/>
                <w:sz w:val="20"/>
              </w:rPr>
              <w:t>Plan. + Prev.</w:t>
            </w:r>
          </w:p>
        </w:tc>
        <w:tc>
          <w:tcPr>
            <w:tcW w:type="dxa" w:w="4561"/>
            <w:shd w:val="clear" w:color="auto" w:fill="EAF4FB"/>
            <w:vAlign w:val="center"/>
          </w:tcPr>
          <w:p>
            <w:pPr>
              <w:jc w:val="left"/>
            </w:pPr>
            <w:r>
              <w:rPr>
                <w:b w:val="0"/>
                <w:sz w:val="20"/>
              </w:rPr>
              <w:t>Modo que suma órdenes planificadas y previsiones para obtener una visión de demanda total.</w:t>
            </w:r>
          </w:p>
        </w:tc>
      </w:tr>
    </w:tbl>
    <w:p/>
    <w:p>
      <w:pPr>
        <w:jc w:val="center"/>
      </w:pPr>
      <w:r>
        <w:rPr>
          <w:color w:val="AAAAAA"/>
          <w:sz w:val="18"/>
        </w:rPr>
        <w:t>ONDUPET · Documento técnico interno · Junio 2026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