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55C91"/>
          <w:sz w:val="48"/>
        </w:rPr>
        <w:br/>
        <w:t>Seguimiento de pedidos de cestas y bobinas</w:t>
      </w:r>
    </w:p>
    <w:p>
      <w:pPr>
        <w:jc w:val="center"/>
      </w:pPr>
      <w:r>
        <w:rPr>
          <w:color w:val="64748B"/>
          <w:sz w:val="28"/>
        </w:rPr>
        <w:t>Documentación funcional · Versión 5.2</w:t>
      </w:r>
    </w:p>
    <w:p>
      <w:pPr>
        <w:jc w:val="center"/>
      </w:pPr>
      <w:r>
        <w:rPr>
          <w:color w:val="64748B"/>
          <w:sz w:val="22"/>
        </w:rPr>
        <w:t>Incluye definición y fórmulas de todos los KPIs</w:t>
        <w:br/>
        <w:t>Junio 2026</w:t>
      </w:r>
    </w:p>
    <w:p>
      <w:r>
        <w:br w:type="page"/>
      </w:r>
    </w:p>
    <w:p>
      <w:pPr>
        <w:pStyle w:val="Heading1"/>
      </w:pPr>
      <w:r>
        <w:rPr>
          <w:color w:val="155C91"/>
        </w:rPr>
        <w:t>1. Descripción general</w:t>
      </w:r>
    </w:p>
    <w:p>
      <w:r>
        <w:rPr>
          <w:b w:val="0"/>
          <w:i w:val="0"/>
        </w:rPr>
        <w:t>La herramienta es un fichero HTML autónomo (Seguimiento_Pedidos_v5.html) que simula el seguimiento de la cartera de pedidos de cestas y bobinas. No necesita servidor ni instalación: se abre en cualquier navegador moderno. La única dependencia externa es la librería de gráficos Chart.js, que se carga por CDN (se necesita conexión a internet para ver la pestaña Gráficas).</w:t>
      </w:r>
    </w:p>
    <w:p>
      <w:r>
        <w:rPr>
          <w:b w:val="0"/>
          <w:i w:val="0"/>
        </w:rPr>
        <w:t>Los datos (pedidos y órdenes de fabricación) están embebidos en el propio fichero a modo de simulación, pensados para sustituirse en el futuro por una extracción real de SAP.</w:t>
      </w:r>
    </w:p>
    <w:p>
      <w:r>
        <w:rPr>
          <w:b w:val="0"/>
          <w:i w:val="0"/>
        </w:rPr>
        <w:t>La aplicación se organiza en tres pestañas:</w:t>
      </w:r>
    </w:p>
    <w:tbl>
      <w:tblPr>
        <w:tblStyle w:val="TableGrid"/>
        <w:tblW w:type="auto" w:w="0"/>
        <w:tblLook w:firstColumn="1" w:firstRow="1" w:lastColumn="0" w:lastRow="0" w:noHBand="0" w:noVBand="1" w:val="04A0"/>
      </w:tblPr>
      <w:tblGrid>
        <w:gridCol w:w="4320"/>
        <w:gridCol w:w="4320"/>
      </w:tblGrid>
      <w:tr>
        <w:tc>
          <w:tcPr>
            <w:tcW w:type="dxa" w:w="3118"/>
          </w:tcPr>
          <w:p>
            <w:r/>
            <w:r>
              <w:rPr>
                <w:b/>
              </w:rPr>
              <w:t>Pestaña</w:t>
            </w:r>
          </w:p>
        </w:tc>
        <w:tc>
          <w:tcPr>
            <w:tcW w:type="dxa" w:w="6520"/>
          </w:tcPr>
          <w:p>
            <w:r/>
            <w:r>
              <w:rPr>
                <w:b/>
              </w:rPr>
              <w:t>Contenido</w:t>
            </w:r>
          </w:p>
        </w:tc>
      </w:tr>
      <w:tr>
        <w:tc>
          <w:tcPr>
            <w:tcW w:type="dxa" w:w="3118"/>
          </w:tcPr>
          <w:p>
            <w:r/>
            <w:r>
              <w:t>Pedidos</w:t>
            </w:r>
          </w:p>
        </w:tc>
        <w:tc>
          <w:tcPr>
            <w:tcW w:type="dxa" w:w="6520"/>
          </w:tcPr>
          <w:p>
            <w:r/>
            <w:r>
              <w:t>Cartera completa de pedidos con semáforo de cumplimiento, filtros por todas las columnas, KPIs de cabecera, asignación de motivos de atraso y detalle expandible por pedido.</w:t>
            </w:r>
          </w:p>
        </w:tc>
      </w:tr>
      <w:tr>
        <w:tc>
          <w:tcPr>
            <w:tcW w:type="dxa" w:w="3118"/>
          </w:tcPr>
          <w:p>
            <w:r/>
            <w:r>
              <w:t>Órdenes lanzadas y asociación</w:t>
            </w:r>
          </w:p>
        </w:tc>
        <w:tc>
          <w:tcPr>
            <w:tcW w:type="dxa" w:w="6520"/>
          </w:tcPr>
          <w:p>
            <w:r/>
            <w:r>
              <w:t>Órdenes de fabricación (OF) y su vínculo con los pedidos: asociación real (MTO) o consumo ficticio (MTS).</w:t>
            </w:r>
          </w:p>
        </w:tc>
      </w:tr>
      <w:tr>
        <w:tc>
          <w:tcPr>
            <w:tcW w:type="dxa" w:w="3118"/>
          </w:tcPr>
          <w:p>
            <w:r/>
            <w:r>
              <w:t>Gráficas</w:t>
            </w:r>
          </w:p>
        </w:tc>
        <w:tc>
          <w:tcPr>
            <w:tcW w:type="dxa" w:w="6520"/>
          </w:tcPr>
          <w:p>
            <w:r/>
            <w:r>
              <w:t>Cuadro de mando con los KPIs clave de la cartera: % atrasada real vs teórica, cobertura con stock, % planificada, composición de la cartera y pedidos atrasados por motivo.</w:t>
            </w:r>
          </w:p>
        </w:tc>
      </w:tr>
    </w:tbl>
    <w:p/>
    <w:p>
      <w:r>
        <w:rPr>
          <w:b w:val="0"/>
          <w:i w:val="0"/>
        </w:rPr>
        <w:t>En la versión 5.2 se han eliminado las pestañas Stock y CTP de la versión 5.0/5.1. Se mantiene el campo Cliente en pedidos y órdenes. El campo Reservado vuelve a leerse directamente del dato del pedido.</w:t>
      </w:r>
    </w:p>
    <w:p>
      <w:pPr>
        <w:pStyle w:val="Heading1"/>
      </w:pPr>
      <w:r>
        <w:rPr>
          <w:color w:val="155C91"/>
        </w:rPr>
        <w:t>2. Conceptos y campos base</w:t>
      </w:r>
    </w:p>
    <w:p>
      <w:pPr>
        <w:pStyle w:val="Heading2"/>
      </w:pPr>
      <w:r>
        <w:rPr>
          <w:color w:val="155C91"/>
        </w:rPr>
        <w:t>2.1 El pedido</w:t>
      </w:r>
    </w:p>
    <w:p>
      <w:r>
        <w:rPr>
          <w:b w:val="0"/>
          <w:i w:val="0"/>
        </w:rPr>
        <w:t>Cada línea de pedido (pedido + posición) contiene, entre otros, los campos:</w:t>
      </w:r>
    </w:p>
    <w:tbl>
      <w:tblPr>
        <w:tblStyle w:val="TableGrid"/>
        <w:tblW w:type="auto" w:w="0"/>
        <w:tblLook w:firstColumn="1" w:firstRow="1" w:lastColumn="0" w:lastRow="0" w:noHBand="0" w:noVBand="1" w:val="04A0"/>
      </w:tblPr>
      <w:tblGrid>
        <w:gridCol w:w="4320"/>
        <w:gridCol w:w="4320"/>
      </w:tblGrid>
      <w:tr>
        <w:tc>
          <w:tcPr>
            <w:tcW w:type="dxa" w:w="2551"/>
          </w:tcPr>
          <w:p>
            <w:r/>
            <w:r>
              <w:rPr>
                <w:b/>
              </w:rPr>
              <w:t>Campo</w:t>
            </w:r>
          </w:p>
        </w:tc>
        <w:tc>
          <w:tcPr>
            <w:tcW w:type="dxa" w:w="7087"/>
          </w:tcPr>
          <w:p>
            <w:r/>
            <w:r>
              <w:rPr>
                <w:b/>
              </w:rPr>
              <w:t>Significado</w:t>
            </w:r>
          </w:p>
        </w:tc>
      </w:tr>
      <w:tr>
        <w:tc>
          <w:tcPr>
            <w:tcW w:type="dxa" w:w="2551"/>
          </w:tcPr>
          <w:p>
            <w:r/>
            <w:r>
              <w:t>Cantidad</w:t>
            </w:r>
          </w:p>
        </w:tc>
        <w:tc>
          <w:tcPr>
            <w:tcW w:type="dxa" w:w="7087"/>
          </w:tcPr>
          <w:p>
            <w:r/>
            <w:r>
              <w:t>Cantidad total de la línea de pedido (UD para cestas, KG para bobinas).</w:t>
            </w:r>
          </w:p>
        </w:tc>
      </w:tr>
      <w:tr>
        <w:tc>
          <w:tcPr>
            <w:tcW w:type="dxa" w:w="2551"/>
          </w:tcPr>
          <w:p>
            <w:r/>
            <w:r>
              <w:t>Servido</w:t>
            </w:r>
          </w:p>
        </w:tc>
        <w:tc>
          <w:tcPr>
            <w:tcW w:type="dxa" w:w="7087"/>
          </w:tcPr>
          <w:p>
            <w:r/>
            <w:r>
              <w:t>Cantidad ya expedida al cliente (suma de los partes expedidos).</w:t>
            </w:r>
          </w:p>
        </w:tc>
      </w:tr>
      <w:tr>
        <w:tc>
          <w:tcPr>
            <w:tcW w:type="dxa" w:w="2551"/>
          </w:tcPr>
          <w:p>
            <w:r/>
            <w:r>
              <w:t>Pendiente</w:t>
            </w:r>
          </w:p>
        </w:tc>
        <w:tc>
          <w:tcPr>
            <w:tcW w:type="dxa" w:w="7087"/>
          </w:tcPr>
          <w:p>
            <w:r/>
            <w:r>
              <w:t>Cantidad que falta por servir: Cantidad − Servido.</w:t>
            </w:r>
          </w:p>
        </w:tc>
      </w:tr>
      <w:tr>
        <w:tc>
          <w:tcPr>
            <w:tcW w:type="dxa" w:w="2551"/>
          </w:tcPr>
          <w:p>
            <w:r/>
            <w:r>
              <w:t>Reservado</w:t>
            </w:r>
          </w:p>
        </w:tc>
        <w:tc>
          <w:tcPr>
            <w:tcW w:type="dxa" w:w="7087"/>
          </w:tcPr>
          <w:p>
            <w:r/>
            <w:r>
              <w:t>Cantidad de stock físico reservada en firme contra ese pedido.</w:t>
            </w:r>
          </w:p>
        </w:tc>
      </w:tr>
      <w:tr>
        <w:tc>
          <w:tcPr>
            <w:tcW w:type="dxa" w:w="2551"/>
          </w:tcPr>
          <w:p>
            <w:r/>
            <w:r>
              <w:t>En carga</w:t>
            </w:r>
          </w:p>
        </w:tc>
        <w:tc>
          <w:tcPr>
            <w:tcW w:type="dxa" w:w="7087"/>
          </w:tcPr>
          <w:p>
            <w:r/>
            <w:r>
              <w:t>Cantidad ya comprometida en partes de carga pendientes de expedir.</w:t>
            </w:r>
          </w:p>
        </w:tc>
      </w:tr>
      <w:tr>
        <w:tc>
          <w:tcPr>
            <w:tcW w:type="dxa" w:w="2551"/>
          </w:tcPr>
          <w:p>
            <w:r/>
            <w:r>
              <w:t>Estrategia</w:t>
            </w:r>
          </w:p>
        </w:tc>
        <w:tc>
          <w:tcPr>
            <w:tcW w:type="dxa" w:w="7087"/>
          </w:tcPr>
          <w:p>
            <w:r/>
            <w:r>
              <w:t>MTO (fabricación contra pedido) o MTS (fabricación contra stock).</w:t>
            </w:r>
          </w:p>
        </w:tc>
      </w:tr>
      <w:tr>
        <w:tc>
          <w:tcPr>
            <w:tcW w:type="dxa" w:w="2551"/>
          </w:tcPr>
          <w:p>
            <w:r/>
            <w:r>
              <w:t>Fecha entrega</w:t>
            </w:r>
          </w:p>
        </w:tc>
        <w:tc>
          <w:tcPr>
            <w:tcW w:type="dxa" w:w="7087"/>
          </w:tcPr>
          <w:p>
            <w:r/>
            <w:r>
              <w:t>Fecha de entrega comprometida vigente con el cliente.</w:t>
            </w:r>
          </w:p>
        </w:tc>
      </w:tr>
      <w:tr>
        <w:tc>
          <w:tcPr>
            <w:tcW w:type="dxa" w:w="2551"/>
          </w:tcPr>
          <w:p>
            <w:r/>
            <w:r>
              <w:t>1ª fecha entrega</w:t>
            </w:r>
          </w:p>
        </w:tc>
        <w:tc>
          <w:tcPr>
            <w:tcW w:type="dxa" w:w="7087"/>
          </w:tcPr>
          <w:p>
            <w:r/>
            <w:r>
              <w:t>Primera fecha de entrega que se comprometió (para detectar reprogramaciones).</w:t>
            </w:r>
          </w:p>
        </w:tc>
      </w:tr>
      <w:tr>
        <w:tc>
          <w:tcPr>
            <w:tcW w:type="dxa" w:w="2551"/>
          </w:tcPr>
          <w:p>
            <w:r/>
            <w:r>
              <w:t>Motivo atraso</w:t>
            </w:r>
          </w:p>
        </w:tc>
        <w:tc>
          <w:tcPr>
            <w:tcW w:type="dxa" w:w="7087"/>
          </w:tcPr>
          <w:p>
            <w:r/>
            <w:r>
              <w:t>Motivo asignado manualmente desde la lista configurable de motivos.</w:t>
            </w:r>
          </w:p>
        </w:tc>
      </w:tr>
    </w:tbl>
    <w:p/>
    <w:p>
      <w:pPr>
        <w:pStyle w:val="Heading2"/>
      </w:pPr>
      <w:r>
        <w:rPr>
          <w:color w:val="155C91"/>
        </w:rPr>
        <w:t>2.2 La orden de fabricación (OF)</w:t>
      </w:r>
    </w:p>
    <w:p>
      <w:r>
        <w:rPr>
          <w:b w:val="0"/>
          <w:i w:val="0"/>
        </w:rPr>
        <w:t>Cada OF tiene material, estrategia (MTO/MTS), estatus (LIB liberada, ABIE abierta, CTEC cierre técnico), fechas de inicio y fin previstas, cantidad y, si es MTO, el pedido real contra el que se creó.</w:t>
      </w:r>
    </w:p>
    <w:p>
      <w:pPr>
        <w:pStyle w:val="Heading2"/>
      </w:pPr>
      <w:r>
        <w:rPr>
          <w:color w:val="155C91"/>
        </w:rPr>
        <w:t>2.3 La fecha de referencia HOY</w:t>
      </w:r>
    </w:p>
    <w:p>
      <w:r>
        <w:rPr>
          <w:b w:val="0"/>
          <w:i w:val="0"/>
        </w:rPr>
        <w:t>Todos los cálculos de atraso usan HOY = fecha actual del ordenador a las 00:00. Al abrir el fichero otro día, todos los KPIs se recalculan automáticamente con la nueva fecha.</w:t>
      </w:r>
    </w:p>
    <w:p>
      <w:pPr>
        <w:pStyle w:val="Heading1"/>
      </w:pPr>
      <w:r>
        <w:rPr>
          <w:color w:val="155C91"/>
        </w:rPr>
        <w:t>3. Reglas de cálculo (motor de la herramienta)</w:t>
      </w:r>
    </w:p>
    <w:p>
      <w:pPr>
        <w:pStyle w:val="Heading2"/>
      </w:pPr>
      <w:r>
        <w:rPr>
          <w:color w:val="155C91"/>
        </w:rPr>
        <w:t>3.1 Asociación de órdenes a pedidos</w:t>
      </w:r>
    </w:p>
    <w:p>
      <w:r>
        <w:rPr>
          <w:b/>
        </w:rPr>
        <w:t xml:space="preserve">Pedidos MTO: </w:t>
      </w:r>
      <w:r>
        <w:rPr>
          <w:b w:val="0"/>
        </w:rPr>
        <w:t>se asocian las OF reales creadas contra el pedido (campo pedido real de la OF). Se muestran siempre, aunque exista stock reservado, para poder detectar errores de planificación.</w:t>
      </w:r>
    </w:p>
    <w:p>
      <w:r>
        <w:rPr>
          <w:b/>
        </w:rPr>
        <w:t xml:space="preserve">Pedidos MTS: </w:t>
      </w:r>
      <w:r>
        <w:rPr>
          <w:b w:val="0"/>
        </w:rPr>
        <w:t>las OF MTS no nacen vinculadas a ningún pedido, por lo que la herramienta hace una asignación ficticia: ordena los pedidos MTS por fecha de entrega más antigua (FIFO) y va consumiendo las OF MTS del mismo material ordenadas por fecha de fin más próxima. Solo se asigna la cantidad pendiente neta:</w:t>
      </w:r>
    </w:p>
    <w:p>
      <w:pPr>
        <w:spacing w:before="60" w:after="60"/>
        <w:ind w:left="510"/>
      </w:pPr>
      <w:r>
        <w:rPr>
          <w:rFonts w:ascii="Consolas" w:hAnsi="Consolas"/>
          <w:b/>
          <w:color w:val="0F4770"/>
          <w:sz w:val="20"/>
        </w:rPr>
        <w:t>Cantidad a cubrir con OF (MTS) = max(0; Pendiente − Reservado)</w:t>
      </w:r>
    </w:p>
    <w:p>
      <w:r>
        <w:rPr>
          <w:b/>
        </w:rPr>
        <w:t xml:space="preserve">Regla de stock: </w:t>
      </w:r>
      <w:r>
        <w:rPr>
          <w:b w:val="0"/>
        </w:rPr>
        <w:t>si Reservado ≥ Pendiente, el pedido queda cubierto por stock (Planificado = STOCK), su fecha de disponibilidad es HOY y no consume ninguna OF MTS.</w:t>
      </w:r>
    </w:p>
    <w:p>
      <w:pPr>
        <w:pStyle w:val="Heading2"/>
      </w:pPr>
      <w:r>
        <w:rPr>
          <w:color w:val="155C91"/>
        </w:rPr>
        <w:t>3.2 Campo Planificado (SI / NO / STOCK)</w:t>
      </w:r>
    </w:p>
    <w:tbl>
      <w:tblPr>
        <w:tblStyle w:val="TableGrid"/>
        <w:tblW w:type="auto" w:w="0"/>
        <w:tblLook w:firstColumn="1" w:firstRow="1" w:lastColumn="0" w:lastRow="0" w:noHBand="0" w:noVBand="1" w:val="04A0"/>
      </w:tblPr>
      <w:tblGrid>
        <w:gridCol w:w="2880"/>
        <w:gridCol w:w="2880"/>
        <w:gridCol w:w="2880"/>
      </w:tblGrid>
      <w:tr>
        <w:tc>
          <w:tcPr>
            <w:tcW w:type="dxa" w:w="1417"/>
          </w:tcPr>
          <w:p>
            <w:r/>
            <w:r>
              <w:rPr>
                <w:b/>
              </w:rPr>
              <w:t>Valor</w:t>
            </w:r>
          </w:p>
        </w:tc>
        <w:tc>
          <w:tcPr>
            <w:tcW w:type="dxa" w:w="4535"/>
          </w:tcPr>
          <w:p>
            <w:r/>
            <w:r>
              <w:rPr>
                <w:b/>
              </w:rPr>
              <w:t>Condición</w:t>
            </w:r>
          </w:p>
        </w:tc>
        <w:tc>
          <w:tcPr>
            <w:tcW w:type="dxa" w:w="3685"/>
          </w:tcPr>
          <w:p>
            <w:r/>
            <w:r>
              <w:rPr>
                <w:b/>
              </w:rPr>
              <w:t>Fórmula</w:t>
            </w:r>
          </w:p>
        </w:tc>
      </w:tr>
      <w:tr>
        <w:tc>
          <w:tcPr>
            <w:tcW w:type="dxa" w:w="1417"/>
          </w:tcPr>
          <w:p>
            <w:r/>
            <w:r>
              <w:t>STOCK</w:t>
            </w:r>
          </w:p>
        </w:tc>
        <w:tc>
          <w:tcPr>
            <w:tcW w:type="dxa" w:w="4535"/>
          </w:tcPr>
          <w:p>
            <w:r/>
            <w:r>
              <w:t>El stock reservado cubre todo lo pendiente.</w:t>
            </w:r>
          </w:p>
        </w:tc>
        <w:tc>
          <w:tcPr>
            <w:tcW w:type="dxa" w:w="3685"/>
          </w:tcPr>
          <w:p>
            <w:r/>
            <w:r>
              <w:t>Reservado ≥ Pendiente</w:t>
            </w:r>
          </w:p>
        </w:tc>
      </w:tr>
      <w:tr>
        <w:tc>
          <w:tcPr>
            <w:tcW w:type="dxa" w:w="1417"/>
          </w:tcPr>
          <w:p>
            <w:r/>
            <w:r>
              <w:t>SI (MTO)</w:t>
            </w:r>
          </w:p>
        </w:tc>
        <w:tc>
          <w:tcPr>
            <w:tcW w:type="dxa" w:w="4535"/>
          </w:tcPr>
          <w:p>
            <w:r/>
            <w:r>
              <w:t>Las OF asociadas cubren lo pendiente.</w:t>
            </w:r>
          </w:p>
        </w:tc>
        <w:tc>
          <w:tcPr>
            <w:tcW w:type="dxa" w:w="3685"/>
          </w:tcPr>
          <w:p>
            <w:r/>
            <w:r>
              <w:t>Σ Cantidad OF asociadas ≥ Pendiente</w:t>
            </w:r>
          </w:p>
        </w:tc>
      </w:tr>
      <w:tr>
        <w:tc>
          <w:tcPr>
            <w:tcW w:type="dxa" w:w="1417"/>
          </w:tcPr>
          <w:p>
            <w:r/>
            <w:r>
              <w:t>SI (MTS)</w:t>
            </w:r>
          </w:p>
        </w:tc>
        <w:tc>
          <w:tcPr>
            <w:tcW w:type="dxa" w:w="4535"/>
          </w:tcPr>
          <w:p>
            <w:r/>
            <w:r>
              <w:t>Las OF asignadas ficticiamente cubren la parte no reservada.</w:t>
            </w:r>
          </w:p>
        </w:tc>
        <w:tc>
          <w:tcPr>
            <w:tcW w:type="dxa" w:w="3685"/>
          </w:tcPr>
          <w:p>
            <w:r/>
            <w:r>
              <w:t>Σ Cantidad asignada ≥ Pendiente − Reservado</w:t>
            </w:r>
          </w:p>
        </w:tc>
      </w:tr>
      <w:tr>
        <w:tc>
          <w:tcPr>
            <w:tcW w:type="dxa" w:w="1417"/>
          </w:tcPr>
          <w:p>
            <w:r/>
            <w:r>
              <w:t>NO</w:t>
            </w:r>
          </w:p>
        </w:tc>
        <w:tc>
          <w:tcPr>
            <w:tcW w:type="dxa" w:w="4535"/>
          </w:tcPr>
          <w:p>
            <w:r/>
            <w:r>
              <w:t>Ninguna de las anteriores: hay cantidad sin cobertura prevista.</w:t>
            </w:r>
          </w:p>
        </w:tc>
        <w:tc>
          <w:tcPr>
            <w:tcW w:type="dxa" w:w="3685"/>
          </w:tcPr>
          <w:p>
            <w:r/>
            <w:r>
              <w:t>—</w:t>
            </w:r>
          </w:p>
        </w:tc>
      </w:tr>
    </w:tbl>
    <w:p/>
    <w:p>
      <w:pPr>
        <w:pStyle w:val="Heading2"/>
      </w:pPr>
      <w:r>
        <w:rPr>
          <w:color w:val="155C91"/>
        </w:rPr>
        <w:t>3.3 Fecha de disponibilidad</w:t>
      </w:r>
    </w:p>
    <w:tbl>
      <w:tblPr>
        <w:tblStyle w:val="TableGrid"/>
        <w:tblW w:type="auto" w:w="0"/>
        <w:tblLook w:firstColumn="1" w:firstRow="1" w:lastColumn="0" w:lastRow="0" w:noHBand="0" w:noVBand="1" w:val="04A0"/>
      </w:tblPr>
      <w:tblGrid>
        <w:gridCol w:w="4320"/>
        <w:gridCol w:w="4320"/>
      </w:tblGrid>
      <w:tr>
        <w:tc>
          <w:tcPr>
            <w:tcW w:type="dxa" w:w="3402"/>
          </w:tcPr>
          <w:p>
            <w:r/>
            <w:r>
              <w:rPr>
                <w:b/>
              </w:rPr>
              <w:t>Caso</w:t>
            </w:r>
          </w:p>
        </w:tc>
        <w:tc>
          <w:tcPr>
            <w:tcW w:type="dxa" w:w="6236"/>
          </w:tcPr>
          <w:p>
            <w:r/>
            <w:r>
              <w:rPr>
                <w:b/>
              </w:rPr>
              <w:t>Fecha de disponibilidad</w:t>
            </w:r>
          </w:p>
        </w:tc>
      </w:tr>
      <w:tr>
        <w:tc>
          <w:tcPr>
            <w:tcW w:type="dxa" w:w="3402"/>
          </w:tcPr>
          <w:p>
            <w:r/>
            <w:r>
              <w:t>Planificado = STOCK</w:t>
            </w:r>
          </w:p>
        </w:tc>
        <w:tc>
          <w:tcPr>
            <w:tcW w:type="dxa" w:w="6236"/>
          </w:tcPr>
          <w:p>
            <w:r/>
            <w:r>
              <w:t>HOY (el material ya está disponible en stock).</w:t>
            </w:r>
          </w:p>
        </w:tc>
      </w:tr>
      <w:tr>
        <w:tc>
          <w:tcPr>
            <w:tcW w:type="dxa" w:w="3402"/>
          </w:tcPr>
          <w:p>
            <w:r/>
            <w:r>
              <w:t>MTO con OF asociadas</w:t>
            </w:r>
          </w:p>
        </w:tc>
        <w:tc>
          <w:tcPr>
            <w:tcW w:type="dxa" w:w="6236"/>
          </w:tcPr>
          <w:p>
            <w:r/>
            <w:r>
              <w:t>Mayor fecha de fin de las OF asociadas al pedido.</w:t>
            </w:r>
          </w:p>
        </w:tc>
      </w:tr>
      <w:tr>
        <w:tc>
          <w:tcPr>
            <w:tcW w:type="dxa" w:w="3402"/>
          </w:tcPr>
          <w:p>
            <w:r/>
            <w:r>
              <w:t>MTS planificado con OF</w:t>
            </w:r>
          </w:p>
        </w:tc>
        <w:tc>
          <w:tcPr>
            <w:tcW w:type="dxa" w:w="6236"/>
          </w:tcPr>
          <w:p>
            <w:r/>
            <w:r>
              <w:t>Mayor fecha de fin de las OF asignadas ficticiamente.</w:t>
            </w:r>
          </w:p>
        </w:tc>
      </w:tr>
      <w:tr>
        <w:tc>
          <w:tcPr>
            <w:tcW w:type="dxa" w:w="3402"/>
          </w:tcPr>
          <w:p>
            <w:r/>
            <w:r>
              <w:t>Sin cobertura suficiente</w:t>
            </w:r>
          </w:p>
        </w:tc>
        <w:tc>
          <w:tcPr>
            <w:tcW w:type="dxa" w:w="6236"/>
          </w:tcPr>
          <w:p>
            <w:r/>
            <w:r>
              <w:t>SIN FECHA DISP. (no se puede calcular el atraso teórico).</w:t>
            </w:r>
          </w:p>
        </w:tc>
      </w:tr>
    </w:tbl>
    <w:p/>
    <w:p>
      <w:pPr>
        <w:pStyle w:val="Heading2"/>
      </w:pPr>
      <w:r>
        <w:rPr>
          <w:color w:val="155C91"/>
        </w:rPr>
        <w:t>3.4 Atrasos y semáforo</w:t>
      </w:r>
    </w:p>
    <w:p>
      <w:pPr>
        <w:spacing w:before="60" w:after="60"/>
        <w:ind w:left="510"/>
      </w:pPr>
      <w:r>
        <w:rPr>
          <w:rFonts w:ascii="Consolas" w:hAnsi="Consolas"/>
          <w:b/>
          <w:color w:val="0F4770"/>
          <w:sz w:val="20"/>
        </w:rPr>
        <w:t>Atraso real (días)    = HOY − Fecha entrega</w:t>
      </w:r>
    </w:p>
    <w:p>
      <w:pPr>
        <w:spacing w:before="60" w:after="60"/>
        <w:ind w:left="510"/>
      </w:pPr>
      <w:r>
        <w:rPr>
          <w:rFonts w:ascii="Consolas" w:hAnsi="Consolas"/>
          <w:b/>
          <w:color w:val="0F4770"/>
          <w:sz w:val="20"/>
        </w:rPr>
        <w:t>Atraso teórico (días) = Fecha disponibilidad − Fecha entrega</w:t>
      </w:r>
    </w:p>
    <w:p>
      <w:r>
        <w:rPr>
          <w:b w:val="0"/>
          <w:i w:val="0"/>
        </w:rPr>
        <w:t>Un valor positivo significa atraso; un valor negativo o cero significa que se llega a tiempo. El atraso teórico solo se calcula si existe fecha de disponibilidad.</w:t>
      </w:r>
    </w:p>
    <w:tbl>
      <w:tblPr>
        <w:tblStyle w:val="TableGrid"/>
        <w:tblW w:type="auto" w:w="0"/>
        <w:tblLook w:firstColumn="1" w:firstRow="1" w:lastColumn="0" w:lastRow="0" w:noHBand="0" w:noVBand="1" w:val="04A0"/>
      </w:tblPr>
      <w:tblGrid>
        <w:gridCol w:w="2880"/>
        <w:gridCol w:w="2880"/>
        <w:gridCol w:w="2880"/>
      </w:tblGrid>
      <w:tr>
        <w:tc>
          <w:tcPr>
            <w:tcW w:type="dxa" w:w="1587"/>
          </w:tcPr>
          <w:p>
            <w:r/>
            <w:r>
              <w:rPr>
                <w:b/>
              </w:rPr>
              <w:t>Color</w:t>
            </w:r>
          </w:p>
        </w:tc>
        <w:tc>
          <w:tcPr>
            <w:tcW w:type="dxa" w:w="3515"/>
          </w:tcPr>
          <w:p>
            <w:r/>
            <w:r>
              <w:rPr>
                <w:b/>
              </w:rPr>
              <w:t>Condición</w:t>
            </w:r>
          </w:p>
        </w:tc>
        <w:tc>
          <w:tcPr>
            <w:tcW w:type="dxa" w:w="4535"/>
          </w:tcPr>
          <w:p>
            <w:r/>
            <w:r>
              <w:rPr>
                <w:b/>
              </w:rPr>
              <w:t>Lectura</w:t>
            </w:r>
          </w:p>
        </w:tc>
      </w:tr>
      <w:tr>
        <w:tc>
          <w:tcPr>
            <w:tcW w:type="dxa" w:w="1587"/>
          </w:tcPr>
          <w:p>
            <w:r/>
            <w:r>
              <w:t>🔴 Rojo</w:t>
            </w:r>
          </w:p>
        </w:tc>
        <w:tc>
          <w:tcPr>
            <w:tcW w:type="dxa" w:w="3515"/>
          </w:tcPr>
          <w:p>
            <w:r/>
            <w:r>
              <w:t>Atraso real &gt; 0</w:t>
            </w:r>
          </w:p>
        </w:tc>
        <w:tc>
          <w:tcPr>
            <w:tcW w:type="dxa" w:w="4535"/>
          </w:tcPr>
          <w:p>
            <w:r/>
            <w:r>
              <w:t>La fecha de entrega ya está vencida y queda cantidad pendiente.</w:t>
            </w:r>
          </w:p>
        </w:tc>
      </w:tr>
      <w:tr>
        <w:tc>
          <w:tcPr>
            <w:tcW w:type="dxa" w:w="1587"/>
          </w:tcPr>
          <w:p>
            <w:r/>
            <w:r>
              <w:t>🟡 Amarillo</w:t>
            </w:r>
          </w:p>
        </w:tc>
        <w:tc>
          <w:tcPr>
            <w:tcW w:type="dxa" w:w="3515"/>
          </w:tcPr>
          <w:p>
            <w:r/>
            <w:r>
              <w:t>Atraso real ≤ 0 y Atraso teórico &gt; 0</w:t>
            </w:r>
          </w:p>
        </w:tc>
        <w:tc>
          <w:tcPr>
            <w:tcW w:type="dxa" w:w="4535"/>
          </w:tcPr>
          <w:p>
            <w:r/>
            <w:r>
              <w:t>Aún no ha vencido, pero la disponibilidad prevista llegará tarde: riesgo de atraso.</w:t>
            </w:r>
          </w:p>
        </w:tc>
      </w:tr>
      <w:tr>
        <w:tc>
          <w:tcPr>
            <w:tcW w:type="dxa" w:w="1587"/>
          </w:tcPr>
          <w:p>
            <w:r/>
            <w:r>
              <w:t>🟢 Verde</w:t>
            </w:r>
          </w:p>
        </w:tc>
        <w:tc>
          <w:tcPr>
            <w:tcW w:type="dxa" w:w="3515"/>
          </w:tcPr>
          <w:p>
            <w:r/>
            <w:r>
              <w:t>Resto de casos</w:t>
            </w:r>
          </w:p>
        </w:tc>
        <w:tc>
          <w:tcPr>
            <w:tcW w:type="dxa" w:w="4535"/>
          </w:tcPr>
          <w:p>
            <w:r/>
            <w:r>
              <w:t>Sin atraso real ni teórico.</w:t>
            </w:r>
          </w:p>
        </w:tc>
      </w:tr>
    </w:tbl>
    <w:p/>
    <w:p>
      <w:pPr>
        <w:pStyle w:val="Heading1"/>
      </w:pPr>
      <w:r>
        <w:rPr>
          <w:color w:val="155C91"/>
        </w:rPr>
        <w:t>4. Pestaña Pedidos</w:t>
      </w:r>
    </w:p>
    <w:p>
      <w:r>
        <w:rPr>
          <w:b w:val="0"/>
          <w:i w:val="0"/>
        </w:rPr>
        <w:t>Tabla completa de la cartera con una fila por línea de pedido. Dispone de buscador global, filtros por lista (tipo de material, estrategia, cumplimiento, planificado, comercial) y un filtro de texto por cada columna. El botón + de cada fila despliega el detalle: partes expedidos, partes de carga pendientes y órdenes asociadas (reales MTO o ficticias MTS).</w:t>
      </w:r>
    </w:p>
    <w:p>
      <w:pPr>
        <w:pStyle w:val="Heading2"/>
      </w:pPr>
      <w:r>
        <w:rPr>
          <w:color w:val="155C91"/>
        </w:rPr>
        <w:t>4.1 KPIs de cabecera</w:t>
      </w:r>
    </w:p>
    <w:p>
      <w:r>
        <w:rPr>
          <w:b w:val="0"/>
          <w:i w:val="0"/>
        </w:rPr>
        <w:t>Se calculan siempre sobre los pedidos visibles, es decir, después de aplicar los filtros activos:</w:t>
      </w:r>
    </w:p>
    <w:tbl>
      <w:tblPr>
        <w:tblStyle w:val="TableGrid"/>
        <w:tblW w:type="auto" w:w="0"/>
        <w:tblLook w:firstColumn="1" w:firstRow="1" w:lastColumn="0" w:lastRow="0" w:noHBand="0" w:noVBand="1" w:val="04A0"/>
      </w:tblPr>
      <w:tblGrid>
        <w:gridCol w:w="4320"/>
        <w:gridCol w:w="4320"/>
      </w:tblGrid>
      <w:tr>
        <w:tc>
          <w:tcPr>
            <w:tcW w:type="dxa" w:w="3402"/>
          </w:tcPr>
          <w:p>
            <w:r/>
            <w:r>
              <w:rPr>
                <w:b/>
              </w:rPr>
              <w:t>KPI</w:t>
            </w:r>
          </w:p>
        </w:tc>
        <w:tc>
          <w:tcPr>
            <w:tcW w:type="dxa" w:w="6236"/>
          </w:tcPr>
          <w:p>
            <w:r/>
            <w:r>
              <w:rPr>
                <w:b/>
              </w:rPr>
              <w:t>Fórmula (sobre pedidos visibles)</w:t>
            </w:r>
          </w:p>
        </w:tc>
      </w:tr>
      <w:tr>
        <w:tc>
          <w:tcPr>
            <w:tcW w:type="dxa" w:w="3402"/>
          </w:tcPr>
          <w:p>
            <w:r/>
            <w:r>
              <w:t>Pedidos visibles</w:t>
            </w:r>
          </w:p>
        </w:tc>
        <w:tc>
          <w:tcPr>
            <w:tcW w:type="dxa" w:w="6236"/>
          </w:tcPr>
          <w:p>
            <w:r/>
            <w:r>
              <w:t>Nº de líneas de pedido que pasan los filtros.</w:t>
            </w:r>
          </w:p>
        </w:tc>
      </w:tr>
      <w:tr>
        <w:tc>
          <w:tcPr>
            <w:tcW w:type="dxa" w:w="3402"/>
          </w:tcPr>
          <w:p>
            <w:r/>
            <w:r>
              <w:t>Cestas / Bobinas</w:t>
            </w:r>
          </w:p>
        </w:tc>
        <w:tc>
          <w:tcPr>
            <w:tcW w:type="dxa" w:w="6236"/>
          </w:tcPr>
          <w:p>
            <w:r/>
            <w:r>
              <w:t>Nº de pedidos con Tipo material = CESTA / BOBINA.</w:t>
            </w:r>
          </w:p>
        </w:tc>
      </w:tr>
      <w:tr>
        <w:tc>
          <w:tcPr>
            <w:tcW w:type="dxa" w:w="3402"/>
          </w:tcPr>
          <w:p>
            <w:r/>
            <w:r>
              <w:t>Atraso real</w:t>
            </w:r>
          </w:p>
        </w:tc>
        <w:tc>
          <w:tcPr>
            <w:tcW w:type="dxa" w:w="6236"/>
          </w:tcPr>
          <w:p>
            <w:r/>
            <w:r>
              <w:t>Nº de pedidos en rojo (Atraso real &gt; 0).</w:t>
            </w:r>
          </w:p>
        </w:tc>
      </w:tr>
      <w:tr>
        <w:tc>
          <w:tcPr>
            <w:tcW w:type="dxa" w:w="3402"/>
          </w:tcPr>
          <w:p>
            <w:r/>
            <w:r>
              <w:t>Riesgo teórico</w:t>
            </w:r>
          </w:p>
        </w:tc>
        <w:tc>
          <w:tcPr>
            <w:tcW w:type="dxa" w:w="6236"/>
          </w:tcPr>
          <w:p>
            <w:r/>
            <w:r>
              <w:t>Nº de pedidos en amarillo (Atraso teórico &gt; 0 sin atraso real).</w:t>
            </w:r>
          </w:p>
        </w:tc>
      </w:tr>
      <w:tr>
        <w:tc>
          <w:tcPr>
            <w:tcW w:type="dxa" w:w="3402"/>
          </w:tcPr>
          <w:p>
            <w:r/>
            <w:r>
              <w:t>Cubiertos por stock</w:t>
            </w:r>
          </w:p>
        </w:tc>
        <w:tc>
          <w:tcPr>
            <w:tcW w:type="dxa" w:w="6236"/>
          </w:tcPr>
          <w:p>
            <w:r/>
            <w:r>
              <w:t>Nº de pedidos con Planificado = STOCK.</w:t>
            </w:r>
          </w:p>
        </w:tc>
      </w:tr>
      <w:tr>
        <w:tc>
          <w:tcPr>
            <w:tcW w:type="dxa" w:w="3402"/>
          </w:tcPr>
          <w:p>
            <w:r/>
            <w:r>
              <w:t>Nº pedidos no planificados</w:t>
            </w:r>
          </w:p>
        </w:tc>
        <w:tc>
          <w:tcPr>
            <w:tcW w:type="dxa" w:w="6236"/>
          </w:tcPr>
          <w:p>
            <w:r/>
            <w:r>
              <w:t>Nº de pedidos con Planificado = NO.</w:t>
            </w:r>
          </w:p>
        </w:tc>
      </w:tr>
    </w:tbl>
    <w:p/>
    <w:p>
      <w:pPr>
        <w:pStyle w:val="Heading2"/>
      </w:pPr>
      <w:r>
        <w:rPr>
          <w:color w:val="155C91"/>
        </w:rPr>
        <w:t>4.2 Motivos de atraso</w:t>
      </w:r>
    </w:p>
    <w:p>
      <w:r>
        <w:rPr>
          <w:b w:val="0"/>
          <w:i w:val="0"/>
        </w:rPr>
        <w:t>El panel "Gestión de motivos de atraso" permite añadir y eliminar motivos de la lista (al eliminar un motivo se desasigna de los pedidos que lo tuvieran). En la columna Motivo atraso de cada pedido se asigna el motivo mediante un desplegable. Esta asignación alimenta el gráfico de barras de la pestaña Gráficas.</w:t>
      </w:r>
    </w:p>
    <w:p>
      <w:pPr>
        <w:pStyle w:val="Heading1"/>
      </w:pPr>
      <w:r>
        <w:rPr>
          <w:color w:val="155C91"/>
        </w:rPr>
        <w:t>5. Pestaña Órdenes lanzadas y asociación</w:t>
      </w:r>
    </w:p>
    <w:p>
      <w:r>
        <w:rPr>
          <w:b w:val="0"/>
          <w:i w:val="0"/>
        </w:rPr>
        <w:t>Muestra todas las OF con su tipo de asociación a pedidos:</w:t>
      </w:r>
    </w:p>
    <w:tbl>
      <w:tblPr>
        <w:tblStyle w:val="TableGrid"/>
        <w:tblW w:type="auto" w:w="0"/>
        <w:tblLook w:firstColumn="1" w:firstRow="1" w:lastColumn="0" w:lastRow="0" w:noHBand="0" w:noVBand="1" w:val="04A0"/>
      </w:tblPr>
      <w:tblGrid>
        <w:gridCol w:w="4320"/>
        <w:gridCol w:w="4320"/>
      </w:tblGrid>
      <w:tr>
        <w:tc>
          <w:tcPr>
            <w:tcW w:type="dxa" w:w="2551"/>
          </w:tcPr>
          <w:p>
            <w:r/>
            <w:r>
              <w:rPr>
                <w:b/>
              </w:rPr>
              <w:t>Tipo de asociación</w:t>
            </w:r>
          </w:p>
        </w:tc>
        <w:tc>
          <w:tcPr>
            <w:tcW w:type="dxa" w:w="7087"/>
          </w:tcPr>
          <w:p>
            <w:r/>
            <w:r>
              <w:rPr>
                <w:b/>
              </w:rPr>
              <w:t>Significado</w:t>
            </w:r>
          </w:p>
        </w:tc>
      </w:tr>
      <w:tr>
        <w:tc>
          <w:tcPr>
            <w:tcW w:type="dxa" w:w="2551"/>
          </w:tcPr>
          <w:p>
            <w:r/>
            <w:r>
              <w:t>REAL MTO</w:t>
            </w:r>
          </w:p>
        </w:tc>
        <w:tc>
          <w:tcPr>
            <w:tcW w:type="dxa" w:w="7087"/>
          </w:tcPr>
          <w:p>
            <w:r/>
            <w:r>
              <w:t>OF creada directamente contra un pedido MTO. Se muestra el pedido, su fecha de entrega y la cantidad de la OF.</w:t>
            </w:r>
          </w:p>
        </w:tc>
      </w:tr>
      <w:tr>
        <w:tc>
          <w:tcPr>
            <w:tcW w:type="dxa" w:w="2551"/>
          </w:tcPr>
          <w:p>
            <w:r/>
            <w:r>
              <w:t>FICTICIA MTS</w:t>
            </w:r>
          </w:p>
        </w:tc>
        <w:tc>
          <w:tcPr>
            <w:tcW w:type="dxa" w:w="7087"/>
          </w:tcPr>
          <w:p>
            <w:r/>
            <w:r>
              <w:t>Consumo ficticio calculado por la regla FIFO de fecha de entrega. Una misma OF puede repartirse entre varios pedidos (una fila por reparto).</w:t>
            </w:r>
          </w:p>
        </w:tc>
      </w:tr>
      <w:tr>
        <w:tc>
          <w:tcPr>
            <w:tcW w:type="dxa" w:w="2551"/>
          </w:tcPr>
          <w:p>
            <w:r/>
            <w:r>
              <w:t>SIN CONSUMO</w:t>
            </w:r>
          </w:p>
        </w:tc>
        <w:tc>
          <w:tcPr>
            <w:tcW w:type="dxa" w:w="7087"/>
          </w:tcPr>
          <w:p>
            <w:r/>
            <w:r>
              <w:t>OF MTS que ningún pedido necesita (cartera ya cubierta por stock u otras OF anteriores).</w:t>
            </w:r>
          </w:p>
        </w:tc>
      </w:tr>
    </w:tbl>
    <w:p/>
    <w:p>
      <w:pPr>
        <w:pStyle w:val="Heading1"/>
      </w:pPr>
      <w:r>
        <w:rPr>
          <w:color w:val="155C91"/>
        </w:rPr>
        <w:t>6. Pestaña Gráficas: KPIs y fórmulas</w:t>
      </w:r>
    </w:p>
    <w:p>
      <w:r>
        <w:rPr>
          <w:b w:val="0"/>
          <w:i w:val="0"/>
        </w:rPr>
        <w:t>Cuadro de mando rediseñado en la v5.1 para centrarse en los indicadores clave. Se calcula sobre la cartera completa (sin filtros) y se compone de cuatro tarjetas y dos gráficos. En todas las fórmulas, "Total cartera" es el nº total de líneas de pedido.</w:t>
      </w:r>
    </w:p>
    <w:p>
      <w:pPr>
        <w:pStyle w:val="Heading2"/>
      </w:pPr>
      <w:r>
        <w:rPr>
          <w:color w:val="155C91"/>
        </w:rPr>
        <w:t>6.1 Tarjeta «% Cartera atrasada · Real» (rojo)</w:t>
      </w:r>
    </w:p>
    <w:p>
      <w:r>
        <w:rPr>
          <w:b w:val="0"/>
          <w:i w:val="0"/>
        </w:rPr>
        <w:t>Porcentaje de la cartera cuya fecha de entrega ya está vencida.</w:t>
      </w:r>
    </w:p>
    <w:p>
      <w:pPr>
        <w:spacing w:before="60" w:after="60"/>
        <w:ind w:left="510"/>
      </w:pPr>
      <w:r>
        <w:rPr>
          <w:rFonts w:ascii="Consolas" w:hAnsi="Consolas"/>
          <w:b/>
          <w:color w:val="0F4770"/>
          <w:sz w:val="20"/>
        </w:rPr>
        <w:t>% Cartera atrasada real = Nº pedidos con Atraso real &gt; 0 ÷ Total cartera × 100</w:t>
      </w:r>
    </w:p>
    <w:p>
      <w:pPr>
        <w:spacing w:before="60" w:after="60"/>
        <w:ind w:left="510"/>
      </w:pPr>
      <w:r>
        <w:rPr>
          <w:rFonts w:ascii="Consolas" w:hAnsi="Consolas"/>
          <w:b/>
          <w:color w:val="0F4770"/>
          <w:sz w:val="20"/>
        </w:rPr>
        <w:t>Atraso medio  = Σ Atraso real de los pedidos atrasados ÷ Nº pedidos atrasados</w:t>
      </w:r>
    </w:p>
    <w:p>
      <w:pPr>
        <w:spacing w:before="60" w:after="60"/>
        <w:ind w:left="510"/>
      </w:pPr>
      <w:r>
        <w:rPr>
          <w:rFonts w:ascii="Consolas" w:hAnsi="Consolas"/>
          <w:b/>
          <w:color w:val="0F4770"/>
          <w:sz w:val="20"/>
        </w:rPr>
        <w:t>Atraso máximo = max(Atraso real) de los pedidos atrasados</w:t>
      </w:r>
    </w:p>
    <w:p>
      <w:r>
        <w:rPr>
          <w:b w:val="0"/>
          <w:i w:val="0"/>
        </w:rPr>
        <w:t>El atraso medio y máximo se expresan en días naturales y solo consideran los pedidos ya atrasados.</w:t>
      </w:r>
    </w:p>
    <w:p>
      <w:pPr>
        <w:pStyle w:val="Heading2"/>
      </w:pPr>
      <w:r>
        <w:rPr>
          <w:color w:val="155C91"/>
        </w:rPr>
        <w:t>6.2 Tarjeta «% Cartera atrasada · Teórica» (ámbar)</w:t>
      </w:r>
    </w:p>
    <w:p>
      <w:r>
        <w:rPr>
          <w:b w:val="0"/>
          <w:i w:val="0"/>
        </w:rPr>
        <w:t>Porcentaje de la cartera que, sin haber vencido todavía, llegará tarde según la fecha de disponibilidad calculada. Es el riesgo futuro: real y teórica son grupos disjuntos (un pedido ya vencido cuenta solo en la real).</w:t>
      </w:r>
    </w:p>
    <w:p>
      <w:pPr>
        <w:spacing w:before="60" w:after="60"/>
        <w:ind w:left="510"/>
      </w:pPr>
      <w:r>
        <w:rPr>
          <w:rFonts w:ascii="Consolas" w:hAnsi="Consolas"/>
          <w:b/>
          <w:color w:val="0F4770"/>
          <w:sz w:val="20"/>
        </w:rPr>
        <w:t>% Cartera atrasada teórica = Nº pedidos sin atraso real con Atraso teórico &gt; 0 ÷ Total cartera × 100</w:t>
      </w:r>
    </w:p>
    <w:p>
      <w:pPr>
        <w:spacing w:before="60" w:after="60"/>
        <w:ind w:left="510"/>
      </w:pPr>
      <w:r>
        <w:rPr>
          <w:rFonts w:ascii="Consolas" w:hAnsi="Consolas"/>
          <w:b/>
          <w:color w:val="0F4770"/>
          <w:sz w:val="20"/>
        </w:rPr>
        <w:t>Atraso teórico medio = Σ Atraso teórico de esos pedidos ÷ Nº de esos pedidos</w:t>
      </w:r>
    </w:p>
    <w:p>
      <w:pPr>
        <w:spacing w:before="60" w:after="60"/>
        <w:ind w:left="510"/>
      </w:pPr>
      <w:r>
        <w:rPr>
          <w:rFonts w:ascii="Consolas" w:hAnsi="Consolas"/>
          <w:b/>
          <w:color w:val="0F4770"/>
          <w:sz w:val="20"/>
        </w:rPr>
        <w:t>Sin fecha disponibilidad = Nº pedidos sin atraso real cuya fecha de disponibilidad no se puede calcular</w:t>
      </w:r>
    </w:p>
    <w:p>
      <w:r>
        <w:rPr>
          <w:b w:val="0"/>
          <w:i w:val="0"/>
        </w:rPr>
        <w:t>La línea "Sin fecha disponibilidad" señala riesgo no evaluable: pedidos sin cobertura suficiente de OF ni stock, para los que no se puede prometer fecha.</w:t>
      </w:r>
    </w:p>
    <w:p>
      <w:pPr>
        <w:pStyle w:val="Heading2"/>
      </w:pPr>
      <w:r>
        <w:rPr>
          <w:color w:val="155C91"/>
        </w:rPr>
        <w:t>6.3 Tarjeta «Cobertura con stock» (azul)</w:t>
      </w:r>
    </w:p>
    <w:p>
      <w:r>
        <w:rPr>
          <w:b w:val="0"/>
          <w:i w:val="0"/>
        </w:rPr>
        <w:t>Mide cuánto de la cartera está cubierto con el stock reservado actual.</w:t>
      </w:r>
    </w:p>
    <w:p>
      <w:pPr>
        <w:spacing w:before="60" w:after="60"/>
        <w:ind w:left="510"/>
      </w:pPr>
      <w:r>
        <w:rPr>
          <w:rFonts w:ascii="Consolas" w:hAnsi="Consolas"/>
          <w:b/>
          <w:color w:val="0F4770"/>
          <w:sz w:val="20"/>
        </w:rPr>
        <w:t>% Pedidos cubiertos 100% = Nº pedidos con Planificado = STOCK ÷ Total cartera × 100</w:t>
      </w:r>
    </w:p>
    <w:p>
      <w:pPr>
        <w:spacing w:before="60" w:after="60"/>
        <w:ind w:left="510"/>
      </w:pPr>
      <w:r>
        <w:rPr>
          <w:rFonts w:ascii="Consolas" w:hAnsi="Consolas"/>
          <w:b/>
          <w:color w:val="0F4770"/>
          <w:sz w:val="20"/>
        </w:rPr>
        <w:t>Cobertura parcial = Nº pedidos con 0 &lt; Reservado &lt; Pendiente</w:t>
      </w:r>
    </w:p>
    <w:p>
      <w:pPr>
        <w:spacing w:before="60" w:after="60"/>
        <w:ind w:left="510"/>
      </w:pPr>
      <w:r>
        <w:rPr>
          <w:rFonts w:ascii="Consolas" w:hAnsi="Consolas"/>
          <w:b/>
          <w:color w:val="0F4770"/>
          <w:sz w:val="20"/>
        </w:rPr>
        <w:t>% cantidad cubierta (por tipo) = Σ min(Reservado; Pendiente) ÷ Σ Pendiente × 100</w:t>
      </w:r>
    </w:p>
    <w:p>
      <w:r>
        <w:rPr>
          <w:b w:val="0"/>
          <w:i w:val="0"/>
        </w:rPr>
        <w:t>El % de cantidad cubierta se calcula por separado para cestas (UD) y bobinas (KG), porque las unidades no son sumables entre sí. El min(Reservado; Pendiente) evita que un exceso de reserva infle el indicador por encima del 100%.</w:t>
      </w:r>
    </w:p>
    <w:p>
      <w:pPr>
        <w:pStyle w:val="Heading2"/>
      </w:pPr>
      <w:r>
        <w:rPr>
          <w:color w:val="155C91"/>
        </w:rPr>
        <w:t>6.4 Tarjeta «% Cartera planificada» (verde)</w:t>
      </w:r>
    </w:p>
    <w:p>
      <w:r>
        <w:rPr>
          <w:b w:val="0"/>
          <w:i w:val="0"/>
        </w:rPr>
        <w:t>Porcentaje de la cartera con cobertura prevista, sea por órdenes de fabricación o por stock.</w:t>
      </w:r>
    </w:p>
    <w:p>
      <w:pPr>
        <w:spacing w:before="60" w:after="60"/>
        <w:ind w:left="510"/>
      </w:pPr>
      <w:r>
        <w:rPr>
          <w:rFonts w:ascii="Consolas" w:hAnsi="Consolas"/>
          <w:b/>
          <w:color w:val="0F4770"/>
          <w:sz w:val="20"/>
        </w:rPr>
        <w:t>% Cartera planificada = (Nº pedidos SI + Nº pedidos STOCK) ÷ Total cartera × 100</w:t>
      </w:r>
    </w:p>
    <w:p>
      <w:r>
        <w:rPr>
          <w:b w:val="0"/>
          <w:i w:val="0"/>
        </w:rPr>
        <w:t>El desglose muestra: planificada con OF (SI), cubierta por stock (STOCK) y sin planificar (NO). "Sin planificar" es la cifra de acción: pedidos con cantidad pendiente sin cobertura prevista.</w:t>
      </w:r>
    </w:p>
    <w:p>
      <w:pPr>
        <w:pStyle w:val="Heading2"/>
      </w:pPr>
      <w:r>
        <w:rPr>
          <w:color w:val="155C91"/>
        </w:rPr>
        <w:t>6.5 Gráfico «Estado de la cartera» (donut)</w:t>
      </w:r>
    </w:p>
    <w:p>
      <w:r>
        <w:rPr>
          <w:b w:val="0"/>
          <w:i w:val="0"/>
        </w:rPr>
        <w:t>Reparte la cartera completa en cuatro categorías excluyentes, evaluadas con esta prioridad:</w:t>
      </w:r>
    </w:p>
    <w:tbl>
      <w:tblPr>
        <w:tblStyle w:val="TableGrid"/>
        <w:tblW w:type="auto" w:w="0"/>
        <w:tblLook w:firstColumn="1" w:firstRow="1" w:lastColumn="0" w:lastRow="0" w:noHBand="0" w:noVBand="1" w:val="04A0"/>
      </w:tblPr>
      <w:tblGrid>
        <w:gridCol w:w="2880"/>
        <w:gridCol w:w="2880"/>
        <w:gridCol w:w="2880"/>
      </w:tblGrid>
      <w:tr>
        <w:tc>
          <w:tcPr>
            <w:tcW w:type="dxa" w:w="2268"/>
          </w:tcPr>
          <w:p>
            <w:r/>
            <w:r>
              <w:rPr>
                <w:b/>
              </w:rPr>
              <w:t>Categoría</w:t>
            </w:r>
          </w:p>
        </w:tc>
        <w:tc>
          <w:tcPr>
            <w:tcW w:type="dxa" w:w="5102"/>
          </w:tcPr>
          <w:p>
            <w:r/>
            <w:r>
              <w:rPr>
                <w:b/>
              </w:rPr>
              <w:t>Condición</w:t>
            </w:r>
          </w:p>
        </w:tc>
        <w:tc>
          <w:tcPr>
            <w:tcW w:type="dxa" w:w="2268"/>
          </w:tcPr>
          <w:p>
            <w:r/>
            <w:r>
              <w:rPr>
                <w:b/>
              </w:rPr>
              <w:t>Color</w:t>
            </w:r>
          </w:p>
        </w:tc>
      </w:tr>
      <w:tr>
        <w:tc>
          <w:tcPr>
            <w:tcW w:type="dxa" w:w="2268"/>
          </w:tcPr>
          <w:p>
            <w:r/>
            <w:r>
              <w:t>Atraso real</w:t>
            </w:r>
          </w:p>
        </w:tc>
        <w:tc>
          <w:tcPr>
            <w:tcW w:type="dxa" w:w="5102"/>
          </w:tcPr>
          <w:p>
            <w:r/>
            <w:r>
              <w:t>Atraso real &gt; 0</w:t>
            </w:r>
          </w:p>
        </w:tc>
        <w:tc>
          <w:tcPr>
            <w:tcW w:type="dxa" w:w="2268"/>
          </w:tcPr>
          <w:p>
            <w:r/>
            <w:r>
              <w:t>Rojo</w:t>
            </w:r>
          </w:p>
        </w:tc>
      </w:tr>
      <w:tr>
        <w:tc>
          <w:tcPr>
            <w:tcW w:type="dxa" w:w="2268"/>
          </w:tcPr>
          <w:p>
            <w:r/>
            <w:r>
              <w:t>Atraso teórico</w:t>
            </w:r>
          </w:p>
        </w:tc>
        <w:tc>
          <w:tcPr>
            <w:tcW w:type="dxa" w:w="5102"/>
          </w:tcPr>
          <w:p>
            <w:r/>
            <w:r>
              <w:t>Sin atraso real y Atraso teórico &gt; 0</w:t>
            </w:r>
          </w:p>
        </w:tc>
        <w:tc>
          <w:tcPr>
            <w:tcW w:type="dxa" w:w="2268"/>
          </w:tcPr>
          <w:p>
            <w:r/>
            <w:r>
              <w:t>Ámbar</w:t>
            </w:r>
          </w:p>
        </w:tc>
      </w:tr>
      <w:tr>
        <w:tc>
          <w:tcPr>
            <w:tcW w:type="dxa" w:w="2268"/>
          </w:tcPr>
          <w:p>
            <w:r/>
            <w:r>
              <w:t>Sin fecha disp.</w:t>
            </w:r>
          </w:p>
        </w:tc>
        <w:tc>
          <w:tcPr>
            <w:tcW w:type="dxa" w:w="5102"/>
          </w:tcPr>
          <w:p>
            <w:r/>
            <w:r>
              <w:t>Sin atraso real y sin fecha de disponibilidad</w:t>
            </w:r>
          </w:p>
        </w:tc>
        <w:tc>
          <w:tcPr>
            <w:tcW w:type="dxa" w:w="2268"/>
          </w:tcPr>
          <w:p>
            <w:r/>
            <w:r>
              <w:t>Gris</w:t>
            </w:r>
          </w:p>
        </w:tc>
      </w:tr>
      <w:tr>
        <w:tc>
          <w:tcPr>
            <w:tcW w:type="dxa" w:w="2268"/>
          </w:tcPr>
          <w:p>
            <w:r/>
            <w:r>
              <w:t>En fecha</w:t>
            </w:r>
          </w:p>
        </w:tc>
        <w:tc>
          <w:tcPr>
            <w:tcW w:type="dxa" w:w="5102"/>
          </w:tcPr>
          <w:p>
            <w:r/>
            <w:r>
              <w:t>Resto: con fecha de disponibilidad y sin atrasos</w:t>
            </w:r>
          </w:p>
        </w:tc>
        <w:tc>
          <w:tcPr>
            <w:tcW w:type="dxa" w:w="2268"/>
          </w:tcPr>
          <w:p>
            <w:r/>
            <w:r>
              <w:t>Verde</w:t>
            </w:r>
          </w:p>
        </w:tc>
      </w:tr>
    </w:tbl>
    <w:p/>
    <w:p>
      <w:pPr>
        <w:spacing w:before="60" w:after="60"/>
        <w:ind w:left="510"/>
      </w:pPr>
      <w:r>
        <w:rPr>
          <w:rFonts w:ascii="Consolas" w:hAnsi="Consolas"/>
          <w:b/>
          <w:color w:val="0F4770"/>
          <w:sz w:val="20"/>
        </w:rPr>
        <w:t>Suma de las 4 categorías = Total cartera (cada pedido cuenta en una sola)</w:t>
      </w:r>
    </w:p>
    <w:p>
      <w:pPr>
        <w:pStyle w:val="Heading2"/>
      </w:pPr>
      <w:r>
        <w:rPr>
          <w:color w:val="155C91"/>
        </w:rPr>
        <w:t>6.6 Gráfico «Pedidos atrasados por motivo» (barras)</w:t>
      </w:r>
    </w:p>
    <w:p>
      <w:r>
        <w:rPr>
          <w:b w:val="0"/>
          <w:i w:val="0"/>
        </w:rPr>
        <w:t>Universo: pedidos con problema, es decir, en rojo (atraso real) o en amarillo (atraso teórico). Se agrupan por el motivo asignado en la pestaña Pedidos.</w:t>
      </w:r>
    </w:p>
    <w:p>
      <w:pPr>
        <w:spacing w:before="60" w:after="60"/>
        <w:ind w:left="510"/>
      </w:pPr>
      <w:r>
        <w:rPr>
          <w:rFonts w:ascii="Consolas" w:hAnsi="Consolas"/>
          <w:b/>
          <w:color w:val="0F4770"/>
          <w:sz w:val="20"/>
        </w:rPr>
        <w:t>Valor de cada barra = Nº pedidos rojos/amarillos con ese motivo asignado</w:t>
      </w:r>
    </w:p>
    <w:p>
      <w:pPr>
        <w:spacing w:before="60" w:after="60"/>
        <w:ind w:left="510"/>
      </w:pPr>
      <w:r>
        <w:rPr>
          <w:rFonts w:ascii="Consolas" w:hAnsi="Consolas"/>
          <w:b/>
          <w:color w:val="0F4770"/>
          <w:sz w:val="20"/>
        </w:rPr>
        <w:t>Sin motivo asignado = Nº pedidos rojos/amarillos sin motivo (barra gris)</w:t>
      </w:r>
    </w:p>
    <w:p>
      <w:r>
        <w:rPr>
          <w:b w:val="0"/>
          <w:i w:val="0"/>
        </w:rPr>
        <w:t>La barra gris indica trabajo pendiente de justificar. Si no hay ningún pedido atrasado, el gráfico muestra el mensaje "No hay pedidos atrasados".</w:t>
      </w:r>
    </w:p>
    <w:p>
      <w:pPr>
        <w:pStyle w:val="Heading1"/>
      </w:pPr>
      <w:r>
        <w:rPr>
          <w:color w:val="155C91"/>
        </w:rPr>
        <w:t>7. Histórico de cambios recientes</w:t>
      </w:r>
    </w:p>
    <w:tbl>
      <w:tblPr>
        <w:tblStyle w:val="TableGrid"/>
        <w:tblW w:type="auto" w:w="0"/>
        <w:tblLook w:firstColumn="1" w:firstRow="1" w:lastColumn="0" w:lastRow="0" w:noHBand="0" w:noVBand="1" w:val="04A0"/>
      </w:tblPr>
      <w:tblGrid>
        <w:gridCol w:w="4320"/>
        <w:gridCol w:w="4320"/>
      </w:tblGrid>
      <w:tr>
        <w:tc>
          <w:tcPr>
            <w:tcW w:type="dxa" w:w="1417"/>
          </w:tcPr>
          <w:p>
            <w:r/>
            <w:r>
              <w:rPr>
                <w:b/>
              </w:rPr>
              <w:t>Versión</w:t>
            </w:r>
          </w:p>
        </w:tc>
        <w:tc>
          <w:tcPr>
            <w:tcW w:type="dxa" w:w="8220"/>
          </w:tcPr>
          <w:p>
            <w:r/>
            <w:r>
              <w:rPr>
                <w:b/>
              </w:rPr>
              <w:t>Cambios</w:t>
            </w:r>
          </w:p>
        </w:tc>
      </w:tr>
      <w:tr>
        <w:tc>
          <w:tcPr>
            <w:tcW w:type="dxa" w:w="1417"/>
          </w:tcPr>
          <w:p>
            <w:r/>
            <w:r>
              <w:t>v5.0</w:t>
            </w:r>
          </w:p>
        </w:tc>
        <w:tc>
          <w:tcPr>
            <w:tcW w:type="dxa" w:w="8220"/>
          </w:tcPr>
          <w:p>
            <w:r/>
            <w:r>
              <w:t>Añade pestañas Stock (gestión de stock y reservas) y CTP, y campo Cliente en pedidos y órdenes.</w:t>
            </w:r>
          </w:p>
        </w:tc>
      </w:tr>
      <w:tr>
        <w:tc>
          <w:tcPr>
            <w:tcW w:type="dxa" w:w="1417"/>
          </w:tcPr>
          <w:p>
            <w:r/>
            <w:r>
              <w:t>v5.1</w:t>
            </w:r>
          </w:p>
        </w:tc>
        <w:tc>
          <w:tcPr>
            <w:tcW w:type="dxa" w:w="8220"/>
          </w:tcPr>
          <w:p>
            <w:r/>
            <w:r>
              <w:t>Rediseño completo de la pestaña Gráficas: de 10 elementos a 6, centrados en los KPIs clave (% cartera atrasada real vs teórica, cobertura con stock, % planificada, estado de la cartera y motivos). Se retiran los rankings Top 3, rango de días, distribución tipo/estrategia, cobertura por material y atraso por comercial.</w:t>
            </w:r>
          </w:p>
        </w:tc>
      </w:tr>
      <w:tr>
        <w:tc>
          <w:tcPr>
            <w:tcW w:type="dxa" w:w="1417"/>
          </w:tcPr>
          <w:p>
            <w:r/>
            <w:r>
              <w:t>v5.2</w:t>
            </w:r>
          </w:p>
        </w:tc>
        <w:tc>
          <w:tcPr>
            <w:tcW w:type="dxa" w:w="8220"/>
          </w:tcPr>
          <w:p>
            <w:r/>
            <w:r>
              <w:t>Se eliminan las pestañas Stock y CTP. El campo Reservado vuelve a leerse del propio pedido. Se mantiene el campo Cliente. Publicada en la rama main del repositorio ONDUPET.</w:t>
            </w:r>
          </w:p>
        </w:tc>
      </w:tr>
    </w:tbl>
    <w:p/>
    <w:p>
      <w:r>
        <w:rPr>
          <w:b w:val="0"/>
          <w:i w:val="0"/>
        </w:rPr>
      </w:r>
    </w:p>
    <w:p>
      <w:r>
        <w:rPr>
          <w:i/>
          <w:color w:val="64748B"/>
          <w:sz w:val="19"/>
        </w:rPr>
        <w:t>Nota: los datos del fichero son simulados. Las fechas de ejemplo hacen que la mayoría de pedidos aparezcan en atraso real; al sustituirlos por datos reales de SAP los KPIs reflejarán la situación verdadera de la cartera.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Seguimiento de pedidos de cestas y bobinas v5.2</dc:title>
  <dc:subject/>
  <dc:creator>ONDUPET</dc:creator>
  <cp:keywords/>
  <dc:description>generated by python-docx</dc:description>
  <cp:lastModifiedBy/>
  <cp:revision>1</cp:revision>
  <dcterms:created xsi:type="dcterms:W3CDTF">2013-12-23T23:15:00Z</dcterms:created>
  <dcterms:modified xsi:type="dcterms:W3CDTF">2013-12-23T23:15:00Z</dcterms:modified>
  <cp:category/>
</cp:coreProperties>
</file>