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Ajuste de Palets — ZPAL_AJUS</w:t>
      </w:r>
    </w:p>
    <w:p>
      <w:r>
        <w:rPr>
          <w:i/>
          <w:sz w:val="24"/>
        </w:rPr>
        <w:t>Manual funcional · Transacción de control y ajuste de inventario de palets</w:t>
      </w:r>
    </w:p>
    <w:p>
      <w:r>
        <w:t>Documento generado el 16/06/2026</w:t>
      </w:r>
    </w:p>
    <w:p>
      <w:pPr>
        <w:pStyle w:val="Heading1"/>
      </w:pPr>
      <w:r>
        <w:t>1. Propósito</w:t>
      </w:r>
    </w:p>
    <w:p>
      <w:r>
        <w:t>La transacción permite llevar el control del inventario de palets y realizar ajustes manuales sobre ellos. A cada material se le cuelga un palet en su lista de materiales con sus unidades por palet: al notificar una orden se bloquean palets y, conforme el material se consume o se expide, los palets se liberan o se dan de baja. Esta transacción reproduce ese ciclo y añade el bloqueo manual, el alta de palets, el ajuste de unidades y la gestión de devoluciones, dejando traza de cada movimiento.</w:t>
      </w:r>
    </w:p>
    <w:p>
      <w:pPr>
        <w:pStyle w:val="Heading1"/>
      </w:pPr>
      <w:r>
        <w:t>2. Situaciones del palet</w:t>
      </w:r>
    </w:p>
    <w:p>
      <w:r>
        <w:t>Un palet puede estar en una de estas tres situaciones: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701"/>
            <w:shd w:val="clear" w:color="auto" w:fill="2F5F8F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Situación</w:t>
            </w:r>
          </w:p>
        </w:tc>
        <w:tc>
          <w:tcPr>
            <w:tcW w:type="dxa" w:w="1134"/>
            <w:shd w:val="clear" w:color="auto" w:fill="2F5F8F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Color</w:t>
            </w:r>
          </w:p>
        </w:tc>
        <w:tc>
          <w:tcPr>
            <w:tcW w:type="dxa" w:w="6236"/>
            <w:shd w:val="clear" w:color="auto" w:fill="2F5F8F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Descripción</w:t>
            </w:r>
          </w:p>
        </w:tc>
      </w:tr>
      <w:tr>
        <w:tc>
          <w:tcPr>
            <w:tcW w:type="dxa" w:w="1701"/>
          </w:tcPr>
          <w:p>
            <w:pPr>
              <w:spacing w:after="40" w:before="40"/>
            </w:pPr>
            <w:r/>
            <w:r>
              <w:rPr>
                <w:b w:val="0"/>
                <w:sz w:val="20"/>
              </w:rPr>
              <w:t>Bloqueado</w:t>
            </w:r>
          </w:p>
        </w:tc>
        <w:tc>
          <w:tcPr>
            <w:tcW w:type="dxa" w:w="1134"/>
          </w:tcPr>
          <w:p>
            <w:pPr>
              <w:spacing w:after="40" w:before="40"/>
            </w:pPr>
            <w:r/>
            <w:r>
              <w:rPr>
                <w:b w:val="0"/>
                <w:sz w:val="20"/>
              </w:rPr>
              <w:t>Ámbar</w:t>
            </w:r>
          </w:p>
        </w:tc>
        <w:tc>
          <w:tcPr>
            <w:tcW w:type="dxa" w:w="6236"/>
          </w:tcPr>
          <w:p>
            <w:pPr>
              <w:spacing w:after="40" w:before="40"/>
            </w:pPr>
            <w:r/>
            <w:r>
              <w:rPr>
                <w:b w:val="0"/>
                <w:sz w:val="20"/>
              </w:rPr>
              <w:t>Palet ocupado y reservado, contra una orden de fabricación o por bloqueo manual. Tiene matrícula, material y unidades.</w:t>
            </w:r>
          </w:p>
        </w:tc>
      </w:tr>
      <w:tr>
        <w:tc>
          <w:tcPr>
            <w:tcW w:type="dxa" w:w="1701"/>
            <w:shd w:val="clear" w:color="auto" w:fill="EEF3F9"/>
          </w:tcPr>
          <w:p>
            <w:pPr>
              <w:spacing w:after="40" w:before="40"/>
            </w:pPr>
            <w:r/>
            <w:r>
              <w:rPr>
                <w:b w:val="0"/>
                <w:sz w:val="20"/>
              </w:rPr>
              <w:t>Libre</w:t>
            </w:r>
          </w:p>
        </w:tc>
        <w:tc>
          <w:tcPr>
            <w:tcW w:type="dxa" w:w="1134"/>
            <w:shd w:val="clear" w:color="auto" w:fill="EEF3F9"/>
          </w:tcPr>
          <w:p>
            <w:pPr>
              <w:spacing w:after="40" w:before="40"/>
            </w:pPr>
            <w:r/>
            <w:r>
              <w:rPr>
                <w:b w:val="0"/>
                <w:sz w:val="20"/>
              </w:rPr>
              <w:t>Verde</w:t>
            </w:r>
          </w:p>
        </w:tc>
        <w:tc>
          <w:tcPr>
            <w:tcW w:type="dxa" w:w="6236"/>
            <w:shd w:val="clear" w:color="auto" w:fill="EEF3F9"/>
          </w:tcPr>
          <w:p>
            <w:pPr>
              <w:spacing w:after="40" w:before="40"/>
            </w:pPr>
            <w:r/>
            <w:r>
              <w:rPr>
                <w:b w:val="0"/>
                <w:sz w:val="20"/>
              </w:rPr>
              <w:t>Soporte vacío, sin matrícula, sin material y sin orden. Los libres se agrupan por código de palet (una fila por código con su recuento).</w:t>
            </w:r>
          </w:p>
        </w:tc>
      </w:tr>
      <w:tr>
        <w:tc>
          <w:tcPr>
            <w:tcW w:type="dxa" w:w="1701"/>
          </w:tcPr>
          <w:p>
            <w:pPr>
              <w:spacing w:after="40" w:before="40"/>
            </w:pPr>
            <w:r/>
            <w:r>
              <w:rPr>
                <w:b w:val="0"/>
                <w:sz w:val="20"/>
              </w:rPr>
              <w:t>Devolución</w:t>
            </w:r>
          </w:p>
        </w:tc>
        <w:tc>
          <w:tcPr>
            <w:tcW w:type="dxa" w:w="1134"/>
          </w:tcPr>
          <w:p>
            <w:pPr>
              <w:spacing w:after="40" w:before="40"/>
            </w:pPr>
            <w:r/>
            <w:r>
              <w:rPr>
                <w:b w:val="0"/>
                <w:sz w:val="20"/>
              </w:rPr>
              <w:t>Azul</w:t>
            </w:r>
          </w:p>
        </w:tc>
        <w:tc>
          <w:tcPr>
            <w:tcW w:type="dxa" w:w="6236"/>
          </w:tcPr>
          <w:p>
            <w:pPr>
              <w:spacing w:after="40" w:before="40"/>
            </w:pPr>
            <w:r/>
            <w:r>
              <w:rPr>
                <w:b w:val="0"/>
                <w:sz w:val="20"/>
              </w:rPr>
              <w:t>Palet con material que el cliente devuelve. Es el ÚNICO caso con el campo Entrega relleno; no tiene matrícula, ni orden, ni ubicación, pero sí material y unidades.</w:t>
            </w:r>
          </w:p>
        </w:tc>
      </w:tr>
    </w:tbl>
    <w:p/>
    <w:p>
      <w:pPr>
        <w:pStyle w:val="Heading1"/>
      </w:pPr>
      <w:r>
        <w:t>3. Nomenclatura de códigos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4535"/>
            <w:shd w:val="clear" w:color="auto" w:fill="2F5F8F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Elemento</w:t>
            </w:r>
          </w:p>
        </w:tc>
        <w:tc>
          <w:tcPr>
            <w:tcW w:type="dxa" w:w="2268"/>
            <w:shd w:val="clear" w:color="auto" w:fill="2F5F8F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Formato</w:t>
            </w:r>
          </w:p>
        </w:tc>
        <w:tc>
          <w:tcPr>
            <w:tcW w:type="dxa" w:w="2268"/>
            <w:shd w:val="clear" w:color="auto" w:fill="2F5F8F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Ejemplo</w:t>
            </w:r>
          </w:p>
        </w:tc>
      </w:tr>
      <w:tr>
        <w:tc>
          <w:tcPr>
            <w:tcW w:type="dxa" w:w="4535"/>
          </w:tcPr>
          <w:p>
            <w:pPr>
              <w:spacing w:after="40" w:before="40"/>
            </w:pPr>
            <w:r/>
            <w:r>
              <w:rPr>
                <w:b w:val="0"/>
                <w:sz w:val="20"/>
              </w:rPr>
              <w:t>Código de palet (CLP)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/>
            <w:r>
              <w:rPr>
                <w:b w:val="0"/>
                <w:sz w:val="20"/>
              </w:rPr>
              <w:t>0496xxxx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/>
            <w:r>
              <w:rPr>
                <w:b w:val="0"/>
                <w:sz w:val="20"/>
              </w:rPr>
              <w:t>04969347</w:t>
            </w:r>
          </w:p>
        </w:tc>
      </w:tr>
      <w:tr>
        <w:tc>
          <w:tcPr>
            <w:tcW w:type="dxa" w:w="4535"/>
            <w:shd w:val="clear" w:color="auto" w:fill="EEF3F9"/>
          </w:tcPr>
          <w:p>
            <w:pPr>
              <w:spacing w:after="40" w:before="40"/>
            </w:pPr>
            <w:r/>
            <w:r>
              <w:rPr>
                <w:b w:val="0"/>
                <w:sz w:val="20"/>
              </w:rPr>
              <w:t>Matrícula del palet</w:t>
            </w:r>
          </w:p>
        </w:tc>
        <w:tc>
          <w:tcPr>
            <w:tcW w:type="dxa" w:w="2268"/>
            <w:shd w:val="clear" w:color="auto" w:fill="EEF3F9"/>
          </w:tcPr>
          <w:p>
            <w:pPr>
              <w:spacing w:after="40" w:before="40"/>
            </w:pPr>
            <w:r/>
            <w:r>
              <w:rPr>
                <w:b w:val="0"/>
                <w:sz w:val="20"/>
              </w:rPr>
              <w:t>1000xxxxxx</w:t>
            </w:r>
          </w:p>
        </w:tc>
        <w:tc>
          <w:tcPr>
            <w:tcW w:type="dxa" w:w="2268"/>
            <w:shd w:val="clear" w:color="auto" w:fill="EEF3F9"/>
          </w:tcPr>
          <w:p>
            <w:pPr>
              <w:spacing w:after="40" w:before="40"/>
            </w:pPr>
            <w:r/>
            <w:r>
              <w:rPr>
                <w:b w:val="0"/>
                <w:sz w:val="20"/>
              </w:rPr>
              <w:t>1000405548</w:t>
            </w:r>
          </w:p>
        </w:tc>
      </w:tr>
      <w:tr>
        <w:tc>
          <w:tcPr>
            <w:tcW w:type="dxa" w:w="4535"/>
          </w:tcPr>
          <w:p>
            <w:pPr>
              <w:spacing w:after="40" w:before="40"/>
            </w:pPr>
            <w:r/>
            <w:r>
              <w:rPr>
                <w:b w:val="0"/>
                <w:sz w:val="20"/>
              </w:rPr>
              <w:t>Componente semielaborado / terminado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/>
            <w:r>
              <w:rPr>
                <w:b w:val="0"/>
                <w:sz w:val="20"/>
              </w:rPr>
              <w:t>709xxxxx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/>
            <w:r>
              <w:rPr>
                <w:b w:val="0"/>
                <w:sz w:val="20"/>
              </w:rPr>
              <w:t>70920100</w:t>
            </w:r>
          </w:p>
        </w:tc>
      </w:tr>
      <w:tr>
        <w:tc>
          <w:tcPr>
            <w:tcW w:type="dxa" w:w="4535"/>
            <w:shd w:val="clear" w:color="auto" w:fill="EEF3F9"/>
          </w:tcPr>
          <w:p>
            <w:pPr>
              <w:spacing w:after="40" w:before="40"/>
            </w:pPr>
            <w:r/>
            <w:r>
              <w:rPr>
                <w:b w:val="0"/>
                <w:sz w:val="20"/>
              </w:rPr>
              <w:t>Componente de packaging</w:t>
            </w:r>
          </w:p>
        </w:tc>
        <w:tc>
          <w:tcPr>
            <w:tcW w:type="dxa" w:w="2268"/>
            <w:shd w:val="clear" w:color="auto" w:fill="EEF3F9"/>
          </w:tcPr>
          <w:p>
            <w:pPr>
              <w:spacing w:after="40" w:before="40"/>
            </w:pPr>
            <w:r/>
            <w:r>
              <w:rPr>
                <w:b w:val="0"/>
                <w:sz w:val="20"/>
              </w:rPr>
              <w:t>049xxxxx</w:t>
            </w:r>
          </w:p>
        </w:tc>
        <w:tc>
          <w:tcPr>
            <w:tcW w:type="dxa" w:w="2268"/>
            <w:shd w:val="clear" w:color="auto" w:fill="EEF3F9"/>
          </w:tcPr>
          <w:p>
            <w:pPr>
              <w:spacing w:after="40" w:before="40"/>
            </w:pPr>
            <w:r/>
            <w:r>
              <w:rPr>
                <w:b w:val="0"/>
                <w:sz w:val="20"/>
              </w:rPr>
              <w:t>04900550</w:t>
            </w:r>
          </w:p>
        </w:tc>
      </w:tr>
      <w:tr>
        <w:tc>
          <w:tcPr>
            <w:tcW w:type="dxa" w:w="4535"/>
          </w:tcPr>
          <w:p>
            <w:pPr>
              <w:spacing w:after="40" w:before="40"/>
            </w:pPr>
            <w:r/>
            <w:r>
              <w:rPr>
                <w:b w:val="0"/>
                <w:sz w:val="20"/>
              </w:rPr>
              <w:t>Documento de compras (solo packaging)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/>
            <w:r>
              <w:rPr>
                <w:b w:val="0"/>
                <w:sz w:val="20"/>
              </w:rPr>
              <w:t>45xxxxxxxx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/>
            <w:r>
              <w:rPr>
                <w:b w:val="0"/>
                <w:sz w:val="20"/>
              </w:rPr>
              <w:t>4500098001</w:t>
            </w:r>
          </w:p>
        </w:tc>
      </w:tr>
    </w:tbl>
    <w:p/>
    <w:p>
      <w:pPr>
        <w:pStyle w:val="Heading1"/>
      </w:pPr>
      <w:r>
        <w:t>4. Pantalla de selección (parámetros de entrada)</w:t>
      </w:r>
    </w:p>
    <w:p>
      <w:r>
        <w:t>Se introduce uno de los campos como parámetro de entrada (se pueden combinar varios). Los códigos admiten coincidencia parcial. Con todos los campos en blanco se listan todos los palets.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68"/>
            <w:shd w:val="clear" w:color="auto" w:fill="2F5F8F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Campo</w:t>
            </w:r>
          </w:p>
        </w:tc>
        <w:tc>
          <w:tcPr>
            <w:tcW w:type="dxa" w:w="6803"/>
            <w:shd w:val="clear" w:color="auto" w:fill="2F5F8F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Descripción</w:t>
            </w:r>
          </w:p>
        </w:tc>
      </w:tr>
      <w:tr>
        <w:tc>
          <w:tcPr>
            <w:tcW w:type="dxa" w:w="2268"/>
          </w:tcPr>
          <w:p>
            <w:pPr>
              <w:spacing w:after="40" w:before="40"/>
            </w:pPr>
            <w:r/>
            <w:r>
              <w:rPr>
                <w:b w:val="0"/>
                <w:sz w:val="20"/>
              </w:rPr>
              <w:t>Código Palet</w:t>
            </w:r>
          </w:p>
        </w:tc>
        <w:tc>
          <w:tcPr>
            <w:tcW w:type="dxa" w:w="6803"/>
          </w:tcPr>
          <w:p>
            <w:pPr>
              <w:spacing w:after="40" w:before="40"/>
            </w:pPr>
            <w:r/>
            <w:r>
              <w:rPr>
                <w:b w:val="0"/>
                <w:sz w:val="20"/>
              </w:rPr>
              <w:t>Filtra por el código del soporte (CLP). Muestra los palets ocupados y la fila de libres de ese código.</w:t>
            </w:r>
          </w:p>
        </w:tc>
      </w:tr>
      <w:tr>
        <w:tc>
          <w:tcPr>
            <w:tcW w:type="dxa" w:w="2268"/>
            <w:shd w:val="clear" w:color="auto" w:fill="EEF3F9"/>
          </w:tcPr>
          <w:p>
            <w:pPr>
              <w:spacing w:after="40" w:before="40"/>
            </w:pPr>
            <w:r/>
            <w:r>
              <w:rPr>
                <w:b w:val="0"/>
                <w:sz w:val="20"/>
              </w:rPr>
              <w:t>Código Componente</w:t>
            </w:r>
          </w:p>
        </w:tc>
        <w:tc>
          <w:tcPr>
            <w:tcW w:type="dxa" w:w="6803"/>
            <w:shd w:val="clear" w:color="auto" w:fill="EEF3F9"/>
          </w:tcPr>
          <w:p>
            <w:pPr>
              <w:spacing w:after="40" w:before="40"/>
            </w:pPr>
            <w:r/>
            <w:r>
              <w:rPr>
                <w:b w:val="0"/>
                <w:sz w:val="20"/>
              </w:rPr>
              <w:t>Filtra por el material cargado en el palet.</w:t>
            </w:r>
          </w:p>
        </w:tc>
      </w:tr>
      <w:tr>
        <w:tc>
          <w:tcPr>
            <w:tcW w:type="dxa" w:w="2268"/>
          </w:tcPr>
          <w:p>
            <w:pPr>
              <w:spacing w:after="40" w:before="40"/>
            </w:pPr>
            <w:r/>
            <w:r>
              <w:rPr>
                <w:b w:val="0"/>
                <w:sz w:val="20"/>
              </w:rPr>
              <w:t>Situación Palet</w:t>
            </w:r>
          </w:p>
        </w:tc>
        <w:tc>
          <w:tcPr>
            <w:tcW w:type="dxa" w:w="6803"/>
          </w:tcPr>
          <w:p>
            <w:pPr>
              <w:spacing w:after="40" w:before="40"/>
            </w:pPr>
            <w:r/>
            <w:r>
              <w:rPr>
                <w:b w:val="0"/>
                <w:sz w:val="20"/>
              </w:rPr>
              <w:t>Bloqueado / Libre / Devolución (o todas).</w:t>
            </w:r>
          </w:p>
        </w:tc>
      </w:tr>
      <w:tr>
        <w:tc>
          <w:tcPr>
            <w:tcW w:type="dxa" w:w="2268"/>
            <w:shd w:val="clear" w:color="auto" w:fill="EEF3F9"/>
          </w:tcPr>
          <w:p>
            <w:pPr>
              <w:spacing w:after="40" w:before="40"/>
            </w:pPr>
            <w:r/>
            <w:r>
              <w:rPr>
                <w:b w:val="0"/>
                <w:sz w:val="20"/>
              </w:rPr>
              <w:t>Orden Fabricación</w:t>
            </w:r>
          </w:p>
        </w:tc>
        <w:tc>
          <w:tcPr>
            <w:tcW w:type="dxa" w:w="6803"/>
            <w:shd w:val="clear" w:color="auto" w:fill="EEF3F9"/>
          </w:tcPr>
          <w:p>
            <w:pPr>
              <w:spacing w:after="40" w:before="40"/>
            </w:pPr>
            <w:r/>
            <w:r>
              <w:rPr>
                <w:b w:val="0"/>
                <w:sz w:val="20"/>
              </w:rPr>
              <w:t>Filtra por la orden contra la que está bloqueado el palet.</w:t>
            </w:r>
          </w:p>
        </w:tc>
      </w:tr>
      <w:tr>
        <w:tc>
          <w:tcPr>
            <w:tcW w:type="dxa" w:w="2268"/>
          </w:tcPr>
          <w:p>
            <w:pPr>
              <w:spacing w:after="40" w:before="40"/>
            </w:pPr>
            <w:r/>
            <w:r>
              <w:rPr>
                <w:b w:val="0"/>
                <w:sz w:val="20"/>
              </w:rPr>
              <w:t>Entrega</w:t>
            </w:r>
          </w:p>
        </w:tc>
        <w:tc>
          <w:tcPr>
            <w:tcW w:type="dxa" w:w="6803"/>
          </w:tcPr>
          <w:p>
            <w:pPr>
              <w:spacing w:after="40" w:before="40"/>
            </w:pPr>
            <w:r/>
            <w:r>
              <w:rPr>
                <w:b w:val="0"/>
                <w:sz w:val="20"/>
              </w:rPr>
              <w:t>Filtra por el número de entrega (solo aplica a devoluciones).</w:t>
            </w:r>
          </w:p>
        </w:tc>
      </w:tr>
    </w:tbl>
    <w:p/>
    <w:p>
      <w:r>
        <w:t xml:space="preserve">Botones: </w:t>
      </w:r>
      <w:r>
        <w:rPr>
          <w:b/>
        </w:rPr>
        <w:t>Ejecutar (F8)</w:t>
      </w:r>
    </w:p>
    <w:p>
      <w:r>
        <w:t>• Ejecutar (F8): aplica los criterios y refresca la tabla.</w:t>
        <w:br/>
        <w:t>• Limpiar: borra los criterios de selección.</w:t>
      </w:r>
    </w:p>
    <w:p>
      <w:pPr>
        <w:pStyle w:val="Heading1"/>
      </w:pPr>
      <w:r>
        <w:t>5. Funcionalidades (barra de acciones)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68"/>
            <w:shd w:val="clear" w:color="auto" w:fill="2F5F8F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Acción</w:t>
            </w:r>
          </w:p>
        </w:tc>
        <w:tc>
          <w:tcPr>
            <w:tcW w:type="dxa" w:w="6803"/>
            <w:shd w:val="clear" w:color="auto" w:fill="2F5F8F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Qué hace</w:t>
            </w:r>
          </w:p>
        </w:tc>
      </w:tr>
      <w:tr>
        <w:tc>
          <w:tcPr>
            <w:tcW w:type="dxa" w:w="2268"/>
          </w:tcPr>
          <w:p>
            <w:pPr>
              <w:spacing w:after="40" w:before="40"/>
            </w:pPr>
            <w:r/>
            <w:r>
              <w:rPr>
                <w:b w:val="0"/>
                <w:sz w:val="20"/>
              </w:rPr>
              <w:t>Bloquear</w:t>
            </w:r>
          </w:p>
        </w:tc>
        <w:tc>
          <w:tcPr>
            <w:tcW w:type="dxa" w:w="6803"/>
          </w:tcPr>
          <w:p>
            <w:pPr>
              <w:spacing w:after="40" w:before="40"/>
            </w:pPr>
            <w:r/>
            <w:r>
              <w:rPr>
                <w:b w:val="0"/>
                <w:sz w:val="20"/>
              </w:rPr>
              <w:t>Coge 1 palet del stock de libres del código seleccionado y le asigna un material y sus unidades. El palet pasa a Bloqueado, se le genera matrícula y la columna Orden queda como “BLOQUEO MANUAL”. En el pop-up se elige código de palet, material y unidades.</w:t>
            </w:r>
          </w:p>
        </w:tc>
      </w:tr>
      <w:tr>
        <w:tc>
          <w:tcPr>
            <w:tcW w:type="dxa" w:w="2268"/>
            <w:shd w:val="clear" w:color="auto" w:fill="EEF3F9"/>
          </w:tcPr>
          <w:p>
            <w:pPr>
              <w:spacing w:after="40" w:before="40"/>
            </w:pPr>
            <w:r/>
            <w:r>
              <w:rPr>
                <w:b w:val="0"/>
                <w:sz w:val="20"/>
              </w:rPr>
              <w:t>Desbloquear</w:t>
            </w:r>
          </w:p>
        </w:tc>
        <w:tc>
          <w:tcPr>
            <w:tcW w:type="dxa" w:w="6803"/>
            <w:shd w:val="clear" w:color="auto" w:fill="EEF3F9"/>
          </w:tcPr>
          <w:p>
            <w:pPr>
              <w:spacing w:after="40" w:before="40"/>
            </w:pPr>
            <w:r/>
            <w:r>
              <w:rPr>
                <w:b w:val="0"/>
                <w:sz w:val="20"/>
              </w:rPr>
              <w:t>Vacía los palets seleccionados y devuelve su código al stock de libres (suma 1 a Nº palets de ese código). El palet pierde matrícula, material y orden.</w:t>
            </w:r>
          </w:p>
        </w:tc>
      </w:tr>
      <w:tr>
        <w:tc>
          <w:tcPr>
            <w:tcW w:type="dxa" w:w="2268"/>
          </w:tcPr>
          <w:p>
            <w:pPr>
              <w:spacing w:after="40" w:before="40"/>
            </w:pPr>
            <w:r/>
            <w:r>
              <w:rPr>
                <w:b w:val="0"/>
                <w:sz w:val="20"/>
              </w:rPr>
              <w:t>Ajustar inventario</w:t>
            </w:r>
          </w:p>
        </w:tc>
        <w:tc>
          <w:tcPr>
            <w:tcW w:type="dxa" w:w="6803"/>
          </w:tcPr>
          <w:p>
            <w:pPr>
              <w:spacing w:after="40" w:before="40"/>
            </w:pPr>
            <w:r/>
            <w:r>
              <w:rPr>
                <w:b w:val="0"/>
                <w:sz w:val="20"/>
              </w:rPr>
              <w:t>Corrige las unidades ocupadas de un palet (palet a palet). Si se ponen 0 unidades, el palet se da de BAJA y se elimina del inventario.</w:t>
            </w:r>
          </w:p>
        </w:tc>
      </w:tr>
      <w:tr>
        <w:tc>
          <w:tcPr>
            <w:tcW w:type="dxa" w:w="2268"/>
            <w:shd w:val="clear" w:color="auto" w:fill="EEF3F9"/>
          </w:tcPr>
          <w:p>
            <w:pPr>
              <w:spacing w:after="40" w:before="40"/>
            </w:pPr>
            <w:r/>
            <w:r>
              <w:rPr>
                <w:b w:val="0"/>
                <w:sz w:val="20"/>
              </w:rPr>
              <w:t>Alta de palet</w:t>
            </w:r>
          </w:p>
        </w:tc>
        <w:tc>
          <w:tcPr>
            <w:tcW w:type="dxa" w:w="6803"/>
            <w:shd w:val="clear" w:color="auto" w:fill="EEF3F9"/>
          </w:tcPr>
          <w:p>
            <w:pPr>
              <w:spacing w:after="40" w:before="40"/>
            </w:pPr>
            <w:r/>
            <w:r>
              <w:rPr>
                <w:b w:val="0"/>
                <w:sz w:val="20"/>
              </w:rPr>
              <w:t>Da de alta palets libres: se indican un código de palet y una cantidad, que se suman al stock de libres de ese código.</w:t>
            </w:r>
          </w:p>
        </w:tc>
      </w:tr>
      <w:tr>
        <w:tc>
          <w:tcPr>
            <w:tcW w:type="dxa" w:w="2268"/>
          </w:tcPr>
          <w:p>
            <w:pPr>
              <w:spacing w:after="40" w:before="40"/>
            </w:pPr>
            <w:r/>
            <w:r>
              <w:rPr>
                <w:b w:val="0"/>
                <w:sz w:val="20"/>
              </w:rPr>
              <w:t>Refrescar</w:t>
            </w:r>
          </w:p>
        </w:tc>
        <w:tc>
          <w:tcPr>
            <w:tcW w:type="dxa" w:w="6803"/>
          </w:tcPr>
          <w:p>
            <w:pPr>
              <w:spacing w:after="40" w:before="40"/>
            </w:pPr>
            <w:r/>
            <w:r>
              <w:rPr>
                <w:b w:val="0"/>
                <w:sz w:val="20"/>
              </w:rPr>
              <w:t>Vuelve a leer y mostrar los datos con los criterios actuales.</w:t>
            </w:r>
          </w:p>
        </w:tc>
      </w:tr>
      <w:tr>
        <w:tc>
          <w:tcPr>
            <w:tcW w:type="dxa" w:w="2268"/>
            <w:shd w:val="clear" w:color="auto" w:fill="EEF3F9"/>
          </w:tcPr>
          <w:p>
            <w:pPr>
              <w:spacing w:after="40" w:before="40"/>
            </w:pPr>
            <w:r/>
            <w:r>
              <w:rPr>
                <w:b w:val="0"/>
                <w:sz w:val="20"/>
              </w:rPr>
              <w:t>Exportar</w:t>
            </w:r>
          </w:p>
        </w:tc>
        <w:tc>
          <w:tcPr>
            <w:tcW w:type="dxa" w:w="6803"/>
            <w:shd w:val="clear" w:color="auto" w:fill="EEF3F9"/>
          </w:tcPr>
          <w:p>
            <w:pPr>
              <w:spacing w:after="40" w:before="40"/>
            </w:pPr>
            <w:r/>
            <w:r>
              <w:rPr>
                <w:b w:val="0"/>
                <w:sz w:val="20"/>
              </w:rPr>
              <w:t>Descarga el contenido de la tabla en un fichero CSV (AJUSTE_PALETS.csv).</w:t>
            </w:r>
          </w:p>
        </w:tc>
      </w:tr>
      <w:tr>
        <w:tc>
          <w:tcPr>
            <w:tcW w:type="dxa" w:w="2268"/>
          </w:tcPr>
          <w:p>
            <w:pPr>
              <w:spacing w:after="40" w:before="40"/>
            </w:pPr>
            <w:r/>
            <w:r>
              <w:rPr>
                <w:b w:val="0"/>
                <w:sz w:val="20"/>
              </w:rPr>
              <w:t>Marcar todo / selección</w:t>
            </w:r>
          </w:p>
        </w:tc>
        <w:tc>
          <w:tcPr>
            <w:tcW w:type="dxa" w:w="6803"/>
          </w:tcPr>
          <w:p>
            <w:pPr>
              <w:spacing w:after="40" w:before="40"/>
            </w:pPr>
            <w:r/>
            <w:r>
              <w:rPr>
                <w:b w:val="0"/>
                <w:sz w:val="20"/>
              </w:rPr>
              <w:t>Las casillas de cada fila (y la de la cabecera) seleccionan los palets sobre los que actuar. Las filas de libres no se seleccionan.</w:t>
            </w:r>
          </w:p>
        </w:tc>
      </w:tr>
    </w:tbl>
    <w:p/>
    <w:p>
      <w:pPr>
        <w:pStyle w:val="Heading1"/>
      </w:pPr>
      <w:r>
        <w:t>6. Campos de la tabla (ALV)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814"/>
            <w:shd w:val="clear" w:color="auto" w:fill="2F5F8F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Columna</w:t>
            </w:r>
          </w:p>
        </w:tc>
        <w:tc>
          <w:tcPr>
            <w:tcW w:type="dxa" w:w="5556"/>
            <w:shd w:val="clear" w:color="auto" w:fill="2F5F8F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Descripción</w:t>
            </w:r>
          </w:p>
        </w:tc>
        <w:tc>
          <w:tcPr>
            <w:tcW w:type="dxa" w:w="2041"/>
            <w:shd w:val="clear" w:color="auto" w:fill="2F5F8F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Ejemplo</w:t>
            </w:r>
          </w:p>
        </w:tc>
      </w:tr>
      <w:tr>
        <w:tc>
          <w:tcPr>
            <w:tcW w:type="dxa" w:w="1814"/>
          </w:tcPr>
          <w:p>
            <w:pPr>
              <w:spacing w:after="40" w:before="40"/>
            </w:pPr>
            <w:r/>
            <w:r>
              <w:rPr>
                <w:b w:val="0"/>
                <w:sz w:val="20"/>
              </w:rPr>
              <w:t>Palet</w:t>
            </w:r>
          </w:p>
        </w:tc>
        <w:tc>
          <w:tcPr>
            <w:tcW w:type="dxa" w:w="5556"/>
          </w:tcPr>
          <w:p>
            <w:pPr>
              <w:spacing w:after="40" w:before="40"/>
            </w:pPr>
            <w:r/>
            <w:r>
              <w:rPr>
                <w:b w:val="0"/>
                <w:sz w:val="20"/>
              </w:rPr>
              <w:t>Código del soporte (CLP). Identifica el TIPO de palet; puede repetirse en varias filas.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b w:val="0"/>
                <w:sz w:val="20"/>
              </w:rPr>
              <w:t>04969347</w:t>
            </w:r>
          </w:p>
        </w:tc>
      </w:tr>
      <w:tr>
        <w:tc>
          <w:tcPr>
            <w:tcW w:type="dxa" w:w="1814"/>
            <w:shd w:val="clear" w:color="auto" w:fill="EEF3F9"/>
          </w:tcPr>
          <w:p>
            <w:pPr>
              <w:spacing w:after="40" w:before="40"/>
            </w:pPr>
            <w:r/>
            <w:r>
              <w:rPr>
                <w:b w:val="0"/>
                <w:sz w:val="20"/>
              </w:rPr>
              <w:t>Nombre Palet</w:t>
            </w:r>
          </w:p>
        </w:tc>
        <w:tc>
          <w:tcPr>
            <w:tcW w:type="dxa" w:w="5556"/>
            <w:shd w:val="clear" w:color="auto" w:fill="EEF3F9"/>
          </w:tcPr>
          <w:p>
            <w:pPr>
              <w:spacing w:after="40" w:before="40"/>
            </w:pPr>
            <w:r/>
            <w:r>
              <w:rPr>
                <w:b w:val="0"/>
                <w:sz w:val="20"/>
              </w:rPr>
              <w:t>Nombre/descripción del código de palet.</w:t>
            </w:r>
          </w:p>
        </w:tc>
        <w:tc>
          <w:tcPr>
            <w:tcW w:type="dxa" w:w="2041"/>
            <w:shd w:val="clear" w:color="auto" w:fill="EEF3F9"/>
          </w:tcPr>
          <w:p>
            <w:pPr>
              <w:spacing w:after="40" w:before="40"/>
            </w:pPr>
            <w:r/>
            <w:r>
              <w:rPr>
                <w:b w:val="0"/>
                <w:sz w:val="20"/>
              </w:rPr>
              <w:t>Palet industrial 1000x1200</w:t>
            </w:r>
          </w:p>
        </w:tc>
      </w:tr>
      <w:tr>
        <w:tc>
          <w:tcPr>
            <w:tcW w:type="dxa" w:w="1814"/>
          </w:tcPr>
          <w:p>
            <w:pPr>
              <w:spacing w:after="40" w:before="40"/>
            </w:pPr>
            <w:r/>
            <w:r>
              <w:rPr>
                <w:b w:val="0"/>
                <w:sz w:val="20"/>
              </w:rPr>
              <w:t>Matrícula</w:t>
            </w:r>
          </w:p>
        </w:tc>
        <w:tc>
          <w:tcPr>
            <w:tcW w:type="dxa" w:w="5556"/>
          </w:tcPr>
          <w:p>
            <w:pPr>
              <w:spacing w:after="40" w:before="40"/>
            </w:pPr>
            <w:r/>
            <w:r>
              <w:rPr>
                <w:b w:val="0"/>
                <w:sz w:val="20"/>
              </w:rPr>
              <w:t>Matrícula única del palet físico cargado. Vacía en libres y en devoluciones.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b w:val="0"/>
                <w:sz w:val="20"/>
              </w:rPr>
              <w:t>1000405548</w:t>
            </w:r>
          </w:p>
        </w:tc>
      </w:tr>
      <w:tr>
        <w:tc>
          <w:tcPr>
            <w:tcW w:type="dxa" w:w="1814"/>
            <w:shd w:val="clear" w:color="auto" w:fill="EEF3F9"/>
          </w:tcPr>
          <w:p>
            <w:pPr>
              <w:spacing w:after="40" w:before="40"/>
            </w:pPr>
            <w:r/>
            <w:r>
              <w:rPr>
                <w:b w:val="0"/>
                <w:sz w:val="20"/>
              </w:rPr>
              <w:t>Componente</w:t>
            </w:r>
          </w:p>
        </w:tc>
        <w:tc>
          <w:tcPr>
            <w:tcW w:type="dxa" w:w="5556"/>
            <w:shd w:val="clear" w:color="auto" w:fill="EEF3F9"/>
          </w:tcPr>
          <w:p>
            <w:pPr>
              <w:spacing w:after="40" w:before="40"/>
            </w:pPr>
            <w:r/>
            <w:r>
              <w:rPr>
                <w:b w:val="0"/>
                <w:sz w:val="20"/>
              </w:rPr>
              <w:t>Código del material cargado en el palet. Vacío en libres.</w:t>
            </w:r>
          </w:p>
        </w:tc>
        <w:tc>
          <w:tcPr>
            <w:tcW w:type="dxa" w:w="2041"/>
            <w:shd w:val="clear" w:color="auto" w:fill="EEF3F9"/>
          </w:tcPr>
          <w:p>
            <w:pPr>
              <w:spacing w:after="40" w:before="40"/>
            </w:pPr>
            <w:r/>
            <w:r>
              <w:rPr>
                <w:b w:val="0"/>
                <w:sz w:val="20"/>
              </w:rPr>
              <w:t>70920100</w:t>
            </w:r>
          </w:p>
        </w:tc>
      </w:tr>
      <w:tr>
        <w:tc>
          <w:tcPr>
            <w:tcW w:type="dxa" w:w="1814"/>
          </w:tcPr>
          <w:p>
            <w:pPr>
              <w:spacing w:after="40" w:before="40"/>
            </w:pPr>
            <w:r/>
            <w:r>
              <w:rPr>
                <w:b w:val="0"/>
                <w:sz w:val="20"/>
              </w:rPr>
              <w:t>Descripción</w:t>
            </w:r>
          </w:p>
        </w:tc>
        <w:tc>
          <w:tcPr>
            <w:tcW w:type="dxa" w:w="5556"/>
          </w:tcPr>
          <w:p>
            <w:pPr>
              <w:spacing w:after="40" w:before="40"/>
            </w:pPr>
            <w:r/>
            <w:r>
              <w:rPr>
                <w:b w:val="0"/>
                <w:sz w:val="20"/>
              </w:rPr>
              <w:t>Descripción del componente/material.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b w:val="0"/>
                <w:sz w:val="20"/>
              </w:rPr>
              <w:t>PT Champú Hidratante 400 ml</w:t>
            </w:r>
          </w:p>
        </w:tc>
      </w:tr>
      <w:tr>
        <w:tc>
          <w:tcPr>
            <w:tcW w:type="dxa" w:w="1814"/>
            <w:shd w:val="clear" w:color="auto" w:fill="EEF3F9"/>
          </w:tcPr>
          <w:p>
            <w:pPr>
              <w:spacing w:after="40" w:before="40"/>
            </w:pPr>
            <w:r/>
            <w:r>
              <w:rPr>
                <w:b w:val="0"/>
                <w:sz w:val="20"/>
              </w:rPr>
              <w:t>Tipo</w:t>
            </w:r>
          </w:p>
        </w:tc>
        <w:tc>
          <w:tcPr>
            <w:tcW w:type="dxa" w:w="5556"/>
            <w:shd w:val="clear" w:color="auto" w:fill="EEF3F9"/>
          </w:tcPr>
          <w:p>
            <w:pPr>
              <w:spacing w:after="40" w:before="40"/>
            </w:pPr>
            <w:r/>
            <w:r>
              <w:rPr>
                <w:b w:val="0"/>
                <w:sz w:val="20"/>
              </w:rPr>
              <w:t>Tipo de material: Semi, Terminado o Packaging.</w:t>
            </w:r>
          </w:p>
        </w:tc>
        <w:tc>
          <w:tcPr>
            <w:tcW w:type="dxa" w:w="2041"/>
            <w:shd w:val="clear" w:color="auto" w:fill="EEF3F9"/>
          </w:tcPr>
          <w:p>
            <w:pPr>
              <w:spacing w:after="40" w:before="40"/>
            </w:pPr>
            <w:r/>
            <w:r>
              <w:rPr>
                <w:b w:val="0"/>
                <w:sz w:val="20"/>
              </w:rPr>
              <w:t>Terminado</w:t>
            </w:r>
          </w:p>
        </w:tc>
      </w:tr>
      <w:tr>
        <w:tc>
          <w:tcPr>
            <w:tcW w:type="dxa" w:w="1814"/>
          </w:tcPr>
          <w:p>
            <w:pPr>
              <w:spacing w:after="40" w:before="40"/>
            </w:pPr>
            <w:r/>
            <w:r>
              <w:rPr>
                <w:b w:val="0"/>
                <w:sz w:val="20"/>
              </w:rPr>
              <w:t>Uds/Pal.</w:t>
            </w:r>
          </w:p>
        </w:tc>
        <w:tc>
          <w:tcPr>
            <w:tcW w:type="dxa" w:w="5556"/>
          </w:tcPr>
          <w:p>
            <w:pPr>
              <w:spacing w:after="40" w:before="40"/>
            </w:pPr>
            <w:r/>
            <w:r>
              <w:rPr>
                <w:b w:val="0"/>
                <w:sz w:val="20"/>
              </w:rPr>
              <w:t>Unidades por palet (capacidad del palet para ese material).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b w:val="0"/>
                <w:sz w:val="20"/>
              </w:rPr>
              <w:t>120</w:t>
            </w:r>
          </w:p>
        </w:tc>
      </w:tr>
      <w:tr>
        <w:tc>
          <w:tcPr>
            <w:tcW w:type="dxa" w:w="1814"/>
            <w:shd w:val="clear" w:color="auto" w:fill="EEF3F9"/>
          </w:tcPr>
          <w:p>
            <w:pPr>
              <w:spacing w:after="40" w:before="40"/>
            </w:pPr>
            <w:r/>
            <w:r>
              <w:rPr>
                <w:b w:val="0"/>
                <w:sz w:val="20"/>
              </w:rPr>
              <w:t>Uds Ocup.</w:t>
            </w:r>
          </w:p>
        </w:tc>
        <w:tc>
          <w:tcPr>
            <w:tcW w:type="dxa" w:w="5556"/>
            <w:shd w:val="clear" w:color="auto" w:fill="EEF3F9"/>
          </w:tcPr>
          <w:p>
            <w:pPr>
              <w:spacing w:after="40" w:before="40"/>
            </w:pPr>
            <w:r/>
            <w:r>
              <w:rPr>
                <w:b w:val="0"/>
                <w:sz w:val="20"/>
              </w:rPr>
              <w:t>Unidades realmente ocupadas en el palet.</w:t>
            </w:r>
          </w:p>
        </w:tc>
        <w:tc>
          <w:tcPr>
            <w:tcW w:type="dxa" w:w="2041"/>
            <w:shd w:val="clear" w:color="auto" w:fill="EEF3F9"/>
          </w:tcPr>
          <w:p>
            <w:pPr>
              <w:spacing w:after="40" w:before="40"/>
            </w:pPr>
            <w:r/>
            <w:r>
              <w:rPr>
                <w:b w:val="0"/>
                <w:sz w:val="20"/>
              </w:rPr>
              <w:t>120</w:t>
            </w:r>
          </w:p>
        </w:tc>
      </w:tr>
      <w:tr>
        <w:tc>
          <w:tcPr>
            <w:tcW w:type="dxa" w:w="1814"/>
          </w:tcPr>
          <w:p>
            <w:pPr>
              <w:spacing w:after="40" w:before="40"/>
            </w:pPr>
            <w:r/>
            <w:r>
              <w:rPr>
                <w:b w:val="0"/>
                <w:sz w:val="20"/>
              </w:rPr>
              <w:t>Situación</w:t>
            </w:r>
          </w:p>
        </w:tc>
        <w:tc>
          <w:tcPr>
            <w:tcW w:type="dxa" w:w="5556"/>
          </w:tcPr>
          <w:p>
            <w:pPr>
              <w:spacing w:after="40" w:before="40"/>
            </w:pPr>
            <w:r/>
            <w:r>
              <w:rPr>
                <w:b w:val="0"/>
                <w:sz w:val="20"/>
              </w:rPr>
              <w:t>Bloqueado, Libre o Devolución.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b w:val="0"/>
                <w:sz w:val="20"/>
              </w:rPr>
              <w:t>Bloqueado</w:t>
            </w:r>
          </w:p>
        </w:tc>
      </w:tr>
      <w:tr>
        <w:tc>
          <w:tcPr>
            <w:tcW w:type="dxa" w:w="1814"/>
            <w:shd w:val="clear" w:color="auto" w:fill="EEF3F9"/>
          </w:tcPr>
          <w:p>
            <w:pPr>
              <w:spacing w:after="40" w:before="40"/>
            </w:pPr>
            <w:r/>
            <w:r>
              <w:rPr>
                <w:b w:val="0"/>
                <w:sz w:val="20"/>
              </w:rPr>
              <w:t>Nº palets</w:t>
            </w:r>
          </w:p>
        </w:tc>
        <w:tc>
          <w:tcPr>
            <w:tcW w:type="dxa" w:w="5556"/>
            <w:shd w:val="clear" w:color="auto" w:fill="EEF3F9"/>
          </w:tcPr>
          <w:p>
            <w:pPr>
              <w:spacing w:after="40" w:before="40"/>
            </w:pPr>
            <w:r/>
            <w:r>
              <w:rPr>
                <w:b w:val="0"/>
                <w:sz w:val="20"/>
              </w:rPr>
              <w:t>En las filas de libres, nº de palets de ese código agrupados. En los ocupados vale 1.</w:t>
            </w:r>
          </w:p>
        </w:tc>
        <w:tc>
          <w:tcPr>
            <w:tcW w:type="dxa" w:w="2041"/>
            <w:shd w:val="clear" w:color="auto" w:fill="EEF3F9"/>
          </w:tcPr>
          <w:p>
            <w:pPr>
              <w:spacing w:after="40" w:before="40"/>
            </w:pPr>
            <w:r/>
            <w:r>
              <w:rPr>
                <w:b w:val="0"/>
                <w:sz w:val="20"/>
              </w:rPr>
              <w:t>4</w:t>
            </w:r>
          </w:p>
        </w:tc>
      </w:tr>
      <w:tr>
        <w:tc>
          <w:tcPr>
            <w:tcW w:type="dxa" w:w="1814"/>
          </w:tcPr>
          <w:p>
            <w:pPr>
              <w:spacing w:after="40" w:before="40"/>
            </w:pPr>
            <w:r/>
            <w:r>
              <w:rPr>
                <w:b w:val="0"/>
                <w:sz w:val="20"/>
              </w:rPr>
              <w:t>Orden Fab.</w:t>
            </w:r>
          </w:p>
        </w:tc>
        <w:tc>
          <w:tcPr>
            <w:tcW w:type="dxa" w:w="5556"/>
          </w:tcPr>
          <w:p>
            <w:pPr>
              <w:spacing w:after="40" w:before="40"/>
            </w:pPr>
            <w:r/>
            <w:r>
              <w:rPr>
                <w:b w:val="0"/>
                <w:sz w:val="20"/>
              </w:rPr>
              <w:t>Orden de fabricación contra la que está bloqueado el palet, o “BLOQUEO MANUAL” si se bloqueó manualmente. Vacío en libres y devoluciones.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b w:val="0"/>
                <w:sz w:val="20"/>
              </w:rPr>
              <w:t>100046002</w:t>
            </w:r>
          </w:p>
        </w:tc>
      </w:tr>
      <w:tr>
        <w:tc>
          <w:tcPr>
            <w:tcW w:type="dxa" w:w="1814"/>
            <w:shd w:val="clear" w:color="auto" w:fill="EEF3F9"/>
          </w:tcPr>
          <w:p>
            <w:pPr>
              <w:spacing w:after="40" w:before="40"/>
            </w:pPr>
            <w:r/>
            <w:r>
              <w:rPr>
                <w:b w:val="0"/>
                <w:sz w:val="20"/>
              </w:rPr>
              <w:t>Status Orden</w:t>
            </w:r>
          </w:p>
        </w:tc>
        <w:tc>
          <w:tcPr>
            <w:tcW w:type="dxa" w:w="5556"/>
            <w:shd w:val="clear" w:color="auto" w:fill="EEF3F9"/>
          </w:tcPr>
          <w:p>
            <w:pPr>
              <w:spacing w:after="40" w:before="40"/>
            </w:pPr>
            <w:r/>
            <w:r>
              <w:rPr>
                <w:b w:val="0"/>
                <w:sz w:val="20"/>
              </w:rPr>
              <w:t>Estado de la orden: Liberada, Notif. parcial, Notificada o Cierre técnico.</w:t>
            </w:r>
          </w:p>
        </w:tc>
        <w:tc>
          <w:tcPr>
            <w:tcW w:type="dxa" w:w="2041"/>
            <w:shd w:val="clear" w:color="auto" w:fill="EEF3F9"/>
          </w:tcPr>
          <w:p>
            <w:pPr>
              <w:spacing w:after="40" w:before="40"/>
            </w:pPr>
            <w:r/>
            <w:r>
              <w:rPr>
                <w:b w:val="0"/>
                <w:sz w:val="20"/>
              </w:rPr>
              <w:t>Notificada</w:t>
            </w:r>
          </w:p>
        </w:tc>
      </w:tr>
      <w:tr>
        <w:tc>
          <w:tcPr>
            <w:tcW w:type="dxa" w:w="1814"/>
          </w:tcPr>
          <w:p>
            <w:pPr>
              <w:spacing w:after="40" w:before="40"/>
            </w:pPr>
            <w:r/>
            <w:r>
              <w:rPr>
                <w:b w:val="0"/>
                <w:sz w:val="20"/>
              </w:rPr>
              <w:t>Entrega</w:t>
            </w:r>
          </w:p>
        </w:tc>
        <w:tc>
          <w:tcPr>
            <w:tcW w:type="dxa" w:w="5556"/>
          </w:tcPr>
          <w:p>
            <w:pPr>
              <w:spacing w:after="40" w:before="40"/>
            </w:pPr>
            <w:r/>
            <w:r>
              <w:rPr>
                <w:b w:val="0"/>
                <w:sz w:val="20"/>
              </w:rPr>
              <w:t>Número de entrega. Solo viene relleno en las devoluciones.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b w:val="0"/>
                <w:sz w:val="20"/>
              </w:rPr>
              <w:t>80012345</w:t>
            </w:r>
          </w:p>
        </w:tc>
      </w:tr>
      <w:tr>
        <w:tc>
          <w:tcPr>
            <w:tcW w:type="dxa" w:w="1814"/>
            <w:shd w:val="clear" w:color="auto" w:fill="EEF3F9"/>
          </w:tcPr>
          <w:p>
            <w:pPr>
              <w:spacing w:after="40" w:before="40"/>
            </w:pPr>
            <w:r/>
            <w:r>
              <w:rPr>
                <w:b w:val="0"/>
                <w:sz w:val="20"/>
              </w:rPr>
              <w:t>Doc. compras</w:t>
            </w:r>
          </w:p>
        </w:tc>
        <w:tc>
          <w:tcPr>
            <w:tcW w:type="dxa" w:w="5556"/>
            <w:shd w:val="clear" w:color="auto" w:fill="EEF3F9"/>
          </w:tcPr>
          <w:p>
            <w:pPr>
              <w:spacing w:after="40" w:before="40"/>
            </w:pPr>
            <w:r/>
            <w:r>
              <w:rPr>
                <w:b w:val="0"/>
                <w:sz w:val="20"/>
              </w:rPr>
              <w:t>Documento de compras. Solo lo tienen los componentes de packaging.</w:t>
            </w:r>
          </w:p>
        </w:tc>
        <w:tc>
          <w:tcPr>
            <w:tcW w:type="dxa" w:w="2041"/>
            <w:shd w:val="clear" w:color="auto" w:fill="EEF3F9"/>
          </w:tcPr>
          <w:p>
            <w:pPr>
              <w:spacing w:after="40" w:before="40"/>
            </w:pPr>
            <w:r/>
            <w:r>
              <w:rPr>
                <w:b w:val="0"/>
                <w:sz w:val="20"/>
              </w:rPr>
              <w:t>4500098001</w:t>
            </w:r>
          </w:p>
        </w:tc>
      </w:tr>
      <w:tr>
        <w:tc>
          <w:tcPr>
            <w:tcW w:type="dxa" w:w="1814"/>
          </w:tcPr>
          <w:p>
            <w:pPr>
              <w:spacing w:after="40" w:before="40"/>
            </w:pPr>
            <w:r/>
            <w:r>
              <w:rPr>
                <w:b w:val="0"/>
                <w:sz w:val="20"/>
              </w:rPr>
              <w:t>Ubicación</w:t>
            </w:r>
          </w:p>
        </w:tc>
        <w:tc>
          <w:tcPr>
            <w:tcW w:type="dxa" w:w="5556"/>
          </w:tcPr>
          <w:p>
            <w:pPr>
              <w:spacing w:after="40" w:before="40"/>
            </w:pPr>
            <w:r/>
            <w:r>
              <w:rPr>
                <w:b w:val="0"/>
                <w:sz w:val="20"/>
              </w:rPr>
              <w:t>Ubicación del palet en el almacén. Vacío en libres y devoluciones.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b w:val="0"/>
                <w:sz w:val="20"/>
              </w:rPr>
              <w:t>PT-B-04-01</w:t>
            </w:r>
          </w:p>
        </w:tc>
      </w:tr>
    </w:tbl>
    <w:p/>
    <w:p>
      <w:pPr>
        <w:pStyle w:val="Heading1"/>
      </w:pPr>
      <w:r>
        <w:t>7. Log de movimientos</w:t>
      </w:r>
    </w:p>
    <w:p>
      <w:r>
        <w:t>Cada acción que modifica el inventario queda registrada en el log de la sesión, con las siguientes columnas: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color="auto" w:fill="2F5F8F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Columna</w:t>
            </w:r>
          </w:p>
        </w:tc>
        <w:tc>
          <w:tcPr>
            <w:tcW w:type="dxa" w:w="6520"/>
            <w:shd w:val="clear" w:color="auto" w:fill="2F5F8F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Descripción</w:t>
            </w:r>
          </w:p>
        </w:tc>
      </w:tr>
      <w:tr>
        <w:tc>
          <w:tcPr>
            <w:tcW w:type="dxa" w:w="2551"/>
          </w:tcPr>
          <w:p>
            <w:pPr>
              <w:spacing w:after="40" w:before="40"/>
            </w:pPr>
            <w:r/>
            <w:r>
              <w:rPr>
                <w:b w:val="0"/>
                <w:sz w:val="20"/>
              </w:rPr>
              <w:t>Fecha/Hora</w:t>
            </w:r>
          </w:p>
        </w:tc>
        <w:tc>
          <w:tcPr>
            <w:tcW w:type="dxa" w:w="6520"/>
          </w:tcPr>
          <w:p>
            <w:pPr>
              <w:spacing w:after="40" w:before="40"/>
            </w:pPr>
            <w:r/>
            <w:r>
              <w:rPr>
                <w:b w:val="0"/>
                <w:sz w:val="20"/>
              </w:rPr>
              <w:t>Momento en que se realizó el movimiento.</w:t>
            </w:r>
          </w:p>
        </w:tc>
      </w:tr>
      <w:tr>
        <w:tc>
          <w:tcPr>
            <w:tcW w:type="dxa" w:w="2551"/>
            <w:shd w:val="clear" w:color="auto" w:fill="EEF3F9"/>
          </w:tcPr>
          <w:p>
            <w:pPr>
              <w:spacing w:after="40" w:before="40"/>
            </w:pPr>
            <w:r/>
            <w:r>
              <w:rPr>
                <w:b w:val="0"/>
                <w:sz w:val="20"/>
              </w:rPr>
              <w:t>Usuario</w:t>
            </w:r>
          </w:p>
        </w:tc>
        <w:tc>
          <w:tcPr>
            <w:tcW w:type="dxa" w:w="6520"/>
            <w:shd w:val="clear" w:color="auto" w:fill="EEF3F9"/>
          </w:tcPr>
          <w:p>
            <w:pPr>
              <w:spacing w:after="40" w:before="40"/>
            </w:pPr>
            <w:r/>
            <w:r>
              <w:rPr>
                <w:b w:val="0"/>
                <w:sz w:val="20"/>
              </w:rPr>
              <w:t>Usuario que ejecuta la acción.</w:t>
            </w:r>
          </w:p>
        </w:tc>
      </w:tr>
      <w:tr>
        <w:tc>
          <w:tcPr>
            <w:tcW w:type="dxa" w:w="2551"/>
          </w:tcPr>
          <w:p>
            <w:pPr>
              <w:spacing w:after="40" w:before="40"/>
            </w:pPr>
            <w:r/>
            <w:r>
              <w:rPr>
                <w:b w:val="0"/>
                <w:sz w:val="20"/>
              </w:rPr>
              <w:t>Palet</w:t>
            </w:r>
          </w:p>
        </w:tc>
        <w:tc>
          <w:tcPr>
            <w:tcW w:type="dxa" w:w="6520"/>
          </w:tcPr>
          <w:p>
            <w:pPr>
              <w:spacing w:after="40" w:before="40"/>
            </w:pPr>
            <w:r/>
            <w:r>
              <w:rPr>
                <w:b w:val="0"/>
                <w:sz w:val="20"/>
              </w:rPr>
              <w:t>Código del palet afectado.</w:t>
            </w:r>
          </w:p>
        </w:tc>
      </w:tr>
      <w:tr>
        <w:tc>
          <w:tcPr>
            <w:tcW w:type="dxa" w:w="2551"/>
            <w:shd w:val="clear" w:color="auto" w:fill="EEF3F9"/>
          </w:tcPr>
          <w:p>
            <w:pPr>
              <w:spacing w:after="40" w:before="40"/>
            </w:pPr>
            <w:r/>
            <w:r>
              <w:rPr>
                <w:b w:val="0"/>
                <w:sz w:val="20"/>
              </w:rPr>
              <w:t>Matrícula</w:t>
            </w:r>
          </w:p>
        </w:tc>
        <w:tc>
          <w:tcPr>
            <w:tcW w:type="dxa" w:w="6520"/>
            <w:shd w:val="clear" w:color="auto" w:fill="EEF3F9"/>
          </w:tcPr>
          <w:p>
            <w:pPr>
              <w:spacing w:after="40" w:before="40"/>
            </w:pPr>
            <w:r/>
            <w:r>
              <w:rPr>
                <w:b w:val="0"/>
                <w:sz w:val="20"/>
              </w:rPr>
              <w:t>Matrícula del palet (si la tiene).</w:t>
            </w:r>
          </w:p>
        </w:tc>
      </w:tr>
      <w:tr>
        <w:tc>
          <w:tcPr>
            <w:tcW w:type="dxa" w:w="2551"/>
          </w:tcPr>
          <w:p>
            <w:pPr>
              <w:spacing w:after="40" w:before="40"/>
            </w:pPr>
            <w:r/>
            <w:r>
              <w:rPr>
                <w:b w:val="0"/>
                <w:sz w:val="20"/>
              </w:rPr>
              <w:t>Componente</w:t>
            </w:r>
          </w:p>
        </w:tc>
        <w:tc>
          <w:tcPr>
            <w:tcW w:type="dxa" w:w="6520"/>
          </w:tcPr>
          <w:p>
            <w:pPr>
              <w:spacing w:after="40" w:before="40"/>
            </w:pPr>
            <w:r/>
            <w:r>
              <w:rPr>
                <w:b w:val="0"/>
                <w:sz w:val="20"/>
              </w:rPr>
              <w:t>Material afectado.</w:t>
            </w:r>
          </w:p>
        </w:tc>
      </w:tr>
      <w:tr>
        <w:tc>
          <w:tcPr>
            <w:tcW w:type="dxa" w:w="2551"/>
            <w:shd w:val="clear" w:color="auto" w:fill="EEF3F9"/>
          </w:tcPr>
          <w:p>
            <w:pPr>
              <w:spacing w:after="40" w:before="40"/>
            </w:pPr>
            <w:r/>
            <w:r>
              <w:rPr>
                <w:b w:val="0"/>
                <w:sz w:val="20"/>
              </w:rPr>
              <w:t>Acción</w:t>
            </w:r>
          </w:p>
        </w:tc>
        <w:tc>
          <w:tcPr>
            <w:tcW w:type="dxa" w:w="6520"/>
            <w:shd w:val="clear" w:color="auto" w:fill="EEF3F9"/>
          </w:tcPr>
          <w:p>
            <w:pPr>
              <w:spacing w:after="40" w:before="40"/>
            </w:pPr>
            <w:r/>
            <w:r>
              <w:rPr>
                <w:b w:val="0"/>
                <w:sz w:val="20"/>
              </w:rPr>
              <w:t>Bloqueo, Desbloqueo, Alta de palets, Ajuste de unidades o Baja por inventario.</w:t>
            </w:r>
          </w:p>
        </w:tc>
      </w:tr>
      <w:tr>
        <w:tc>
          <w:tcPr>
            <w:tcW w:type="dxa" w:w="2551"/>
          </w:tcPr>
          <w:p>
            <w:pPr>
              <w:spacing w:after="40" w:before="40"/>
            </w:pPr>
            <w:r/>
            <w:r>
              <w:rPr>
                <w:b w:val="0"/>
                <w:sz w:val="20"/>
              </w:rPr>
              <w:t>Situación</w:t>
            </w:r>
          </w:p>
        </w:tc>
        <w:tc>
          <w:tcPr>
            <w:tcW w:type="dxa" w:w="6520"/>
          </w:tcPr>
          <w:p>
            <w:pPr>
              <w:spacing w:after="40" w:before="40"/>
            </w:pPr>
            <w:r/>
            <w:r>
              <w:rPr>
                <w:b w:val="0"/>
                <w:sz w:val="20"/>
              </w:rPr>
              <w:t>Cambio de situación (anterior → nueva).</w:t>
            </w:r>
          </w:p>
        </w:tc>
      </w:tr>
      <w:tr>
        <w:tc>
          <w:tcPr>
            <w:tcW w:type="dxa" w:w="2551"/>
            <w:shd w:val="clear" w:color="auto" w:fill="EEF3F9"/>
          </w:tcPr>
          <w:p>
            <w:pPr>
              <w:spacing w:after="40" w:before="40"/>
            </w:pPr>
            <w:r/>
            <w:r>
              <w:rPr>
                <w:b w:val="0"/>
                <w:sz w:val="20"/>
              </w:rPr>
              <w:t>Uds (antes → después)</w:t>
            </w:r>
          </w:p>
        </w:tc>
        <w:tc>
          <w:tcPr>
            <w:tcW w:type="dxa" w:w="6520"/>
            <w:shd w:val="clear" w:color="auto" w:fill="EEF3F9"/>
          </w:tcPr>
          <w:p>
            <w:pPr>
              <w:spacing w:after="40" w:before="40"/>
            </w:pPr>
            <w:r/>
            <w:r>
              <w:rPr>
                <w:b w:val="0"/>
                <w:sz w:val="20"/>
              </w:rPr>
              <w:t>Unidades antes y después del ajuste.</w:t>
            </w:r>
          </w:p>
        </w:tc>
      </w:tr>
      <w:tr>
        <w:tc>
          <w:tcPr>
            <w:tcW w:type="dxa" w:w="2551"/>
          </w:tcPr>
          <w:p>
            <w:pPr>
              <w:spacing w:after="40" w:before="40"/>
            </w:pPr>
            <w:r/>
            <w:r>
              <w:rPr>
                <w:b w:val="0"/>
                <w:sz w:val="20"/>
              </w:rPr>
              <w:t>Documento</w:t>
            </w:r>
          </w:p>
        </w:tc>
        <w:tc>
          <w:tcPr>
            <w:tcW w:type="dxa" w:w="6520"/>
          </w:tcPr>
          <w:p>
            <w:pPr>
              <w:spacing w:after="40" w:before="40"/>
            </w:pPr>
            <w:r/>
            <w:r>
              <w:rPr>
                <w:b w:val="0"/>
                <w:sz w:val="20"/>
              </w:rPr>
              <w:t>Orden, entrega o referencia asociada al movimiento.</w:t>
            </w:r>
          </w:p>
        </w:tc>
      </w:tr>
      <w:tr>
        <w:tc>
          <w:tcPr>
            <w:tcW w:type="dxa" w:w="2551"/>
            <w:shd w:val="clear" w:color="auto" w:fill="EEF3F9"/>
          </w:tcPr>
          <w:p>
            <w:pPr>
              <w:spacing w:after="40" w:before="40"/>
            </w:pPr>
            <w:r/>
            <w:r>
              <w:rPr>
                <w:b w:val="0"/>
                <w:sz w:val="20"/>
              </w:rPr>
              <w:t>Motivo</w:t>
            </w:r>
          </w:p>
        </w:tc>
        <w:tc>
          <w:tcPr>
            <w:tcW w:type="dxa" w:w="6520"/>
            <w:shd w:val="clear" w:color="auto" w:fill="EEF3F9"/>
          </w:tcPr>
          <w:p>
            <w:pPr>
              <w:spacing w:after="40" w:before="40"/>
            </w:pPr>
            <w:r/>
            <w:r>
              <w:rPr>
                <w:b w:val="0"/>
                <w:sz w:val="20"/>
              </w:rPr>
              <w:t>Texto libre introducido por el usuario al confirmar la acción.</w:t>
            </w:r>
          </w:p>
        </w:tc>
      </w:tr>
    </w:tbl>
    <w:p/>
    <w:p>
      <w:pPr>
        <w:pStyle w:val="Heading1"/>
      </w:pPr>
      <w:r>
        <w:t>8. Otros elementos de la pantalla</w:t>
      </w:r>
    </w:p>
    <w:p>
      <w:pPr>
        <w:pStyle w:val="ListBullet"/>
      </w:pPr>
      <w:r>
        <w:t>Resumen: bajo la pantalla de selección muestra el recuento de bloqueados, devoluciones y palets libres, y el total de unidades ocupadas.</w:t>
      </w:r>
    </w:p>
    <w:p>
      <w:pPr>
        <w:pStyle w:val="ListBullet"/>
      </w:pPr>
      <w:r>
        <w:t>Barra de estado: en la parte inferior muestra el resultado de la última acción (verde = correcto, ámbar = aviso, rojo = error).</w:t>
      </w:r>
    </w:p>
    <w:p>
      <w:pPr>
        <w:pStyle w:val="ListBullet"/>
      </w:pPr>
      <w:r>
        <w:t>Pop-up de ajuste: al bloquear o ajustar se muestra la capacidad del palet y los “palets equivalentes” = redondeo al alza de (unidades ÷ unidades por palet).</w:t>
      </w:r>
    </w:p>
    <w:p>
      <w:pPr>
        <w:pStyle w:val="Heading1"/>
      </w:pPr>
      <w:r>
        <w:t>9. Datos de ejemplo y conexión con datos reales</w:t>
      </w:r>
    </w:p>
    <w:p>
      <w:r>
        <w:t>El visor es autocontenido y los datos son de ejemplo, generados en el propio navegador. Para conectarlo con datos reales basta sustituir, en el bloque &lt;script&gt; del HTML:</w:t>
      </w:r>
    </w:p>
    <w:p>
      <w:pPr>
        <w:pStyle w:val="ListBullet"/>
      </w:pPr>
      <w:r>
        <w:t>PALETS: palets ocupados (bloqueados y devoluciones).</w:t>
      </w:r>
    </w:p>
    <w:p>
      <w:pPr>
        <w:pStyle w:val="ListBullet"/>
      </w:pPr>
      <w:r>
        <w:t>LIBRES: contador de palets libres por código de palet.</w:t>
      </w:r>
    </w:p>
    <w:p>
      <w:pPr>
        <w:pStyle w:val="ListBullet"/>
      </w:pPr>
      <w:r>
        <w:t>MATERIALES: maestro de materiales (con uds/palet y documento de compras).</w:t>
      </w:r>
    </w:p>
    <w:p>
      <w:pPr>
        <w:pStyle w:val="ListBullet"/>
      </w:pPr>
      <w:r>
        <w:t>PALET_TIPOS: maestro de códigos de palet y su nombre.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